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9B" w:rsidRDefault="000E053A" w:rsidP="000E053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9C277BA571143E1925BF140E1FD7C39" style="width:450.5pt;height:511pt">
            <v:imagedata r:id="rId9" o:title=""/>
          </v:shape>
        </w:pict>
      </w:r>
    </w:p>
    <w:bookmarkEnd w:id="0"/>
    <w:p w:rsidR="00A36F9B" w:rsidRDefault="00A36F9B">
      <w:pPr>
        <w:rPr>
          <w:noProof/>
        </w:rPr>
        <w:sectPr w:rsidR="00A36F9B" w:rsidSect="000E053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A36F9B" w:rsidRDefault="000E053A">
      <w:pPr>
        <w:pStyle w:val="Heading1"/>
        <w:numPr>
          <w:ilvl w:val="0"/>
          <w:numId w:val="0"/>
        </w:numPr>
        <w:spacing w:after="0"/>
        <w:jc w:val="center"/>
        <w:rPr>
          <w:noProof/>
        </w:rPr>
      </w:pPr>
      <w:bookmarkStart w:id="1" w:name="_GoBack"/>
      <w:bookmarkEnd w:id="1"/>
      <w:r>
        <w:rPr>
          <w:noProof/>
        </w:rPr>
        <w:lastRenderedPageBreak/>
        <w:t>НАСОКИ ЗА ДЪРЖАВИТЕ ЧЛЕНКИ:</w:t>
      </w:r>
    </w:p>
    <w:p w:rsidR="00A36F9B" w:rsidRDefault="000E053A">
      <w:pPr>
        <w:pStyle w:val="Heading1"/>
        <w:numPr>
          <w:ilvl w:val="0"/>
          <w:numId w:val="0"/>
        </w:numPr>
        <w:spacing w:before="120" w:after="360"/>
        <w:jc w:val="center"/>
        <w:rPr>
          <w:noProof/>
        </w:rPr>
      </w:pPr>
      <w:r>
        <w:rPr>
          <w:noProof/>
        </w:rPr>
        <w:t xml:space="preserve">ПРЕДЛОЖЕНИ ДЕЙСТВИЯ ЗА ПО-ДОБРО ИЗПЪЛНЕНИЕ НА ПОЛИТИКИТЕ В ОБЛАСТТА НА </w:t>
      </w:r>
      <w:r>
        <w:rPr>
          <w:noProof/>
        </w:rPr>
        <w:t>ОКОЛНАТА СРЕДА</w:t>
      </w:r>
      <w:r>
        <w:rPr>
          <w:rStyle w:val="FootnoteReference"/>
          <w:noProof/>
        </w:rPr>
        <w:footnoteReference w:id="2"/>
      </w:r>
    </w:p>
    <w:tbl>
      <w:tblPr>
        <w:tblStyle w:val="TableGrid"/>
        <w:tblW w:w="9468" w:type="dxa"/>
        <w:tblLayout w:type="fixed"/>
        <w:tblLook w:val="04A0" w:firstRow="1" w:lastRow="0" w:firstColumn="1" w:lastColumn="0" w:noHBand="0" w:noVBand="1"/>
      </w:tblPr>
      <w:tblGrid>
        <w:gridCol w:w="7111"/>
        <w:gridCol w:w="2357"/>
      </w:tblGrid>
      <w:tr w:rsidR="00A36F9B">
        <w:tc>
          <w:tcPr>
            <w:tcW w:w="7111" w:type="dxa"/>
            <w:shd w:val="clear" w:color="auto" w:fill="auto"/>
          </w:tcPr>
          <w:p w:rsidR="00A36F9B" w:rsidRDefault="000E053A">
            <w:pPr>
              <w:pStyle w:val="Text1"/>
              <w:ind w:left="0"/>
              <w:rPr>
                <w:i/>
                <w:noProof/>
                <w:sz w:val="20"/>
              </w:rPr>
            </w:pPr>
            <w:r>
              <w:rPr>
                <w:i/>
                <w:noProof/>
                <w:sz w:val="20"/>
              </w:rPr>
              <w:t>Предложени действия</w:t>
            </w:r>
          </w:p>
        </w:tc>
        <w:tc>
          <w:tcPr>
            <w:tcW w:w="2357" w:type="dxa"/>
            <w:shd w:val="clear" w:color="auto" w:fill="auto"/>
          </w:tcPr>
          <w:p w:rsidR="00A36F9B" w:rsidRDefault="000E053A">
            <w:pPr>
              <w:pStyle w:val="Text1"/>
              <w:ind w:left="0"/>
              <w:rPr>
                <w:i/>
                <w:noProof/>
                <w:sz w:val="20"/>
              </w:rPr>
            </w:pPr>
            <w:r>
              <w:rPr>
                <w:i/>
                <w:noProof/>
                <w:sz w:val="20"/>
              </w:rPr>
              <w:t xml:space="preserve">Държави членки </w:t>
            </w:r>
          </w:p>
        </w:tc>
      </w:tr>
      <w:tr w:rsidR="00A36F9B">
        <w:tc>
          <w:tcPr>
            <w:tcW w:w="9468" w:type="dxa"/>
            <w:gridSpan w:val="2"/>
            <w:shd w:val="clear" w:color="auto" w:fill="C6D9F1" w:themeFill="text2" w:themeFillTint="33"/>
            <w:vAlign w:val="center"/>
          </w:tcPr>
          <w:p w:rsidR="00A36F9B" w:rsidRDefault="000E053A">
            <w:pPr>
              <w:pStyle w:val="Text1"/>
              <w:spacing w:after="0"/>
              <w:ind w:left="0"/>
              <w:jc w:val="left"/>
              <w:rPr>
                <w:noProof/>
                <w:sz w:val="20"/>
              </w:rPr>
            </w:pPr>
            <w:bookmarkStart w:id="2" w:name="_Toc433296152"/>
            <w:bookmarkStart w:id="3" w:name="_Toc439678146"/>
            <w:r>
              <w:rPr>
                <w:b/>
                <w:noProof/>
                <w:sz w:val="20"/>
              </w:rPr>
              <w:t>Изграждане на кръгова икономика</w:t>
            </w:r>
            <w:bookmarkEnd w:id="2"/>
            <w:r>
              <w:rPr>
                <w:b/>
                <w:noProof/>
                <w:sz w:val="20"/>
              </w:rPr>
              <w:t xml:space="preserve"> и подобряване на ресурсната ефективност</w:t>
            </w:r>
            <w:bookmarkEnd w:id="3"/>
          </w:p>
        </w:tc>
      </w:tr>
      <w:tr w:rsidR="00A36F9B">
        <w:tc>
          <w:tcPr>
            <w:tcW w:w="7111" w:type="dxa"/>
            <w:shd w:val="clear" w:color="auto" w:fill="auto"/>
          </w:tcPr>
          <w:p w:rsidR="00A36F9B" w:rsidRDefault="000E053A">
            <w:pPr>
              <w:pStyle w:val="ListParagraph"/>
              <w:numPr>
                <w:ilvl w:val="0"/>
                <w:numId w:val="3"/>
              </w:numPr>
              <w:rPr>
                <w:noProof/>
                <w:sz w:val="20"/>
              </w:rPr>
            </w:pPr>
            <w:r>
              <w:rPr>
                <w:noProof/>
                <w:sz w:val="20"/>
              </w:rPr>
              <w:t>Да се укрепи рамката на политиката с цел да се ускори създаването на кръгова икономика от всички икономически сектори, като се предостави допълнителна подкрепа на местните предприятия и се повишат инвестициите в публичните научно-изследователски и образова</w:t>
            </w:r>
            <w:r>
              <w:rPr>
                <w:noProof/>
                <w:sz w:val="20"/>
              </w:rPr>
              <w:t xml:space="preserve">телни системи, по-специално по отношение на водите и пестенето на енергия, намаляването на отпадъците, рециклирането на материали, екопроектирането и създаването на пазари за вторични суровини. </w:t>
            </w:r>
          </w:p>
        </w:tc>
        <w:tc>
          <w:tcPr>
            <w:tcW w:w="2357" w:type="dxa"/>
            <w:shd w:val="clear" w:color="auto" w:fill="auto"/>
          </w:tcPr>
          <w:p w:rsidR="00A36F9B" w:rsidRDefault="000E053A">
            <w:pPr>
              <w:rPr>
                <w:noProof/>
              </w:rPr>
            </w:pPr>
            <w:r>
              <w:rPr>
                <w:noProof/>
              </w:rPr>
              <w:t>BE, BG, CZ, DE, HR, HU, IT, RO, SE,SK</w:t>
            </w:r>
          </w:p>
        </w:tc>
      </w:tr>
      <w:tr w:rsidR="00A36F9B">
        <w:tc>
          <w:tcPr>
            <w:tcW w:w="7111" w:type="dxa"/>
            <w:shd w:val="clear" w:color="auto" w:fill="auto"/>
          </w:tcPr>
          <w:p w:rsidR="00A36F9B" w:rsidRDefault="000E053A">
            <w:pPr>
              <w:pStyle w:val="ListParagraph"/>
              <w:numPr>
                <w:ilvl w:val="0"/>
                <w:numId w:val="3"/>
              </w:numPr>
              <w:rPr>
                <w:noProof/>
                <w:sz w:val="20"/>
              </w:rPr>
            </w:pPr>
            <w:r>
              <w:rPr>
                <w:noProof/>
                <w:sz w:val="20"/>
              </w:rPr>
              <w:t>Да се осъществи по-доб</w:t>
            </w:r>
            <w:r>
              <w:rPr>
                <w:noProof/>
                <w:sz w:val="20"/>
              </w:rPr>
              <w:t>ър мониторинг на политиките за кръгова икономика, за да се извърши оценка на тяхната ефективност и да се осигури възможност за преразглеждането им.</w:t>
            </w:r>
          </w:p>
        </w:tc>
        <w:tc>
          <w:tcPr>
            <w:tcW w:w="2357" w:type="dxa"/>
            <w:shd w:val="clear" w:color="auto" w:fill="auto"/>
          </w:tcPr>
          <w:p w:rsidR="00A36F9B" w:rsidRDefault="000E053A">
            <w:pPr>
              <w:rPr>
                <w:noProof/>
              </w:rPr>
            </w:pPr>
            <w:r>
              <w:rPr>
                <w:noProof/>
              </w:rPr>
              <w:t>PT, SI</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се улеснят разработването и обменът на добри практики между всички субекти на държавното управлен</w:t>
            </w:r>
            <w:r>
              <w:rPr>
                <w:noProof/>
                <w:sz w:val="20"/>
              </w:rPr>
              <w:t>ие, по-специално на местно равнище, по отношение на кръговата икономика и по въпросите на екологичните иновации.</w:t>
            </w:r>
          </w:p>
        </w:tc>
        <w:tc>
          <w:tcPr>
            <w:tcW w:w="2357" w:type="dxa"/>
            <w:shd w:val="clear" w:color="auto" w:fill="auto"/>
          </w:tcPr>
          <w:p w:rsidR="00A36F9B" w:rsidRDefault="000E053A">
            <w:pPr>
              <w:pStyle w:val="Text1"/>
              <w:ind w:left="0"/>
              <w:jc w:val="left"/>
              <w:rPr>
                <w:noProof/>
                <w:sz w:val="20"/>
              </w:rPr>
            </w:pPr>
            <w:r>
              <w:rPr>
                <w:noProof/>
                <w:sz w:val="20"/>
              </w:rPr>
              <w:t xml:space="preserve">BE, CY, EL, ES </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 xml:space="preserve">Да се предоставят стимули на академичните институции и учебните заведения с цел насърчаване на кръговата икономика. Да се </w:t>
            </w:r>
            <w:r>
              <w:rPr>
                <w:noProof/>
                <w:sz w:val="20"/>
              </w:rPr>
              <w:t>повиши осведомеността на потребителите и малките и средните предприятия (МСП) относно ползите от кръговата икономика.</w:t>
            </w:r>
          </w:p>
        </w:tc>
        <w:tc>
          <w:tcPr>
            <w:tcW w:w="2357" w:type="dxa"/>
            <w:shd w:val="clear" w:color="auto" w:fill="auto"/>
          </w:tcPr>
          <w:p w:rsidR="00A36F9B" w:rsidRDefault="000E053A">
            <w:pPr>
              <w:pStyle w:val="Text1"/>
              <w:ind w:left="0"/>
              <w:jc w:val="left"/>
              <w:rPr>
                <w:noProof/>
                <w:sz w:val="20"/>
              </w:rPr>
            </w:pPr>
            <w:r>
              <w:rPr>
                <w:noProof/>
                <w:sz w:val="20"/>
              </w:rPr>
              <w:t>IT, PL, SK</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се приложат принципите на кръговата икономика; да се повиши нивото на рециклиране и използване на екопроектирането в сектор</w:t>
            </w:r>
            <w:r>
              <w:rPr>
                <w:noProof/>
                <w:sz w:val="20"/>
              </w:rPr>
              <w:t>а на МСП, по специално чрез допълнителни инвестиции в образованието и обучението. Да се стимулират мерките за ефективно използване на ресурсите (напр. пестене на енергия и вода).</w:t>
            </w:r>
          </w:p>
        </w:tc>
        <w:tc>
          <w:tcPr>
            <w:tcW w:w="2357" w:type="dxa"/>
            <w:shd w:val="clear" w:color="auto" w:fill="auto"/>
          </w:tcPr>
          <w:p w:rsidR="00A36F9B" w:rsidRDefault="000E053A">
            <w:pPr>
              <w:pStyle w:val="Text1"/>
              <w:ind w:left="0"/>
              <w:jc w:val="left"/>
              <w:rPr>
                <w:noProof/>
                <w:sz w:val="20"/>
              </w:rPr>
            </w:pPr>
            <w:r>
              <w:rPr>
                <w:noProof/>
                <w:sz w:val="20"/>
              </w:rPr>
              <w:t>BE, EL, ES, HU, IT, RO, SK</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 xml:space="preserve">Да се стимулират инвестициите в екологосъобразни </w:t>
            </w:r>
            <w:r>
              <w:rPr>
                <w:noProof/>
                <w:sz w:val="20"/>
              </w:rPr>
              <w:t>продукти и услуги. Да се улеснят екологосъобразните инвестиции и достъпът до финансиране. Да се насърчи финансирането на научно-техническата и развойна дейност в МСП.</w:t>
            </w:r>
          </w:p>
        </w:tc>
        <w:tc>
          <w:tcPr>
            <w:tcW w:w="2357" w:type="dxa"/>
            <w:shd w:val="clear" w:color="auto" w:fill="auto"/>
          </w:tcPr>
          <w:p w:rsidR="00A36F9B" w:rsidRDefault="000E053A">
            <w:pPr>
              <w:pStyle w:val="Text1"/>
              <w:ind w:left="0"/>
              <w:jc w:val="left"/>
              <w:rPr>
                <w:noProof/>
                <w:sz w:val="20"/>
              </w:rPr>
            </w:pPr>
            <w:r>
              <w:rPr>
                <w:noProof/>
                <w:sz w:val="20"/>
              </w:rPr>
              <w:t>CZ, ES, HU, MT, RO, SE, SK</w:t>
            </w:r>
          </w:p>
        </w:tc>
      </w:tr>
      <w:tr w:rsidR="00A36F9B">
        <w:tc>
          <w:tcPr>
            <w:tcW w:w="9468" w:type="dxa"/>
            <w:gridSpan w:val="2"/>
            <w:shd w:val="clear" w:color="auto" w:fill="C6D9F1" w:themeFill="text2" w:themeFillTint="33"/>
          </w:tcPr>
          <w:p w:rsidR="00A36F9B" w:rsidRDefault="000E053A">
            <w:pPr>
              <w:pStyle w:val="Text1"/>
              <w:spacing w:after="0"/>
              <w:ind w:left="0"/>
              <w:jc w:val="left"/>
              <w:rPr>
                <w:b/>
                <w:noProof/>
                <w:sz w:val="20"/>
              </w:rPr>
            </w:pPr>
            <w:r>
              <w:rPr>
                <w:b/>
                <w:noProof/>
                <w:sz w:val="20"/>
              </w:rPr>
              <w:t xml:space="preserve">Управление на отпадъците </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 xml:space="preserve">Да се въведат политики, </w:t>
            </w:r>
            <w:r>
              <w:rPr>
                <w:noProof/>
                <w:sz w:val="20"/>
              </w:rPr>
              <w:t>включително икономически инструменти (режим на</w:t>
            </w:r>
            <w:r>
              <w:rPr>
                <w:i/>
                <w:noProof/>
                <w:sz w:val="20"/>
              </w:rPr>
              <w:t xml:space="preserve"> </w:t>
            </w:r>
            <w:r>
              <w:rPr>
                <w:noProof/>
                <w:sz w:val="20"/>
              </w:rPr>
              <w:t>разширена отговорност на производителя или на принципа „плащаш повече, ако изхвърляш повече“) с цел по-нататъшното прилагане на йерархията на отпадъците, т.е. да се насърчи предотвратяването на отпадъците и да</w:t>
            </w:r>
            <w:r>
              <w:rPr>
                <w:noProof/>
                <w:sz w:val="20"/>
              </w:rPr>
              <w:t xml:space="preserve"> се повиши привлекателността на тяхното повторно използване и рециклиране. Да се отстрани паразитизмът и да се гарантира финансовата жизнеспособност на дружествата за управление на отпадъците.</w:t>
            </w:r>
          </w:p>
        </w:tc>
        <w:tc>
          <w:tcPr>
            <w:tcW w:w="2357" w:type="dxa"/>
            <w:shd w:val="clear" w:color="auto" w:fill="auto"/>
          </w:tcPr>
          <w:p w:rsidR="00A36F9B" w:rsidRDefault="000E053A">
            <w:pPr>
              <w:pStyle w:val="Text1"/>
              <w:ind w:left="0"/>
              <w:jc w:val="left"/>
              <w:rPr>
                <w:noProof/>
                <w:sz w:val="20"/>
              </w:rPr>
            </w:pPr>
            <w:r>
              <w:rPr>
                <w:noProof/>
                <w:sz w:val="20"/>
              </w:rPr>
              <w:t>AT, BG, CY, DE, DK, EE, EL, ES, FI, FR, HR, HU, IE, IT, LU, LV,</w:t>
            </w:r>
            <w:r>
              <w:rPr>
                <w:noProof/>
                <w:sz w:val="20"/>
              </w:rPr>
              <w:t xml:space="preserve"> MT, NL, PL, PT, RO, SE, SI, SK, UK</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 xml:space="preserve">Да се премахне третирането посредством изгаряне на годните за повторна </w:t>
            </w:r>
            <w:r>
              <w:rPr>
                <w:noProof/>
                <w:sz w:val="20"/>
              </w:rPr>
              <w:lastRenderedPageBreak/>
              <w:t>употреба и рециклиране отпадъци чрез постепенно премахване на субсидиите за изгаряне или чрез въвеждане на данък за изгаряне.</w:t>
            </w:r>
          </w:p>
        </w:tc>
        <w:tc>
          <w:tcPr>
            <w:tcW w:w="2357" w:type="dxa"/>
            <w:shd w:val="clear" w:color="auto" w:fill="auto"/>
          </w:tcPr>
          <w:p w:rsidR="00A36F9B" w:rsidRDefault="000E053A">
            <w:pPr>
              <w:pStyle w:val="Text1"/>
              <w:ind w:left="0"/>
              <w:jc w:val="left"/>
              <w:rPr>
                <w:noProof/>
                <w:sz w:val="20"/>
              </w:rPr>
            </w:pPr>
            <w:r>
              <w:rPr>
                <w:noProof/>
                <w:sz w:val="20"/>
              </w:rPr>
              <w:lastRenderedPageBreak/>
              <w:t>AT, BE, CZ, DE, DK, EE</w:t>
            </w:r>
            <w:r>
              <w:rPr>
                <w:noProof/>
                <w:sz w:val="20"/>
              </w:rPr>
              <w:t xml:space="preserve">, </w:t>
            </w:r>
            <w:r>
              <w:rPr>
                <w:noProof/>
                <w:sz w:val="20"/>
              </w:rPr>
              <w:lastRenderedPageBreak/>
              <w:t>FI, IE, LU, PL, PT, SE</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lastRenderedPageBreak/>
              <w:t xml:space="preserve">Да се въведат и/или постепенно да се увеличат данъците за депониране с цел премахване на депонирането на отпадъци, които подлежат на рециклиране и оползотворяване. Да се хармонизират регионалните данъци за депониране на отпадъци. </w:t>
            </w:r>
            <w:r>
              <w:rPr>
                <w:noProof/>
                <w:sz w:val="20"/>
              </w:rPr>
              <w:t>Да се извърши преглед на равнището на началните такси за депониране на отпадъци. Да се използват приходите от икономическите инструменти за подкрепа на разделното събиране на отпадъци и алтернативна инфраструктура.</w:t>
            </w:r>
          </w:p>
        </w:tc>
        <w:tc>
          <w:tcPr>
            <w:tcW w:w="2357" w:type="dxa"/>
            <w:shd w:val="clear" w:color="auto" w:fill="auto"/>
          </w:tcPr>
          <w:p w:rsidR="00A36F9B" w:rsidRDefault="000E053A">
            <w:pPr>
              <w:pStyle w:val="Text1"/>
              <w:ind w:left="0"/>
              <w:jc w:val="left"/>
              <w:rPr>
                <w:noProof/>
                <w:sz w:val="20"/>
              </w:rPr>
            </w:pPr>
            <w:r>
              <w:rPr>
                <w:noProof/>
                <w:sz w:val="20"/>
              </w:rPr>
              <w:t>CY, CZ, EL, ES, HR, HU, IT, LT, LV, MT, P</w:t>
            </w:r>
            <w:r>
              <w:rPr>
                <w:noProof/>
                <w:sz w:val="20"/>
              </w:rPr>
              <w:t>L, RO, SI, SK, UK</w:t>
            </w:r>
          </w:p>
        </w:tc>
      </w:tr>
      <w:tr w:rsidR="00A36F9B">
        <w:tc>
          <w:tcPr>
            <w:tcW w:w="7111" w:type="dxa"/>
            <w:shd w:val="clear" w:color="auto" w:fill="auto"/>
          </w:tcPr>
          <w:p w:rsidR="00A36F9B" w:rsidRDefault="000E053A">
            <w:pPr>
              <w:pStyle w:val="ListParagraph"/>
              <w:numPr>
                <w:ilvl w:val="0"/>
                <w:numId w:val="2"/>
              </w:numPr>
              <w:rPr>
                <w:noProof/>
                <w:sz w:val="20"/>
              </w:rPr>
            </w:pPr>
            <w:r>
              <w:rPr>
                <w:noProof/>
                <w:sz w:val="20"/>
              </w:rPr>
              <w:t>Да се постави акцент върху изпълнението на задължението за разделно събиране на отпадъците, за да се повиши процентът на рециклиране и да се отдаде приоритет разделното събиране на биологичните отпадъци с цел повишаване на равнището на к</w:t>
            </w:r>
            <w:r>
              <w:rPr>
                <w:noProof/>
                <w:sz w:val="20"/>
              </w:rPr>
              <w:t>омпостиране.  Да се създадат площадки за събиране на специфични отпадъци (пунктове за събиране на селективни отпадъци) във всяка община.</w:t>
            </w:r>
          </w:p>
        </w:tc>
        <w:tc>
          <w:tcPr>
            <w:tcW w:w="2357" w:type="dxa"/>
            <w:shd w:val="clear" w:color="auto" w:fill="auto"/>
          </w:tcPr>
          <w:p w:rsidR="00A36F9B" w:rsidRDefault="000E053A">
            <w:pPr>
              <w:rPr>
                <w:noProof/>
              </w:rPr>
            </w:pPr>
            <w:r>
              <w:rPr>
                <w:noProof/>
              </w:rPr>
              <w:t>BG, CY, CZ, EE, EL, ES, FR, HR, IE, IT, LT, PL, PT, RO, SK</w:t>
            </w:r>
          </w:p>
        </w:tc>
      </w:tr>
      <w:tr w:rsidR="00A36F9B">
        <w:tc>
          <w:tcPr>
            <w:tcW w:w="7111" w:type="dxa"/>
            <w:shd w:val="clear" w:color="auto" w:fill="auto"/>
          </w:tcPr>
          <w:p w:rsidR="00A36F9B" w:rsidRDefault="000E053A">
            <w:pPr>
              <w:pStyle w:val="ListParagraph"/>
              <w:numPr>
                <w:ilvl w:val="0"/>
                <w:numId w:val="2"/>
              </w:numPr>
              <w:rPr>
                <w:noProof/>
                <w:sz w:val="20"/>
              </w:rPr>
            </w:pPr>
            <w:r>
              <w:rPr>
                <w:noProof/>
                <w:sz w:val="20"/>
              </w:rPr>
              <w:t>Да се завърши и актуализира планът (плановете) за управлени</w:t>
            </w:r>
            <w:r>
              <w:rPr>
                <w:noProof/>
                <w:sz w:val="20"/>
              </w:rPr>
              <w:t>е на отпадъците и/или програмата (програмите) за предотвратяване на отпадъците с цел да се обхване цялата територия.</w:t>
            </w:r>
          </w:p>
        </w:tc>
        <w:tc>
          <w:tcPr>
            <w:tcW w:w="2357" w:type="dxa"/>
            <w:shd w:val="clear" w:color="auto" w:fill="auto"/>
          </w:tcPr>
          <w:p w:rsidR="00A36F9B" w:rsidRDefault="000E053A">
            <w:pPr>
              <w:pStyle w:val="Text1"/>
              <w:ind w:left="0"/>
              <w:jc w:val="left"/>
              <w:rPr>
                <w:noProof/>
                <w:sz w:val="20"/>
              </w:rPr>
            </w:pPr>
            <w:r>
              <w:rPr>
                <w:noProof/>
                <w:sz w:val="20"/>
              </w:rPr>
              <w:t>BE, DE, EL, ES, FR, RO</w:t>
            </w:r>
          </w:p>
        </w:tc>
      </w:tr>
      <w:tr w:rsidR="00A36F9B">
        <w:tc>
          <w:tcPr>
            <w:tcW w:w="7111" w:type="dxa"/>
            <w:shd w:val="clear" w:color="auto" w:fill="auto"/>
          </w:tcPr>
          <w:p w:rsidR="00A36F9B" w:rsidRDefault="000E053A">
            <w:pPr>
              <w:pStyle w:val="ListParagraph"/>
              <w:numPr>
                <w:ilvl w:val="0"/>
                <w:numId w:val="2"/>
              </w:numPr>
              <w:rPr>
                <w:noProof/>
                <w:sz w:val="20"/>
              </w:rPr>
            </w:pPr>
            <w:r>
              <w:rPr>
                <w:noProof/>
                <w:sz w:val="20"/>
              </w:rPr>
              <w:t xml:space="preserve">Завършването на работата относно незаконните депа да се превърне в основен приоритет. </w:t>
            </w:r>
          </w:p>
        </w:tc>
        <w:tc>
          <w:tcPr>
            <w:tcW w:w="2357" w:type="dxa"/>
            <w:shd w:val="clear" w:color="auto" w:fill="auto"/>
          </w:tcPr>
          <w:p w:rsidR="00A36F9B" w:rsidRDefault="000E053A">
            <w:pPr>
              <w:pStyle w:val="Text1"/>
              <w:ind w:left="0"/>
              <w:jc w:val="left"/>
              <w:rPr>
                <w:noProof/>
                <w:sz w:val="20"/>
              </w:rPr>
            </w:pPr>
            <w:r>
              <w:rPr>
                <w:noProof/>
                <w:sz w:val="20"/>
              </w:rPr>
              <w:t>BG, CY, EL, RO</w:t>
            </w:r>
          </w:p>
        </w:tc>
      </w:tr>
      <w:tr w:rsidR="00A36F9B">
        <w:tc>
          <w:tcPr>
            <w:tcW w:w="7111" w:type="dxa"/>
            <w:shd w:val="clear" w:color="auto" w:fill="auto"/>
          </w:tcPr>
          <w:p w:rsidR="00A36F9B" w:rsidRDefault="000E053A">
            <w:pPr>
              <w:pStyle w:val="ListParagraph"/>
              <w:numPr>
                <w:ilvl w:val="0"/>
                <w:numId w:val="2"/>
              </w:numPr>
              <w:rPr>
                <w:noProof/>
                <w:sz w:val="20"/>
              </w:rPr>
            </w:pPr>
            <w:r>
              <w:rPr>
                <w:noProof/>
                <w:sz w:val="20"/>
              </w:rPr>
              <w:t xml:space="preserve">Да се </w:t>
            </w:r>
            <w:r>
              <w:rPr>
                <w:noProof/>
                <w:sz w:val="20"/>
              </w:rPr>
              <w:t>избегне изграждането на прекомерна инфраструктура за третиране на остатъчни отпадъци.</w:t>
            </w:r>
          </w:p>
        </w:tc>
        <w:tc>
          <w:tcPr>
            <w:tcW w:w="2357" w:type="dxa"/>
            <w:shd w:val="clear" w:color="auto" w:fill="auto"/>
          </w:tcPr>
          <w:p w:rsidR="00A36F9B" w:rsidRDefault="000E053A">
            <w:pPr>
              <w:pStyle w:val="Text1"/>
              <w:ind w:left="0"/>
              <w:jc w:val="left"/>
              <w:rPr>
                <w:noProof/>
                <w:sz w:val="20"/>
              </w:rPr>
            </w:pPr>
            <w:r>
              <w:rPr>
                <w:noProof/>
                <w:sz w:val="20"/>
              </w:rPr>
              <w:t>BG, CY, CZ, EL, ES, HR, HU, IT, LT, LV, MT, PL, RO, SK</w:t>
            </w:r>
          </w:p>
        </w:tc>
      </w:tr>
      <w:tr w:rsidR="00A36F9B">
        <w:tc>
          <w:tcPr>
            <w:tcW w:w="7111" w:type="dxa"/>
            <w:shd w:val="clear" w:color="auto" w:fill="auto"/>
          </w:tcPr>
          <w:p w:rsidR="00A36F9B" w:rsidRDefault="000E053A">
            <w:pPr>
              <w:pStyle w:val="ListParagraph"/>
              <w:numPr>
                <w:ilvl w:val="0"/>
                <w:numId w:val="2"/>
              </w:numPr>
              <w:rPr>
                <w:noProof/>
                <w:sz w:val="20"/>
              </w:rPr>
            </w:pPr>
            <w:r>
              <w:rPr>
                <w:noProof/>
                <w:sz w:val="20"/>
              </w:rPr>
              <w:t>Да се гарантира съвместимостта на статистиката на отпадъците с насоките на Евростат. Да се подобри съгласуваността</w:t>
            </w:r>
            <w:r>
              <w:rPr>
                <w:noProof/>
                <w:sz w:val="20"/>
              </w:rPr>
              <w:t xml:space="preserve"> на данните за управлението на отпадъците от различни източници (както и по отношение на голямото несъответствие между генерираните и третираните отпадъци).</w:t>
            </w:r>
          </w:p>
        </w:tc>
        <w:tc>
          <w:tcPr>
            <w:tcW w:w="2357" w:type="dxa"/>
            <w:shd w:val="clear" w:color="auto" w:fill="auto"/>
          </w:tcPr>
          <w:p w:rsidR="00A36F9B" w:rsidRDefault="000E053A">
            <w:pPr>
              <w:pStyle w:val="Text1"/>
              <w:ind w:left="0"/>
              <w:jc w:val="left"/>
              <w:rPr>
                <w:noProof/>
                <w:sz w:val="20"/>
              </w:rPr>
            </w:pPr>
            <w:r>
              <w:rPr>
                <w:noProof/>
                <w:sz w:val="20"/>
              </w:rPr>
              <w:t>CZ, SI</w:t>
            </w:r>
          </w:p>
        </w:tc>
      </w:tr>
      <w:tr w:rsidR="00A36F9B">
        <w:tc>
          <w:tcPr>
            <w:tcW w:w="7111" w:type="dxa"/>
            <w:shd w:val="clear" w:color="auto" w:fill="auto"/>
          </w:tcPr>
          <w:p w:rsidR="00A36F9B" w:rsidRDefault="000E053A">
            <w:pPr>
              <w:pStyle w:val="ListParagraph"/>
              <w:numPr>
                <w:ilvl w:val="0"/>
                <w:numId w:val="2"/>
              </w:numPr>
              <w:rPr>
                <w:noProof/>
                <w:sz w:val="20"/>
              </w:rPr>
            </w:pPr>
            <w:r>
              <w:rPr>
                <w:noProof/>
                <w:sz w:val="20"/>
              </w:rPr>
              <w:t>Да се засили сътрудничеството между регионите за по-ефективно използване на капацитета за т</w:t>
            </w:r>
            <w:r>
              <w:rPr>
                <w:noProof/>
                <w:sz w:val="20"/>
              </w:rPr>
              <w:t>ретиране на отпадъци и за постигане на националните цели във връзка с рециклирането.</w:t>
            </w:r>
          </w:p>
        </w:tc>
        <w:tc>
          <w:tcPr>
            <w:tcW w:w="2357" w:type="dxa"/>
            <w:shd w:val="clear" w:color="auto" w:fill="auto"/>
          </w:tcPr>
          <w:p w:rsidR="00A36F9B" w:rsidRDefault="000E053A">
            <w:pPr>
              <w:pStyle w:val="Text1"/>
              <w:ind w:left="0"/>
              <w:jc w:val="left"/>
              <w:rPr>
                <w:noProof/>
                <w:sz w:val="20"/>
              </w:rPr>
            </w:pPr>
            <w:r>
              <w:rPr>
                <w:noProof/>
                <w:sz w:val="20"/>
              </w:rPr>
              <w:t>ES, IT</w:t>
            </w:r>
          </w:p>
          <w:p w:rsidR="00A36F9B" w:rsidRDefault="00A36F9B">
            <w:pPr>
              <w:pStyle w:val="Text1"/>
              <w:ind w:left="0"/>
              <w:jc w:val="left"/>
              <w:rPr>
                <w:noProof/>
                <w:sz w:val="20"/>
              </w:rPr>
            </w:pP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се укрепят и повишат възможностите за правоприлагане.</w:t>
            </w:r>
          </w:p>
        </w:tc>
        <w:tc>
          <w:tcPr>
            <w:tcW w:w="2357" w:type="dxa"/>
            <w:shd w:val="clear" w:color="auto" w:fill="auto"/>
          </w:tcPr>
          <w:p w:rsidR="00A36F9B" w:rsidRDefault="000E053A">
            <w:pPr>
              <w:pStyle w:val="Text1"/>
              <w:ind w:left="0"/>
              <w:jc w:val="left"/>
              <w:rPr>
                <w:noProof/>
                <w:sz w:val="20"/>
              </w:rPr>
            </w:pPr>
            <w:r>
              <w:rPr>
                <w:noProof/>
                <w:sz w:val="20"/>
              </w:rPr>
              <w:t>MT, PL, RO</w:t>
            </w:r>
          </w:p>
        </w:tc>
      </w:tr>
      <w:tr w:rsidR="00A36F9B">
        <w:tc>
          <w:tcPr>
            <w:tcW w:w="9468" w:type="dxa"/>
            <w:gridSpan w:val="2"/>
            <w:shd w:val="clear" w:color="auto" w:fill="C6D9F1" w:themeFill="text2" w:themeFillTint="33"/>
          </w:tcPr>
          <w:p w:rsidR="00A36F9B" w:rsidRDefault="000E053A">
            <w:pPr>
              <w:pStyle w:val="Text1"/>
              <w:spacing w:after="0"/>
              <w:ind w:left="0"/>
              <w:jc w:val="left"/>
              <w:rPr>
                <w:b/>
                <w:noProof/>
                <w:sz w:val="20"/>
              </w:rPr>
            </w:pPr>
            <w:bookmarkStart w:id="4" w:name="_Toc433296160"/>
            <w:bookmarkStart w:id="5" w:name="_Toc439678149"/>
            <w:r>
              <w:rPr>
                <w:b/>
                <w:noProof/>
                <w:sz w:val="20"/>
              </w:rPr>
              <w:t>Природа и биологично разнообразие</w:t>
            </w:r>
            <w:bookmarkEnd w:id="4"/>
            <w:bookmarkEnd w:id="5"/>
            <w:r>
              <w:rPr>
                <w:b/>
                <w:noProof/>
                <w:sz w:val="20"/>
              </w:rPr>
              <w:t xml:space="preserve"> и оценка на природния капитал</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 xml:space="preserve">Да се завърши процесът на </w:t>
            </w:r>
            <w:r>
              <w:rPr>
                <w:noProof/>
                <w:sz w:val="20"/>
              </w:rPr>
              <w:t>определяне на защитените зони, включително на морски територии, и да се посочат ясно дефинирани цели и необходими мерки за опазването им, както и да се предоставят подходящи ресурси за тяхното прилагане с цел поддържане/възстановяване на видове и местообит</w:t>
            </w:r>
            <w:r>
              <w:rPr>
                <w:noProof/>
                <w:sz w:val="20"/>
              </w:rPr>
              <w:t>ания от интерес за Общността и постигане на благоприятен природозащитен статус в рамките на естествения им ареал. Да се завършат и актуализират рамките за приоритетни действия. Да се подобрят знанията и наличието на данни с цел да се оптимизират възможност</w:t>
            </w:r>
            <w:r>
              <w:rPr>
                <w:noProof/>
                <w:sz w:val="20"/>
              </w:rPr>
              <w:t>ите за прилагане на мерките за опазване на околната среда.</w:t>
            </w:r>
          </w:p>
        </w:tc>
        <w:tc>
          <w:tcPr>
            <w:tcW w:w="2357" w:type="dxa"/>
            <w:shd w:val="clear" w:color="auto" w:fill="auto"/>
          </w:tcPr>
          <w:p w:rsidR="00A36F9B" w:rsidRDefault="000E053A">
            <w:pPr>
              <w:pStyle w:val="Text1"/>
              <w:ind w:left="0"/>
              <w:jc w:val="left"/>
              <w:rPr>
                <w:noProof/>
                <w:sz w:val="20"/>
              </w:rPr>
            </w:pPr>
            <w:r>
              <w:rPr>
                <w:noProof/>
                <w:sz w:val="20"/>
              </w:rPr>
              <w:t>AT, BE, BG, CY, CZ, DE, DK, EE, EL, ES, FI, FR, HR, HU, IE, IT, LT, LU, LV, MT, NL, PL, PT, RO, SE, SI, SK, UK</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 xml:space="preserve">Да се гарантира ефективното изпълнение на плановете за управление на мрежата „Натура </w:t>
            </w:r>
            <w:r>
              <w:rPr>
                <w:noProof/>
                <w:sz w:val="20"/>
              </w:rPr>
              <w:t>2000“, като се осигури необходимият административен капацитет и финансиране. Да се изгради капацитет на компетентните органи (централни, регионални, органи за управление на зоните) за изпълнение на плановете за управление, като се повиши осведомеността отн</w:t>
            </w:r>
            <w:r>
              <w:rPr>
                <w:noProof/>
                <w:sz w:val="20"/>
              </w:rPr>
              <w:t>осно „Натура 2000“ и стимулите за инвестиции, с които се популяризират ползите от тази мрежа, и се прекратят незаконните дейности, засягащи дивата природа, чрез засилено правоприлагане както в рамките на защитените зони по„Натура 2000“, така и извън тях.</w:t>
            </w:r>
          </w:p>
        </w:tc>
        <w:tc>
          <w:tcPr>
            <w:tcW w:w="2357" w:type="dxa"/>
            <w:shd w:val="clear" w:color="auto" w:fill="auto"/>
          </w:tcPr>
          <w:p w:rsidR="00A36F9B" w:rsidRDefault="000E053A">
            <w:pPr>
              <w:pStyle w:val="Text1"/>
              <w:ind w:left="0"/>
              <w:jc w:val="left"/>
              <w:rPr>
                <w:noProof/>
                <w:sz w:val="20"/>
              </w:rPr>
            </w:pPr>
            <w:r>
              <w:rPr>
                <w:noProof/>
                <w:sz w:val="20"/>
              </w:rPr>
              <w:t>B</w:t>
            </w:r>
            <w:r>
              <w:rPr>
                <w:noProof/>
                <w:sz w:val="20"/>
              </w:rPr>
              <w:t xml:space="preserve">G, EE, EL, IT, PL, RO, SI, SK </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се разработят и насърчат интелигенти и рационализирани подходи за изпълнение, по-специално по отношение на процедурите за издаване на разрешителни във връзка със зоните и видовете, като се гарантират необходимите знания и</w:t>
            </w:r>
            <w:r>
              <w:rPr>
                <w:noProof/>
                <w:sz w:val="20"/>
              </w:rPr>
              <w:t xml:space="preserve"> наличието на данни и като се засили комуникацията със заинтересованите страни.</w:t>
            </w:r>
          </w:p>
        </w:tc>
        <w:tc>
          <w:tcPr>
            <w:tcW w:w="2357" w:type="dxa"/>
            <w:shd w:val="clear" w:color="auto" w:fill="auto"/>
          </w:tcPr>
          <w:p w:rsidR="00A36F9B" w:rsidRDefault="000E053A">
            <w:pPr>
              <w:pStyle w:val="Text1"/>
              <w:ind w:left="0"/>
              <w:jc w:val="left"/>
              <w:rPr>
                <w:noProof/>
                <w:sz w:val="20"/>
              </w:rPr>
            </w:pPr>
            <w:r>
              <w:rPr>
                <w:noProof/>
                <w:sz w:val="20"/>
              </w:rPr>
              <w:t>AT, BG, CY, CZ, DE, EE, ES, HU, IT, LT, MT, PL, PT</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продължи да се оказва подкрепата за картографирането и оценката на екосистемите и техните услуги и за оценката и разработ</w:t>
            </w:r>
            <w:r>
              <w:rPr>
                <w:noProof/>
                <w:sz w:val="20"/>
              </w:rPr>
              <w:t>ването на системи за отчетност за природния капитал.</w:t>
            </w:r>
          </w:p>
        </w:tc>
        <w:tc>
          <w:tcPr>
            <w:tcW w:w="2357" w:type="dxa"/>
            <w:shd w:val="clear" w:color="auto" w:fill="auto"/>
          </w:tcPr>
          <w:p w:rsidR="00A36F9B" w:rsidRDefault="000E053A">
            <w:pPr>
              <w:pStyle w:val="Text1"/>
              <w:ind w:left="0"/>
              <w:jc w:val="left"/>
              <w:rPr>
                <w:noProof/>
                <w:sz w:val="20"/>
              </w:rPr>
            </w:pPr>
            <w:r>
              <w:rPr>
                <w:noProof/>
                <w:sz w:val="20"/>
              </w:rPr>
              <w:t>AT, BE, BG, CY, CZ, DE, DK, EE, EL, ES, FI, FR, HR, HU, IE, IT, LT, LV, MT, NL, PL, PT, RO, SE, SI, SK</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 xml:space="preserve">Да се изгради капацитет на администрацията с цел подобряване на подходящите процедури за оценка и предотвратяване на влошаването на състоянието на защитените зони по „Натура 2000“ в резултат на вредоносно благоустрояване. </w:t>
            </w:r>
          </w:p>
        </w:tc>
        <w:tc>
          <w:tcPr>
            <w:tcW w:w="2357" w:type="dxa"/>
            <w:shd w:val="clear" w:color="auto" w:fill="auto"/>
          </w:tcPr>
          <w:p w:rsidR="00A36F9B" w:rsidRDefault="000E053A">
            <w:pPr>
              <w:pStyle w:val="Text1"/>
              <w:ind w:left="0"/>
              <w:jc w:val="left"/>
              <w:rPr>
                <w:noProof/>
                <w:sz w:val="20"/>
              </w:rPr>
            </w:pPr>
            <w:r>
              <w:rPr>
                <w:noProof/>
                <w:sz w:val="20"/>
              </w:rPr>
              <w:t>CY, EL, IT</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 xml:space="preserve">Да се гарантира </w:t>
            </w:r>
            <w:r>
              <w:rPr>
                <w:noProof/>
                <w:sz w:val="20"/>
              </w:rPr>
              <w:t>необходимото правоприлагане във връзка със забраната за лов на защитени видове птици.</w:t>
            </w:r>
          </w:p>
        </w:tc>
        <w:tc>
          <w:tcPr>
            <w:tcW w:w="2357" w:type="dxa"/>
            <w:shd w:val="clear" w:color="auto" w:fill="auto"/>
          </w:tcPr>
          <w:p w:rsidR="00A36F9B" w:rsidRDefault="000E053A">
            <w:pPr>
              <w:pStyle w:val="Text1"/>
              <w:ind w:left="0"/>
              <w:jc w:val="left"/>
              <w:rPr>
                <w:noProof/>
                <w:sz w:val="20"/>
              </w:rPr>
            </w:pPr>
            <w:r>
              <w:rPr>
                <w:noProof/>
                <w:sz w:val="20"/>
              </w:rPr>
              <w:t>CY, FR, MT</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се засили интегрирането на въпросите за биологичното разнообразие в други политики (селско стопанство, горско стопанство, рибарство, градоустройствено и ин</w:t>
            </w:r>
            <w:r>
              <w:rPr>
                <w:noProof/>
                <w:sz w:val="20"/>
              </w:rPr>
              <w:t>фраструктурно планиране и туризъм) и да се насърчи комуникацията между участниците.</w:t>
            </w:r>
          </w:p>
        </w:tc>
        <w:tc>
          <w:tcPr>
            <w:tcW w:w="2357" w:type="dxa"/>
            <w:shd w:val="clear" w:color="auto" w:fill="auto"/>
          </w:tcPr>
          <w:p w:rsidR="00A36F9B" w:rsidRDefault="000E053A">
            <w:pPr>
              <w:pStyle w:val="Text1"/>
              <w:ind w:left="0"/>
              <w:jc w:val="left"/>
              <w:rPr>
                <w:noProof/>
                <w:sz w:val="20"/>
              </w:rPr>
            </w:pPr>
            <w:r>
              <w:rPr>
                <w:noProof/>
                <w:sz w:val="20"/>
              </w:rPr>
              <w:t>DE, DK, FR, PT, SI</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се оптимизира приносът на „Натура 2000“ и на националните екологични мрежи с цел постигане на добър природозащитен статус и намаляване на разпокъсано</w:t>
            </w:r>
            <w:r>
              <w:rPr>
                <w:noProof/>
                <w:sz w:val="20"/>
              </w:rPr>
              <w:t>стта на местообитанията, отлагането на азот в атмосферата, изсушаването и киселинното съдържание.</w:t>
            </w:r>
          </w:p>
        </w:tc>
        <w:tc>
          <w:tcPr>
            <w:tcW w:w="2357" w:type="dxa"/>
            <w:shd w:val="clear" w:color="auto" w:fill="auto"/>
          </w:tcPr>
          <w:p w:rsidR="00A36F9B" w:rsidRDefault="000E053A">
            <w:pPr>
              <w:pStyle w:val="Text1"/>
              <w:ind w:left="0"/>
              <w:jc w:val="left"/>
              <w:rPr>
                <w:noProof/>
                <w:sz w:val="20"/>
              </w:rPr>
            </w:pPr>
            <w:r>
              <w:rPr>
                <w:noProof/>
                <w:sz w:val="20"/>
              </w:rPr>
              <w:t>NL</w:t>
            </w:r>
          </w:p>
        </w:tc>
      </w:tr>
      <w:tr w:rsidR="00A36F9B">
        <w:tc>
          <w:tcPr>
            <w:tcW w:w="7111" w:type="dxa"/>
          </w:tcPr>
          <w:p w:rsidR="00A36F9B" w:rsidRDefault="000E053A">
            <w:pPr>
              <w:pStyle w:val="Text1"/>
              <w:numPr>
                <w:ilvl w:val="0"/>
                <w:numId w:val="2"/>
              </w:numPr>
              <w:rPr>
                <w:noProof/>
                <w:sz w:val="20"/>
              </w:rPr>
            </w:pPr>
            <w:r>
              <w:rPr>
                <w:noProof/>
                <w:sz w:val="20"/>
              </w:rPr>
              <w:t>Да се избегне по-нататъшното разпокъсване на местообитанията и да се предприемат мерки за възстановяване на тяхната цялост.</w:t>
            </w:r>
          </w:p>
        </w:tc>
        <w:tc>
          <w:tcPr>
            <w:tcW w:w="2357" w:type="dxa"/>
          </w:tcPr>
          <w:p w:rsidR="00A36F9B" w:rsidRDefault="000E053A">
            <w:pPr>
              <w:pStyle w:val="Text1"/>
              <w:ind w:left="0"/>
              <w:jc w:val="left"/>
              <w:rPr>
                <w:noProof/>
                <w:sz w:val="20"/>
              </w:rPr>
            </w:pPr>
            <w:r>
              <w:rPr>
                <w:noProof/>
                <w:sz w:val="20"/>
              </w:rPr>
              <w:t>LU</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се осигурят гаранции, ч</w:t>
            </w:r>
            <w:r>
              <w:rPr>
                <w:noProof/>
                <w:sz w:val="20"/>
              </w:rPr>
              <w:t>е програмите за развитие на селските райони и екологизирането са от полза за мерките в областта на биологичното разнообразие, както и да се окаже принос за постигането на благоприятен природозащитен статус на местообитанията и видовете, по-специално за под</w:t>
            </w:r>
            <w:r>
              <w:rPr>
                <w:noProof/>
                <w:sz w:val="20"/>
              </w:rPr>
              <w:t>държането на земеделие с висока природна стойност.</w:t>
            </w:r>
          </w:p>
        </w:tc>
        <w:tc>
          <w:tcPr>
            <w:tcW w:w="2357" w:type="dxa"/>
            <w:shd w:val="clear" w:color="auto" w:fill="auto"/>
          </w:tcPr>
          <w:p w:rsidR="00A36F9B" w:rsidRDefault="000E053A">
            <w:pPr>
              <w:pStyle w:val="Text1"/>
              <w:ind w:left="0"/>
              <w:jc w:val="left"/>
              <w:rPr>
                <w:noProof/>
                <w:sz w:val="20"/>
              </w:rPr>
            </w:pPr>
            <w:r>
              <w:rPr>
                <w:noProof/>
                <w:sz w:val="20"/>
              </w:rPr>
              <w:t>LU, NL, RO</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се използва ценният природен капитал за създаване на работни места и генериране на доходи. В този контекст допълнително да се насърчи туризмът.</w:t>
            </w:r>
          </w:p>
        </w:tc>
        <w:tc>
          <w:tcPr>
            <w:tcW w:w="2357" w:type="dxa"/>
            <w:shd w:val="clear" w:color="auto" w:fill="auto"/>
          </w:tcPr>
          <w:p w:rsidR="00A36F9B" w:rsidRDefault="000E053A">
            <w:pPr>
              <w:pStyle w:val="Text1"/>
              <w:ind w:left="0"/>
              <w:jc w:val="left"/>
              <w:rPr>
                <w:noProof/>
                <w:sz w:val="20"/>
              </w:rPr>
            </w:pPr>
            <w:r>
              <w:rPr>
                <w:noProof/>
                <w:sz w:val="20"/>
              </w:rPr>
              <w:t>EL, ES</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 xml:space="preserve">Да продължи да се подкрепя текущата </w:t>
            </w:r>
            <w:r>
              <w:rPr>
                <w:noProof/>
                <w:sz w:val="20"/>
              </w:rPr>
              <w:t>работа относно устойчивото партньорство за защита на биологичното разнообразие, устойчивото развитие и мерките за адаптиране към изменението на климата и смекчаване на последиците от него в най-отдалечените региони и в отвъдморските страни и територии.</w:t>
            </w:r>
          </w:p>
        </w:tc>
        <w:tc>
          <w:tcPr>
            <w:tcW w:w="2357" w:type="dxa"/>
            <w:shd w:val="clear" w:color="auto" w:fill="auto"/>
          </w:tcPr>
          <w:p w:rsidR="00A36F9B" w:rsidRDefault="000E053A">
            <w:pPr>
              <w:pStyle w:val="Text1"/>
              <w:ind w:left="0"/>
              <w:jc w:val="left"/>
              <w:rPr>
                <w:noProof/>
                <w:sz w:val="20"/>
              </w:rPr>
            </w:pPr>
            <w:r>
              <w:rPr>
                <w:noProof/>
                <w:sz w:val="20"/>
              </w:rPr>
              <w:t>FR,</w:t>
            </w:r>
            <w:r>
              <w:rPr>
                <w:noProof/>
                <w:sz w:val="20"/>
              </w:rPr>
              <w:t xml:space="preserve"> UK</w:t>
            </w:r>
          </w:p>
        </w:tc>
      </w:tr>
      <w:tr w:rsidR="00A36F9B">
        <w:tc>
          <w:tcPr>
            <w:tcW w:w="7111" w:type="dxa"/>
            <w:shd w:val="clear" w:color="auto" w:fill="auto"/>
          </w:tcPr>
          <w:p w:rsidR="00A36F9B" w:rsidRDefault="000E053A">
            <w:pPr>
              <w:pStyle w:val="Text1"/>
              <w:numPr>
                <w:ilvl w:val="0"/>
                <w:numId w:val="2"/>
              </w:numPr>
              <w:rPr>
                <w:noProof/>
                <w:sz w:val="20"/>
              </w:rPr>
            </w:pPr>
            <w:r>
              <w:rPr>
                <w:noProof/>
                <w:sz w:val="20"/>
              </w:rPr>
              <w:t>Да се увеличат стимулите за горските и земеделските стопани с цел по-добрата защита на горските и тревните типове местообитания. Да се гарантира устойчиво управление на горите и да се насърчава ефективното използване на биомаса.</w:t>
            </w:r>
          </w:p>
        </w:tc>
        <w:tc>
          <w:tcPr>
            <w:tcW w:w="2357" w:type="dxa"/>
            <w:shd w:val="clear" w:color="auto" w:fill="auto"/>
          </w:tcPr>
          <w:p w:rsidR="00A36F9B" w:rsidRDefault="000E053A">
            <w:pPr>
              <w:pStyle w:val="Text1"/>
              <w:ind w:left="0"/>
              <w:jc w:val="left"/>
              <w:rPr>
                <w:noProof/>
                <w:sz w:val="20"/>
              </w:rPr>
            </w:pPr>
            <w:r>
              <w:rPr>
                <w:noProof/>
                <w:sz w:val="20"/>
              </w:rPr>
              <w:t>LV, SK</w:t>
            </w:r>
          </w:p>
        </w:tc>
      </w:tr>
      <w:tr w:rsidR="00A36F9B">
        <w:tc>
          <w:tcPr>
            <w:tcW w:w="9468" w:type="dxa"/>
            <w:gridSpan w:val="2"/>
            <w:shd w:val="clear" w:color="auto" w:fill="C6D9F1" w:themeFill="text2" w:themeFillTint="33"/>
          </w:tcPr>
          <w:p w:rsidR="00A36F9B" w:rsidRDefault="000E053A">
            <w:pPr>
              <w:pStyle w:val="Text1"/>
              <w:spacing w:after="0"/>
              <w:ind w:left="0"/>
              <w:jc w:val="left"/>
              <w:rPr>
                <w:b/>
                <w:noProof/>
                <w:sz w:val="20"/>
              </w:rPr>
            </w:pPr>
            <w:r>
              <w:rPr>
                <w:b/>
                <w:noProof/>
                <w:sz w:val="20"/>
              </w:rPr>
              <w:t>Опазване на мо</w:t>
            </w:r>
            <w:r>
              <w:rPr>
                <w:b/>
                <w:noProof/>
                <w:sz w:val="20"/>
              </w:rPr>
              <w:t>рската среда</w:t>
            </w:r>
            <w:r>
              <w:rPr>
                <w:rStyle w:val="FootnoteReference"/>
                <w:b/>
                <w:noProof/>
                <w:sz w:val="20"/>
              </w:rPr>
              <w:footnoteReference w:id="3"/>
            </w:r>
          </w:p>
        </w:tc>
      </w:tr>
      <w:tr w:rsidR="00A36F9B">
        <w:tc>
          <w:tcPr>
            <w:tcW w:w="7111" w:type="dxa"/>
          </w:tcPr>
          <w:p w:rsidR="00A36F9B" w:rsidRDefault="000E053A">
            <w:pPr>
              <w:pStyle w:val="ListParagraph"/>
              <w:widowControl w:val="0"/>
              <w:numPr>
                <w:ilvl w:val="0"/>
                <w:numId w:val="2"/>
              </w:numPr>
              <w:rPr>
                <w:noProof/>
                <w:sz w:val="20"/>
              </w:rPr>
            </w:pPr>
            <w:r>
              <w:rPr>
                <w:noProof/>
                <w:sz w:val="20"/>
              </w:rPr>
              <w:t xml:space="preserve">Да продължи работата за подобряване на определенията за „добро екологично състояние“ (по-специално за дескрипторите за биологично разнообразие), включително чрез регионално сътрудничество, като се използва работата по съответната регионална </w:t>
            </w:r>
            <w:r>
              <w:rPr>
                <w:noProof/>
                <w:sz w:val="20"/>
              </w:rPr>
              <w:t>морска конвенция (или конвенции).</w:t>
            </w:r>
          </w:p>
        </w:tc>
        <w:tc>
          <w:tcPr>
            <w:tcW w:w="2357" w:type="dxa"/>
            <w:shd w:val="clear" w:color="auto" w:fill="auto"/>
          </w:tcPr>
          <w:p w:rsidR="00A36F9B" w:rsidRDefault="000E053A">
            <w:pPr>
              <w:pStyle w:val="Text1"/>
              <w:ind w:left="0"/>
              <w:jc w:val="left"/>
              <w:rPr>
                <w:noProof/>
                <w:sz w:val="20"/>
              </w:rPr>
            </w:pPr>
            <w:r>
              <w:rPr>
                <w:noProof/>
                <w:sz w:val="20"/>
              </w:rPr>
              <w:t>BE, CY, DE, DK, EE, EL, ES, FI, FR, HR, IE, IT, LT, LV, MT, NL, PT, RO, SE, SI, UK</w:t>
            </w:r>
          </w:p>
        </w:tc>
      </w:tr>
      <w:tr w:rsidR="00A36F9B">
        <w:tc>
          <w:tcPr>
            <w:tcW w:w="7111" w:type="dxa"/>
          </w:tcPr>
          <w:p w:rsidR="00A36F9B" w:rsidRDefault="000E053A">
            <w:pPr>
              <w:pStyle w:val="ListParagraph"/>
              <w:widowControl w:val="0"/>
              <w:numPr>
                <w:ilvl w:val="0"/>
                <w:numId w:val="2"/>
              </w:numPr>
              <w:rPr>
                <w:noProof/>
                <w:sz w:val="20"/>
              </w:rPr>
            </w:pPr>
            <w:r>
              <w:rPr>
                <w:noProof/>
                <w:sz w:val="20"/>
              </w:rPr>
              <w:t xml:space="preserve">Да се установят и запълнят пропуските в знанията, необходими за постигане на добро екологично състояние. </w:t>
            </w:r>
          </w:p>
        </w:tc>
        <w:tc>
          <w:tcPr>
            <w:tcW w:w="2357" w:type="dxa"/>
            <w:shd w:val="clear" w:color="auto" w:fill="auto"/>
          </w:tcPr>
          <w:p w:rsidR="00A36F9B" w:rsidRDefault="000E053A">
            <w:pPr>
              <w:pStyle w:val="Text1"/>
              <w:ind w:left="0"/>
              <w:jc w:val="left"/>
              <w:rPr>
                <w:noProof/>
                <w:sz w:val="20"/>
              </w:rPr>
            </w:pPr>
            <w:r>
              <w:rPr>
                <w:noProof/>
                <w:sz w:val="20"/>
              </w:rPr>
              <w:t xml:space="preserve">BE, BG, CY, DE, DK, EE, FI, FR, </w:t>
            </w:r>
            <w:r>
              <w:rPr>
                <w:noProof/>
                <w:sz w:val="20"/>
              </w:rPr>
              <w:t>IE, LT, LV, MT, NL, PT, RO, SI</w:t>
            </w:r>
          </w:p>
        </w:tc>
      </w:tr>
      <w:tr w:rsidR="00A36F9B">
        <w:tc>
          <w:tcPr>
            <w:tcW w:w="7111" w:type="dxa"/>
          </w:tcPr>
          <w:p w:rsidR="00A36F9B" w:rsidRDefault="000E053A">
            <w:pPr>
              <w:pStyle w:val="ListParagraph"/>
              <w:widowControl w:val="0"/>
              <w:numPr>
                <w:ilvl w:val="0"/>
                <w:numId w:val="2"/>
              </w:numPr>
              <w:rPr>
                <w:noProof/>
                <w:sz w:val="20"/>
              </w:rPr>
            </w:pPr>
            <w:r>
              <w:rPr>
                <w:noProof/>
                <w:sz w:val="20"/>
              </w:rPr>
              <w:t>Да се доразвият подходите за оценка (и количествено определяне) на въздействието от основния натиск с цел получаване на по-добри и по-убедителни резултати от оценката за 2018 г.</w:t>
            </w:r>
          </w:p>
        </w:tc>
        <w:tc>
          <w:tcPr>
            <w:tcW w:w="2357" w:type="dxa"/>
            <w:shd w:val="clear" w:color="auto" w:fill="auto"/>
          </w:tcPr>
          <w:p w:rsidR="00A36F9B" w:rsidRDefault="000E053A">
            <w:pPr>
              <w:pStyle w:val="Text1"/>
              <w:ind w:left="0"/>
              <w:jc w:val="left"/>
              <w:rPr>
                <w:noProof/>
                <w:sz w:val="20"/>
              </w:rPr>
            </w:pPr>
            <w:r>
              <w:rPr>
                <w:noProof/>
                <w:sz w:val="20"/>
              </w:rPr>
              <w:t>BE, BG, CY, DE, EE, EL, HR,IE, IT, LV, LT, MT,</w:t>
            </w:r>
            <w:r>
              <w:rPr>
                <w:noProof/>
                <w:sz w:val="20"/>
              </w:rPr>
              <w:t xml:space="preserve"> NL, RO, SE, UK</w:t>
            </w:r>
          </w:p>
        </w:tc>
      </w:tr>
      <w:tr w:rsidR="00A36F9B">
        <w:tc>
          <w:tcPr>
            <w:tcW w:w="7111" w:type="dxa"/>
          </w:tcPr>
          <w:p w:rsidR="00A36F9B" w:rsidRDefault="000E053A">
            <w:pPr>
              <w:pStyle w:val="ListParagraph"/>
              <w:numPr>
                <w:ilvl w:val="0"/>
                <w:numId w:val="2"/>
              </w:numPr>
              <w:rPr>
                <w:noProof/>
                <w:sz w:val="20"/>
              </w:rPr>
            </w:pPr>
            <w:r>
              <w:rPr>
                <w:noProof/>
                <w:sz w:val="20"/>
              </w:rPr>
              <w:t>Да продължи интегрирането на програмите за мониторинг, съществуващи в други области на законодателството на ЕС, и да се приложат съвместни такива програми, разработени на (под)регионално равнище (HELCOM, OSPAR, Конвенцията от Барселона, Че</w:t>
            </w:r>
            <w:r>
              <w:rPr>
                <w:noProof/>
                <w:sz w:val="20"/>
              </w:rPr>
              <w:t>рноморската комисия). Да се повиши съпоставимостта и съгласуваността на методите за мониторинг в рамките на морския регион (или региони) на съответната държава.</w:t>
            </w:r>
          </w:p>
        </w:tc>
        <w:tc>
          <w:tcPr>
            <w:tcW w:w="2357" w:type="dxa"/>
            <w:shd w:val="clear" w:color="auto" w:fill="auto"/>
          </w:tcPr>
          <w:p w:rsidR="00A36F9B" w:rsidRDefault="000E053A">
            <w:pPr>
              <w:rPr>
                <w:noProof/>
              </w:rPr>
            </w:pPr>
            <w:r>
              <w:rPr>
                <w:noProof/>
              </w:rPr>
              <w:t>BE, BG, CY, DE, DK, EE, ES, FI, FR, HR, IE, IT, LT, LV, NL, PT, RO, SE, SI, UK</w:t>
            </w:r>
          </w:p>
        </w:tc>
      </w:tr>
      <w:tr w:rsidR="00A36F9B">
        <w:tc>
          <w:tcPr>
            <w:tcW w:w="7111" w:type="dxa"/>
          </w:tcPr>
          <w:p w:rsidR="00A36F9B" w:rsidRDefault="000E053A">
            <w:pPr>
              <w:pStyle w:val="Text1"/>
              <w:numPr>
                <w:ilvl w:val="0"/>
                <w:numId w:val="2"/>
              </w:numPr>
              <w:rPr>
                <w:noProof/>
                <w:sz w:val="20"/>
              </w:rPr>
            </w:pPr>
            <w:r>
              <w:rPr>
                <w:noProof/>
                <w:sz w:val="20"/>
              </w:rPr>
              <w:t>Незабавно да се</w:t>
            </w:r>
            <w:r>
              <w:rPr>
                <w:noProof/>
                <w:sz w:val="20"/>
              </w:rPr>
              <w:t xml:space="preserve"> приключат, докладват и изпълнят националните програми от мерки.</w:t>
            </w:r>
          </w:p>
        </w:tc>
        <w:tc>
          <w:tcPr>
            <w:tcW w:w="2357" w:type="dxa"/>
            <w:shd w:val="clear" w:color="auto" w:fill="auto"/>
          </w:tcPr>
          <w:p w:rsidR="00A36F9B" w:rsidRDefault="000E053A">
            <w:pPr>
              <w:pStyle w:val="Text1"/>
              <w:ind w:left="0"/>
              <w:jc w:val="left"/>
              <w:rPr>
                <w:noProof/>
                <w:sz w:val="20"/>
              </w:rPr>
            </w:pPr>
            <w:r>
              <w:rPr>
                <w:noProof/>
                <w:sz w:val="20"/>
              </w:rPr>
              <w:t>BG, CY, DK, EE, EL, HR, LT, MT, SI, RO</w:t>
            </w:r>
          </w:p>
        </w:tc>
      </w:tr>
      <w:tr w:rsidR="00A36F9B">
        <w:tc>
          <w:tcPr>
            <w:tcW w:w="7111" w:type="dxa"/>
          </w:tcPr>
          <w:p w:rsidR="00A36F9B" w:rsidRDefault="000E053A">
            <w:pPr>
              <w:pStyle w:val="ListParagraph"/>
              <w:widowControl w:val="0"/>
              <w:numPr>
                <w:ilvl w:val="0"/>
                <w:numId w:val="2"/>
              </w:numPr>
              <w:rPr>
                <w:noProof/>
                <w:sz w:val="20"/>
              </w:rPr>
            </w:pPr>
            <w:r>
              <w:rPr>
                <w:noProof/>
                <w:sz w:val="20"/>
              </w:rPr>
              <w:t>Да се гарантира, че програмата за мониторинг на държавата членка се изпълнява своевременно и е подходяща за наблюдение на напредъка в постигането на до</w:t>
            </w:r>
            <w:r>
              <w:rPr>
                <w:noProof/>
                <w:sz w:val="20"/>
              </w:rPr>
              <w:t>бро екологично състояние.</w:t>
            </w:r>
          </w:p>
        </w:tc>
        <w:tc>
          <w:tcPr>
            <w:tcW w:w="2357" w:type="dxa"/>
            <w:shd w:val="clear" w:color="auto" w:fill="auto"/>
          </w:tcPr>
          <w:p w:rsidR="00A36F9B" w:rsidRDefault="000E053A">
            <w:pPr>
              <w:pStyle w:val="Text1"/>
              <w:ind w:left="0"/>
              <w:jc w:val="left"/>
              <w:rPr>
                <w:noProof/>
                <w:sz w:val="20"/>
              </w:rPr>
            </w:pPr>
            <w:r>
              <w:rPr>
                <w:noProof/>
                <w:sz w:val="20"/>
              </w:rPr>
              <w:t>BE, BG, CY, DE, DK, EE, ES, FI, FR, HR, IT, IE, LT, LV, MT, NL, PT, RO, SE, SI, UK</w:t>
            </w:r>
          </w:p>
        </w:tc>
      </w:tr>
      <w:tr w:rsidR="00A36F9B">
        <w:tc>
          <w:tcPr>
            <w:tcW w:w="9468" w:type="dxa"/>
            <w:gridSpan w:val="2"/>
            <w:shd w:val="clear" w:color="auto" w:fill="C6D9F1" w:themeFill="text2" w:themeFillTint="33"/>
          </w:tcPr>
          <w:p w:rsidR="00A36F9B" w:rsidRDefault="000E053A">
            <w:pPr>
              <w:pStyle w:val="Text1"/>
              <w:ind w:left="0"/>
              <w:jc w:val="left"/>
              <w:rPr>
                <w:noProof/>
                <w:sz w:val="20"/>
              </w:rPr>
            </w:pPr>
            <w:bookmarkStart w:id="6" w:name="_Toc433296166"/>
            <w:bookmarkStart w:id="7" w:name="_Toc439678155"/>
            <w:r>
              <w:rPr>
                <w:b/>
                <w:noProof/>
                <w:sz w:val="20"/>
              </w:rPr>
              <w:t>Качество на атмосферния въздух</w:t>
            </w:r>
            <w:bookmarkEnd w:id="6"/>
            <w:bookmarkEnd w:id="7"/>
          </w:p>
        </w:tc>
      </w:tr>
      <w:tr w:rsidR="00A36F9B">
        <w:tc>
          <w:tcPr>
            <w:tcW w:w="7111" w:type="dxa"/>
          </w:tcPr>
          <w:p w:rsidR="00A36F9B" w:rsidRDefault="000E053A">
            <w:pPr>
              <w:pStyle w:val="ListParagraph"/>
              <w:numPr>
                <w:ilvl w:val="0"/>
                <w:numId w:val="2"/>
              </w:numPr>
              <w:spacing w:after="0"/>
              <w:rPr>
                <w:rFonts w:eastAsia="Times New Roman"/>
                <w:noProof/>
                <w:sz w:val="20"/>
              </w:rPr>
            </w:pPr>
            <w:r>
              <w:rPr>
                <w:noProof/>
                <w:sz w:val="20"/>
              </w:rPr>
              <w:t xml:space="preserve">Да се поддържа тенденцията за намаляване на емисиите на замърсители на въздуха с цел постигане на пълно съответствие с приложимите понастоящем национални тавани за емисии </w:t>
            </w:r>
            <w:r>
              <w:rPr>
                <w:noProof/>
                <w:sz w:val="20"/>
                <w:u w:val="single"/>
              </w:rPr>
              <w:t>и</w:t>
            </w:r>
            <w:r>
              <w:rPr>
                <w:noProof/>
                <w:sz w:val="20"/>
              </w:rPr>
              <w:t xml:space="preserve"> пределно допустими стойности за качеството на въздуха. Да се намали неблагоприятния</w:t>
            </w:r>
            <w:r>
              <w:rPr>
                <w:noProof/>
                <w:sz w:val="20"/>
              </w:rPr>
              <w:t xml:space="preserve">т ефект от замърсяването на въздуха върху здравето, околната среда и икономиката. </w:t>
            </w:r>
          </w:p>
        </w:tc>
        <w:tc>
          <w:tcPr>
            <w:tcW w:w="2357" w:type="dxa"/>
            <w:shd w:val="clear" w:color="auto" w:fill="auto"/>
          </w:tcPr>
          <w:p w:rsidR="00A36F9B" w:rsidRDefault="000E053A">
            <w:pPr>
              <w:rPr>
                <w:noProof/>
              </w:rPr>
            </w:pPr>
            <w:r>
              <w:rPr>
                <w:noProof/>
              </w:rPr>
              <w:t>AT, BE, DE, DK, ES, FI, FR, LU, NL</w:t>
            </w:r>
          </w:p>
        </w:tc>
      </w:tr>
      <w:tr w:rsidR="00A36F9B">
        <w:tc>
          <w:tcPr>
            <w:tcW w:w="7111" w:type="dxa"/>
          </w:tcPr>
          <w:p w:rsidR="00A36F9B" w:rsidRDefault="000E053A">
            <w:pPr>
              <w:pStyle w:val="ListParagraph"/>
              <w:numPr>
                <w:ilvl w:val="0"/>
                <w:numId w:val="2"/>
              </w:numPr>
              <w:rPr>
                <w:noProof/>
                <w:sz w:val="20"/>
              </w:rPr>
            </w:pPr>
            <w:r>
              <w:rPr>
                <w:noProof/>
                <w:sz w:val="20"/>
              </w:rPr>
              <w:t>Да се поддържа тенденцията за намаляване на емисиите на замърсители на въздуха с цел постигане на пълно съответствие с приложимите понаст</w:t>
            </w:r>
            <w:r>
              <w:rPr>
                <w:noProof/>
                <w:sz w:val="20"/>
              </w:rPr>
              <w:t>оящем пределно допустими стойности за качеството на въздуха. Да се намали неблагоприятният ефект от замърсяването на въздуха върху здравето, околната среда и икономиката.</w:t>
            </w:r>
          </w:p>
        </w:tc>
        <w:tc>
          <w:tcPr>
            <w:tcW w:w="2357" w:type="dxa"/>
            <w:shd w:val="clear" w:color="auto" w:fill="auto"/>
          </w:tcPr>
          <w:p w:rsidR="00A36F9B" w:rsidRDefault="000E053A">
            <w:pPr>
              <w:rPr>
                <w:noProof/>
              </w:rPr>
            </w:pPr>
            <w:r>
              <w:rPr>
                <w:noProof/>
              </w:rPr>
              <w:t>BG, CZ, EL, HR, HU, IT, LT, PL, PT, RO, SE, SI, SK, UK</w:t>
            </w:r>
          </w:p>
        </w:tc>
      </w:tr>
      <w:tr w:rsidR="00A36F9B">
        <w:tc>
          <w:tcPr>
            <w:tcW w:w="7111" w:type="dxa"/>
          </w:tcPr>
          <w:p w:rsidR="00A36F9B" w:rsidRDefault="000E053A">
            <w:pPr>
              <w:pStyle w:val="ListParagraph"/>
              <w:numPr>
                <w:ilvl w:val="0"/>
                <w:numId w:val="2"/>
              </w:numPr>
              <w:rPr>
                <w:noProof/>
                <w:sz w:val="20"/>
              </w:rPr>
            </w:pPr>
            <w:r>
              <w:rPr>
                <w:noProof/>
                <w:sz w:val="20"/>
              </w:rPr>
              <w:t>Да се поддържа тенденцията за</w:t>
            </w:r>
            <w:r>
              <w:rPr>
                <w:noProof/>
                <w:sz w:val="20"/>
              </w:rPr>
              <w:t xml:space="preserve"> намаляване на емисиите на замърсители на въздуха и да се намали неблагоприятният ефект от замърсяването на въздуха върху здравето, околната среда и икономиката, включително посредством разработването на широкообхватна стратегия и план за действие за справ</w:t>
            </w:r>
            <w:r>
              <w:rPr>
                <w:noProof/>
                <w:sz w:val="20"/>
              </w:rPr>
              <w:t>яне с проблема със задръстванията.</w:t>
            </w:r>
          </w:p>
        </w:tc>
        <w:tc>
          <w:tcPr>
            <w:tcW w:w="2357" w:type="dxa"/>
            <w:shd w:val="clear" w:color="auto" w:fill="auto"/>
          </w:tcPr>
          <w:p w:rsidR="00A36F9B" w:rsidRDefault="000E053A">
            <w:pPr>
              <w:rPr>
                <w:noProof/>
              </w:rPr>
            </w:pPr>
            <w:r>
              <w:rPr>
                <w:noProof/>
              </w:rPr>
              <w:t>CY, EE, MT</w:t>
            </w:r>
          </w:p>
        </w:tc>
      </w:tr>
      <w:tr w:rsidR="00A36F9B">
        <w:tc>
          <w:tcPr>
            <w:tcW w:w="7111" w:type="dxa"/>
          </w:tcPr>
          <w:p w:rsidR="00A36F9B" w:rsidRDefault="000E053A">
            <w:pPr>
              <w:pStyle w:val="ListParagraph"/>
              <w:numPr>
                <w:ilvl w:val="0"/>
                <w:numId w:val="2"/>
              </w:numPr>
              <w:rPr>
                <w:noProof/>
                <w:sz w:val="20"/>
              </w:rPr>
            </w:pPr>
            <w:r>
              <w:rPr>
                <w:noProof/>
                <w:sz w:val="20"/>
              </w:rPr>
              <w:t>Да се намалят емисиите на амоняк (NH</w:t>
            </w:r>
            <w:r>
              <w:rPr>
                <w:noProof/>
                <w:sz w:val="20"/>
                <w:vertAlign w:val="subscript"/>
              </w:rPr>
              <w:t>3</w:t>
            </w:r>
            <w:r>
              <w:rPr>
                <w:noProof/>
                <w:sz w:val="20"/>
              </w:rPr>
              <w:t xml:space="preserve">) с цел постигане на съответствие с приложимите национални тавани за емисии, например чрез въвеждане или разширяване на използването на селскостопански техники с ниски </w:t>
            </w:r>
            <w:r>
              <w:rPr>
                <w:noProof/>
                <w:sz w:val="20"/>
              </w:rPr>
              <w:t>емисии.</w:t>
            </w:r>
          </w:p>
        </w:tc>
        <w:tc>
          <w:tcPr>
            <w:tcW w:w="2357" w:type="dxa"/>
            <w:shd w:val="clear" w:color="auto" w:fill="auto"/>
          </w:tcPr>
          <w:p w:rsidR="00A36F9B" w:rsidRDefault="000E053A">
            <w:pPr>
              <w:rPr>
                <w:noProof/>
              </w:rPr>
            </w:pPr>
            <w:r>
              <w:rPr>
                <w:noProof/>
              </w:rPr>
              <w:t xml:space="preserve">AT, DE, DK, ES, FI, NL </w:t>
            </w:r>
          </w:p>
        </w:tc>
      </w:tr>
      <w:tr w:rsidR="00A36F9B">
        <w:tc>
          <w:tcPr>
            <w:tcW w:w="7111" w:type="dxa"/>
          </w:tcPr>
          <w:p w:rsidR="00A36F9B" w:rsidRDefault="000E053A">
            <w:pPr>
              <w:pStyle w:val="ListParagraph"/>
              <w:numPr>
                <w:ilvl w:val="0"/>
                <w:numId w:val="2"/>
              </w:numPr>
              <w:rPr>
                <w:noProof/>
                <w:sz w:val="20"/>
              </w:rPr>
            </w:pPr>
            <w:r>
              <w:rPr>
                <w:noProof/>
                <w:sz w:val="20"/>
              </w:rPr>
              <w:t>Да се намалят емисиите на неметанови летливи органични съединения за постигане на съответствие с приложимите понастоящем национални тавани за емисии и, където е целесъобразно, да се намалят концентрациите на озон.</w:t>
            </w:r>
          </w:p>
        </w:tc>
        <w:tc>
          <w:tcPr>
            <w:tcW w:w="2357" w:type="dxa"/>
            <w:shd w:val="clear" w:color="auto" w:fill="auto"/>
          </w:tcPr>
          <w:p w:rsidR="00A36F9B" w:rsidRDefault="000E053A">
            <w:pPr>
              <w:rPr>
                <w:noProof/>
              </w:rPr>
            </w:pPr>
            <w:r>
              <w:rPr>
                <w:noProof/>
              </w:rPr>
              <w:t>DE, DK, I</w:t>
            </w:r>
            <w:r>
              <w:rPr>
                <w:noProof/>
              </w:rPr>
              <w:t>E, LU</w:t>
            </w:r>
          </w:p>
        </w:tc>
      </w:tr>
      <w:tr w:rsidR="00A36F9B">
        <w:tc>
          <w:tcPr>
            <w:tcW w:w="7111" w:type="dxa"/>
          </w:tcPr>
          <w:p w:rsidR="00A36F9B" w:rsidRDefault="000E053A">
            <w:pPr>
              <w:pStyle w:val="ListParagraph"/>
              <w:numPr>
                <w:ilvl w:val="0"/>
                <w:numId w:val="2"/>
              </w:numPr>
              <w:tabs>
                <w:tab w:val="left" w:pos="1392"/>
              </w:tabs>
              <w:rPr>
                <w:noProof/>
                <w:sz w:val="20"/>
              </w:rPr>
            </w:pPr>
            <w:r>
              <w:rPr>
                <w:noProof/>
                <w:sz w:val="20"/>
              </w:rPr>
              <w:t>Да се намалят емисиите на азотни оксиди (NO</w:t>
            </w:r>
            <w:r>
              <w:rPr>
                <w:noProof/>
                <w:sz w:val="20"/>
                <w:vertAlign w:val="subscript"/>
              </w:rPr>
              <w:t>x</w:t>
            </w:r>
            <w:r>
              <w:rPr>
                <w:noProof/>
                <w:sz w:val="20"/>
              </w:rPr>
              <w:t>) за постигане на съответствие с приложимите понастоящем национални тавани за емисии и/или да се намалят емисиите на азотен диоксид (NO</w:t>
            </w:r>
            <w:r>
              <w:rPr>
                <w:noProof/>
                <w:sz w:val="20"/>
                <w:vertAlign w:val="subscript"/>
              </w:rPr>
              <w:t>2</w:t>
            </w:r>
            <w:r>
              <w:rPr>
                <w:noProof/>
                <w:sz w:val="20"/>
              </w:rPr>
              <w:t>) (и концентрациите на озон, където е целесъобразно), наред с другото</w:t>
            </w:r>
            <w:r>
              <w:rPr>
                <w:noProof/>
                <w:sz w:val="20"/>
              </w:rPr>
              <w:t>, чрез намаляване на емисиите, свързани с транспорта — по-специално в градските райони.</w:t>
            </w:r>
          </w:p>
        </w:tc>
        <w:tc>
          <w:tcPr>
            <w:tcW w:w="2357" w:type="dxa"/>
            <w:shd w:val="clear" w:color="auto" w:fill="auto"/>
          </w:tcPr>
          <w:p w:rsidR="00A36F9B" w:rsidRDefault="000E053A">
            <w:pPr>
              <w:rPr>
                <w:noProof/>
              </w:rPr>
            </w:pPr>
            <w:r>
              <w:rPr>
                <w:noProof/>
              </w:rPr>
              <w:t xml:space="preserve">AT, BE, CZ, DE, DK, EL, ES, FI, FR, HU, IE, IT, LU, NL, PL, PT, RO, SE, SK, UK </w:t>
            </w:r>
          </w:p>
        </w:tc>
      </w:tr>
      <w:tr w:rsidR="00A36F9B">
        <w:tc>
          <w:tcPr>
            <w:tcW w:w="7111" w:type="dxa"/>
          </w:tcPr>
          <w:p w:rsidR="00A36F9B" w:rsidRDefault="000E053A">
            <w:pPr>
              <w:pStyle w:val="ListParagraph"/>
              <w:keepNext/>
              <w:keepLines/>
              <w:numPr>
                <w:ilvl w:val="0"/>
                <w:numId w:val="2"/>
              </w:numPr>
              <w:tabs>
                <w:tab w:val="left" w:pos="4744"/>
              </w:tabs>
              <w:rPr>
                <w:noProof/>
                <w:sz w:val="20"/>
              </w:rPr>
            </w:pPr>
            <w:r>
              <w:rPr>
                <w:noProof/>
                <w:sz w:val="20"/>
              </w:rPr>
              <w:t xml:space="preserve">Да се намалят емисиите и концентрациите на </w:t>
            </w:r>
            <w:r>
              <w:rPr>
                <w:noProof/>
                <w:sz w:val="20"/>
                <w:lang w:val="en-GB"/>
              </w:rPr>
              <w:t>PM</w:t>
            </w:r>
            <w:r>
              <w:rPr>
                <w:noProof/>
                <w:sz w:val="20"/>
                <w:vertAlign w:val="subscript"/>
              </w:rPr>
              <w:t>10</w:t>
            </w:r>
            <w:r>
              <w:rPr>
                <w:noProof/>
                <w:sz w:val="20"/>
              </w:rPr>
              <w:t xml:space="preserve"> (и на бензо[a]пирен, където е целесъобр</w:t>
            </w:r>
            <w:r>
              <w:rPr>
                <w:noProof/>
                <w:sz w:val="20"/>
              </w:rPr>
              <w:t>азно), наред с другото, чрез намаляване на емисиите, свързани с производството на енергия и топлина чрез използване на твърди горива за транспорта и селското стопанство.</w:t>
            </w:r>
          </w:p>
        </w:tc>
        <w:tc>
          <w:tcPr>
            <w:tcW w:w="2357" w:type="dxa"/>
            <w:shd w:val="clear" w:color="auto" w:fill="auto"/>
          </w:tcPr>
          <w:p w:rsidR="00A36F9B" w:rsidRDefault="000E053A">
            <w:pPr>
              <w:keepNext/>
              <w:keepLines/>
              <w:rPr>
                <w:noProof/>
              </w:rPr>
            </w:pPr>
            <w:r>
              <w:rPr>
                <w:noProof/>
              </w:rPr>
              <w:t xml:space="preserve">AT, BE, BG, CZ, DE, EL, ES, FR, HR, HU, IT, LT, LV, PL, RO, SE, SI, SK </w:t>
            </w:r>
          </w:p>
        </w:tc>
      </w:tr>
      <w:tr w:rsidR="00A36F9B">
        <w:tc>
          <w:tcPr>
            <w:tcW w:w="9468" w:type="dxa"/>
            <w:gridSpan w:val="2"/>
            <w:shd w:val="clear" w:color="auto" w:fill="C6D9F1" w:themeFill="text2" w:themeFillTint="33"/>
          </w:tcPr>
          <w:p w:rsidR="00A36F9B" w:rsidRDefault="000E053A">
            <w:pPr>
              <w:pStyle w:val="Text1"/>
              <w:ind w:left="0"/>
              <w:jc w:val="left"/>
              <w:rPr>
                <w:noProof/>
                <w:sz w:val="20"/>
              </w:rPr>
            </w:pPr>
            <w:r>
              <w:rPr>
                <w:b/>
                <w:noProof/>
                <w:sz w:val="20"/>
              </w:rPr>
              <w:t>Шум</w:t>
            </w:r>
          </w:p>
        </w:tc>
      </w:tr>
      <w:tr w:rsidR="00A36F9B">
        <w:trPr>
          <w:trHeight w:val="402"/>
        </w:trPr>
        <w:tc>
          <w:tcPr>
            <w:tcW w:w="7111" w:type="dxa"/>
          </w:tcPr>
          <w:p w:rsidR="00A36F9B" w:rsidRDefault="000E053A">
            <w:pPr>
              <w:pStyle w:val="Text1"/>
              <w:numPr>
                <w:ilvl w:val="0"/>
                <w:numId w:val="2"/>
              </w:numPr>
              <w:rPr>
                <w:noProof/>
                <w:sz w:val="20"/>
              </w:rPr>
            </w:pPr>
            <w:r>
              <w:rPr>
                <w:noProof/>
                <w:sz w:val="20"/>
              </w:rPr>
              <w:t xml:space="preserve">Да се </w:t>
            </w:r>
            <w:r>
              <w:rPr>
                <w:noProof/>
                <w:sz w:val="20"/>
              </w:rPr>
              <w:t>изготвят липсващите планове за действие по отношение на шума.</w:t>
            </w:r>
          </w:p>
        </w:tc>
        <w:tc>
          <w:tcPr>
            <w:tcW w:w="2357" w:type="dxa"/>
            <w:shd w:val="clear" w:color="auto" w:fill="auto"/>
          </w:tcPr>
          <w:p w:rsidR="00A36F9B" w:rsidRDefault="000E053A">
            <w:pPr>
              <w:pStyle w:val="Text1"/>
              <w:ind w:left="0"/>
              <w:jc w:val="left"/>
              <w:rPr>
                <w:noProof/>
                <w:sz w:val="20"/>
              </w:rPr>
            </w:pPr>
            <w:r>
              <w:rPr>
                <w:noProof/>
                <w:sz w:val="20"/>
              </w:rPr>
              <w:t>BE, CY, CZ, DE, EL, ES, FR, HR, IT, LV, PL, PT, RO, SE, SI, SK</w:t>
            </w:r>
          </w:p>
        </w:tc>
      </w:tr>
      <w:tr w:rsidR="00A36F9B">
        <w:trPr>
          <w:trHeight w:val="287"/>
        </w:trPr>
        <w:tc>
          <w:tcPr>
            <w:tcW w:w="7111" w:type="dxa"/>
          </w:tcPr>
          <w:p w:rsidR="00A36F9B" w:rsidRDefault="000E053A">
            <w:pPr>
              <w:pStyle w:val="Text1"/>
              <w:numPr>
                <w:ilvl w:val="0"/>
                <w:numId w:val="2"/>
              </w:numPr>
              <w:rPr>
                <w:noProof/>
                <w:sz w:val="20"/>
              </w:rPr>
            </w:pPr>
            <w:r>
              <w:rPr>
                <w:noProof/>
                <w:sz w:val="20"/>
              </w:rPr>
              <w:t>Да се изготвят липсващите карти на шума.</w:t>
            </w:r>
          </w:p>
        </w:tc>
        <w:tc>
          <w:tcPr>
            <w:tcW w:w="2357" w:type="dxa"/>
            <w:shd w:val="clear" w:color="auto" w:fill="auto"/>
          </w:tcPr>
          <w:p w:rsidR="00A36F9B" w:rsidRDefault="000E053A">
            <w:pPr>
              <w:pStyle w:val="Text1"/>
              <w:ind w:left="0"/>
              <w:jc w:val="left"/>
              <w:rPr>
                <w:noProof/>
                <w:sz w:val="20"/>
              </w:rPr>
            </w:pPr>
            <w:r>
              <w:rPr>
                <w:noProof/>
                <w:sz w:val="20"/>
              </w:rPr>
              <w:t>BE, EL, ES, FR, IT, LV, PT, RO, SK</w:t>
            </w:r>
          </w:p>
        </w:tc>
      </w:tr>
      <w:tr w:rsidR="00A36F9B">
        <w:tc>
          <w:tcPr>
            <w:tcW w:w="9468" w:type="dxa"/>
            <w:gridSpan w:val="2"/>
            <w:shd w:val="clear" w:color="auto" w:fill="C6D9F1" w:themeFill="text2" w:themeFillTint="33"/>
          </w:tcPr>
          <w:p w:rsidR="00A36F9B" w:rsidRDefault="000E053A">
            <w:pPr>
              <w:pStyle w:val="Text1"/>
              <w:ind w:left="0"/>
              <w:jc w:val="left"/>
              <w:rPr>
                <w:noProof/>
                <w:sz w:val="20"/>
              </w:rPr>
            </w:pPr>
            <w:r>
              <w:rPr>
                <w:b/>
                <w:noProof/>
                <w:sz w:val="20"/>
              </w:rPr>
              <w:t>Качество и управление на водите</w:t>
            </w:r>
          </w:p>
        </w:tc>
      </w:tr>
      <w:tr w:rsidR="00A36F9B">
        <w:tc>
          <w:tcPr>
            <w:tcW w:w="7111" w:type="dxa"/>
          </w:tcPr>
          <w:p w:rsidR="00A36F9B" w:rsidRDefault="000E053A">
            <w:pPr>
              <w:pStyle w:val="Text1"/>
              <w:numPr>
                <w:ilvl w:val="0"/>
                <w:numId w:val="2"/>
              </w:numPr>
              <w:rPr>
                <w:noProof/>
                <w:sz w:val="20"/>
              </w:rPr>
            </w:pPr>
            <w:r>
              <w:rPr>
                <w:noProof/>
                <w:sz w:val="20"/>
              </w:rPr>
              <w:t xml:space="preserve">Да се подобри </w:t>
            </w:r>
            <w:r>
              <w:rPr>
                <w:noProof/>
                <w:sz w:val="20"/>
              </w:rPr>
              <w:t>политиката за водите в съответствие с логиката на интервенция по Рамковата директива за водите през втория цикъл на плановете за управление на речните басейни, т.е. да се предостави по-дробна оценка на натиска, за да се подобри мониторингът с цел осведомяв</w:t>
            </w:r>
            <w:r>
              <w:rPr>
                <w:noProof/>
                <w:sz w:val="20"/>
              </w:rPr>
              <w:t xml:space="preserve">ане за състоянието на водните обекти и да се разработят програми от мерки, насочени към всички установени форми на натиск, по-специално хидроморфологичния натиск и замърсяването от селското стопанство, промишлеността и градските отпадъчни води. Програмите </w:t>
            </w:r>
            <w:r>
              <w:rPr>
                <w:noProof/>
                <w:sz w:val="20"/>
              </w:rPr>
              <w:t>от мерки и програмите за мониторинг следва да бъдат адекватно финансирани.</w:t>
            </w:r>
          </w:p>
        </w:tc>
        <w:tc>
          <w:tcPr>
            <w:tcW w:w="2357" w:type="dxa"/>
            <w:shd w:val="clear" w:color="auto" w:fill="auto"/>
          </w:tcPr>
          <w:p w:rsidR="00A36F9B" w:rsidRDefault="000E053A">
            <w:pPr>
              <w:pStyle w:val="Text1"/>
              <w:ind w:left="0"/>
              <w:jc w:val="left"/>
              <w:rPr>
                <w:noProof/>
                <w:sz w:val="20"/>
              </w:rPr>
            </w:pPr>
            <w:r>
              <w:rPr>
                <w:noProof/>
                <w:sz w:val="20"/>
              </w:rPr>
              <w:t>AT, BE, BG, CY, CZ, DE, DK, EE, EL, ES, FI, FR, HR, HU, IE, IT, LT, LU, LV, MT, NL, PL, PT, RO, SE, SI, SK, UK</w:t>
            </w:r>
          </w:p>
        </w:tc>
      </w:tr>
      <w:tr w:rsidR="00A36F9B">
        <w:tc>
          <w:tcPr>
            <w:tcW w:w="7111" w:type="dxa"/>
          </w:tcPr>
          <w:p w:rsidR="00A36F9B" w:rsidRDefault="000E053A">
            <w:pPr>
              <w:pStyle w:val="Text1"/>
              <w:numPr>
                <w:ilvl w:val="0"/>
                <w:numId w:val="2"/>
              </w:numPr>
              <w:rPr>
                <w:noProof/>
                <w:sz w:val="20"/>
              </w:rPr>
            </w:pPr>
            <w:r>
              <w:rPr>
                <w:noProof/>
                <w:sz w:val="20"/>
              </w:rPr>
              <w:t>Да се гарантира, че предоставените изключения отговарят на всички усл</w:t>
            </w:r>
            <w:r>
              <w:rPr>
                <w:noProof/>
                <w:sz w:val="20"/>
              </w:rPr>
              <w:t>овия на Рамковата директива за водите и са подкрепени от доказателства, по-специално по отношение на оценката на значително по-добрата екологична възможност. Да продължат да се полагат усилия за намаляване на броя на изключенията.</w:t>
            </w:r>
          </w:p>
        </w:tc>
        <w:tc>
          <w:tcPr>
            <w:tcW w:w="2357" w:type="dxa"/>
            <w:shd w:val="clear" w:color="auto" w:fill="auto"/>
          </w:tcPr>
          <w:p w:rsidR="00A36F9B" w:rsidRDefault="000E053A">
            <w:pPr>
              <w:pStyle w:val="Text1"/>
              <w:ind w:left="0"/>
              <w:jc w:val="left"/>
              <w:rPr>
                <w:noProof/>
                <w:sz w:val="20"/>
              </w:rPr>
            </w:pPr>
            <w:r>
              <w:rPr>
                <w:noProof/>
                <w:sz w:val="20"/>
              </w:rPr>
              <w:t>AT, BE, MT, NL, PL</w:t>
            </w:r>
          </w:p>
        </w:tc>
      </w:tr>
      <w:tr w:rsidR="00A36F9B">
        <w:tc>
          <w:tcPr>
            <w:tcW w:w="7111" w:type="dxa"/>
          </w:tcPr>
          <w:p w:rsidR="00A36F9B" w:rsidRDefault="000E053A">
            <w:pPr>
              <w:pStyle w:val="Text1"/>
              <w:numPr>
                <w:ilvl w:val="0"/>
                <w:numId w:val="2"/>
              </w:numPr>
              <w:rPr>
                <w:noProof/>
                <w:sz w:val="20"/>
              </w:rPr>
            </w:pPr>
            <w:r>
              <w:rPr>
                <w:noProof/>
                <w:sz w:val="20"/>
              </w:rPr>
              <w:t>Да се</w:t>
            </w:r>
            <w:r>
              <w:rPr>
                <w:noProof/>
                <w:sz w:val="20"/>
              </w:rPr>
              <w:t xml:space="preserve"> изготви и/или въведе политика за ценообразуване на водата, обхващаща широк набор от свързани с водата услуги и основана на измерване на потреблението, която да включва тарифи, отразяващи разходите за околна среда и ресурси, и да предоставя стимули за ефек</w:t>
            </w:r>
            <w:r>
              <w:rPr>
                <w:noProof/>
                <w:sz w:val="20"/>
              </w:rPr>
              <w:t>тивно използване на водата. Изключенията от таксите за вода следва да се преразгледат. Препоръчва се също да се създаде национален регулатор или надзорен орган за гарантиране на съгласуваността и адекватното възстановяване на разходите при тарифите.</w:t>
            </w:r>
          </w:p>
        </w:tc>
        <w:tc>
          <w:tcPr>
            <w:tcW w:w="2357" w:type="dxa"/>
            <w:shd w:val="clear" w:color="auto" w:fill="auto"/>
          </w:tcPr>
          <w:p w:rsidR="00A36F9B" w:rsidRDefault="000E053A">
            <w:pPr>
              <w:pStyle w:val="Text1"/>
              <w:ind w:left="0"/>
              <w:jc w:val="left"/>
              <w:rPr>
                <w:noProof/>
                <w:sz w:val="20"/>
              </w:rPr>
            </w:pPr>
            <w:r>
              <w:rPr>
                <w:noProof/>
                <w:sz w:val="20"/>
              </w:rPr>
              <w:t>BG, CY</w:t>
            </w:r>
            <w:r>
              <w:rPr>
                <w:noProof/>
                <w:sz w:val="20"/>
              </w:rPr>
              <w:t>, CZ, ES, HU, IE, IT, SK</w:t>
            </w:r>
          </w:p>
        </w:tc>
      </w:tr>
      <w:tr w:rsidR="00A36F9B">
        <w:tc>
          <w:tcPr>
            <w:tcW w:w="7111" w:type="dxa"/>
          </w:tcPr>
          <w:p w:rsidR="00A36F9B" w:rsidRDefault="000E053A">
            <w:pPr>
              <w:pStyle w:val="Text1"/>
              <w:numPr>
                <w:ilvl w:val="0"/>
                <w:numId w:val="2"/>
              </w:numPr>
              <w:rPr>
                <w:noProof/>
                <w:sz w:val="20"/>
              </w:rPr>
            </w:pPr>
            <w:r>
              <w:rPr>
                <w:noProof/>
                <w:sz w:val="20"/>
              </w:rPr>
              <w:t>Да се гарантира, че се вземат ефективни мерки срещу замърсяването от селското стопанство съгласно Директивата за нитратите и Рамковата директива за водите. Да се предприемат ефективни основни и допълнителни мерки за справяне с тов</w:t>
            </w:r>
            <w:r>
              <w:rPr>
                <w:noProof/>
                <w:sz w:val="20"/>
              </w:rPr>
              <w:t>а замърсяване. Да се извършва мониторинг на промените в натиска от селскостопанската дейност и качеството на водите с оглед предоставянето на информация за определянето на уязвими зони и преглед на програмите за действие относно нитратите. Да се вземат под</w:t>
            </w:r>
            <w:r>
              <w:rPr>
                <w:noProof/>
                <w:sz w:val="20"/>
              </w:rPr>
              <w:t xml:space="preserve"> внимание (където е целесъобразно) зоните с интензивно селско стопанство и високи нива на нитрати, тенденциите за увеличаване на натиска от селското стопанство и особено чувствителните водни обекти, като например Балтийско море.</w:t>
            </w:r>
          </w:p>
        </w:tc>
        <w:tc>
          <w:tcPr>
            <w:tcW w:w="2357" w:type="dxa"/>
            <w:shd w:val="clear" w:color="auto" w:fill="auto"/>
          </w:tcPr>
          <w:p w:rsidR="00A36F9B" w:rsidRDefault="000E053A">
            <w:pPr>
              <w:pStyle w:val="Text1"/>
              <w:ind w:left="0"/>
              <w:jc w:val="left"/>
              <w:rPr>
                <w:noProof/>
                <w:sz w:val="20"/>
              </w:rPr>
            </w:pPr>
            <w:r>
              <w:rPr>
                <w:noProof/>
                <w:sz w:val="20"/>
              </w:rPr>
              <w:t>BE, BG, CY, CZ, DE, DK, EE,</w:t>
            </w:r>
            <w:r>
              <w:rPr>
                <w:noProof/>
                <w:sz w:val="20"/>
              </w:rPr>
              <w:t xml:space="preserve"> EL, ES, FI, FR, IE, IT, LT, LV, MT, NL, PL, PT, RO, SE, SI, UK </w:t>
            </w:r>
          </w:p>
        </w:tc>
      </w:tr>
      <w:tr w:rsidR="00A36F9B">
        <w:tc>
          <w:tcPr>
            <w:tcW w:w="7111" w:type="dxa"/>
          </w:tcPr>
          <w:p w:rsidR="00A36F9B" w:rsidRDefault="000E053A">
            <w:pPr>
              <w:pStyle w:val="Text1"/>
              <w:numPr>
                <w:ilvl w:val="0"/>
                <w:numId w:val="2"/>
              </w:numPr>
              <w:rPr>
                <w:noProof/>
                <w:sz w:val="20"/>
              </w:rPr>
            </w:pPr>
            <w:r>
              <w:rPr>
                <w:noProof/>
                <w:sz w:val="20"/>
              </w:rPr>
              <w:t>Да се подобри контролът върху водочерпенето както по отношение на повърхностните, така и на подземните води. Да се насърчи ефективното използване и устойчивото задържане на водите (включител</w:t>
            </w:r>
            <w:r>
              <w:rPr>
                <w:noProof/>
                <w:sz w:val="20"/>
              </w:rPr>
              <w:t xml:space="preserve">но мерките за естествено водозадържане) в програмата от мерки и да се осигури адекватно финансиране. Конкретно за Кипър водата, получена след обезсоляване, следва да не се използва за селскостопански цели. </w:t>
            </w:r>
          </w:p>
        </w:tc>
        <w:tc>
          <w:tcPr>
            <w:tcW w:w="2357" w:type="dxa"/>
            <w:shd w:val="clear" w:color="auto" w:fill="auto"/>
          </w:tcPr>
          <w:p w:rsidR="00A36F9B" w:rsidRDefault="000E053A">
            <w:pPr>
              <w:pStyle w:val="Text1"/>
              <w:ind w:left="0"/>
              <w:jc w:val="left"/>
              <w:rPr>
                <w:noProof/>
                <w:sz w:val="20"/>
              </w:rPr>
            </w:pPr>
            <w:r>
              <w:rPr>
                <w:noProof/>
                <w:sz w:val="20"/>
              </w:rPr>
              <w:t xml:space="preserve">CY, ES </w:t>
            </w:r>
          </w:p>
        </w:tc>
      </w:tr>
      <w:tr w:rsidR="00A36F9B">
        <w:tc>
          <w:tcPr>
            <w:tcW w:w="7111" w:type="dxa"/>
          </w:tcPr>
          <w:p w:rsidR="00A36F9B" w:rsidRDefault="000E053A">
            <w:pPr>
              <w:pStyle w:val="Text1"/>
              <w:numPr>
                <w:ilvl w:val="0"/>
                <w:numId w:val="2"/>
              </w:numPr>
              <w:rPr>
                <w:noProof/>
                <w:sz w:val="20"/>
              </w:rPr>
            </w:pPr>
            <w:r>
              <w:rPr>
                <w:noProof/>
                <w:sz w:val="20"/>
              </w:rPr>
              <w:t xml:space="preserve">Да се преразгледат разрешителните за </w:t>
            </w:r>
            <w:r>
              <w:rPr>
                <w:noProof/>
                <w:sz w:val="20"/>
              </w:rPr>
              <w:t>водите, за да съответстват на екологичните цели, и да се гарантира, че новите проекти, които могат да доведат до влошаване на състоянието, се оценяват в съответствие с член 4, параграф 7 от Рамковата директива за водите. В тези оценки следва да се разгледа</w:t>
            </w:r>
            <w:r>
              <w:rPr>
                <w:noProof/>
                <w:sz w:val="20"/>
              </w:rPr>
              <w:t>т алтернативни варианти и адекватни мерки за смекчаване. Лицензионната политика за разрешаване или поддържане на водноелектрическите централи следва да се преразгледа и актуализира.</w:t>
            </w:r>
          </w:p>
        </w:tc>
        <w:tc>
          <w:tcPr>
            <w:tcW w:w="2357" w:type="dxa"/>
            <w:shd w:val="clear" w:color="auto" w:fill="auto"/>
          </w:tcPr>
          <w:p w:rsidR="00A36F9B" w:rsidRDefault="000E053A">
            <w:pPr>
              <w:pStyle w:val="Text1"/>
              <w:ind w:left="0"/>
              <w:jc w:val="left"/>
              <w:rPr>
                <w:noProof/>
                <w:sz w:val="20"/>
              </w:rPr>
            </w:pPr>
            <w:r>
              <w:rPr>
                <w:noProof/>
                <w:sz w:val="20"/>
              </w:rPr>
              <w:t>BG, CY, CZ, EL, ES, HU, IT, LT, LU, PL, PT, SE, SK</w:t>
            </w:r>
          </w:p>
        </w:tc>
      </w:tr>
      <w:tr w:rsidR="00A36F9B">
        <w:tc>
          <w:tcPr>
            <w:tcW w:w="7111" w:type="dxa"/>
          </w:tcPr>
          <w:p w:rsidR="00A36F9B" w:rsidRDefault="000E053A">
            <w:pPr>
              <w:pStyle w:val="Text1"/>
              <w:numPr>
                <w:ilvl w:val="0"/>
                <w:numId w:val="2"/>
              </w:numPr>
              <w:rPr>
                <w:noProof/>
                <w:sz w:val="20"/>
              </w:rPr>
            </w:pPr>
            <w:r>
              <w:rPr>
                <w:noProof/>
                <w:sz w:val="20"/>
              </w:rPr>
              <w:t>Цялостно да се приложи</w:t>
            </w:r>
            <w:r>
              <w:rPr>
                <w:noProof/>
                <w:sz w:val="20"/>
              </w:rPr>
              <w:t xml:space="preserve"> Директивата за пречистването на градските отпадъчни води за всички агломерации. Да се изгради инфраструктура, която да съответства на Директивата за питейната вода и Директивата за пречистването на градските отпадъчни води. Да се подобри националната сист</w:t>
            </w:r>
            <w:r>
              <w:rPr>
                <w:noProof/>
                <w:sz w:val="20"/>
              </w:rPr>
              <w:t>ема за докладване съгласно Директивата за пречистването на градските отпадъчни води. Да продължи да се отдава приоритет на инвестициите в пречиствателни станции за градски отпадъчни води, включително чрез ефективно финансиране по линия на политиката за сбл</w:t>
            </w:r>
            <w:r>
              <w:rPr>
                <w:noProof/>
                <w:sz w:val="20"/>
              </w:rPr>
              <w:t>ижаване, където това е допустимо.</w:t>
            </w:r>
          </w:p>
        </w:tc>
        <w:tc>
          <w:tcPr>
            <w:tcW w:w="2357" w:type="dxa"/>
            <w:shd w:val="clear" w:color="auto" w:fill="auto"/>
          </w:tcPr>
          <w:p w:rsidR="00A36F9B" w:rsidRDefault="000E053A">
            <w:pPr>
              <w:pStyle w:val="Text1"/>
              <w:ind w:left="0"/>
              <w:jc w:val="left"/>
              <w:rPr>
                <w:noProof/>
                <w:sz w:val="20"/>
              </w:rPr>
            </w:pPr>
            <w:r>
              <w:rPr>
                <w:noProof/>
                <w:sz w:val="20"/>
              </w:rPr>
              <w:t>BE, BG, CY, EL, ES, HR, HU, IE, IT, PL, PT, RO, SI</w:t>
            </w:r>
          </w:p>
        </w:tc>
      </w:tr>
      <w:tr w:rsidR="00A36F9B">
        <w:trPr>
          <w:trHeight w:val="121"/>
        </w:trPr>
        <w:tc>
          <w:tcPr>
            <w:tcW w:w="7111" w:type="dxa"/>
          </w:tcPr>
          <w:p w:rsidR="00A36F9B" w:rsidRDefault="000E053A">
            <w:pPr>
              <w:pStyle w:val="Text1"/>
              <w:numPr>
                <w:ilvl w:val="0"/>
                <w:numId w:val="2"/>
              </w:numPr>
              <w:rPr>
                <w:noProof/>
                <w:sz w:val="20"/>
              </w:rPr>
            </w:pPr>
            <w:r>
              <w:rPr>
                <w:noProof/>
                <w:sz w:val="20"/>
              </w:rPr>
              <w:t>Могат да се обмислят и мерки за рационализиране на структурите и услугите за управление на водите и отпадъчните води, наред със стимули за повишаване на нивото на физичес</w:t>
            </w:r>
            <w:r>
              <w:rPr>
                <w:noProof/>
                <w:sz w:val="20"/>
              </w:rPr>
              <w:t>ките връзки с мрежите.</w:t>
            </w:r>
          </w:p>
        </w:tc>
        <w:tc>
          <w:tcPr>
            <w:tcW w:w="2357" w:type="dxa"/>
            <w:shd w:val="clear" w:color="auto" w:fill="auto"/>
          </w:tcPr>
          <w:p w:rsidR="00A36F9B" w:rsidRDefault="000E053A">
            <w:pPr>
              <w:pStyle w:val="Text1"/>
              <w:ind w:left="0"/>
              <w:jc w:val="left"/>
              <w:rPr>
                <w:noProof/>
                <w:sz w:val="20"/>
              </w:rPr>
            </w:pPr>
            <w:r>
              <w:rPr>
                <w:noProof/>
                <w:sz w:val="20"/>
              </w:rPr>
              <w:t>LV</w:t>
            </w:r>
          </w:p>
        </w:tc>
      </w:tr>
      <w:tr w:rsidR="00A36F9B">
        <w:tc>
          <w:tcPr>
            <w:tcW w:w="7111" w:type="dxa"/>
          </w:tcPr>
          <w:p w:rsidR="00A36F9B" w:rsidRDefault="000E053A">
            <w:pPr>
              <w:pStyle w:val="Text1"/>
              <w:numPr>
                <w:ilvl w:val="0"/>
                <w:numId w:val="2"/>
              </w:numPr>
              <w:rPr>
                <w:noProof/>
                <w:sz w:val="20"/>
              </w:rPr>
            </w:pPr>
            <w:r>
              <w:rPr>
                <w:noProof/>
                <w:sz w:val="20"/>
              </w:rPr>
              <w:t>Да се приемат всички карти на районите с риск от наводнения и карти на районите под заплаха от наводнения. Да се акцентира върху природните мерки за задържане на водата, когато се изпълняват проекти за защита от наводнения. Да се</w:t>
            </w:r>
            <w:r>
              <w:rPr>
                <w:noProof/>
                <w:sz w:val="20"/>
              </w:rPr>
              <w:t xml:space="preserve"> съчетае управлението на наводнения със задържането на водата по цялостен начин, като също така се вземат под внимание сериозните проблеми с недостига на вода.</w:t>
            </w:r>
          </w:p>
        </w:tc>
        <w:tc>
          <w:tcPr>
            <w:tcW w:w="2357" w:type="dxa"/>
            <w:shd w:val="clear" w:color="auto" w:fill="auto"/>
          </w:tcPr>
          <w:p w:rsidR="00A36F9B" w:rsidRDefault="000E053A">
            <w:pPr>
              <w:pStyle w:val="Text1"/>
              <w:ind w:left="0"/>
              <w:jc w:val="left"/>
              <w:rPr>
                <w:noProof/>
                <w:sz w:val="20"/>
              </w:rPr>
            </w:pPr>
            <w:r>
              <w:rPr>
                <w:noProof/>
                <w:sz w:val="20"/>
              </w:rPr>
              <w:t>BG, HU, IT, MT</w:t>
            </w:r>
          </w:p>
        </w:tc>
      </w:tr>
      <w:tr w:rsidR="00A36F9B">
        <w:trPr>
          <w:trHeight w:val="121"/>
        </w:trPr>
        <w:tc>
          <w:tcPr>
            <w:tcW w:w="7111" w:type="dxa"/>
          </w:tcPr>
          <w:p w:rsidR="00A36F9B" w:rsidRDefault="000E053A">
            <w:pPr>
              <w:pStyle w:val="Text1"/>
              <w:numPr>
                <w:ilvl w:val="0"/>
                <w:numId w:val="2"/>
              </w:numPr>
              <w:rPr>
                <w:noProof/>
                <w:sz w:val="20"/>
              </w:rPr>
            </w:pPr>
            <w:r>
              <w:rPr>
                <w:noProof/>
                <w:sz w:val="20"/>
              </w:rPr>
              <w:t>Да се подобри координираното изпълнение на политиките за водата, морските терито</w:t>
            </w:r>
            <w:r>
              <w:rPr>
                <w:noProof/>
                <w:sz w:val="20"/>
              </w:rPr>
              <w:t>рии и опазването на природата, както и координацията между органите за управление на водите.</w:t>
            </w:r>
          </w:p>
        </w:tc>
        <w:tc>
          <w:tcPr>
            <w:tcW w:w="2357" w:type="dxa"/>
          </w:tcPr>
          <w:p w:rsidR="00A36F9B" w:rsidRDefault="000E053A">
            <w:pPr>
              <w:pStyle w:val="Text1"/>
              <w:ind w:left="0"/>
              <w:jc w:val="left"/>
              <w:rPr>
                <w:noProof/>
                <w:sz w:val="20"/>
              </w:rPr>
            </w:pPr>
            <w:r>
              <w:rPr>
                <w:noProof/>
                <w:sz w:val="20"/>
              </w:rPr>
              <w:t>BE, IT, PT</w:t>
            </w:r>
          </w:p>
        </w:tc>
      </w:tr>
      <w:tr w:rsidR="00A36F9B">
        <w:tc>
          <w:tcPr>
            <w:tcW w:w="9468" w:type="dxa"/>
            <w:gridSpan w:val="2"/>
            <w:shd w:val="clear" w:color="auto" w:fill="C6D9F1" w:themeFill="text2" w:themeFillTint="33"/>
          </w:tcPr>
          <w:p w:rsidR="00A36F9B" w:rsidRDefault="000E053A">
            <w:pPr>
              <w:pStyle w:val="Text1"/>
              <w:ind w:left="0"/>
              <w:jc w:val="left"/>
              <w:rPr>
                <w:b/>
                <w:noProof/>
                <w:sz w:val="20"/>
              </w:rPr>
            </w:pPr>
            <w:r>
              <w:rPr>
                <w:b/>
                <w:noProof/>
                <w:sz w:val="20"/>
              </w:rPr>
              <w:t>Международни споразумения</w:t>
            </w:r>
          </w:p>
        </w:tc>
      </w:tr>
      <w:tr w:rsidR="00A36F9B">
        <w:tc>
          <w:tcPr>
            <w:tcW w:w="7111" w:type="dxa"/>
          </w:tcPr>
          <w:p w:rsidR="00A36F9B" w:rsidRDefault="000E053A">
            <w:pPr>
              <w:pStyle w:val="Text1"/>
              <w:numPr>
                <w:ilvl w:val="0"/>
                <w:numId w:val="2"/>
              </w:numPr>
              <w:rPr>
                <w:noProof/>
                <w:sz w:val="20"/>
              </w:rPr>
            </w:pPr>
            <w:r>
              <w:rPr>
                <w:noProof/>
                <w:sz w:val="20"/>
              </w:rPr>
              <w:t xml:space="preserve">Да се повишат усилията за превръщане на държавата в страна по съответните многостранни споразумение в областта на околната </w:t>
            </w:r>
            <w:r>
              <w:rPr>
                <w:noProof/>
                <w:sz w:val="20"/>
              </w:rPr>
              <w:t>среда чрез подписване и ратифициране на оставащите споразумения.</w:t>
            </w:r>
          </w:p>
        </w:tc>
        <w:tc>
          <w:tcPr>
            <w:tcW w:w="2357" w:type="dxa"/>
          </w:tcPr>
          <w:p w:rsidR="00A36F9B" w:rsidRDefault="000E053A">
            <w:pPr>
              <w:pStyle w:val="Text1"/>
              <w:ind w:left="0"/>
              <w:jc w:val="left"/>
              <w:rPr>
                <w:noProof/>
                <w:sz w:val="20"/>
              </w:rPr>
            </w:pPr>
            <w:r>
              <w:rPr>
                <w:noProof/>
                <w:sz w:val="20"/>
              </w:rPr>
              <w:t>EL, IE, IT, MT</w:t>
            </w:r>
          </w:p>
        </w:tc>
      </w:tr>
      <w:tr w:rsidR="00A36F9B">
        <w:tc>
          <w:tcPr>
            <w:tcW w:w="9468" w:type="dxa"/>
            <w:gridSpan w:val="2"/>
            <w:shd w:val="clear" w:color="auto" w:fill="C6D9F1" w:themeFill="text2" w:themeFillTint="33"/>
          </w:tcPr>
          <w:p w:rsidR="00A36F9B" w:rsidRDefault="000E053A">
            <w:pPr>
              <w:pStyle w:val="Text1"/>
              <w:ind w:left="0"/>
              <w:jc w:val="left"/>
              <w:rPr>
                <w:noProof/>
                <w:sz w:val="20"/>
              </w:rPr>
            </w:pPr>
            <w:bookmarkStart w:id="8" w:name="_Toc433798401"/>
            <w:bookmarkStart w:id="9" w:name="_Toc439678161"/>
            <w:r>
              <w:rPr>
                <w:b/>
                <w:noProof/>
                <w:sz w:val="20"/>
              </w:rPr>
              <w:t>Ефективно изпълнение на задълженията на органите на централното, регионалното и местното управление. К</w:t>
            </w:r>
            <w:bookmarkEnd w:id="8"/>
            <w:bookmarkEnd w:id="9"/>
            <w:r>
              <w:rPr>
                <w:b/>
                <w:noProof/>
                <w:sz w:val="20"/>
              </w:rPr>
              <w:t>оординиране и интегриране</w:t>
            </w:r>
          </w:p>
        </w:tc>
      </w:tr>
      <w:tr w:rsidR="00A36F9B">
        <w:tc>
          <w:tcPr>
            <w:tcW w:w="7111" w:type="dxa"/>
          </w:tcPr>
          <w:p w:rsidR="00A36F9B" w:rsidRDefault="000E053A">
            <w:pPr>
              <w:pStyle w:val="ListParagraph"/>
              <w:widowControl w:val="0"/>
              <w:numPr>
                <w:ilvl w:val="0"/>
                <w:numId w:val="2"/>
              </w:numPr>
              <w:rPr>
                <w:noProof/>
                <w:sz w:val="20"/>
              </w:rPr>
            </w:pPr>
            <w:r>
              <w:rPr>
                <w:noProof/>
                <w:sz w:val="20"/>
              </w:rPr>
              <w:t>Да се опростят административните процедури в о</w:t>
            </w:r>
            <w:r>
              <w:rPr>
                <w:noProof/>
                <w:sz w:val="20"/>
              </w:rPr>
              <w:t>бластта на околната среда и да се подобри сътрудничеството между публичните органи (на национално, регионално и местно равнище), които участват в прилагането на политиките в областта на околната среда.</w:t>
            </w:r>
          </w:p>
        </w:tc>
        <w:tc>
          <w:tcPr>
            <w:tcW w:w="2357" w:type="dxa"/>
            <w:shd w:val="clear" w:color="auto" w:fill="auto"/>
          </w:tcPr>
          <w:p w:rsidR="00A36F9B" w:rsidRDefault="000E053A">
            <w:pPr>
              <w:rPr>
                <w:noProof/>
              </w:rPr>
            </w:pPr>
            <w:r>
              <w:rPr>
                <w:noProof/>
              </w:rPr>
              <w:t>EL</w:t>
            </w:r>
          </w:p>
        </w:tc>
      </w:tr>
      <w:tr w:rsidR="00A36F9B">
        <w:tc>
          <w:tcPr>
            <w:tcW w:w="7111" w:type="dxa"/>
          </w:tcPr>
          <w:p w:rsidR="00A36F9B" w:rsidRDefault="000E053A">
            <w:pPr>
              <w:pStyle w:val="ListParagraph"/>
              <w:widowControl w:val="0"/>
              <w:numPr>
                <w:ilvl w:val="0"/>
                <w:numId w:val="2"/>
              </w:numPr>
              <w:rPr>
                <w:noProof/>
                <w:sz w:val="20"/>
              </w:rPr>
            </w:pPr>
            <w:r>
              <w:rPr>
                <w:noProof/>
                <w:sz w:val="20"/>
              </w:rPr>
              <w:t xml:space="preserve">Да се укрепи административният капацитет на </w:t>
            </w:r>
            <w:r>
              <w:rPr>
                <w:noProof/>
                <w:sz w:val="20"/>
              </w:rPr>
              <w:t>Министерството по околната среда и енергетиката, тъй като това би се отразило положително на използването на фондовете на ЕС и би ускорило синхронизирането с политиките и законодателството на ЕС в областта на околната среда.</w:t>
            </w:r>
          </w:p>
        </w:tc>
        <w:tc>
          <w:tcPr>
            <w:tcW w:w="2357" w:type="dxa"/>
            <w:shd w:val="clear" w:color="auto" w:fill="auto"/>
          </w:tcPr>
          <w:p w:rsidR="00A36F9B" w:rsidRDefault="000E053A">
            <w:pPr>
              <w:rPr>
                <w:noProof/>
              </w:rPr>
            </w:pPr>
            <w:r>
              <w:rPr>
                <w:noProof/>
              </w:rPr>
              <w:t>HR</w:t>
            </w:r>
          </w:p>
        </w:tc>
      </w:tr>
      <w:tr w:rsidR="00A36F9B">
        <w:tc>
          <w:tcPr>
            <w:tcW w:w="7111" w:type="dxa"/>
          </w:tcPr>
          <w:p w:rsidR="00A36F9B" w:rsidRDefault="000E053A">
            <w:pPr>
              <w:pStyle w:val="ListParagraph"/>
              <w:widowControl w:val="0"/>
              <w:numPr>
                <w:ilvl w:val="0"/>
                <w:numId w:val="2"/>
              </w:numPr>
              <w:rPr>
                <w:noProof/>
                <w:sz w:val="20"/>
              </w:rPr>
            </w:pPr>
            <w:r>
              <w:rPr>
                <w:noProof/>
                <w:sz w:val="20"/>
              </w:rPr>
              <w:t>Да се предприемат мерки сре</w:t>
            </w:r>
            <w:r>
              <w:rPr>
                <w:noProof/>
                <w:sz w:val="20"/>
              </w:rPr>
              <w:t>щу разпокъсването на регионално и местно равнище чрез разработване на по-добри механизми за координация по отношение на околната среда.</w:t>
            </w:r>
          </w:p>
        </w:tc>
        <w:tc>
          <w:tcPr>
            <w:tcW w:w="2357" w:type="dxa"/>
            <w:shd w:val="clear" w:color="auto" w:fill="auto"/>
          </w:tcPr>
          <w:p w:rsidR="00A36F9B" w:rsidRDefault="000E053A">
            <w:pPr>
              <w:rPr>
                <w:noProof/>
              </w:rPr>
            </w:pPr>
            <w:r>
              <w:rPr>
                <w:noProof/>
              </w:rPr>
              <w:t>ES, HU, IT</w:t>
            </w:r>
          </w:p>
        </w:tc>
      </w:tr>
      <w:tr w:rsidR="00A36F9B">
        <w:tc>
          <w:tcPr>
            <w:tcW w:w="7111" w:type="dxa"/>
          </w:tcPr>
          <w:p w:rsidR="00A36F9B" w:rsidRDefault="000E053A">
            <w:pPr>
              <w:pStyle w:val="Text1"/>
              <w:numPr>
                <w:ilvl w:val="0"/>
                <w:numId w:val="2"/>
              </w:numPr>
              <w:rPr>
                <w:noProof/>
                <w:sz w:val="20"/>
              </w:rPr>
            </w:pPr>
            <w:r>
              <w:rPr>
                <w:noProof/>
                <w:sz w:val="20"/>
              </w:rPr>
              <w:t>Да се гарантира, че становището относно оценката на въздействието на някои публични и частни проекти върху о</w:t>
            </w:r>
            <w:r>
              <w:rPr>
                <w:noProof/>
                <w:sz w:val="20"/>
              </w:rPr>
              <w:t>колната среда, посочено в член 6 от изменената Директива относно оценката на въздействието върху околната среда, се осигурява от функционално независим орган.</w:t>
            </w:r>
          </w:p>
        </w:tc>
        <w:tc>
          <w:tcPr>
            <w:tcW w:w="2357" w:type="dxa"/>
            <w:shd w:val="clear" w:color="auto" w:fill="auto"/>
          </w:tcPr>
          <w:p w:rsidR="00A36F9B" w:rsidRDefault="000E053A">
            <w:pPr>
              <w:pStyle w:val="Text1"/>
              <w:ind w:left="0"/>
              <w:jc w:val="left"/>
              <w:rPr>
                <w:noProof/>
                <w:sz w:val="20"/>
              </w:rPr>
            </w:pPr>
            <w:r>
              <w:rPr>
                <w:noProof/>
                <w:sz w:val="20"/>
              </w:rPr>
              <w:t>FR</w:t>
            </w:r>
          </w:p>
        </w:tc>
      </w:tr>
      <w:tr w:rsidR="00A36F9B">
        <w:tc>
          <w:tcPr>
            <w:tcW w:w="7111" w:type="dxa"/>
          </w:tcPr>
          <w:p w:rsidR="00A36F9B" w:rsidRDefault="000E053A">
            <w:pPr>
              <w:pStyle w:val="Text1"/>
              <w:numPr>
                <w:ilvl w:val="0"/>
                <w:numId w:val="2"/>
              </w:numPr>
              <w:rPr>
                <w:noProof/>
                <w:sz w:val="20"/>
              </w:rPr>
            </w:pPr>
            <w:r>
              <w:rPr>
                <w:noProof/>
                <w:sz w:val="20"/>
              </w:rPr>
              <w:t>Да се гарантира засилването на партньорството и прозрачността в цялата публична администрация</w:t>
            </w:r>
            <w:r>
              <w:rPr>
                <w:noProof/>
                <w:sz w:val="20"/>
              </w:rPr>
              <w:t xml:space="preserve"> и да се укрепи участието на обществеността във вземането на решения по екологични въпроси. </w:t>
            </w:r>
          </w:p>
        </w:tc>
        <w:tc>
          <w:tcPr>
            <w:tcW w:w="2357" w:type="dxa"/>
            <w:shd w:val="clear" w:color="auto" w:fill="auto"/>
          </w:tcPr>
          <w:p w:rsidR="00A36F9B" w:rsidRDefault="000E053A">
            <w:pPr>
              <w:pStyle w:val="Text1"/>
              <w:ind w:left="0"/>
              <w:jc w:val="left"/>
              <w:rPr>
                <w:noProof/>
                <w:sz w:val="20"/>
              </w:rPr>
            </w:pPr>
            <w:r>
              <w:rPr>
                <w:noProof/>
                <w:sz w:val="20"/>
              </w:rPr>
              <w:t>HU</w:t>
            </w:r>
          </w:p>
        </w:tc>
      </w:tr>
      <w:tr w:rsidR="00A36F9B">
        <w:tc>
          <w:tcPr>
            <w:tcW w:w="7111" w:type="dxa"/>
          </w:tcPr>
          <w:p w:rsidR="00A36F9B" w:rsidRDefault="000E053A">
            <w:pPr>
              <w:pStyle w:val="Text1"/>
              <w:numPr>
                <w:ilvl w:val="0"/>
                <w:numId w:val="2"/>
              </w:numPr>
              <w:rPr>
                <w:noProof/>
                <w:sz w:val="20"/>
              </w:rPr>
            </w:pPr>
            <w:r>
              <w:rPr>
                <w:noProof/>
                <w:sz w:val="20"/>
              </w:rPr>
              <w:t>Да се използват по-добре оценките на въздействието на законодателните предложения, обхващащи по-специално въздействието върху околната среда.</w:t>
            </w:r>
          </w:p>
        </w:tc>
        <w:tc>
          <w:tcPr>
            <w:tcW w:w="2357" w:type="dxa"/>
            <w:shd w:val="clear" w:color="auto" w:fill="auto"/>
          </w:tcPr>
          <w:p w:rsidR="00A36F9B" w:rsidRDefault="000E053A">
            <w:pPr>
              <w:pStyle w:val="Text1"/>
              <w:ind w:left="0"/>
              <w:jc w:val="left"/>
              <w:rPr>
                <w:noProof/>
                <w:sz w:val="20"/>
              </w:rPr>
            </w:pPr>
            <w:r>
              <w:rPr>
                <w:noProof/>
                <w:sz w:val="20"/>
              </w:rPr>
              <w:t>HU</w:t>
            </w:r>
          </w:p>
        </w:tc>
      </w:tr>
      <w:tr w:rsidR="00A36F9B">
        <w:tc>
          <w:tcPr>
            <w:tcW w:w="7111" w:type="dxa"/>
          </w:tcPr>
          <w:p w:rsidR="00A36F9B" w:rsidRDefault="000E053A">
            <w:pPr>
              <w:pStyle w:val="Text1"/>
              <w:numPr>
                <w:ilvl w:val="0"/>
                <w:numId w:val="2"/>
              </w:numPr>
              <w:rPr>
                <w:noProof/>
                <w:sz w:val="20"/>
              </w:rPr>
            </w:pPr>
            <w:r>
              <w:rPr>
                <w:noProof/>
                <w:sz w:val="20"/>
              </w:rPr>
              <w:t>Да се създаде</w:t>
            </w:r>
            <w:r>
              <w:rPr>
                <w:noProof/>
                <w:sz w:val="20"/>
              </w:rPr>
              <w:t xml:space="preserve"> ясен и прозрачен процес за одобряване на дейностите и съоръженията, които оказват въздействие върху околната среда.</w:t>
            </w:r>
          </w:p>
        </w:tc>
        <w:tc>
          <w:tcPr>
            <w:tcW w:w="2357" w:type="dxa"/>
            <w:shd w:val="clear" w:color="auto" w:fill="auto"/>
          </w:tcPr>
          <w:p w:rsidR="00A36F9B" w:rsidRDefault="000E053A">
            <w:pPr>
              <w:pStyle w:val="Text1"/>
              <w:ind w:left="0"/>
              <w:jc w:val="left"/>
              <w:rPr>
                <w:noProof/>
                <w:sz w:val="20"/>
              </w:rPr>
            </w:pPr>
            <w:r>
              <w:rPr>
                <w:noProof/>
                <w:sz w:val="20"/>
              </w:rPr>
              <w:t>HU</w:t>
            </w:r>
          </w:p>
        </w:tc>
      </w:tr>
      <w:tr w:rsidR="00A36F9B">
        <w:tc>
          <w:tcPr>
            <w:tcW w:w="7111" w:type="dxa"/>
          </w:tcPr>
          <w:p w:rsidR="00A36F9B" w:rsidRDefault="000E053A">
            <w:pPr>
              <w:pStyle w:val="Text1"/>
              <w:numPr>
                <w:ilvl w:val="0"/>
                <w:numId w:val="2"/>
              </w:numPr>
              <w:rPr>
                <w:noProof/>
                <w:sz w:val="20"/>
              </w:rPr>
            </w:pPr>
            <w:r>
              <w:rPr>
                <w:noProof/>
                <w:sz w:val="20"/>
              </w:rPr>
              <w:t>Да се подобри навременното докладване съгласно законодателството на ЕС в областта на околната среда и да се гарантира наличието на дост</w:t>
            </w:r>
            <w:r>
              <w:rPr>
                <w:noProof/>
                <w:sz w:val="20"/>
              </w:rPr>
              <w:t>атъчен капацитет на персонала конкретно за тази цел и по-общо — за по-ефективно изпълнение и прилагане на политиките в областта на околната среда.</w:t>
            </w:r>
          </w:p>
        </w:tc>
        <w:tc>
          <w:tcPr>
            <w:tcW w:w="2357" w:type="dxa"/>
            <w:shd w:val="clear" w:color="auto" w:fill="auto"/>
          </w:tcPr>
          <w:p w:rsidR="00A36F9B" w:rsidRDefault="000E053A">
            <w:pPr>
              <w:pStyle w:val="Text1"/>
              <w:ind w:left="0"/>
              <w:jc w:val="left"/>
              <w:rPr>
                <w:noProof/>
                <w:sz w:val="20"/>
              </w:rPr>
            </w:pPr>
            <w:r>
              <w:rPr>
                <w:noProof/>
                <w:sz w:val="20"/>
              </w:rPr>
              <w:t>MT</w:t>
            </w:r>
          </w:p>
        </w:tc>
      </w:tr>
      <w:tr w:rsidR="00A36F9B">
        <w:tc>
          <w:tcPr>
            <w:tcW w:w="7111" w:type="dxa"/>
          </w:tcPr>
          <w:p w:rsidR="00A36F9B" w:rsidRDefault="000E053A">
            <w:pPr>
              <w:pStyle w:val="Text1"/>
              <w:numPr>
                <w:ilvl w:val="0"/>
                <w:numId w:val="2"/>
              </w:numPr>
              <w:rPr>
                <w:noProof/>
                <w:sz w:val="20"/>
              </w:rPr>
            </w:pPr>
            <w:r>
              <w:rPr>
                <w:noProof/>
                <w:sz w:val="20"/>
              </w:rPr>
              <w:t>Да се гарантира, че новосъздаденият орган по околната среда и ресурсите има ясно дефинирани отговорности.</w:t>
            </w:r>
            <w:r>
              <w:rPr>
                <w:noProof/>
                <w:sz w:val="20"/>
              </w:rPr>
              <w:t xml:space="preserve"> Да се въведат ясни и прозрачни процеси за одобряване на дейностите и съоръженията, които оказват въздействие върху околната среда.</w:t>
            </w:r>
          </w:p>
        </w:tc>
        <w:tc>
          <w:tcPr>
            <w:tcW w:w="2357" w:type="dxa"/>
            <w:shd w:val="clear" w:color="auto" w:fill="auto"/>
          </w:tcPr>
          <w:p w:rsidR="00A36F9B" w:rsidRDefault="000E053A">
            <w:pPr>
              <w:pStyle w:val="Text1"/>
              <w:ind w:left="0"/>
              <w:jc w:val="left"/>
              <w:rPr>
                <w:noProof/>
                <w:sz w:val="20"/>
              </w:rPr>
            </w:pPr>
            <w:r>
              <w:rPr>
                <w:noProof/>
                <w:sz w:val="20"/>
              </w:rPr>
              <w:t>MT</w:t>
            </w:r>
          </w:p>
        </w:tc>
      </w:tr>
      <w:tr w:rsidR="00A36F9B">
        <w:tc>
          <w:tcPr>
            <w:tcW w:w="7111" w:type="dxa"/>
          </w:tcPr>
          <w:p w:rsidR="00A36F9B" w:rsidRDefault="000E053A">
            <w:pPr>
              <w:pStyle w:val="Text1"/>
              <w:numPr>
                <w:ilvl w:val="0"/>
                <w:numId w:val="2"/>
              </w:numPr>
              <w:rPr>
                <w:noProof/>
                <w:sz w:val="20"/>
              </w:rPr>
            </w:pPr>
            <w:r>
              <w:rPr>
                <w:noProof/>
                <w:sz w:val="20"/>
              </w:rPr>
              <w:t>Да се използват фондовете на ЕС за изграждане на необходимия капацитет и ноу-хау на всички нива в администрацията, ангаж</w:t>
            </w:r>
            <w:r>
              <w:rPr>
                <w:noProof/>
                <w:sz w:val="20"/>
              </w:rPr>
              <w:t>ирана с изпълнението и прилагането на законодателството.</w:t>
            </w:r>
          </w:p>
        </w:tc>
        <w:tc>
          <w:tcPr>
            <w:tcW w:w="2357" w:type="dxa"/>
            <w:shd w:val="clear" w:color="auto" w:fill="auto"/>
          </w:tcPr>
          <w:p w:rsidR="00A36F9B" w:rsidRDefault="000E053A">
            <w:pPr>
              <w:pStyle w:val="Text1"/>
              <w:ind w:left="0"/>
              <w:jc w:val="left"/>
              <w:rPr>
                <w:noProof/>
                <w:sz w:val="20"/>
              </w:rPr>
            </w:pPr>
            <w:r>
              <w:rPr>
                <w:noProof/>
                <w:sz w:val="20"/>
              </w:rPr>
              <w:t>PL</w:t>
            </w:r>
          </w:p>
        </w:tc>
      </w:tr>
      <w:tr w:rsidR="00A36F9B">
        <w:tc>
          <w:tcPr>
            <w:tcW w:w="7111" w:type="dxa"/>
          </w:tcPr>
          <w:p w:rsidR="00A36F9B" w:rsidRDefault="000E053A">
            <w:pPr>
              <w:pStyle w:val="Text1"/>
              <w:numPr>
                <w:ilvl w:val="0"/>
                <w:numId w:val="2"/>
              </w:numPr>
              <w:rPr>
                <w:noProof/>
                <w:sz w:val="20"/>
              </w:rPr>
            </w:pPr>
            <w:r>
              <w:rPr>
                <w:noProof/>
                <w:sz w:val="20"/>
              </w:rPr>
              <w:t>Да се укрепи управлението на законодателството и политиките на ЕС в областта на околната среда, по-специално в областта на опазването на природата и управлението на водите (напр. адаптиране на ст</w:t>
            </w:r>
            <w:r>
              <w:rPr>
                <w:noProof/>
                <w:sz w:val="20"/>
              </w:rPr>
              <w:t>руктурата и функциите на органите за водите с цел по-доброто изпълнение на задачите, свързани с изпълнението на Рамковата директива за водите, и включването на тези органи в процеса на предоставяне на разрешителни).</w:t>
            </w:r>
          </w:p>
        </w:tc>
        <w:tc>
          <w:tcPr>
            <w:tcW w:w="2357" w:type="dxa"/>
            <w:shd w:val="clear" w:color="auto" w:fill="auto"/>
          </w:tcPr>
          <w:p w:rsidR="00A36F9B" w:rsidRDefault="000E053A">
            <w:pPr>
              <w:pStyle w:val="Text1"/>
              <w:ind w:left="0"/>
              <w:jc w:val="left"/>
              <w:rPr>
                <w:noProof/>
                <w:sz w:val="20"/>
              </w:rPr>
            </w:pPr>
            <w:r>
              <w:rPr>
                <w:noProof/>
                <w:sz w:val="20"/>
              </w:rPr>
              <w:t>PL</w:t>
            </w:r>
          </w:p>
        </w:tc>
      </w:tr>
      <w:tr w:rsidR="00A36F9B">
        <w:tc>
          <w:tcPr>
            <w:tcW w:w="7111" w:type="dxa"/>
          </w:tcPr>
          <w:p w:rsidR="00A36F9B" w:rsidRDefault="000E053A">
            <w:pPr>
              <w:pStyle w:val="Text1"/>
              <w:numPr>
                <w:ilvl w:val="0"/>
                <w:numId w:val="2"/>
              </w:numPr>
              <w:rPr>
                <w:noProof/>
                <w:sz w:val="20"/>
              </w:rPr>
            </w:pPr>
            <w:r>
              <w:rPr>
                <w:noProof/>
                <w:sz w:val="20"/>
              </w:rPr>
              <w:t>Да се подобри правоприлагането в слу</w:t>
            </w:r>
            <w:r>
              <w:rPr>
                <w:noProof/>
                <w:sz w:val="20"/>
              </w:rPr>
              <w:t>чай на несправяне с прилагането на мерките за смекчаване и на компенсаторните мерки, наложени на организаторите на проекти, при вземането на решения относно околната среда и издаването на разрешителни за строителни дейности.</w:t>
            </w:r>
          </w:p>
        </w:tc>
        <w:tc>
          <w:tcPr>
            <w:tcW w:w="2357" w:type="dxa"/>
            <w:shd w:val="clear" w:color="auto" w:fill="auto"/>
          </w:tcPr>
          <w:p w:rsidR="00A36F9B" w:rsidRDefault="000E053A">
            <w:pPr>
              <w:pStyle w:val="Text1"/>
              <w:ind w:left="0"/>
              <w:jc w:val="left"/>
              <w:rPr>
                <w:noProof/>
                <w:sz w:val="20"/>
              </w:rPr>
            </w:pPr>
            <w:r>
              <w:rPr>
                <w:noProof/>
                <w:sz w:val="20"/>
              </w:rPr>
              <w:t>PL</w:t>
            </w:r>
          </w:p>
        </w:tc>
      </w:tr>
      <w:tr w:rsidR="00A36F9B">
        <w:tc>
          <w:tcPr>
            <w:tcW w:w="7111" w:type="dxa"/>
          </w:tcPr>
          <w:p w:rsidR="00A36F9B" w:rsidRDefault="000E053A">
            <w:pPr>
              <w:pStyle w:val="Text1"/>
              <w:numPr>
                <w:ilvl w:val="0"/>
                <w:numId w:val="2"/>
              </w:numPr>
              <w:rPr>
                <w:noProof/>
                <w:sz w:val="20"/>
              </w:rPr>
            </w:pPr>
            <w:r>
              <w:rPr>
                <w:noProof/>
                <w:sz w:val="20"/>
              </w:rPr>
              <w:t>Натрупаният опит относно оп</w:t>
            </w:r>
            <w:r>
              <w:rPr>
                <w:noProof/>
                <w:sz w:val="20"/>
              </w:rPr>
              <w:t>ределянето и прилагането на мерки за смекчаване и компенсиране във връзка с язовирните проекти следва да бъде разширен към друга инфраструктура, която може да окаже значително въздействие върху мрежата „Натура 2000“. Съставът на комисиите за последващи дей</w:t>
            </w:r>
            <w:r>
              <w:rPr>
                <w:noProof/>
                <w:sz w:val="20"/>
              </w:rPr>
              <w:t>ствия за тези проекти следва да бъде възможно най-широк и да включва представители на неправителствени организации.</w:t>
            </w:r>
          </w:p>
        </w:tc>
        <w:tc>
          <w:tcPr>
            <w:tcW w:w="2357" w:type="dxa"/>
            <w:shd w:val="clear" w:color="auto" w:fill="auto"/>
          </w:tcPr>
          <w:p w:rsidR="00A36F9B" w:rsidRDefault="000E053A">
            <w:pPr>
              <w:pStyle w:val="Text1"/>
              <w:ind w:left="0"/>
              <w:jc w:val="left"/>
              <w:rPr>
                <w:noProof/>
                <w:sz w:val="20"/>
              </w:rPr>
            </w:pPr>
            <w:r>
              <w:rPr>
                <w:noProof/>
                <w:sz w:val="20"/>
              </w:rPr>
              <w:t>PT</w:t>
            </w:r>
          </w:p>
        </w:tc>
      </w:tr>
      <w:tr w:rsidR="00A36F9B">
        <w:tc>
          <w:tcPr>
            <w:tcW w:w="7111" w:type="dxa"/>
          </w:tcPr>
          <w:p w:rsidR="00A36F9B" w:rsidRDefault="000E053A">
            <w:pPr>
              <w:pStyle w:val="Text1"/>
              <w:numPr>
                <w:ilvl w:val="0"/>
                <w:numId w:val="2"/>
              </w:numPr>
              <w:rPr>
                <w:noProof/>
                <w:sz w:val="20"/>
              </w:rPr>
            </w:pPr>
            <w:r>
              <w:rPr>
                <w:noProof/>
                <w:sz w:val="20"/>
              </w:rPr>
              <w:t>Ефективно да се изпълняват и използват създадените наскоро инициативи с цел подобряване на ефикасността, ефективността и координацията в</w:t>
            </w:r>
            <w:r>
              <w:rPr>
                <w:noProof/>
                <w:sz w:val="20"/>
              </w:rPr>
              <w:t xml:space="preserve"> публичния сектор по въпросите на околната среда, а именно като се подобри обменът на информация и документи между публичните субекти, които отговарят за проверката и мониторинга в областите на селското стопанство, моретата и околната среда, с помощта на о</w:t>
            </w:r>
            <w:r>
              <w:rPr>
                <w:noProof/>
                <w:sz w:val="20"/>
              </w:rPr>
              <w:t>перативна платформа.</w:t>
            </w:r>
          </w:p>
        </w:tc>
        <w:tc>
          <w:tcPr>
            <w:tcW w:w="2357" w:type="dxa"/>
            <w:shd w:val="clear" w:color="auto" w:fill="auto"/>
          </w:tcPr>
          <w:p w:rsidR="00A36F9B" w:rsidRDefault="000E053A">
            <w:pPr>
              <w:pStyle w:val="Text1"/>
              <w:ind w:left="0"/>
              <w:jc w:val="left"/>
              <w:rPr>
                <w:noProof/>
                <w:sz w:val="20"/>
              </w:rPr>
            </w:pPr>
            <w:r>
              <w:rPr>
                <w:noProof/>
                <w:sz w:val="20"/>
              </w:rPr>
              <w:t>PT</w:t>
            </w:r>
          </w:p>
        </w:tc>
      </w:tr>
      <w:tr w:rsidR="00A36F9B">
        <w:tc>
          <w:tcPr>
            <w:tcW w:w="7111" w:type="dxa"/>
          </w:tcPr>
          <w:p w:rsidR="00A36F9B" w:rsidRDefault="000E053A">
            <w:pPr>
              <w:pStyle w:val="Text1"/>
              <w:numPr>
                <w:ilvl w:val="0"/>
                <w:numId w:val="2"/>
              </w:numPr>
              <w:rPr>
                <w:noProof/>
                <w:sz w:val="20"/>
              </w:rPr>
            </w:pPr>
            <w:r>
              <w:rPr>
                <w:noProof/>
                <w:sz w:val="20"/>
              </w:rPr>
              <w:t>Да се ускори прилагането на стратегията за укрепване на публичната администрация, в чиито рамки следва да се отдаде нужното внимание на околната среда.</w:t>
            </w:r>
          </w:p>
        </w:tc>
        <w:tc>
          <w:tcPr>
            <w:tcW w:w="2357" w:type="dxa"/>
            <w:shd w:val="clear" w:color="auto" w:fill="auto"/>
          </w:tcPr>
          <w:p w:rsidR="00A36F9B" w:rsidRDefault="000E053A">
            <w:pPr>
              <w:pStyle w:val="Text1"/>
              <w:ind w:left="0"/>
              <w:jc w:val="left"/>
              <w:rPr>
                <w:noProof/>
                <w:sz w:val="20"/>
              </w:rPr>
            </w:pPr>
            <w:r>
              <w:rPr>
                <w:noProof/>
                <w:sz w:val="20"/>
              </w:rPr>
              <w:t>RO</w:t>
            </w:r>
          </w:p>
        </w:tc>
      </w:tr>
      <w:tr w:rsidR="00A36F9B">
        <w:tc>
          <w:tcPr>
            <w:tcW w:w="7111" w:type="dxa"/>
          </w:tcPr>
          <w:p w:rsidR="00A36F9B" w:rsidRDefault="000E053A">
            <w:pPr>
              <w:pStyle w:val="Text1"/>
              <w:numPr>
                <w:ilvl w:val="0"/>
                <w:numId w:val="2"/>
              </w:numPr>
              <w:rPr>
                <w:noProof/>
                <w:sz w:val="20"/>
              </w:rPr>
            </w:pPr>
            <w:r>
              <w:rPr>
                <w:noProof/>
                <w:sz w:val="20"/>
              </w:rPr>
              <w:t>Да се подобри административният капацитет и сътрудничеството между агенциит</w:t>
            </w:r>
            <w:r>
              <w:rPr>
                <w:noProof/>
                <w:sz w:val="20"/>
              </w:rPr>
              <w:t>е, ангажирани с изпълнението, по-специално по отношение на управлението на водите и отпадъците, както и на качеството на оценките на въздействието.</w:t>
            </w:r>
          </w:p>
        </w:tc>
        <w:tc>
          <w:tcPr>
            <w:tcW w:w="2357" w:type="dxa"/>
            <w:shd w:val="clear" w:color="auto" w:fill="auto"/>
          </w:tcPr>
          <w:p w:rsidR="00A36F9B" w:rsidRDefault="000E053A">
            <w:pPr>
              <w:pStyle w:val="Text1"/>
              <w:ind w:left="0"/>
              <w:jc w:val="left"/>
              <w:rPr>
                <w:noProof/>
                <w:sz w:val="20"/>
              </w:rPr>
            </w:pPr>
            <w:r>
              <w:rPr>
                <w:noProof/>
                <w:sz w:val="20"/>
              </w:rPr>
              <w:t>RO</w:t>
            </w:r>
          </w:p>
        </w:tc>
      </w:tr>
      <w:tr w:rsidR="00A36F9B">
        <w:tc>
          <w:tcPr>
            <w:tcW w:w="7111" w:type="dxa"/>
          </w:tcPr>
          <w:p w:rsidR="00A36F9B" w:rsidRDefault="000E053A">
            <w:pPr>
              <w:pStyle w:val="Text1"/>
              <w:numPr>
                <w:ilvl w:val="0"/>
                <w:numId w:val="2"/>
              </w:numPr>
              <w:rPr>
                <w:noProof/>
                <w:sz w:val="20"/>
              </w:rPr>
            </w:pPr>
            <w:r>
              <w:rPr>
                <w:noProof/>
                <w:sz w:val="20"/>
              </w:rPr>
              <w:t>Да се гарантира спазването на законодателството на ЕС в областта на околната среда като част от реформат</w:t>
            </w:r>
            <w:r>
              <w:rPr>
                <w:noProof/>
                <w:sz w:val="20"/>
              </w:rPr>
              <w:t>а на националната система за предоставяне на разрешителни с цел да се отстрани излишната административна тежест и да се рационализират процедурите.</w:t>
            </w:r>
          </w:p>
        </w:tc>
        <w:tc>
          <w:tcPr>
            <w:tcW w:w="2357" w:type="dxa"/>
            <w:shd w:val="clear" w:color="auto" w:fill="auto"/>
          </w:tcPr>
          <w:p w:rsidR="00A36F9B" w:rsidRDefault="000E053A">
            <w:pPr>
              <w:pStyle w:val="Text1"/>
              <w:ind w:left="0"/>
              <w:jc w:val="left"/>
              <w:rPr>
                <w:noProof/>
                <w:sz w:val="20"/>
              </w:rPr>
            </w:pPr>
            <w:r>
              <w:rPr>
                <w:noProof/>
                <w:sz w:val="20"/>
              </w:rPr>
              <w:t>SI</w:t>
            </w:r>
          </w:p>
        </w:tc>
      </w:tr>
      <w:tr w:rsidR="00A36F9B">
        <w:tc>
          <w:tcPr>
            <w:tcW w:w="7111" w:type="dxa"/>
          </w:tcPr>
          <w:p w:rsidR="00A36F9B" w:rsidRDefault="000E053A">
            <w:pPr>
              <w:pStyle w:val="Text1"/>
              <w:numPr>
                <w:ilvl w:val="0"/>
                <w:numId w:val="2"/>
              </w:numPr>
              <w:rPr>
                <w:noProof/>
                <w:sz w:val="20"/>
              </w:rPr>
            </w:pPr>
            <w:r>
              <w:rPr>
                <w:noProof/>
                <w:sz w:val="20"/>
              </w:rPr>
              <w:t>Да се подобри прилагането на оценката на въздействието върху околната среда и стратегическата екологична</w:t>
            </w:r>
            <w:r>
              <w:rPr>
                <w:noProof/>
                <w:sz w:val="20"/>
              </w:rPr>
              <w:t xml:space="preserve"> оценка като важни инструменти, с които се гарантира интегрирането на екологичните аспекти.</w:t>
            </w:r>
          </w:p>
        </w:tc>
        <w:tc>
          <w:tcPr>
            <w:tcW w:w="2357" w:type="dxa"/>
            <w:shd w:val="clear" w:color="auto" w:fill="auto"/>
          </w:tcPr>
          <w:p w:rsidR="00A36F9B" w:rsidRDefault="000E053A">
            <w:pPr>
              <w:pStyle w:val="Text1"/>
              <w:ind w:left="0"/>
              <w:jc w:val="left"/>
              <w:rPr>
                <w:noProof/>
                <w:sz w:val="20"/>
              </w:rPr>
            </w:pPr>
            <w:r>
              <w:rPr>
                <w:noProof/>
                <w:sz w:val="20"/>
              </w:rPr>
              <w:t>CZ, SK</w:t>
            </w:r>
          </w:p>
        </w:tc>
      </w:tr>
      <w:tr w:rsidR="00A36F9B">
        <w:tc>
          <w:tcPr>
            <w:tcW w:w="9468" w:type="dxa"/>
            <w:gridSpan w:val="2"/>
            <w:shd w:val="clear" w:color="auto" w:fill="C6D9F1" w:themeFill="text2" w:themeFillTint="33"/>
          </w:tcPr>
          <w:p w:rsidR="00A36F9B" w:rsidRDefault="000E053A">
            <w:pPr>
              <w:pStyle w:val="Text1"/>
              <w:ind w:left="0"/>
              <w:jc w:val="left"/>
              <w:rPr>
                <w:noProof/>
                <w:sz w:val="20"/>
              </w:rPr>
            </w:pPr>
            <w:r>
              <w:rPr>
                <w:b/>
                <w:noProof/>
                <w:sz w:val="20"/>
              </w:rPr>
              <w:t>Осигуряване на спазването на правните задължения</w:t>
            </w:r>
          </w:p>
        </w:tc>
      </w:tr>
      <w:tr w:rsidR="00A36F9B">
        <w:tc>
          <w:tcPr>
            <w:tcW w:w="7111" w:type="dxa"/>
          </w:tcPr>
          <w:p w:rsidR="00A36F9B" w:rsidRDefault="000E053A">
            <w:pPr>
              <w:pStyle w:val="ListParagraph"/>
              <w:widowControl w:val="0"/>
              <w:numPr>
                <w:ilvl w:val="0"/>
                <w:numId w:val="2"/>
              </w:numPr>
              <w:rPr>
                <w:noProof/>
                <w:sz w:val="20"/>
              </w:rPr>
            </w:pPr>
            <w:r>
              <w:rPr>
                <w:noProof/>
                <w:sz w:val="20"/>
              </w:rPr>
              <w:t xml:space="preserve">Да се подобри прозрачността относно организирането и функционирането на механизмите, с които се осигурява </w:t>
            </w:r>
            <w:r>
              <w:rPr>
                <w:noProof/>
                <w:sz w:val="20"/>
              </w:rPr>
              <w:t>спазването на правните задължения, и относно мерките за справяне със значителни рискове.</w:t>
            </w:r>
          </w:p>
        </w:tc>
        <w:tc>
          <w:tcPr>
            <w:tcW w:w="2357" w:type="dxa"/>
            <w:shd w:val="clear" w:color="auto" w:fill="auto"/>
          </w:tcPr>
          <w:p w:rsidR="00A36F9B" w:rsidRDefault="000E053A">
            <w:pPr>
              <w:rPr>
                <w:noProof/>
              </w:rPr>
            </w:pPr>
            <w:r>
              <w:rPr>
                <w:noProof/>
              </w:rPr>
              <w:t>AT, BE, BG, CZ, DE, DK, EE, EL, ES, FI, FR, HR, HU, IE, IT, LT, LU, LV, MT, NL, PL, PT, RO, SE, SI, SK, UK</w:t>
            </w:r>
          </w:p>
        </w:tc>
      </w:tr>
      <w:tr w:rsidR="00A36F9B">
        <w:tc>
          <w:tcPr>
            <w:tcW w:w="7111" w:type="dxa"/>
          </w:tcPr>
          <w:p w:rsidR="00A36F9B" w:rsidRDefault="000E053A">
            <w:pPr>
              <w:pStyle w:val="ListParagraph"/>
              <w:widowControl w:val="0"/>
              <w:numPr>
                <w:ilvl w:val="0"/>
                <w:numId w:val="2"/>
              </w:numPr>
              <w:rPr>
                <w:noProof/>
                <w:sz w:val="20"/>
              </w:rPr>
            </w:pPr>
            <w:r>
              <w:rPr>
                <w:noProof/>
                <w:sz w:val="20"/>
              </w:rPr>
              <w:t xml:space="preserve">Да се насърчи по-активното участие на компетентните органи </w:t>
            </w:r>
            <w:r>
              <w:rPr>
                <w:noProof/>
                <w:sz w:val="20"/>
              </w:rPr>
              <w:t xml:space="preserve">в мрежите, свързани със изпълнението на задълженията в областта на околната среда. </w:t>
            </w:r>
          </w:p>
        </w:tc>
        <w:tc>
          <w:tcPr>
            <w:tcW w:w="2357" w:type="dxa"/>
          </w:tcPr>
          <w:p w:rsidR="00A36F9B" w:rsidRDefault="000E053A">
            <w:pPr>
              <w:rPr>
                <w:noProof/>
              </w:rPr>
            </w:pPr>
            <w:r>
              <w:rPr>
                <w:noProof/>
              </w:rPr>
              <w:t>AT, BG, CY, CZ, DK, EE, EL, FI, HR, HU, LU, LV, PT, RO, SE, SI, SK</w:t>
            </w:r>
          </w:p>
        </w:tc>
      </w:tr>
      <w:tr w:rsidR="00A36F9B">
        <w:tc>
          <w:tcPr>
            <w:tcW w:w="7111" w:type="dxa"/>
          </w:tcPr>
          <w:p w:rsidR="00A36F9B" w:rsidRDefault="000E053A">
            <w:pPr>
              <w:pStyle w:val="ListParagraph"/>
              <w:numPr>
                <w:ilvl w:val="0"/>
                <w:numId w:val="2"/>
              </w:numPr>
              <w:rPr>
                <w:noProof/>
                <w:sz w:val="20"/>
              </w:rPr>
            </w:pPr>
            <w:r>
              <w:rPr>
                <w:noProof/>
                <w:sz w:val="20"/>
              </w:rPr>
              <w:t>Да се повишат усилията за прилагането на Директивата относно екологичната отговорност с помощта на проак</w:t>
            </w:r>
            <w:r>
              <w:rPr>
                <w:noProof/>
                <w:sz w:val="20"/>
              </w:rPr>
              <w:t>тивни инициативи, като например създаване на национален регистър на инцидентите във връзка с Директивата относно екологичната отговорност и/или изготвяне на национални насоки.</w:t>
            </w:r>
          </w:p>
        </w:tc>
        <w:tc>
          <w:tcPr>
            <w:tcW w:w="2357" w:type="dxa"/>
            <w:shd w:val="clear" w:color="auto" w:fill="auto"/>
          </w:tcPr>
          <w:p w:rsidR="00A36F9B" w:rsidRDefault="000E053A">
            <w:pPr>
              <w:rPr>
                <w:noProof/>
              </w:rPr>
            </w:pPr>
            <w:r>
              <w:rPr>
                <w:noProof/>
              </w:rPr>
              <w:t xml:space="preserve">AT, BE, BG, CY, CZ, DE, EE, EL, FI, FR, HR, HU, IT, LT, LU, LV, MT, PL, RO, SE, </w:t>
            </w:r>
            <w:r>
              <w:rPr>
                <w:noProof/>
              </w:rPr>
              <w:t>SI, SK</w:t>
            </w:r>
          </w:p>
        </w:tc>
      </w:tr>
      <w:tr w:rsidR="00A36F9B">
        <w:tc>
          <w:tcPr>
            <w:tcW w:w="7111" w:type="dxa"/>
          </w:tcPr>
          <w:p w:rsidR="00A36F9B" w:rsidRDefault="000E053A">
            <w:pPr>
              <w:pStyle w:val="ListParagraph"/>
              <w:numPr>
                <w:ilvl w:val="0"/>
                <w:numId w:val="2"/>
              </w:numPr>
              <w:rPr>
                <w:noProof/>
                <w:sz w:val="20"/>
              </w:rPr>
            </w:pPr>
            <w:r>
              <w:rPr>
                <w:noProof/>
                <w:sz w:val="20"/>
              </w:rPr>
              <w:t>Да се предприемат по-нататъшни стъпки за гарантиране на ефективна система за финансово обезпечение за екологичната отговорност.</w:t>
            </w:r>
          </w:p>
        </w:tc>
        <w:tc>
          <w:tcPr>
            <w:tcW w:w="2357" w:type="dxa"/>
            <w:shd w:val="clear" w:color="auto" w:fill="auto"/>
          </w:tcPr>
          <w:p w:rsidR="00A36F9B" w:rsidRDefault="000E053A">
            <w:pPr>
              <w:pStyle w:val="Text1"/>
              <w:ind w:left="0"/>
              <w:jc w:val="left"/>
              <w:rPr>
                <w:noProof/>
                <w:sz w:val="20"/>
              </w:rPr>
            </w:pPr>
            <w:r>
              <w:rPr>
                <w:noProof/>
                <w:sz w:val="20"/>
              </w:rPr>
              <w:t>BE, CY, DK, EE, FI, FR, HR, HU, IE, IT, LT, LU, LV, MT, NL, PL, RO, SE, SI, UK</w:t>
            </w:r>
          </w:p>
        </w:tc>
      </w:tr>
      <w:tr w:rsidR="00A36F9B">
        <w:tc>
          <w:tcPr>
            <w:tcW w:w="9468" w:type="dxa"/>
            <w:gridSpan w:val="2"/>
            <w:shd w:val="clear" w:color="auto" w:fill="C6D9F1" w:themeFill="text2" w:themeFillTint="33"/>
          </w:tcPr>
          <w:p w:rsidR="00A36F9B" w:rsidRDefault="000E053A">
            <w:pPr>
              <w:pStyle w:val="Text1"/>
              <w:ind w:left="0"/>
              <w:jc w:val="left"/>
              <w:rPr>
                <w:noProof/>
                <w:sz w:val="20"/>
              </w:rPr>
            </w:pPr>
            <w:bookmarkStart w:id="10" w:name="_Toc439678163"/>
            <w:r>
              <w:rPr>
                <w:b/>
                <w:noProof/>
                <w:sz w:val="20"/>
              </w:rPr>
              <w:t xml:space="preserve">Участие на обществеността и достъп до </w:t>
            </w:r>
            <w:r>
              <w:rPr>
                <w:b/>
                <w:noProof/>
                <w:sz w:val="20"/>
              </w:rPr>
              <w:t>правосъдие</w:t>
            </w:r>
            <w:bookmarkEnd w:id="10"/>
          </w:p>
        </w:tc>
      </w:tr>
      <w:tr w:rsidR="00A36F9B">
        <w:tc>
          <w:tcPr>
            <w:tcW w:w="7111" w:type="dxa"/>
          </w:tcPr>
          <w:p w:rsidR="00A36F9B" w:rsidRDefault="000E053A">
            <w:pPr>
              <w:pStyle w:val="Text1"/>
              <w:numPr>
                <w:ilvl w:val="0"/>
                <w:numId w:val="2"/>
              </w:numPr>
              <w:rPr>
                <w:noProof/>
                <w:sz w:val="20"/>
              </w:rPr>
            </w:pPr>
            <w:bookmarkStart w:id="11" w:name="_Toc454544448"/>
            <w:bookmarkStart w:id="12" w:name="_Toc454546709"/>
            <w:r>
              <w:rPr>
                <w:noProof/>
                <w:sz w:val="20"/>
              </w:rPr>
              <w:t xml:space="preserve">Да се предприемат необходимите мерки, с които във всички секторни законодателни актове на ЕС в областта на околната среда да се гарантира правото на иск на природозащитни неправителствени организации да оспорват действия или пропуски на </w:t>
            </w:r>
            <w:r>
              <w:rPr>
                <w:noProof/>
                <w:sz w:val="20"/>
              </w:rPr>
              <w:t>публичните органи в пълно съответствие с правото на ЕС, както и с Конвенцията за достъпа до информация, участието на обществеността в процеса на вземане на решения и достъпа до правосъдие по въпроси на околната среда (Конвенцията от Орхус).</w:t>
            </w:r>
            <w:bookmarkEnd w:id="11"/>
            <w:bookmarkEnd w:id="12"/>
          </w:p>
        </w:tc>
        <w:tc>
          <w:tcPr>
            <w:tcW w:w="2357" w:type="dxa"/>
            <w:shd w:val="clear" w:color="auto" w:fill="auto"/>
          </w:tcPr>
          <w:p w:rsidR="00A36F9B" w:rsidRDefault="000E053A">
            <w:pPr>
              <w:pStyle w:val="Text1"/>
              <w:ind w:left="0"/>
              <w:jc w:val="left"/>
              <w:rPr>
                <w:noProof/>
                <w:sz w:val="20"/>
              </w:rPr>
            </w:pPr>
            <w:r>
              <w:rPr>
                <w:noProof/>
                <w:sz w:val="20"/>
              </w:rPr>
              <w:t>AT, BE, BG, CZ,</w:t>
            </w:r>
            <w:r>
              <w:rPr>
                <w:noProof/>
                <w:sz w:val="20"/>
              </w:rPr>
              <w:t xml:space="preserve"> DE, HU, IT, PL, SE, SI, SK</w:t>
            </w:r>
          </w:p>
        </w:tc>
      </w:tr>
      <w:tr w:rsidR="00A36F9B">
        <w:tc>
          <w:tcPr>
            <w:tcW w:w="7111" w:type="dxa"/>
          </w:tcPr>
          <w:p w:rsidR="00A36F9B" w:rsidRDefault="000E053A">
            <w:pPr>
              <w:pStyle w:val="Text1"/>
              <w:numPr>
                <w:ilvl w:val="0"/>
                <w:numId w:val="2"/>
              </w:numPr>
              <w:rPr>
                <w:noProof/>
                <w:sz w:val="20"/>
              </w:rPr>
            </w:pPr>
            <w:r>
              <w:rPr>
                <w:noProof/>
                <w:sz w:val="20"/>
              </w:rPr>
              <w:t>Да се извърши оценка на разходите за правните предизвикателства, свързани със законодателството на ЕС в областта на околната среда, и да се положат усилия с цел да се гарантира, че тези разходи не са прекалено високи.</w:t>
            </w:r>
          </w:p>
        </w:tc>
        <w:tc>
          <w:tcPr>
            <w:tcW w:w="2357" w:type="dxa"/>
            <w:shd w:val="clear" w:color="auto" w:fill="auto"/>
          </w:tcPr>
          <w:p w:rsidR="00A36F9B" w:rsidRDefault="000E053A">
            <w:pPr>
              <w:pStyle w:val="Text1"/>
              <w:ind w:left="0"/>
              <w:jc w:val="left"/>
              <w:rPr>
                <w:noProof/>
                <w:sz w:val="20"/>
              </w:rPr>
            </w:pPr>
            <w:r>
              <w:rPr>
                <w:noProof/>
                <w:sz w:val="20"/>
              </w:rPr>
              <w:t>CY, DK, E</w:t>
            </w:r>
            <w:r>
              <w:rPr>
                <w:noProof/>
                <w:sz w:val="20"/>
              </w:rPr>
              <w:t>E, ES, FR, IE, LU, MT, RO, UK</w:t>
            </w:r>
          </w:p>
        </w:tc>
      </w:tr>
      <w:tr w:rsidR="00A36F9B">
        <w:tc>
          <w:tcPr>
            <w:tcW w:w="9468" w:type="dxa"/>
            <w:gridSpan w:val="2"/>
            <w:shd w:val="clear" w:color="auto" w:fill="C6D9F1" w:themeFill="text2" w:themeFillTint="33"/>
          </w:tcPr>
          <w:p w:rsidR="00A36F9B" w:rsidRDefault="000E053A">
            <w:pPr>
              <w:pStyle w:val="Text1"/>
              <w:ind w:left="0"/>
              <w:jc w:val="left"/>
              <w:rPr>
                <w:noProof/>
                <w:sz w:val="20"/>
              </w:rPr>
            </w:pPr>
            <w:bookmarkStart w:id="13" w:name="_Toc439678165"/>
            <w:r>
              <w:rPr>
                <w:b/>
                <w:noProof/>
                <w:sz w:val="20"/>
              </w:rPr>
              <w:t>Достъп до информация, знания и данни</w:t>
            </w:r>
            <w:bookmarkEnd w:id="13"/>
          </w:p>
        </w:tc>
      </w:tr>
      <w:tr w:rsidR="00A36F9B">
        <w:tc>
          <w:tcPr>
            <w:tcW w:w="7111" w:type="dxa"/>
          </w:tcPr>
          <w:p w:rsidR="00A36F9B" w:rsidRDefault="000E053A">
            <w:pPr>
              <w:pStyle w:val="ListParagraph"/>
              <w:widowControl w:val="0"/>
              <w:numPr>
                <w:ilvl w:val="0"/>
                <w:numId w:val="2"/>
              </w:numPr>
              <w:rPr>
                <w:noProof/>
                <w:sz w:val="20"/>
              </w:rPr>
            </w:pPr>
            <w:r>
              <w:rPr>
                <w:noProof/>
                <w:sz w:val="20"/>
              </w:rPr>
              <w:t xml:space="preserve">Да се извърши критичен преглед на ефективността на политиките на държавата относно данните и да се направят изменения, съобразени с най-добрите практики. </w:t>
            </w:r>
          </w:p>
        </w:tc>
        <w:tc>
          <w:tcPr>
            <w:tcW w:w="2357" w:type="dxa"/>
            <w:shd w:val="clear" w:color="auto" w:fill="auto"/>
          </w:tcPr>
          <w:p w:rsidR="00A36F9B" w:rsidRDefault="000E053A">
            <w:pPr>
              <w:pStyle w:val="Text1"/>
              <w:ind w:left="0"/>
              <w:jc w:val="left"/>
              <w:rPr>
                <w:noProof/>
                <w:sz w:val="20"/>
              </w:rPr>
            </w:pPr>
            <w:r>
              <w:rPr>
                <w:noProof/>
                <w:sz w:val="20"/>
              </w:rPr>
              <w:t xml:space="preserve">AT, BE, BG, CY, CZ, EE, EL, HR, </w:t>
            </w:r>
            <w:r>
              <w:rPr>
                <w:noProof/>
                <w:sz w:val="20"/>
              </w:rPr>
              <w:t>HU, IT, LT, MT, PT, RO, SI, SK</w:t>
            </w:r>
          </w:p>
        </w:tc>
      </w:tr>
      <w:tr w:rsidR="00A36F9B">
        <w:tc>
          <w:tcPr>
            <w:tcW w:w="7111" w:type="dxa"/>
          </w:tcPr>
          <w:p w:rsidR="00A36F9B" w:rsidRDefault="000E053A">
            <w:pPr>
              <w:pStyle w:val="ListParagraph"/>
              <w:widowControl w:val="0"/>
              <w:numPr>
                <w:ilvl w:val="0"/>
                <w:numId w:val="2"/>
              </w:numPr>
              <w:rPr>
                <w:noProof/>
                <w:sz w:val="20"/>
              </w:rPr>
            </w:pPr>
            <w:r>
              <w:rPr>
                <w:noProof/>
                <w:sz w:val="20"/>
              </w:rPr>
              <w:t xml:space="preserve">Да се установят и документират всички групи пространствени данни, необходими за прилагането на законодателството в областта на околната среда, и тези данни и документи да бъдат достъпни поне във вида, в който се намират, за </w:t>
            </w:r>
            <w:r>
              <w:rPr>
                <w:noProof/>
                <w:sz w:val="20"/>
              </w:rPr>
              <w:t>други публични органи и за обществеността чрез цифровите услуги, предвидени в Директивата INSPIRE.</w:t>
            </w:r>
          </w:p>
        </w:tc>
        <w:tc>
          <w:tcPr>
            <w:tcW w:w="2357" w:type="dxa"/>
          </w:tcPr>
          <w:p w:rsidR="00A36F9B" w:rsidRDefault="000E053A">
            <w:pPr>
              <w:pStyle w:val="Text1"/>
              <w:ind w:left="0"/>
              <w:jc w:val="left"/>
              <w:rPr>
                <w:noProof/>
                <w:sz w:val="20"/>
              </w:rPr>
            </w:pPr>
            <w:r>
              <w:rPr>
                <w:noProof/>
                <w:sz w:val="20"/>
              </w:rPr>
              <w:t>AT, BE, BG, CY, CZ, DE, DK, EE, EL, ES, FI, FR, HR, HU, IE, IT, LT, LU, LV, MT, NL, PL, PT, RO, SE, SI, SK, UK</w:t>
            </w:r>
          </w:p>
        </w:tc>
      </w:tr>
    </w:tbl>
    <w:p w:rsidR="00A36F9B" w:rsidRDefault="00A36F9B">
      <w:pPr>
        <w:rPr>
          <w:noProof/>
        </w:rPr>
      </w:pPr>
    </w:p>
    <w:sectPr w:rsidR="00A36F9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F9B" w:rsidRDefault="000E053A">
      <w:pPr>
        <w:spacing w:after="0" w:line="240" w:lineRule="auto"/>
      </w:pPr>
      <w:r>
        <w:separator/>
      </w:r>
    </w:p>
  </w:endnote>
  <w:endnote w:type="continuationSeparator" w:id="0">
    <w:p w:rsidR="00A36F9B" w:rsidRDefault="000E053A">
      <w:pPr>
        <w:spacing w:after="0" w:line="240" w:lineRule="auto"/>
      </w:pPr>
      <w:r>
        <w:continuationSeparator/>
      </w:r>
    </w:p>
  </w:endnote>
  <w:endnote w:type="continuationNotice" w:id="1">
    <w:p w:rsidR="00A36F9B" w:rsidRDefault="00A36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3A" w:rsidRPr="000E053A" w:rsidRDefault="000E053A" w:rsidP="000E0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3A" w:rsidRPr="000E053A" w:rsidRDefault="000E053A" w:rsidP="000E053A">
    <w:pPr>
      <w:pStyle w:val="FooterCoverPage"/>
      <w:rPr>
        <w:rFonts w:ascii="Arial" w:hAnsi="Arial" w:cs="Arial"/>
        <w:b/>
        <w:sz w:val="48"/>
      </w:rPr>
    </w:pPr>
    <w:r w:rsidRPr="000E053A">
      <w:rPr>
        <w:rFonts w:ascii="Arial" w:hAnsi="Arial" w:cs="Arial"/>
        <w:b/>
        <w:sz w:val="48"/>
      </w:rPr>
      <w:t>BG</w:t>
    </w:r>
    <w:r w:rsidRPr="000E053A">
      <w:rPr>
        <w:rFonts w:ascii="Arial" w:hAnsi="Arial" w:cs="Arial"/>
        <w:b/>
        <w:sz w:val="48"/>
      </w:rPr>
      <w:tab/>
    </w:r>
    <w:r w:rsidRPr="000E053A">
      <w:rPr>
        <w:rFonts w:ascii="Arial" w:hAnsi="Arial" w:cs="Arial"/>
        <w:b/>
        <w:sz w:val="48"/>
      </w:rPr>
      <w:tab/>
    </w:r>
    <w:fldSimple w:instr=" DOCVARIABLE &quot;LW_Confidence&quot; \* MERGEFORMAT ">
      <w:r>
        <w:t xml:space="preserve"> </w:t>
      </w:r>
    </w:fldSimple>
    <w:r w:rsidRPr="000E053A">
      <w:tab/>
    </w:r>
    <w:r w:rsidRPr="000E053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3A" w:rsidRPr="000E053A" w:rsidRDefault="000E053A" w:rsidP="000E053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B" w:rsidRDefault="00A36F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50236"/>
      <w:docPartObj>
        <w:docPartGallery w:val="Page Numbers (Bottom of Page)"/>
        <w:docPartUnique/>
      </w:docPartObj>
    </w:sdtPr>
    <w:sdtEndPr>
      <w:rPr>
        <w:noProof/>
      </w:rPr>
    </w:sdtEndPr>
    <w:sdtContent>
      <w:p w:rsidR="00A36F9B" w:rsidRDefault="000E053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A36F9B" w:rsidRDefault="00A36F9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B" w:rsidRDefault="00A36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F9B" w:rsidRDefault="000E053A">
      <w:pPr>
        <w:spacing w:after="0" w:line="240" w:lineRule="auto"/>
      </w:pPr>
      <w:r>
        <w:separator/>
      </w:r>
    </w:p>
  </w:footnote>
  <w:footnote w:type="continuationSeparator" w:id="0">
    <w:p w:rsidR="00A36F9B" w:rsidRDefault="000E053A">
      <w:pPr>
        <w:spacing w:after="0" w:line="240" w:lineRule="auto"/>
      </w:pPr>
      <w:r>
        <w:continuationSeparator/>
      </w:r>
    </w:p>
  </w:footnote>
  <w:footnote w:type="continuationNotice" w:id="1">
    <w:p w:rsidR="00A36F9B" w:rsidRDefault="00A36F9B">
      <w:pPr>
        <w:spacing w:after="0" w:line="240" w:lineRule="auto"/>
      </w:pPr>
    </w:p>
  </w:footnote>
  <w:footnote w:id="2">
    <w:p w:rsidR="00A36F9B" w:rsidRDefault="000E053A">
      <w:pPr>
        <w:pStyle w:val="FootnoteText"/>
        <w:tabs>
          <w:tab w:val="left" w:pos="2552"/>
        </w:tabs>
        <w:rPr>
          <w:szCs w:val="18"/>
        </w:rPr>
      </w:pPr>
      <w:r>
        <w:rPr>
          <w:rStyle w:val="FootnoteReference"/>
        </w:rPr>
        <w:footnoteRef/>
      </w:r>
      <w:r>
        <w:t xml:space="preserve"> </w:t>
      </w:r>
      <w:r>
        <w:tab/>
        <w:t>В настоящото приложение се обобщават предложените действия, които се съдържат в 28-те доклада по държави, посветени на прегледа на изпълнението на политиките в областта на околната среда. Важно е да се отбележи, че в рамките на настоящия първи цикъл от пр</w:t>
      </w:r>
      <w:r>
        <w:t>егледа Комисията реши да акцентира върху ограничен брой действия, по отношение на които следва да се предприемат приоритетни мерки във всяка държава членка. На този етап и в контекста на наличната информация Комисията не предлага действия във връзка с екол</w:t>
      </w:r>
      <w:r>
        <w:t>огосъобразната инфраструктура, защитата на почвите, повишаването на устойчивостта на градовете, екологичното данъчно облагане и постепенното премахване на вредните за околната среда субсидии, независимо от обстоятелството, че тези въпроси са разгледани в д</w:t>
      </w:r>
      <w:r>
        <w:t>окладите.</w:t>
      </w:r>
    </w:p>
  </w:footnote>
  <w:footnote w:id="3">
    <w:p w:rsidR="00A36F9B" w:rsidRDefault="000E053A">
      <w:pPr>
        <w:pStyle w:val="FootnoteText"/>
      </w:pPr>
      <w:r>
        <w:rPr>
          <w:rStyle w:val="FootnoteReference"/>
        </w:rPr>
        <w:footnoteRef/>
      </w:r>
      <w:r>
        <w:t xml:space="preserve"> Комисията не формулира насоки за Полша поради късното предаване на нейния доклад съгласно Рамковата директива за морска стратегия.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3A" w:rsidRPr="000E053A" w:rsidRDefault="000E053A" w:rsidP="000E0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3A" w:rsidRPr="000E053A" w:rsidRDefault="000E053A" w:rsidP="000E053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53A" w:rsidRPr="000E053A" w:rsidRDefault="000E053A" w:rsidP="000E053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B" w:rsidRDefault="00A36F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B" w:rsidRDefault="00A36F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9B" w:rsidRDefault="00A36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A5D"/>
    <w:multiLevelType w:val="hybridMultilevel"/>
    <w:tmpl w:val="EA9AB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80C77D0"/>
    <w:multiLevelType w:val="hybridMultilevel"/>
    <w:tmpl w:val="F4A8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C53E7C98"/>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CA1692A"/>
    <w:multiLevelType w:val="hybridMultilevel"/>
    <w:tmpl w:val="55041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C5D7940"/>
    <w:multiLevelType w:val="hybridMultilevel"/>
    <w:tmpl w:val="A28C8044"/>
    <w:lvl w:ilvl="0" w:tplc="CF3A71A8">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EU RESTRICTED"/>
    <w:docVar w:name="LW_CORRIGENDUM" w:val="&lt;UNUSED&gt;"/>
    <w:docVar w:name="LW_COVERPAGE_GUID" w:val="F9C277BA571143E1925BF140E1FD7C39"/>
    <w:docVar w:name="LW_CROSSREFERENCE" w:val="{SWD(2017) 33 - 60 final}"/>
    <w:docVar w:name="LW_DocType" w:val="NORMAL"/>
    <w:docVar w:name="LW_EMISSION" w:val="3.2.2017"/>
    <w:docVar w:name="LW_EMISSION_ISODATE" w:val="2017-02-03"/>
    <w:docVar w:name="LW_EMISSION_LOCATION" w:val="BRX"/>
    <w:docVar w:name="LW_EMISSION_PREFIX" w:val="\u1041?\u1088?\u1102?\u1082?\u1089?\u1077?\u1083?,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88?\u1077?\u1075?\u1083?\u1077?\u1076? \u1085?\u1072? \u1080?\u1079?\u1087?\u1098?\u1083?\u1085?\u1077?\u1085?\u1080?\u1077?\u1090?\u1086? \u1085?\u1072? \u1087?\u1086?\u1083?\u1080?\u1090?\u1080?\u1082?\u1080?\u1090?\u1077? \u1085?\u1072? \u1045?\u1057? \u1074? \u1086?\u1073?\u1083?\u1072?\u1089?\u1090?\u1090?\u1072? \u1085?\u1072? \u1086?\u1082?\u1086?\u1083?\u1085?\u1072?\u1090?\u1072? \u1089?\u1088?\u1077?\u1076?\u1072?: \u1086?\u1073?\u1097?\u1080? \u1087?\u1088?\u1077?\u1076?\u1080?\u1079?\u1074?\u1080?\u1082?\u1072?\u1090?\u1077?\u1083?\u1089?\u1090?\u1074?\u1072? \u1080? \u1085?\u1072?\u1095?\u1080?\u1085?\u1080? \u1079?\u1072? \u1086?\u1073?\u1077?\u1076?\u1080?\u1085?\u1103?\u1074?\u1072?\u1085?\u1077? \u1085?\u1072? \u1091?\u1089?\u1080?\u1083?\u1080?\u1103?\u1090?\u1072? \u1089? \u1094?\u1077?\u1083? \u1087?\u1086?\u1089?\u1090?\u1080?\u1075?\u1072?\u1085?\u1077? \u1085?\u1072? \u1087?\u1086?-\u1076?\u1086?\u1073?\u1088?\u1080? \u1088?\u1077?\u1079?\u1091?\u1083?\u1090?\u1072?\u1090?\u1080?"/>
    <w:docVar w:name="LW_PART_NBR" w:val="1"/>
    <w:docVar w:name="LW_PART_NBR_TOTAL" w:val="1"/>
    <w:docVar w:name="LW_REF.INST.NEW" w:val="COM"/>
    <w:docVar w:name="LW_REF.INST.NEW_ADOPTED" w:val="final"/>
    <w:docVar w:name="LW_REF.INST.NEW_TEXT" w:val="(2017) 63"/>
    <w:docVar w:name="LW_REF.INTERNE" w:val="&lt;UNUSED&gt;"/>
    <w:docVar w:name="LW_SUPERTITRE" w:val="&lt;UNUSED&gt;"/>
    <w:docVar w:name="LW_TITRE.OBJ.CP" w:val="\u1053?\u1040?\u1057?\u1054?\u1050?\u1048? \u1047?\u1040? \u1044?\u1066?\u1056?\u1046?\u1040?\u1042?\u1048?\u1058?\u1045? \u1063?\u1051?\u1045?\u1053?\u1050?\u1048?: \u1055?\u1056?\u1045?\u1044?\u1051?\u1054?\u1046?\u1045?\u1053?\u1048? \u1044?\u1045?\u1049?\u1057?\u1058?\u1042?\u1048?\u1071? \u1047?\u1040? \u1055?\u1054?-\u1044?\u1054?\u1041?\u1056?\u1054? \u1048?\u1047?\u1055?\u1066?\u1051?\u1053?\u1045?\u1053?\u1048?\u1045? \u1053?\u1040? \u1055?\u1054?\u1051?\u1048?\u1058?\u1048?\u1050?\u1048?\u1058?\u1045? \u1042? \u1054?\u1041?\u1051?\u1040?\u1057?\u1058?\u1058?\u1040? \u1053?\u1040? \u1054?\u1050?\u1054?\u1051?\u1053?\u1040?\u1058?\u1040? \u1057?\u1056?\u1045?\u1044?\u1040?"/>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A36F9B"/>
    <w:rsid w:val="000E053A"/>
    <w:rsid w:val="00A36F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paragraph" w:customStyle="1" w:styleId="Text1">
    <w:name w:val="Text 1"/>
    <w:basedOn w:val="Normal"/>
    <w:pPr>
      <w:suppressAutoHyphens/>
      <w:autoSpaceDN w:val="0"/>
      <w:spacing w:after="120" w:line="240" w:lineRule="auto"/>
      <w:ind w:left="482"/>
      <w:jc w:val="both"/>
      <w:textAlignment w:val="baseline"/>
    </w:pPr>
    <w:rPr>
      <w:rFonts w:ascii="Times New Roman" w:eastAsia="Calibri" w:hAnsi="Times New Roman" w:cs="Times New Roman"/>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uppressAutoHyphens/>
      <w:autoSpaceDN w:val="0"/>
      <w:spacing w:after="60" w:line="240" w:lineRule="auto"/>
      <w:ind w:left="357" w:hanging="357"/>
      <w:jc w:val="both"/>
      <w:textAlignment w:val="baseline"/>
    </w:pPr>
    <w:rPr>
      <w:rFonts w:ascii="Times New Roman" w:eastAsia="Calibri" w:hAnsi="Times New Roman" w:cs="Times New Roman"/>
      <w:sz w:val="18"/>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Calibri" w:hAnsi="Times New Roman" w:cs="Times New Roman"/>
      <w:sz w:val="18"/>
    </w:rPr>
  </w:style>
  <w:style w:type="paragraph" w:styleId="ListParagraph">
    <w:name w:val="List Paragraph"/>
    <w:basedOn w:val="Normal"/>
    <w:uiPriority w:val="34"/>
    <w:qFormat/>
    <w:pPr>
      <w:suppressAutoHyphens/>
      <w:autoSpaceDN w:val="0"/>
      <w:spacing w:after="120" w:line="240" w:lineRule="auto"/>
      <w:ind w:left="720"/>
      <w:jc w:val="both"/>
      <w:textAlignment w:val="baseline"/>
    </w:pPr>
    <w:rPr>
      <w:rFonts w:ascii="Times New Roman" w:eastAsia="Calibri" w:hAnsi="Times New Roman" w:cs="Times New Roman"/>
      <w:sz w:val="24"/>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numPr>
        <w:numId w:val="6"/>
      </w:numPr>
      <w:spacing w:after="0" w:line="240" w:lineRule="auto"/>
      <w:ind w:left="170" w:hanging="170"/>
      <w:jc w:val="both"/>
    </w:pPr>
    <w:rPr>
      <w:rFonts w:ascii="Calibri" w:eastAsia="Calibri" w:hAnsi="Calibri"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paragraph" w:customStyle="1" w:styleId="Text1">
    <w:name w:val="Text 1"/>
    <w:basedOn w:val="Normal"/>
    <w:pPr>
      <w:suppressAutoHyphens/>
      <w:autoSpaceDN w:val="0"/>
      <w:spacing w:after="120" w:line="240" w:lineRule="auto"/>
      <w:ind w:left="482"/>
      <w:jc w:val="both"/>
      <w:textAlignment w:val="baseline"/>
    </w:pPr>
    <w:rPr>
      <w:rFonts w:ascii="Times New Roman" w:eastAsia="Calibri" w:hAnsi="Times New Roman" w:cs="Times New Roman"/>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uppressAutoHyphens/>
      <w:autoSpaceDN w:val="0"/>
      <w:spacing w:after="60" w:line="240" w:lineRule="auto"/>
      <w:ind w:left="357" w:hanging="357"/>
      <w:jc w:val="both"/>
      <w:textAlignment w:val="baseline"/>
    </w:pPr>
    <w:rPr>
      <w:rFonts w:ascii="Times New Roman" w:eastAsia="Calibri" w:hAnsi="Times New Roman" w:cs="Times New Roman"/>
      <w:sz w:val="18"/>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Calibri" w:hAnsi="Times New Roman" w:cs="Times New Roman"/>
      <w:sz w:val="18"/>
    </w:rPr>
  </w:style>
  <w:style w:type="paragraph" w:styleId="ListParagraph">
    <w:name w:val="List Paragraph"/>
    <w:basedOn w:val="Normal"/>
    <w:uiPriority w:val="34"/>
    <w:qFormat/>
    <w:pPr>
      <w:suppressAutoHyphens/>
      <w:autoSpaceDN w:val="0"/>
      <w:spacing w:after="120" w:line="240" w:lineRule="auto"/>
      <w:ind w:left="720"/>
      <w:jc w:val="both"/>
      <w:textAlignment w:val="baseline"/>
    </w:pPr>
    <w:rPr>
      <w:rFonts w:ascii="Times New Roman" w:eastAsia="Calibri" w:hAnsi="Times New Roman" w:cs="Times New Roman"/>
      <w:sz w:val="24"/>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numPr>
        <w:numId w:val="6"/>
      </w:numPr>
      <w:spacing w:after="0" w:line="240" w:lineRule="auto"/>
      <w:ind w:left="170" w:hanging="170"/>
      <w:jc w:val="both"/>
    </w:pPr>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8629">
      <w:bodyDiv w:val="1"/>
      <w:marLeft w:val="0"/>
      <w:marRight w:val="0"/>
      <w:marTop w:val="0"/>
      <w:marBottom w:val="0"/>
      <w:divBdr>
        <w:top w:val="none" w:sz="0" w:space="0" w:color="auto"/>
        <w:left w:val="none" w:sz="0" w:space="0" w:color="auto"/>
        <w:bottom w:val="none" w:sz="0" w:space="0" w:color="auto"/>
        <w:right w:val="none" w:sz="0" w:space="0" w:color="auto"/>
      </w:divBdr>
    </w:div>
    <w:div w:id="19843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C2C8-36CF-4CFA-8C72-9602D3FC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3884</Words>
  <Characters>21332</Characters>
  <Application>Microsoft Office Word</Application>
  <DocSecurity>0</DocSecurity>
  <Lines>537</Lines>
  <Paragraphs>178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FORNASERO Stefania (ENV)</dc:creator>
  <cp:lastModifiedBy>BARTH Carmen (SG)</cp:lastModifiedBy>
  <cp:revision>10</cp:revision>
  <cp:lastPrinted>2016-12-20T11:48:00Z</cp:lastPrinted>
  <dcterms:created xsi:type="dcterms:W3CDTF">2017-01-26T16:13:00Z</dcterms:created>
  <dcterms:modified xsi:type="dcterms:W3CDTF">2017-02-02T18:44:00Z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