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EA4" w:rsidRDefault="0017531E" w:rsidP="0017531E">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9F269B925714F0DB821646F272C9C03" style="width:450.75pt;height:498.75pt">
            <v:imagedata r:id="rId9" o:title=""/>
          </v:shape>
        </w:pict>
      </w:r>
    </w:p>
    <w:bookmarkEnd w:id="0"/>
    <w:p w:rsidR="00794EA4" w:rsidRDefault="00794EA4">
      <w:pPr>
        <w:rPr>
          <w:noProof/>
        </w:rPr>
        <w:sectPr w:rsidR="00794EA4" w:rsidSect="0017531E">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794EA4" w:rsidRDefault="00794EA4">
      <w:pPr>
        <w:widowControl w:val="0"/>
        <w:tabs>
          <w:tab w:val="right" w:leader="dot" w:pos="8640"/>
        </w:tabs>
        <w:spacing w:before="120" w:after="120" w:line="240" w:lineRule="auto"/>
        <w:jc w:val="both"/>
        <w:rPr>
          <w:rFonts w:eastAsia="Times New Roman" w:cs="Times New Roman"/>
          <w:noProof/>
          <w:szCs w:val="20"/>
        </w:rPr>
      </w:pPr>
      <w:bookmarkStart w:id="1" w:name="_GoBack"/>
      <w:bookmarkEnd w:id="1"/>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17531E">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 xml:space="preserve">This report has been written by the staff of the Directorate-General for Environment, European Commission. Any comments are welcome to the following e-mail address: </w:t>
      </w:r>
      <w:hyperlink r:id="rId16" w:history="1">
        <w:r>
          <w:rPr>
            <w:rFonts w:eastAsia="Times New Roman" w:cs="Times New Roman"/>
            <w:noProof/>
            <w:color w:val="0000FF"/>
            <w:szCs w:val="20"/>
            <w:u w:val="single"/>
          </w:rPr>
          <w:t>ENV-EIR@ec.europa.eu</w:t>
        </w:r>
      </w:hyperlink>
      <w:r>
        <w:rPr>
          <w:rFonts w:eastAsia="Times New Roman" w:cs="Times New Roman"/>
          <w:noProof/>
          <w:szCs w:val="20"/>
        </w:rPr>
        <w:t xml:space="preserve"> </w:t>
      </w:r>
    </w:p>
    <w:p w:rsidR="00794EA4" w:rsidRDefault="00794EA4">
      <w:pPr>
        <w:widowControl w:val="0"/>
        <w:tabs>
          <w:tab w:val="right" w:leader="dot" w:pos="8640"/>
        </w:tabs>
        <w:spacing w:before="120" w:after="120" w:line="240" w:lineRule="auto"/>
        <w:ind w:left="482" w:right="720" w:hanging="482"/>
        <w:rPr>
          <w:rFonts w:eastAsia="Times New Roman" w:cs="Times New Roman"/>
          <w:noProof/>
          <w:szCs w:val="20"/>
        </w:rPr>
      </w:pPr>
    </w:p>
    <w:p w:rsidR="00794EA4" w:rsidRDefault="0017531E">
      <w:pPr>
        <w:widowControl w:val="0"/>
        <w:tabs>
          <w:tab w:val="right" w:leader="dot" w:pos="8640"/>
        </w:tabs>
        <w:spacing w:before="120" w:after="120" w:line="240" w:lineRule="auto"/>
        <w:ind w:left="482" w:right="720" w:hanging="482"/>
        <w:rPr>
          <w:rFonts w:eastAsia="Times New Roman" w:cs="Times New Roman"/>
          <w:noProof/>
          <w:szCs w:val="20"/>
        </w:rPr>
      </w:pPr>
      <w:r>
        <w:rPr>
          <w:rFonts w:eastAsia="Times New Roman" w:cs="Times New Roman"/>
          <w:noProof/>
          <w:szCs w:val="20"/>
        </w:rPr>
        <w:t xml:space="preserve">More information on the </w:t>
      </w:r>
      <w:r>
        <w:rPr>
          <w:rFonts w:eastAsia="Times New Roman" w:cs="Times New Roman"/>
          <w:noProof/>
          <w:szCs w:val="20"/>
        </w:rPr>
        <w:t>European Union is available on the internet (</w:t>
      </w:r>
      <w:hyperlink r:id="rId17" w:history="1">
        <w:r>
          <w:rPr>
            <w:rFonts w:eastAsia="Times New Roman" w:cs="Times New Roman"/>
            <w:noProof/>
            <w:color w:val="0000FF"/>
            <w:szCs w:val="20"/>
            <w:u w:val="single"/>
          </w:rPr>
          <w:t>http://europa.eu</w:t>
        </w:r>
      </w:hyperlink>
      <w:r>
        <w:rPr>
          <w:rFonts w:eastAsia="Times New Roman" w:cs="Times New Roman"/>
          <w:noProof/>
          <w:szCs w:val="20"/>
        </w:rPr>
        <w:t>).</w:t>
      </w:r>
    </w:p>
    <w:p w:rsidR="00794EA4" w:rsidRDefault="00794EA4">
      <w:pPr>
        <w:widowControl w:val="0"/>
        <w:tabs>
          <w:tab w:val="right" w:leader="dot" w:pos="8640"/>
        </w:tabs>
        <w:spacing w:before="120" w:after="120" w:line="240" w:lineRule="auto"/>
        <w:ind w:left="482" w:right="720" w:hanging="482"/>
        <w:rPr>
          <w:rFonts w:eastAsia="Times New Roman" w:cs="Times New Roman"/>
          <w:noProof/>
          <w:szCs w:val="20"/>
        </w:rPr>
      </w:pPr>
    </w:p>
    <w:p w:rsidR="00794EA4" w:rsidRDefault="0017531E">
      <w:pPr>
        <w:widowControl w:val="0"/>
        <w:tabs>
          <w:tab w:val="right" w:leader="dot" w:pos="8640"/>
        </w:tabs>
        <w:spacing w:before="120" w:after="120" w:line="240" w:lineRule="auto"/>
        <w:ind w:right="141"/>
        <w:rPr>
          <w:rFonts w:eastAsia="Times New Roman" w:cs="Times New Roman"/>
          <w:noProof/>
          <w:szCs w:val="20"/>
        </w:rPr>
      </w:pPr>
      <w:r>
        <w:rPr>
          <w:rFonts w:eastAsia="Times New Roman" w:cs="Times New Roman"/>
          <w:noProof/>
          <w:szCs w:val="20"/>
        </w:rPr>
        <w:t>Photographs: p.9 – ©LIFE08 ENV/E/000135, p.12 – ©Juergen Sack/iStock, p.15 – ©LIFE07 NAT/E/000732//OCEANA/Juan Cuetos/, p.22 – ©Scott Hortop/iStock, p.28 – ©1</w:t>
      </w:r>
      <w:r>
        <w:rPr>
          <w:rFonts w:eastAsia="Times New Roman" w:cs="Times New Roman"/>
          <w:noProof/>
          <w:szCs w:val="20"/>
        </w:rPr>
        <w:t>amgreen/iStock</w:t>
      </w:r>
    </w:p>
    <w:p w:rsidR="00794EA4" w:rsidRDefault="00794EA4">
      <w:pPr>
        <w:widowControl w:val="0"/>
        <w:tabs>
          <w:tab w:val="right" w:leader="dot" w:pos="8640"/>
        </w:tabs>
        <w:spacing w:before="120" w:after="120" w:line="240" w:lineRule="auto"/>
        <w:rPr>
          <w:rFonts w:eastAsia="Times New Roman" w:cs="Times New Roman"/>
          <w:noProof/>
          <w:szCs w:val="20"/>
        </w:rPr>
      </w:pPr>
    </w:p>
    <w:p w:rsidR="00794EA4" w:rsidRDefault="0017531E">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For reproduction or use of these photos, permission must be sought directly from the copyright holder.</w:t>
      </w:r>
    </w:p>
    <w:p w:rsidR="00794EA4" w:rsidRDefault="00794EA4">
      <w:pPr>
        <w:widowControl w:val="0"/>
        <w:tabs>
          <w:tab w:val="right" w:leader="dot" w:pos="8640"/>
        </w:tabs>
        <w:spacing w:before="120" w:after="120" w:line="240" w:lineRule="auto"/>
        <w:jc w:val="both"/>
        <w:rPr>
          <w:rFonts w:eastAsia="Times New Roman" w:cs="Times New Roman"/>
          <w:noProof/>
          <w:szCs w:val="20"/>
        </w:rPr>
      </w:pPr>
    </w:p>
    <w:p w:rsidR="00794EA4" w:rsidRDefault="0017531E">
      <w:pPr>
        <w:widowControl w:val="0"/>
        <w:tabs>
          <w:tab w:val="right" w:leader="dot" w:pos="8640"/>
        </w:tabs>
        <w:spacing w:before="120" w:after="120" w:line="240" w:lineRule="auto"/>
        <w:jc w:val="both"/>
        <w:rPr>
          <w:rFonts w:eastAsia="Times New Roman" w:cs="Times New Roman"/>
          <w:noProof/>
          <w:szCs w:val="20"/>
        </w:rPr>
      </w:pPr>
      <w:r>
        <w:rPr>
          <w:rFonts w:eastAsia="Times New Roman" w:cs="Times New Roman"/>
          <w:noProof/>
          <w:szCs w:val="20"/>
        </w:rPr>
        <w:t>©European Union, 2017</w:t>
      </w:r>
    </w:p>
    <w:p w:rsidR="00794EA4" w:rsidRDefault="0017531E">
      <w:pPr>
        <w:widowControl w:val="0"/>
        <w:tabs>
          <w:tab w:val="right" w:leader="dot" w:pos="8640"/>
        </w:tabs>
        <w:spacing w:before="120" w:after="120" w:line="240" w:lineRule="auto"/>
        <w:rPr>
          <w:rFonts w:eastAsia="Times New Roman" w:cs="Times New Roman"/>
          <w:noProof/>
          <w:szCs w:val="20"/>
        </w:rPr>
      </w:pPr>
      <w:r>
        <w:rPr>
          <w:rFonts w:eastAsia="Times New Roman" w:cs="Times New Roman"/>
          <w:noProof/>
          <w:szCs w:val="20"/>
        </w:rPr>
        <w:t>Reproduction is authorised provided the source is acknowledged.</w:t>
      </w:r>
    </w:p>
    <w:p w:rsidR="00794EA4" w:rsidRDefault="0017531E">
      <w:pPr>
        <w:widowControl w:val="0"/>
        <w:spacing w:before="240" w:after="120" w:line="240" w:lineRule="auto"/>
        <w:ind w:left="113" w:hanging="113"/>
        <w:jc w:val="center"/>
        <w:rPr>
          <w:noProof/>
        </w:rPr>
      </w:pPr>
      <w:r>
        <w:rPr>
          <w:rFonts w:eastAsia="Times New Roman"/>
          <w:b/>
          <w:noProof/>
          <w:lang w:eastAsia="en-GB"/>
        </w:rPr>
        <w:lastRenderedPageBreak/>
        <w:t>Table of Content</w:t>
      </w:r>
      <w:bookmarkStart w:id="2" w:name="_Toc432510709"/>
      <w:bookmarkStart w:id="3" w:name="_Toc432521119"/>
      <w:bookmarkStart w:id="4" w:name="_Toc433296149"/>
      <w:bookmarkEnd w:id="2"/>
      <w:bookmarkEnd w:id="3"/>
      <w:r>
        <w:rPr>
          <w:rFonts w:eastAsiaTheme="minorEastAsia"/>
          <w:b/>
          <w:caps/>
          <w:noProof/>
          <w:lang w:val="en-US" w:eastAsia="ja-JP"/>
        </w:rPr>
        <w:fldChar w:fldCharType="begin"/>
      </w:r>
      <w:r>
        <w:rPr>
          <w:rFonts w:eastAsiaTheme="minorEastAsia"/>
          <w:b/>
          <w:caps/>
          <w:noProof/>
          <w:lang w:val="en-US" w:eastAsia="ja-JP"/>
        </w:rPr>
        <w:instrText xml:space="preserve"> TOC \o "1-2" \h \z \u </w:instrText>
      </w:r>
      <w:r>
        <w:rPr>
          <w:rFonts w:eastAsiaTheme="minorEastAsia"/>
          <w:b/>
          <w:caps/>
          <w:noProof/>
          <w:lang w:val="en-US" w:eastAsia="ja-JP"/>
        </w:rPr>
        <w:fldChar w:fldCharType="separate"/>
      </w:r>
    </w:p>
    <w:p w:rsidR="00794EA4" w:rsidRDefault="0017531E">
      <w:pPr>
        <w:pStyle w:val="TOC1"/>
        <w:rPr>
          <w:rFonts w:asciiTheme="minorHAnsi" w:eastAsiaTheme="minorEastAsia" w:hAnsiTheme="minorHAnsi" w:cstheme="minorBidi"/>
          <w:caps w:val="0"/>
          <w:noProof/>
          <w:sz w:val="22"/>
          <w:szCs w:val="22"/>
          <w:lang w:eastAsia="en-GB"/>
        </w:rPr>
      </w:pPr>
      <w:hyperlink w:anchor="_Toc469492808" w:history="1">
        <w:r>
          <w:rPr>
            <w:rStyle w:val="Hyperlink"/>
            <w:rFonts w:eastAsiaTheme="majorEastAsia" w:cstheme="majorBidi"/>
            <w:bCs/>
            <w:noProof/>
          </w:rPr>
          <w:t>Executive summary</w:t>
        </w:r>
        <w:r>
          <w:rPr>
            <w:noProof/>
            <w:webHidden/>
          </w:rPr>
          <w:tab/>
        </w:r>
        <w:r>
          <w:rPr>
            <w:noProof/>
            <w:webHidden/>
          </w:rPr>
          <w:fldChar w:fldCharType="begin"/>
        </w:r>
        <w:r>
          <w:rPr>
            <w:noProof/>
            <w:webHidden/>
          </w:rPr>
          <w:instrText xml:space="preserve"> PAGEREF _Toc469492808 \h </w:instrText>
        </w:r>
        <w:r>
          <w:rPr>
            <w:noProof/>
            <w:webHidden/>
          </w:rPr>
        </w:r>
        <w:r>
          <w:rPr>
            <w:noProof/>
            <w:webHidden/>
          </w:rPr>
          <w:fldChar w:fldCharType="separate"/>
        </w:r>
        <w:r>
          <w:rPr>
            <w:noProof/>
            <w:webHidden/>
          </w:rPr>
          <w:t>4</w:t>
        </w:r>
        <w:r>
          <w:rPr>
            <w:noProof/>
            <w:webHidden/>
          </w:rPr>
          <w:fldChar w:fldCharType="end"/>
        </w:r>
      </w:hyperlink>
    </w:p>
    <w:p w:rsidR="00794EA4" w:rsidRDefault="0017531E">
      <w:pPr>
        <w:pStyle w:val="TOC1"/>
        <w:rPr>
          <w:rFonts w:asciiTheme="minorHAnsi" w:eastAsiaTheme="minorEastAsia" w:hAnsiTheme="minorHAnsi" w:cstheme="minorBidi"/>
          <w:caps w:val="0"/>
          <w:noProof/>
          <w:sz w:val="22"/>
          <w:szCs w:val="22"/>
          <w:lang w:eastAsia="en-GB"/>
        </w:rPr>
      </w:pPr>
      <w:hyperlink w:anchor="_Toc469492809" w:history="1">
        <w:r>
          <w:rPr>
            <w:rStyle w:val="Hyperlink"/>
            <w:rFonts w:eastAsiaTheme="majorEastAsia" w:cstheme="majorBidi"/>
            <w:bCs/>
            <w:noProof/>
          </w:rPr>
          <w:t>Part I: Thematic Areas</w:t>
        </w:r>
        <w:r>
          <w:rPr>
            <w:noProof/>
            <w:webHidden/>
          </w:rPr>
          <w:tab/>
        </w:r>
        <w:r>
          <w:rPr>
            <w:noProof/>
            <w:webHidden/>
          </w:rPr>
          <w:fldChar w:fldCharType="begin"/>
        </w:r>
        <w:r>
          <w:rPr>
            <w:noProof/>
            <w:webHidden/>
          </w:rPr>
          <w:instrText xml:space="preserve"> PAGEREF _Toc469492809 \h </w:instrText>
        </w:r>
        <w:r>
          <w:rPr>
            <w:noProof/>
            <w:webHidden/>
          </w:rPr>
        </w:r>
        <w:r>
          <w:rPr>
            <w:noProof/>
            <w:webHidden/>
          </w:rPr>
          <w:fldChar w:fldCharType="separate"/>
        </w:r>
        <w:r>
          <w:rPr>
            <w:noProof/>
            <w:webHidden/>
          </w:rPr>
          <w:t>6</w:t>
        </w:r>
        <w:r>
          <w:rPr>
            <w:noProof/>
            <w:webHidden/>
          </w:rPr>
          <w:fldChar w:fldCharType="end"/>
        </w:r>
      </w:hyperlink>
    </w:p>
    <w:p w:rsidR="00794EA4" w:rsidRDefault="0017531E">
      <w:pPr>
        <w:pStyle w:val="TOC1"/>
        <w:rPr>
          <w:rFonts w:asciiTheme="minorHAnsi" w:eastAsiaTheme="minorEastAsia" w:hAnsiTheme="minorHAnsi" w:cstheme="minorBidi"/>
          <w:caps w:val="0"/>
          <w:noProof/>
          <w:sz w:val="22"/>
          <w:szCs w:val="22"/>
          <w:lang w:eastAsia="en-GB"/>
        </w:rPr>
      </w:pPr>
      <w:hyperlink w:anchor="_Toc469492810" w:history="1">
        <w:r>
          <w:rPr>
            <w:rStyle w:val="Hyperlink"/>
            <w:rFonts w:eastAsiaTheme="majorEastAsia" w:cstheme="majorBidi"/>
            <w:bCs/>
            <w:noProof/>
          </w:rPr>
          <w:t>1.</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Tur</w:t>
        </w:r>
        <w:r>
          <w:rPr>
            <w:rStyle w:val="Hyperlink"/>
            <w:rFonts w:eastAsiaTheme="majorEastAsia" w:cstheme="majorBidi"/>
            <w:bCs/>
            <w:noProof/>
          </w:rPr>
          <w:t>ning the EU into a circular, resource-efficient, green and competitive low-carbon economy</w:t>
        </w:r>
        <w:r>
          <w:rPr>
            <w:noProof/>
            <w:webHidden/>
          </w:rPr>
          <w:tab/>
        </w:r>
        <w:r>
          <w:rPr>
            <w:noProof/>
            <w:webHidden/>
          </w:rPr>
          <w:fldChar w:fldCharType="begin"/>
        </w:r>
        <w:r>
          <w:rPr>
            <w:noProof/>
            <w:webHidden/>
          </w:rPr>
          <w:instrText xml:space="preserve"> PAGEREF _Toc469492810 \h </w:instrText>
        </w:r>
        <w:r>
          <w:rPr>
            <w:noProof/>
            <w:webHidden/>
          </w:rPr>
        </w:r>
        <w:r>
          <w:rPr>
            <w:noProof/>
            <w:webHidden/>
          </w:rPr>
          <w:fldChar w:fldCharType="separate"/>
        </w:r>
        <w:r>
          <w:rPr>
            <w:noProof/>
            <w:webHidden/>
          </w:rPr>
          <w:t>6</w:t>
        </w:r>
        <w:r>
          <w:rPr>
            <w:noProof/>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11" w:history="1">
        <w:r>
          <w:rPr>
            <w:rStyle w:val="Hyperlink"/>
            <w:lang w:eastAsia="en-GB"/>
          </w:rPr>
          <w:t>Developing a circular economy and impr</w:t>
        </w:r>
        <w:r>
          <w:rPr>
            <w:rStyle w:val="Hyperlink"/>
            <w:lang w:eastAsia="en-GB"/>
          </w:rPr>
          <w:t>oving resource efficiency</w:t>
        </w:r>
        <w:r>
          <w:rPr>
            <w:webHidden/>
          </w:rPr>
          <w:tab/>
        </w:r>
        <w:r>
          <w:rPr>
            <w:webHidden/>
          </w:rPr>
          <w:fldChar w:fldCharType="begin"/>
        </w:r>
        <w:r>
          <w:rPr>
            <w:webHidden/>
          </w:rPr>
          <w:instrText xml:space="preserve"> PAGEREF _Toc469492811 \h </w:instrText>
        </w:r>
        <w:r>
          <w:rPr>
            <w:webHidden/>
          </w:rPr>
        </w:r>
        <w:r>
          <w:rPr>
            <w:webHidden/>
          </w:rPr>
          <w:fldChar w:fldCharType="separate"/>
        </w:r>
        <w:r>
          <w:rPr>
            <w:webHidden/>
          </w:rPr>
          <w:t>6</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12" w:history="1">
        <w:r>
          <w:rPr>
            <w:rStyle w:val="Hyperlink"/>
          </w:rPr>
          <w:t>Waste management</w:t>
        </w:r>
        <w:r>
          <w:rPr>
            <w:webHidden/>
          </w:rPr>
          <w:tab/>
        </w:r>
        <w:r>
          <w:rPr>
            <w:webHidden/>
          </w:rPr>
          <w:fldChar w:fldCharType="begin"/>
        </w:r>
        <w:r>
          <w:rPr>
            <w:webHidden/>
          </w:rPr>
          <w:instrText xml:space="preserve"> PAGEREF _Toc469492812 \h </w:instrText>
        </w:r>
        <w:r>
          <w:rPr>
            <w:webHidden/>
          </w:rPr>
        </w:r>
        <w:r>
          <w:rPr>
            <w:webHidden/>
          </w:rPr>
          <w:fldChar w:fldCharType="separate"/>
        </w:r>
        <w:r>
          <w:rPr>
            <w:webHidden/>
          </w:rPr>
          <w:t>8</w:t>
        </w:r>
        <w:r>
          <w:rPr>
            <w:webHidden/>
          </w:rPr>
          <w:fldChar w:fldCharType="end"/>
        </w:r>
      </w:hyperlink>
    </w:p>
    <w:p w:rsidR="00794EA4" w:rsidRDefault="0017531E">
      <w:pPr>
        <w:pStyle w:val="TOC1"/>
        <w:rPr>
          <w:rFonts w:asciiTheme="minorHAnsi" w:eastAsiaTheme="minorEastAsia" w:hAnsiTheme="minorHAnsi" w:cstheme="minorBidi"/>
          <w:caps w:val="0"/>
          <w:noProof/>
          <w:sz w:val="22"/>
          <w:szCs w:val="22"/>
          <w:lang w:eastAsia="en-GB"/>
        </w:rPr>
      </w:pPr>
      <w:hyperlink w:anchor="_Toc469492813" w:history="1">
        <w:r>
          <w:rPr>
            <w:rStyle w:val="Hyperlink"/>
            <w:rFonts w:cstheme="majorBidi"/>
            <w:bCs/>
            <w:noProof/>
          </w:rPr>
          <w:t>2.</w:t>
        </w:r>
        <w:r>
          <w:rPr>
            <w:rFonts w:asciiTheme="minorHAnsi" w:eastAsiaTheme="minorEastAsia" w:hAnsiTheme="minorHAnsi" w:cstheme="minorBidi"/>
            <w:caps w:val="0"/>
            <w:noProof/>
            <w:sz w:val="22"/>
            <w:szCs w:val="22"/>
            <w:lang w:eastAsia="en-GB"/>
          </w:rPr>
          <w:tab/>
        </w:r>
        <w:r>
          <w:rPr>
            <w:rStyle w:val="Hyperlink"/>
            <w:rFonts w:cstheme="majorBidi"/>
            <w:bCs/>
            <w:noProof/>
          </w:rPr>
          <w:t>Protecting, conserving and enhancing natural capital</w:t>
        </w:r>
        <w:r>
          <w:rPr>
            <w:noProof/>
            <w:webHidden/>
          </w:rPr>
          <w:tab/>
        </w:r>
        <w:r>
          <w:rPr>
            <w:noProof/>
            <w:webHidden/>
          </w:rPr>
          <w:fldChar w:fldCharType="begin"/>
        </w:r>
        <w:r>
          <w:rPr>
            <w:noProof/>
            <w:webHidden/>
          </w:rPr>
          <w:instrText xml:space="preserve"> PAGEREF _Toc469492813 \h </w:instrText>
        </w:r>
        <w:r>
          <w:rPr>
            <w:noProof/>
            <w:webHidden/>
          </w:rPr>
        </w:r>
        <w:r>
          <w:rPr>
            <w:noProof/>
            <w:webHidden/>
          </w:rPr>
          <w:fldChar w:fldCharType="separate"/>
        </w:r>
        <w:r>
          <w:rPr>
            <w:noProof/>
            <w:webHidden/>
          </w:rPr>
          <w:t>10</w:t>
        </w:r>
        <w:r>
          <w:rPr>
            <w:noProof/>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14" w:history="1">
        <w:r>
          <w:rPr>
            <w:rStyle w:val="Hyperlink"/>
          </w:rPr>
          <w:t>Nature and Biodiversity</w:t>
        </w:r>
        <w:r>
          <w:rPr>
            <w:webHidden/>
          </w:rPr>
          <w:tab/>
        </w:r>
        <w:r>
          <w:rPr>
            <w:webHidden/>
          </w:rPr>
          <w:fldChar w:fldCharType="begin"/>
        </w:r>
        <w:r>
          <w:rPr>
            <w:webHidden/>
          </w:rPr>
          <w:instrText xml:space="preserve"> PAGEREF _Toc469492814 \h </w:instrText>
        </w:r>
        <w:r>
          <w:rPr>
            <w:webHidden/>
          </w:rPr>
        </w:r>
        <w:r>
          <w:rPr>
            <w:webHidden/>
          </w:rPr>
          <w:fldChar w:fldCharType="separate"/>
        </w:r>
        <w:r>
          <w:rPr>
            <w:webHidden/>
          </w:rPr>
          <w:t>10</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15" w:history="1">
        <w:r>
          <w:rPr>
            <w:rStyle w:val="Hyperlink"/>
          </w:rPr>
          <w:t>Green Infrastructure</w:t>
        </w:r>
        <w:r>
          <w:rPr>
            <w:webHidden/>
          </w:rPr>
          <w:tab/>
        </w:r>
        <w:r>
          <w:rPr>
            <w:webHidden/>
          </w:rPr>
          <w:fldChar w:fldCharType="begin"/>
        </w:r>
        <w:r>
          <w:rPr>
            <w:webHidden/>
          </w:rPr>
          <w:instrText xml:space="preserve"> PAGEREF _Toc469492815 \h </w:instrText>
        </w:r>
        <w:r>
          <w:rPr>
            <w:webHidden/>
          </w:rPr>
        </w:r>
        <w:r>
          <w:rPr>
            <w:webHidden/>
          </w:rPr>
          <w:fldChar w:fldCharType="separate"/>
        </w:r>
        <w:r>
          <w:rPr>
            <w:webHidden/>
          </w:rPr>
          <w:t>13</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16" w:history="1">
        <w:r>
          <w:rPr>
            <w:rStyle w:val="Hyperlink"/>
          </w:rPr>
          <w:t>Soil protection</w:t>
        </w:r>
        <w:r>
          <w:rPr>
            <w:webHidden/>
          </w:rPr>
          <w:tab/>
        </w:r>
        <w:r>
          <w:rPr>
            <w:webHidden/>
          </w:rPr>
          <w:fldChar w:fldCharType="begin"/>
        </w:r>
        <w:r>
          <w:rPr>
            <w:webHidden/>
          </w:rPr>
          <w:instrText xml:space="preserve"> PAGEREF _Toc469492816 \h </w:instrText>
        </w:r>
        <w:r>
          <w:rPr>
            <w:webHidden/>
          </w:rPr>
        </w:r>
        <w:r>
          <w:rPr>
            <w:webHidden/>
          </w:rPr>
          <w:fldChar w:fldCharType="separate"/>
        </w:r>
        <w:r>
          <w:rPr>
            <w:webHidden/>
          </w:rPr>
          <w:t>14</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17" w:history="1">
        <w:r>
          <w:rPr>
            <w:rStyle w:val="Hyperlink"/>
          </w:rPr>
          <w:t>Marine protection</w:t>
        </w:r>
        <w:r>
          <w:rPr>
            <w:webHidden/>
          </w:rPr>
          <w:tab/>
        </w:r>
        <w:r>
          <w:rPr>
            <w:webHidden/>
          </w:rPr>
          <w:fldChar w:fldCharType="begin"/>
        </w:r>
        <w:r>
          <w:rPr>
            <w:webHidden/>
          </w:rPr>
          <w:instrText xml:space="preserve"> PAGEREF _Toc469492817 \h </w:instrText>
        </w:r>
        <w:r>
          <w:rPr>
            <w:webHidden/>
          </w:rPr>
        </w:r>
        <w:r>
          <w:rPr>
            <w:webHidden/>
          </w:rPr>
          <w:fldChar w:fldCharType="separate"/>
        </w:r>
        <w:r>
          <w:rPr>
            <w:webHidden/>
          </w:rPr>
          <w:t>15</w:t>
        </w:r>
        <w:r>
          <w:rPr>
            <w:webHidden/>
          </w:rPr>
          <w:fldChar w:fldCharType="end"/>
        </w:r>
      </w:hyperlink>
    </w:p>
    <w:p w:rsidR="00794EA4" w:rsidRDefault="0017531E">
      <w:pPr>
        <w:pStyle w:val="TOC1"/>
        <w:rPr>
          <w:rFonts w:asciiTheme="minorHAnsi" w:eastAsiaTheme="minorEastAsia" w:hAnsiTheme="minorHAnsi" w:cstheme="minorBidi"/>
          <w:caps w:val="0"/>
          <w:noProof/>
          <w:sz w:val="22"/>
          <w:szCs w:val="22"/>
          <w:lang w:eastAsia="en-GB"/>
        </w:rPr>
      </w:pPr>
      <w:hyperlink w:anchor="_Toc469492818" w:history="1">
        <w:r>
          <w:rPr>
            <w:rStyle w:val="Hyperlink"/>
            <w:rFonts w:eastAsiaTheme="majorEastAsia" w:cstheme="majorBidi"/>
            <w:bCs/>
            <w:noProof/>
          </w:rPr>
          <w:t>3.</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Ensuring citizens' health and quality of life</w:t>
        </w:r>
        <w:r>
          <w:rPr>
            <w:noProof/>
            <w:webHidden/>
          </w:rPr>
          <w:tab/>
        </w:r>
        <w:r>
          <w:rPr>
            <w:noProof/>
            <w:webHidden/>
          </w:rPr>
          <w:fldChar w:fldCharType="begin"/>
        </w:r>
        <w:r>
          <w:rPr>
            <w:noProof/>
            <w:webHidden/>
          </w:rPr>
          <w:instrText xml:space="preserve"> PAGEREF _Toc469492818 \h </w:instrText>
        </w:r>
        <w:r>
          <w:rPr>
            <w:noProof/>
            <w:webHidden/>
          </w:rPr>
        </w:r>
        <w:r>
          <w:rPr>
            <w:noProof/>
            <w:webHidden/>
          </w:rPr>
          <w:fldChar w:fldCharType="separate"/>
        </w:r>
        <w:r>
          <w:rPr>
            <w:noProof/>
            <w:webHidden/>
          </w:rPr>
          <w:t>17</w:t>
        </w:r>
        <w:r>
          <w:rPr>
            <w:noProof/>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19" w:history="1">
        <w:r>
          <w:rPr>
            <w:rStyle w:val="Hyperlink"/>
          </w:rPr>
          <w:t>Air quality</w:t>
        </w:r>
        <w:r>
          <w:rPr>
            <w:webHidden/>
          </w:rPr>
          <w:tab/>
        </w:r>
        <w:r>
          <w:rPr>
            <w:webHidden/>
          </w:rPr>
          <w:fldChar w:fldCharType="begin"/>
        </w:r>
        <w:r>
          <w:rPr>
            <w:webHidden/>
          </w:rPr>
          <w:instrText xml:space="preserve"> PAGEREF _Toc469492819 \h </w:instrText>
        </w:r>
        <w:r>
          <w:rPr>
            <w:webHidden/>
          </w:rPr>
        </w:r>
        <w:r>
          <w:rPr>
            <w:webHidden/>
          </w:rPr>
          <w:fldChar w:fldCharType="separate"/>
        </w:r>
        <w:r>
          <w:rPr>
            <w:webHidden/>
          </w:rPr>
          <w:t>17</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20" w:history="1">
        <w:r>
          <w:rPr>
            <w:rStyle w:val="Hyperlink"/>
            <w:lang w:eastAsia="en-GB"/>
          </w:rPr>
          <w:t>Noise</w:t>
        </w:r>
        <w:r>
          <w:rPr>
            <w:webHidden/>
          </w:rPr>
          <w:tab/>
        </w:r>
        <w:r>
          <w:rPr>
            <w:webHidden/>
          </w:rPr>
          <w:tab/>
        </w:r>
        <w:r>
          <w:rPr>
            <w:webHidden/>
          </w:rPr>
          <w:fldChar w:fldCharType="begin"/>
        </w:r>
        <w:r>
          <w:rPr>
            <w:webHidden/>
          </w:rPr>
          <w:instrText xml:space="preserve"> PAGEREF _Toc469492820 \h </w:instrText>
        </w:r>
        <w:r>
          <w:rPr>
            <w:webHidden/>
          </w:rPr>
        </w:r>
        <w:r>
          <w:rPr>
            <w:webHidden/>
          </w:rPr>
          <w:fldChar w:fldCharType="separate"/>
        </w:r>
        <w:r>
          <w:rPr>
            <w:webHidden/>
          </w:rPr>
          <w:t>18</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21" w:history="1">
        <w:r>
          <w:rPr>
            <w:rStyle w:val="Hyperlink"/>
          </w:rPr>
          <w:t>Water quality and management</w:t>
        </w:r>
        <w:r>
          <w:rPr>
            <w:webHidden/>
          </w:rPr>
          <w:tab/>
        </w:r>
        <w:r>
          <w:rPr>
            <w:webHidden/>
          </w:rPr>
          <w:fldChar w:fldCharType="begin"/>
        </w:r>
        <w:r>
          <w:rPr>
            <w:webHidden/>
          </w:rPr>
          <w:instrText xml:space="preserve"> PAGEREF _Toc469492821 \h </w:instrText>
        </w:r>
        <w:r>
          <w:rPr>
            <w:webHidden/>
          </w:rPr>
        </w:r>
        <w:r>
          <w:rPr>
            <w:webHidden/>
          </w:rPr>
          <w:fldChar w:fldCharType="separate"/>
        </w:r>
        <w:r>
          <w:rPr>
            <w:webHidden/>
          </w:rPr>
          <w:t>18</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22" w:history="1">
        <w:r>
          <w:rPr>
            <w:rStyle w:val="Hyperlink"/>
          </w:rPr>
          <w:t>Enhancing the sustainability of cities</w:t>
        </w:r>
        <w:r>
          <w:rPr>
            <w:webHidden/>
          </w:rPr>
          <w:tab/>
        </w:r>
        <w:r>
          <w:rPr>
            <w:webHidden/>
          </w:rPr>
          <w:fldChar w:fldCharType="begin"/>
        </w:r>
        <w:r>
          <w:rPr>
            <w:webHidden/>
          </w:rPr>
          <w:instrText xml:space="preserve"> PAGEREF _Toc469492822 \h </w:instrText>
        </w:r>
        <w:r>
          <w:rPr>
            <w:webHidden/>
          </w:rPr>
        </w:r>
        <w:r>
          <w:rPr>
            <w:webHidden/>
          </w:rPr>
          <w:fldChar w:fldCharType="separate"/>
        </w:r>
        <w:r>
          <w:rPr>
            <w:webHidden/>
          </w:rPr>
          <w:t>21</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23" w:history="1">
        <w:r>
          <w:rPr>
            <w:rStyle w:val="Hyperlink"/>
          </w:rPr>
          <w:t>International agreements</w:t>
        </w:r>
        <w:r>
          <w:rPr>
            <w:webHidden/>
          </w:rPr>
          <w:tab/>
        </w:r>
        <w:r>
          <w:rPr>
            <w:webHidden/>
          </w:rPr>
          <w:fldChar w:fldCharType="begin"/>
        </w:r>
        <w:r>
          <w:rPr>
            <w:webHidden/>
          </w:rPr>
          <w:instrText xml:space="preserve"> PAGEREF _Toc469492823 \h </w:instrText>
        </w:r>
        <w:r>
          <w:rPr>
            <w:webHidden/>
          </w:rPr>
        </w:r>
        <w:r>
          <w:rPr>
            <w:webHidden/>
          </w:rPr>
          <w:fldChar w:fldCharType="separate"/>
        </w:r>
        <w:r>
          <w:rPr>
            <w:webHidden/>
          </w:rPr>
          <w:t>22</w:t>
        </w:r>
        <w:r>
          <w:rPr>
            <w:webHidden/>
          </w:rPr>
          <w:fldChar w:fldCharType="end"/>
        </w:r>
      </w:hyperlink>
    </w:p>
    <w:p w:rsidR="00794EA4" w:rsidRDefault="0017531E">
      <w:pPr>
        <w:pStyle w:val="TOC1"/>
        <w:rPr>
          <w:rFonts w:asciiTheme="minorHAnsi" w:eastAsiaTheme="minorEastAsia" w:hAnsiTheme="minorHAnsi" w:cstheme="minorBidi"/>
          <w:caps w:val="0"/>
          <w:noProof/>
          <w:sz w:val="22"/>
          <w:szCs w:val="22"/>
          <w:lang w:eastAsia="en-GB"/>
        </w:rPr>
      </w:pPr>
      <w:hyperlink w:anchor="_Toc469492824" w:history="1">
        <w:r>
          <w:rPr>
            <w:rStyle w:val="Hyperlink"/>
            <w:rFonts w:eastAsiaTheme="majorEastAsia" w:cstheme="majorBidi"/>
            <w:bCs/>
            <w:noProof/>
          </w:rPr>
          <w:t>Part II: Enabling Framework: Implementation Tools</w:t>
        </w:r>
        <w:r>
          <w:rPr>
            <w:noProof/>
            <w:webHidden/>
          </w:rPr>
          <w:tab/>
        </w:r>
        <w:r>
          <w:rPr>
            <w:noProof/>
            <w:webHidden/>
          </w:rPr>
          <w:fldChar w:fldCharType="begin"/>
        </w:r>
        <w:r>
          <w:rPr>
            <w:noProof/>
            <w:webHidden/>
          </w:rPr>
          <w:instrText xml:space="preserve"> PAGEREF _Toc469492824 \h </w:instrText>
        </w:r>
        <w:r>
          <w:rPr>
            <w:noProof/>
            <w:webHidden/>
          </w:rPr>
        </w:r>
        <w:r>
          <w:rPr>
            <w:noProof/>
            <w:webHidden/>
          </w:rPr>
          <w:fldChar w:fldCharType="separate"/>
        </w:r>
        <w:r>
          <w:rPr>
            <w:noProof/>
            <w:webHidden/>
          </w:rPr>
          <w:t>23</w:t>
        </w:r>
        <w:r>
          <w:rPr>
            <w:noProof/>
            <w:webHidden/>
          </w:rPr>
          <w:fldChar w:fldCharType="end"/>
        </w:r>
      </w:hyperlink>
    </w:p>
    <w:p w:rsidR="00794EA4" w:rsidRDefault="0017531E">
      <w:pPr>
        <w:pStyle w:val="TOC1"/>
        <w:rPr>
          <w:rFonts w:asciiTheme="minorHAnsi" w:eastAsiaTheme="minorEastAsia" w:hAnsiTheme="minorHAnsi" w:cstheme="minorBidi"/>
          <w:caps w:val="0"/>
          <w:noProof/>
          <w:sz w:val="22"/>
          <w:szCs w:val="22"/>
          <w:lang w:eastAsia="en-GB"/>
        </w:rPr>
      </w:pPr>
      <w:hyperlink w:anchor="_Toc469492825" w:history="1">
        <w:r>
          <w:rPr>
            <w:rStyle w:val="Hyperlink"/>
            <w:rFonts w:eastAsiaTheme="majorEastAsia" w:cstheme="majorBidi"/>
            <w:bCs/>
            <w:noProof/>
          </w:rPr>
          <w:t>4.</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Market based instruments and investment</w:t>
        </w:r>
        <w:r>
          <w:rPr>
            <w:noProof/>
            <w:webHidden/>
          </w:rPr>
          <w:tab/>
        </w:r>
        <w:r>
          <w:rPr>
            <w:noProof/>
            <w:webHidden/>
          </w:rPr>
          <w:fldChar w:fldCharType="begin"/>
        </w:r>
        <w:r>
          <w:rPr>
            <w:noProof/>
            <w:webHidden/>
          </w:rPr>
          <w:instrText xml:space="preserve"> PAGEREF _Toc469492825 \h </w:instrText>
        </w:r>
        <w:r>
          <w:rPr>
            <w:noProof/>
            <w:webHidden/>
          </w:rPr>
        </w:r>
        <w:r>
          <w:rPr>
            <w:noProof/>
            <w:webHidden/>
          </w:rPr>
          <w:fldChar w:fldCharType="separate"/>
        </w:r>
        <w:r>
          <w:rPr>
            <w:noProof/>
            <w:webHidden/>
          </w:rPr>
          <w:t>23</w:t>
        </w:r>
        <w:r>
          <w:rPr>
            <w:noProof/>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26" w:history="1">
        <w:r>
          <w:rPr>
            <w:rStyle w:val="Hyperlink"/>
          </w:rPr>
          <w:t>Green taxation and environmentally harmful subsidies</w:t>
        </w:r>
        <w:r>
          <w:rPr>
            <w:webHidden/>
          </w:rPr>
          <w:tab/>
        </w:r>
        <w:r>
          <w:rPr>
            <w:webHidden/>
          </w:rPr>
          <w:fldChar w:fldCharType="begin"/>
        </w:r>
        <w:r>
          <w:rPr>
            <w:webHidden/>
          </w:rPr>
          <w:instrText xml:space="preserve"> PAGEREF _Toc469492826 \h </w:instrText>
        </w:r>
        <w:r>
          <w:rPr>
            <w:webHidden/>
          </w:rPr>
        </w:r>
        <w:r>
          <w:rPr>
            <w:webHidden/>
          </w:rPr>
          <w:fldChar w:fldCharType="separate"/>
        </w:r>
        <w:r>
          <w:rPr>
            <w:webHidden/>
          </w:rPr>
          <w:t>23</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27" w:history="1">
        <w:r>
          <w:rPr>
            <w:rStyle w:val="Hyperlink"/>
          </w:rPr>
          <w:t>Green Public Procurement</w:t>
        </w:r>
        <w:r>
          <w:rPr>
            <w:webHidden/>
          </w:rPr>
          <w:tab/>
        </w:r>
        <w:r>
          <w:rPr>
            <w:webHidden/>
          </w:rPr>
          <w:fldChar w:fldCharType="begin"/>
        </w:r>
        <w:r>
          <w:rPr>
            <w:webHidden/>
          </w:rPr>
          <w:instrText xml:space="preserve"> PAGEREF _Toc469492827 \h </w:instrText>
        </w:r>
        <w:r>
          <w:rPr>
            <w:webHidden/>
          </w:rPr>
        </w:r>
        <w:r>
          <w:rPr>
            <w:webHidden/>
          </w:rPr>
          <w:fldChar w:fldCharType="separate"/>
        </w:r>
        <w:r>
          <w:rPr>
            <w:webHidden/>
          </w:rPr>
          <w:t>24</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28" w:history="1">
        <w:r>
          <w:rPr>
            <w:rStyle w:val="Hyperlink"/>
            <w:lang w:eastAsia="en-GB"/>
          </w:rPr>
          <w:t>Investments: the contribution of EU funds</w:t>
        </w:r>
        <w:r>
          <w:rPr>
            <w:webHidden/>
          </w:rPr>
          <w:tab/>
        </w:r>
        <w:r>
          <w:rPr>
            <w:webHidden/>
          </w:rPr>
          <w:fldChar w:fldCharType="begin"/>
        </w:r>
        <w:r>
          <w:rPr>
            <w:webHidden/>
          </w:rPr>
          <w:instrText xml:space="preserve"> PAGEREF _Toc469492828 \h </w:instrText>
        </w:r>
        <w:r>
          <w:rPr>
            <w:webHidden/>
          </w:rPr>
        </w:r>
        <w:r>
          <w:rPr>
            <w:webHidden/>
          </w:rPr>
          <w:fldChar w:fldCharType="separate"/>
        </w:r>
        <w:r>
          <w:rPr>
            <w:webHidden/>
          </w:rPr>
          <w:t>25</w:t>
        </w:r>
        <w:r>
          <w:rPr>
            <w:webHidden/>
          </w:rPr>
          <w:fldChar w:fldCharType="end"/>
        </w:r>
      </w:hyperlink>
    </w:p>
    <w:p w:rsidR="00794EA4" w:rsidRDefault="0017531E">
      <w:pPr>
        <w:pStyle w:val="TOC1"/>
        <w:rPr>
          <w:rFonts w:asciiTheme="minorHAnsi" w:eastAsiaTheme="minorEastAsia" w:hAnsiTheme="minorHAnsi" w:cstheme="minorBidi"/>
          <w:caps w:val="0"/>
          <w:noProof/>
          <w:sz w:val="22"/>
          <w:szCs w:val="22"/>
          <w:lang w:eastAsia="en-GB"/>
        </w:rPr>
      </w:pPr>
      <w:hyperlink w:anchor="_Toc469492829" w:history="1">
        <w:r>
          <w:rPr>
            <w:rStyle w:val="Hyperlink"/>
            <w:rFonts w:eastAsiaTheme="majorEastAsia" w:cstheme="majorBidi"/>
            <w:bCs/>
            <w:noProof/>
          </w:rPr>
          <w:t>5.</w:t>
        </w:r>
        <w:r>
          <w:rPr>
            <w:rFonts w:asciiTheme="minorHAnsi" w:eastAsiaTheme="minorEastAsia" w:hAnsiTheme="minorHAnsi" w:cstheme="minorBidi"/>
            <w:caps w:val="0"/>
            <w:noProof/>
            <w:sz w:val="22"/>
            <w:szCs w:val="22"/>
            <w:lang w:eastAsia="en-GB"/>
          </w:rPr>
          <w:tab/>
        </w:r>
        <w:r>
          <w:rPr>
            <w:rStyle w:val="Hyperlink"/>
            <w:rFonts w:eastAsiaTheme="majorEastAsia" w:cstheme="majorBidi"/>
            <w:bCs/>
            <w:noProof/>
          </w:rPr>
          <w:t>Effective governance and knowledge</w:t>
        </w:r>
        <w:r>
          <w:rPr>
            <w:noProof/>
            <w:webHidden/>
          </w:rPr>
          <w:tab/>
        </w:r>
        <w:r>
          <w:rPr>
            <w:noProof/>
            <w:webHidden/>
          </w:rPr>
          <w:fldChar w:fldCharType="begin"/>
        </w:r>
        <w:r>
          <w:rPr>
            <w:noProof/>
            <w:webHidden/>
          </w:rPr>
          <w:instrText xml:space="preserve"> PAGEREF _Toc469492829 \h </w:instrText>
        </w:r>
        <w:r>
          <w:rPr>
            <w:noProof/>
            <w:webHidden/>
          </w:rPr>
        </w:r>
        <w:r>
          <w:rPr>
            <w:noProof/>
            <w:webHidden/>
          </w:rPr>
          <w:fldChar w:fldCharType="separate"/>
        </w:r>
        <w:r>
          <w:rPr>
            <w:noProof/>
            <w:webHidden/>
          </w:rPr>
          <w:t>28</w:t>
        </w:r>
        <w:r>
          <w:rPr>
            <w:noProof/>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30" w:history="1">
        <w:r>
          <w:rPr>
            <w:rStyle w:val="Hyperlink"/>
          </w:rPr>
          <w:t>Effective governance within central, regional and local government</w:t>
        </w:r>
        <w:r>
          <w:rPr>
            <w:webHidden/>
          </w:rPr>
          <w:tab/>
        </w:r>
        <w:r>
          <w:rPr>
            <w:webHidden/>
          </w:rPr>
          <w:fldChar w:fldCharType="begin"/>
        </w:r>
        <w:r>
          <w:rPr>
            <w:webHidden/>
          </w:rPr>
          <w:instrText xml:space="preserve"> PAGEREF _Toc469492830 \h </w:instrText>
        </w:r>
        <w:r>
          <w:rPr>
            <w:webHidden/>
          </w:rPr>
        </w:r>
        <w:r>
          <w:rPr>
            <w:webHidden/>
          </w:rPr>
          <w:fldChar w:fldCharType="separate"/>
        </w:r>
        <w:r>
          <w:rPr>
            <w:webHidden/>
          </w:rPr>
          <w:t>28</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31" w:history="1">
        <w:r>
          <w:rPr>
            <w:rStyle w:val="Hyperlink"/>
          </w:rPr>
          <w:t>Compliance assurance</w:t>
        </w:r>
        <w:r>
          <w:rPr>
            <w:webHidden/>
          </w:rPr>
          <w:tab/>
        </w:r>
        <w:r>
          <w:rPr>
            <w:webHidden/>
          </w:rPr>
          <w:fldChar w:fldCharType="begin"/>
        </w:r>
        <w:r>
          <w:rPr>
            <w:webHidden/>
          </w:rPr>
          <w:instrText xml:space="preserve"> PAGERE</w:instrText>
        </w:r>
        <w:r>
          <w:rPr>
            <w:webHidden/>
          </w:rPr>
          <w:instrText xml:space="preserve">F _Toc469492831 \h </w:instrText>
        </w:r>
        <w:r>
          <w:rPr>
            <w:webHidden/>
          </w:rPr>
        </w:r>
        <w:r>
          <w:rPr>
            <w:webHidden/>
          </w:rPr>
          <w:fldChar w:fldCharType="separate"/>
        </w:r>
        <w:r>
          <w:rPr>
            <w:webHidden/>
          </w:rPr>
          <w:t>30</w:t>
        </w:r>
        <w:r>
          <w:rPr>
            <w:webHidden/>
          </w:rPr>
          <w:fldChar w:fldCharType="end"/>
        </w:r>
      </w:hyperlink>
    </w:p>
    <w:p w:rsidR="00794EA4" w:rsidRDefault="0017531E">
      <w:pPr>
        <w:pStyle w:val="TOC2"/>
        <w:rPr>
          <w:rFonts w:asciiTheme="minorHAnsi" w:eastAsiaTheme="minorEastAsia" w:hAnsiTheme="minorHAnsi" w:cstheme="minorBidi"/>
          <w:sz w:val="22"/>
          <w:szCs w:val="22"/>
          <w:lang w:eastAsia="en-GB"/>
        </w:rPr>
      </w:pPr>
      <w:hyperlink w:anchor="_Toc469492832" w:history="1">
        <w:r>
          <w:rPr>
            <w:rStyle w:val="Hyperlink"/>
          </w:rPr>
          <w:t>Access to Information, knowledge and evidence</w:t>
        </w:r>
        <w:r>
          <w:rPr>
            <w:webHidden/>
          </w:rPr>
          <w:tab/>
        </w:r>
        <w:r>
          <w:rPr>
            <w:webHidden/>
          </w:rPr>
          <w:fldChar w:fldCharType="begin"/>
        </w:r>
        <w:r>
          <w:rPr>
            <w:webHidden/>
          </w:rPr>
          <w:instrText xml:space="preserve"> PAGEREF _Toc469492832 \h </w:instrText>
        </w:r>
        <w:r>
          <w:rPr>
            <w:webHidden/>
          </w:rPr>
        </w:r>
        <w:r>
          <w:rPr>
            <w:webHidden/>
          </w:rPr>
          <w:fldChar w:fldCharType="separate"/>
        </w:r>
        <w:r>
          <w:rPr>
            <w:webHidden/>
          </w:rPr>
          <w:t>32</w:t>
        </w:r>
        <w:r>
          <w:rPr>
            <w:webHidden/>
          </w:rPr>
          <w:fldChar w:fldCharType="end"/>
        </w:r>
      </w:hyperlink>
    </w:p>
    <w:p w:rsidR="00794EA4" w:rsidRDefault="0017531E">
      <w:pPr>
        <w:widowControl w:val="0"/>
        <w:spacing w:before="240" w:after="120" w:line="240" w:lineRule="auto"/>
        <w:ind w:left="113" w:hanging="113"/>
        <w:jc w:val="center"/>
        <w:rPr>
          <w:rFonts w:eastAsia="Times New Roman"/>
          <w:b/>
          <w:noProof/>
          <w:lang w:eastAsia="en-GB"/>
        </w:rPr>
      </w:pPr>
      <w:r>
        <w:rPr>
          <w:rFonts w:eastAsiaTheme="minorEastAsia"/>
          <w:b/>
          <w:caps/>
          <w:noProof/>
          <w:lang w:val="en-US" w:eastAsia="ja-JP"/>
        </w:rPr>
        <w:fldChar w:fldCharType="end"/>
      </w:r>
    </w:p>
    <w:p w:rsidR="00794EA4" w:rsidRDefault="0017531E">
      <w:pPr>
        <w:widowControl w:val="0"/>
        <w:spacing w:after="120"/>
        <w:rPr>
          <w:rFonts w:cs="Times New Roman"/>
          <w:noProof/>
          <w:sz w:val="20"/>
        </w:rPr>
        <w:sectPr w:rsidR="00794EA4">
          <w:headerReference w:type="even" r:id="rId18"/>
          <w:headerReference w:type="default" r:id="rId19"/>
          <w:footerReference w:type="even" r:id="rId20"/>
          <w:footerReference w:type="default" r:id="rId21"/>
          <w:headerReference w:type="first" r:id="rId22"/>
          <w:footerReference w:type="first" r:id="rId23"/>
          <w:pgSz w:w="11906" w:h="16838"/>
          <w:pgMar w:top="1440" w:right="1280" w:bottom="1440" w:left="1280" w:header="708" w:footer="708" w:gutter="0"/>
          <w:pgNumType w:start="2"/>
          <w:cols w:space="360"/>
          <w:titlePg/>
          <w:docGrid w:linePitch="360"/>
        </w:sectPr>
      </w:pPr>
      <w:r>
        <w:rPr>
          <w:rFonts w:cs="Times New Roman"/>
          <w:noProof/>
          <w:sz w:val="20"/>
        </w:rPr>
        <w:br w:type="page"/>
      </w:r>
    </w:p>
    <w:p w:rsidR="00794EA4" w:rsidRDefault="0017531E">
      <w:pPr>
        <w:widowControl w:val="0"/>
        <w:spacing w:after="120" w:line="240" w:lineRule="auto"/>
        <w:jc w:val="center"/>
        <w:outlineLvl w:val="0"/>
        <w:rPr>
          <w:rFonts w:eastAsiaTheme="majorEastAsia" w:cstheme="majorBidi"/>
          <w:b/>
          <w:bCs/>
          <w:noProof/>
          <w:color w:val="1F497D" w:themeColor="text2"/>
          <w:sz w:val="32"/>
          <w:szCs w:val="28"/>
        </w:rPr>
      </w:pPr>
      <w:bookmarkStart w:id="5" w:name="_Toc469492808"/>
      <w:r>
        <w:rPr>
          <w:rFonts w:eastAsiaTheme="majorEastAsia" w:cstheme="majorBidi"/>
          <w:b/>
          <w:bCs/>
          <w:noProof/>
          <w:color w:val="1F497D" w:themeColor="text2"/>
          <w:sz w:val="32"/>
          <w:szCs w:val="28"/>
        </w:rPr>
        <w:lastRenderedPageBreak/>
        <w:t>Executive summary</w:t>
      </w:r>
      <w:bookmarkEnd w:id="4"/>
      <w:bookmarkEnd w:id="5"/>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sectPr w:rsidR="00794EA4">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280" w:bottom="1440" w:left="1280" w:header="708" w:footer="708" w:gutter="0"/>
          <w:pgNumType w:start="4"/>
          <w:cols w:space="360"/>
          <w:docGrid w:linePitch="360"/>
        </w:sectPr>
      </w:pPr>
    </w:p>
    <w:p w:rsidR="00794EA4" w:rsidRDefault="0017531E">
      <w:pPr>
        <w:widowControl w:val="0"/>
        <w:spacing w:after="120" w:line="240" w:lineRule="auto"/>
        <w:jc w:val="both"/>
        <w:rPr>
          <w:rFonts w:cstheme="minorHAnsi"/>
          <w:b/>
          <w:noProof/>
          <w:color w:val="1F497D" w:themeColor="text2"/>
        </w:rPr>
      </w:pPr>
      <w:r>
        <w:rPr>
          <w:rFonts w:cstheme="minorHAnsi"/>
          <w:b/>
          <w:noProof/>
          <w:color w:val="1F497D" w:themeColor="text2"/>
        </w:rPr>
        <w:t>About the Environmental Implementation Review</w:t>
      </w:r>
    </w:p>
    <w:p w:rsidR="00794EA4" w:rsidRDefault="0017531E">
      <w:pPr>
        <w:widowControl w:val="0"/>
        <w:spacing w:after="120" w:line="240" w:lineRule="auto"/>
        <w:jc w:val="both"/>
        <w:rPr>
          <w:noProof/>
          <w:sz w:val="20"/>
        </w:rPr>
      </w:pPr>
      <w:r>
        <w:rPr>
          <w:noProof/>
          <w:sz w:val="20"/>
        </w:rPr>
        <w:t xml:space="preserve">In May 2016, the Commission launched the Environmental Implementation Review (EIR), a two-year cycle of analysis, dialogue and collaboration to improve the </w:t>
      </w:r>
      <w:r>
        <w:rPr>
          <w:noProof/>
          <w:sz w:val="20"/>
        </w:rPr>
        <w:t>implementation of existing EU environmental policy and legislation</w:t>
      </w:r>
      <w:r>
        <w:rPr>
          <w:rStyle w:val="FootnoteReference"/>
          <w:noProof/>
          <w:sz w:val="20"/>
        </w:rPr>
        <w:footnoteReference w:id="1"/>
      </w:r>
      <w:r>
        <w:rPr>
          <w:noProof/>
          <w:sz w:val="20"/>
        </w:rPr>
        <w:t>. As a first step, the Commission drafted 28 reports describing the main challenges and opportunities on environmental implementation for each Member State. These reports are meant to stimu</w:t>
      </w:r>
      <w:r>
        <w:rPr>
          <w:noProof/>
          <w:sz w:val="20"/>
        </w:rPr>
        <w:t xml:space="preserve">late a positive debate both on shared environmental challenges for the EU, as well as on the most effective ways to address the key implementation gaps. The reports rely on the detailed sectoral implementation reports collected or issued by the Commission </w:t>
      </w:r>
      <w:r>
        <w:rPr>
          <w:noProof/>
          <w:sz w:val="20"/>
        </w:rPr>
        <w:t>under specific environmental legislation as well as the 2015 State of the Environment Report and other reports by the European Environment Agency. These reports will not replace the specific instruments to ensure compliance with the EU legal obligations.</w:t>
      </w:r>
    </w:p>
    <w:p w:rsidR="00794EA4" w:rsidRDefault="0017531E">
      <w:pPr>
        <w:widowControl w:val="0"/>
        <w:spacing w:after="120" w:line="240" w:lineRule="auto"/>
        <w:jc w:val="both"/>
        <w:rPr>
          <w:noProof/>
          <w:sz w:val="20"/>
        </w:rPr>
      </w:pPr>
      <w:r>
        <w:rPr>
          <w:noProof/>
          <w:sz w:val="20"/>
        </w:rPr>
        <w:t>T</w:t>
      </w:r>
      <w:r>
        <w:rPr>
          <w:noProof/>
          <w:sz w:val="20"/>
        </w:rPr>
        <w:t>he reports will broadly follow the outline of the 7th Environmental Action Programme</w:t>
      </w:r>
      <w:r>
        <w:rPr>
          <w:rFonts w:eastAsia="Calibri"/>
          <w:noProof/>
          <w:sz w:val="20"/>
          <w:vertAlign w:val="superscript"/>
        </w:rPr>
        <w:footnoteReference w:id="2"/>
      </w:r>
      <w:r>
        <w:rPr>
          <w:noProof/>
          <w:sz w:val="20"/>
        </w:rPr>
        <w:t xml:space="preserve"> and refer to the 2030 Agenda for Sustainable development and related Sustainable Development </w:t>
      </w:r>
      <w:r>
        <w:rPr>
          <w:rFonts w:eastAsia="Calibri"/>
          <w:noProof/>
          <w:sz w:val="20"/>
        </w:rPr>
        <w:t>Goals (SDGs)</w:t>
      </w:r>
      <w:r>
        <w:rPr>
          <w:rFonts w:eastAsia="Calibri"/>
          <w:noProof/>
          <w:sz w:val="20"/>
          <w:vertAlign w:val="superscript"/>
        </w:rPr>
        <w:footnoteReference w:id="3"/>
      </w:r>
      <w:r>
        <w:rPr>
          <w:rFonts w:eastAsia="Calibri"/>
          <w:noProof/>
          <w:sz w:val="20"/>
        </w:rPr>
        <w:t xml:space="preserve"> </w:t>
      </w:r>
      <w:r>
        <w:rPr>
          <w:noProof/>
          <w:sz w:val="20"/>
        </w:rPr>
        <w:t>to the extent to which they reflect the existing obligations an</w:t>
      </w:r>
      <w:r>
        <w:rPr>
          <w:noProof/>
          <w:sz w:val="20"/>
        </w:rPr>
        <w:t>d policy objectives of EU environmental law</w:t>
      </w:r>
      <w:r>
        <w:rPr>
          <w:rStyle w:val="FootnoteReference"/>
          <w:noProof/>
          <w:sz w:val="20"/>
        </w:rPr>
        <w:footnoteReference w:id="4"/>
      </w:r>
      <w:r>
        <w:rPr>
          <w:noProof/>
          <w:sz w:val="20"/>
        </w:rPr>
        <w:t>.</w:t>
      </w:r>
    </w:p>
    <w:p w:rsidR="00794EA4" w:rsidRDefault="0017531E">
      <w:pPr>
        <w:widowControl w:val="0"/>
        <w:spacing w:after="120" w:line="240" w:lineRule="auto"/>
        <w:jc w:val="both"/>
        <w:rPr>
          <w:noProof/>
          <w:sz w:val="20"/>
        </w:rPr>
      </w:pPr>
      <w:r>
        <w:rPr>
          <w:noProof/>
          <w:sz w:val="20"/>
        </w:rPr>
        <w:t>The main challenges have been selected by taking into account factors such as the importance or the gravity of the environmental implementation issue in the light of the impact on the quality of life of the cit</w:t>
      </w:r>
      <w:r>
        <w:rPr>
          <w:noProof/>
          <w:sz w:val="20"/>
        </w:rPr>
        <w:t>izens, the distance to target, and financial implications.</w:t>
      </w:r>
    </w:p>
    <w:p w:rsidR="00794EA4" w:rsidRDefault="0017531E">
      <w:pPr>
        <w:widowControl w:val="0"/>
        <w:spacing w:after="360" w:line="240" w:lineRule="auto"/>
        <w:jc w:val="both"/>
        <w:rPr>
          <w:noProof/>
          <w:sz w:val="20"/>
        </w:rPr>
      </w:pPr>
      <w:r>
        <w:rPr>
          <w:noProof/>
          <w:sz w:val="20"/>
        </w:rPr>
        <w:t>The reports accompany the Communication "</w:t>
      </w:r>
      <w:r>
        <w:rPr>
          <w:i/>
          <w:noProof/>
          <w:sz w:val="20"/>
        </w:rPr>
        <w:t>The EU Environmental Implementation Review 2016: Common challenges and how to combine efforts to deliver better results</w:t>
      </w:r>
      <w:r>
        <w:rPr>
          <w:noProof/>
          <w:sz w:val="20"/>
        </w:rPr>
        <w:t>", which identifies challenges that a</w:t>
      </w:r>
      <w:r>
        <w:rPr>
          <w:noProof/>
          <w:sz w:val="20"/>
        </w:rPr>
        <w:t>re common to several Member States, provides preliminary conclusions on possible root causes of implementation gaps and proposes joint actions to deliver better results. It also groups in its Annex the actions proposed in each country report to improve imp</w:t>
      </w:r>
      <w:r>
        <w:rPr>
          <w:noProof/>
          <w:sz w:val="20"/>
        </w:rPr>
        <w:t>lementation at national level.</w:t>
      </w:r>
    </w:p>
    <w:p w:rsidR="00794EA4" w:rsidRDefault="0017531E">
      <w:pPr>
        <w:widowControl w:val="0"/>
        <w:spacing w:after="120" w:line="240" w:lineRule="auto"/>
        <w:jc w:val="both"/>
        <w:rPr>
          <w:rFonts w:cstheme="minorHAnsi"/>
          <w:b/>
          <w:noProof/>
          <w:color w:val="1F497D" w:themeColor="text2"/>
        </w:rPr>
      </w:pPr>
      <w:r>
        <w:rPr>
          <w:rFonts w:cstheme="minorHAnsi"/>
          <w:b/>
          <w:noProof/>
          <w:color w:val="1F497D" w:themeColor="text2"/>
        </w:rPr>
        <w:t>General profile</w:t>
      </w:r>
    </w:p>
    <w:p w:rsidR="00794EA4" w:rsidRDefault="0017531E">
      <w:pPr>
        <w:widowControl w:val="0"/>
        <w:spacing w:after="360" w:line="240" w:lineRule="auto"/>
        <w:jc w:val="both"/>
        <w:rPr>
          <w:rFonts w:cs="Times New Roman"/>
          <w:noProof/>
          <w:sz w:val="20"/>
        </w:rPr>
      </w:pPr>
      <w:r>
        <w:rPr>
          <w:rFonts w:cs="Times New Roman"/>
          <w:noProof/>
          <w:sz w:val="20"/>
        </w:rPr>
        <w:t>During the last decades, the implementation of the EU environmental law and policy has contributed to preserve and to improve the environment in Spain, thanks also to the significant assistance from EU funding</w:t>
      </w:r>
      <w:r>
        <w:rPr>
          <w:rFonts w:cs="Times New Roman"/>
          <w:noProof/>
          <w:sz w:val="20"/>
        </w:rPr>
        <w:t>. Nevertheless, overall environmental implementation and enforcement represent a challenge for this Member State. Spain is an outstanding reference within the EU in terms of natural capital, which provides opportunities but implies a special responsibility</w:t>
      </w:r>
      <w:r>
        <w:rPr>
          <w:rFonts w:cs="Times New Roman"/>
          <w:noProof/>
          <w:sz w:val="20"/>
        </w:rPr>
        <w:t xml:space="preserve"> too. Spain faces considerable challenges in the areas of water and waste management and air quality. The coordination and cooperation among the different competent public administrations could be strengthened and sustainable development could be further m</w:t>
      </w:r>
      <w:r>
        <w:rPr>
          <w:rFonts w:cs="Times New Roman"/>
          <w:noProof/>
          <w:sz w:val="20"/>
        </w:rPr>
        <w:t>ainstreamed into other policy areas. The green growth might also rank higher on the political agenda.</w:t>
      </w:r>
    </w:p>
    <w:p w:rsidR="00794EA4" w:rsidRDefault="0017531E">
      <w:pPr>
        <w:widowControl w:val="0"/>
        <w:spacing w:after="120" w:line="240" w:lineRule="auto"/>
        <w:jc w:val="both"/>
        <w:rPr>
          <w:rFonts w:cstheme="minorHAnsi"/>
          <w:b/>
          <w:noProof/>
          <w:color w:val="1F497D" w:themeColor="text2"/>
        </w:rPr>
      </w:pPr>
      <w:r>
        <w:rPr>
          <w:rFonts w:cstheme="minorHAnsi"/>
          <w:b/>
          <w:noProof/>
          <w:color w:val="1F497D" w:themeColor="text2"/>
        </w:rPr>
        <w:t>Main Challenges</w:t>
      </w:r>
    </w:p>
    <w:p w:rsidR="00794EA4" w:rsidRDefault="0017531E">
      <w:pPr>
        <w:widowControl w:val="0"/>
        <w:spacing w:after="120" w:line="240" w:lineRule="auto"/>
        <w:jc w:val="both"/>
        <w:rPr>
          <w:rFonts w:cs="Times New Roman"/>
          <w:noProof/>
          <w:sz w:val="20"/>
        </w:rPr>
      </w:pPr>
      <w:r>
        <w:rPr>
          <w:rFonts w:cs="Times New Roman"/>
          <w:noProof/>
          <w:sz w:val="20"/>
        </w:rPr>
        <w:t>The three main challenges with regard to implementation of EU environmental policy and law in Spain are:</w:t>
      </w:r>
    </w:p>
    <w:p w:rsidR="00794EA4" w:rsidRDefault="0017531E">
      <w:pPr>
        <w:pStyle w:val="ListParagraph"/>
        <w:widowControl w:val="0"/>
        <w:numPr>
          <w:ilvl w:val="0"/>
          <w:numId w:val="33"/>
        </w:numPr>
        <w:rPr>
          <w:noProof/>
        </w:rPr>
      </w:pPr>
      <w:r>
        <w:rPr>
          <w:noProof/>
        </w:rPr>
        <w:t>Improving water management, inclu</w:t>
      </w:r>
      <w:r>
        <w:rPr>
          <w:noProof/>
        </w:rPr>
        <w:t>ding complete the urban wastewater treatment.</w:t>
      </w:r>
    </w:p>
    <w:p w:rsidR="00794EA4" w:rsidRDefault="0017531E">
      <w:pPr>
        <w:pStyle w:val="ListParagraph"/>
        <w:widowControl w:val="0"/>
        <w:numPr>
          <w:ilvl w:val="0"/>
          <w:numId w:val="33"/>
        </w:numPr>
        <w:rPr>
          <w:noProof/>
        </w:rPr>
      </w:pPr>
      <w:r>
        <w:rPr>
          <w:noProof/>
        </w:rPr>
        <w:t>Improving waste management and developing the potential of the circular economy.</w:t>
      </w:r>
    </w:p>
    <w:p w:rsidR="00794EA4" w:rsidRDefault="0017531E">
      <w:pPr>
        <w:pStyle w:val="ListParagraph"/>
        <w:widowControl w:val="0"/>
        <w:numPr>
          <w:ilvl w:val="0"/>
          <w:numId w:val="33"/>
        </w:numPr>
        <w:spacing w:after="360"/>
        <w:rPr>
          <w:noProof/>
        </w:rPr>
      </w:pPr>
      <w:r>
        <w:rPr>
          <w:noProof/>
        </w:rPr>
        <w:t>Increasing environmental taxation, as well as reducing environmentally harmful subsidies.</w:t>
      </w:r>
    </w:p>
    <w:p w:rsidR="00794EA4" w:rsidRDefault="0017531E">
      <w:pPr>
        <w:widowControl w:val="0"/>
        <w:spacing w:after="120" w:line="240" w:lineRule="auto"/>
        <w:jc w:val="both"/>
        <w:rPr>
          <w:rFonts w:cstheme="minorHAnsi"/>
          <w:b/>
          <w:noProof/>
          <w:color w:val="1F497D" w:themeColor="text2"/>
        </w:rPr>
      </w:pPr>
      <w:r>
        <w:rPr>
          <w:rFonts w:cstheme="minorHAnsi"/>
          <w:b/>
          <w:noProof/>
          <w:color w:val="1F497D" w:themeColor="text2"/>
        </w:rPr>
        <w:t>Main Opportunities</w:t>
      </w:r>
    </w:p>
    <w:p w:rsidR="00794EA4" w:rsidRDefault="0017531E">
      <w:pPr>
        <w:widowControl w:val="0"/>
        <w:spacing w:after="120" w:line="240" w:lineRule="auto"/>
        <w:jc w:val="both"/>
        <w:rPr>
          <w:rFonts w:cs="Times New Roman"/>
          <w:noProof/>
          <w:sz w:val="20"/>
        </w:rPr>
      </w:pPr>
      <w:r>
        <w:rPr>
          <w:rFonts w:cs="Times New Roman"/>
          <w:noProof/>
          <w:sz w:val="20"/>
        </w:rPr>
        <w:t xml:space="preserve">Spain could perform </w:t>
      </w:r>
      <w:r>
        <w:rPr>
          <w:rFonts w:cs="Times New Roman"/>
          <w:noProof/>
          <w:sz w:val="20"/>
        </w:rPr>
        <w:t>better on topics where there is already a good knowledge base and good practices. This applies in particular to:</w:t>
      </w:r>
    </w:p>
    <w:p w:rsidR="00794EA4" w:rsidRDefault="0017531E">
      <w:pPr>
        <w:pStyle w:val="ListParagraph"/>
        <w:widowControl w:val="0"/>
        <w:numPr>
          <w:ilvl w:val="0"/>
          <w:numId w:val="34"/>
        </w:numPr>
        <w:rPr>
          <w:noProof/>
        </w:rPr>
      </w:pPr>
      <w:r>
        <w:rPr>
          <w:noProof/>
        </w:rPr>
        <w:t>Use the potential of its very valuable natural capital.</w:t>
      </w:r>
    </w:p>
    <w:p w:rsidR="00794EA4" w:rsidRDefault="0017531E">
      <w:pPr>
        <w:pStyle w:val="ListParagraph"/>
        <w:widowControl w:val="0"/>
        <w:numPr>
          <w:ilvl w:val="0"/>
          <w:numId w:val="34"/>
        </w:numPr>
        <w:rPr>
          <w:noProof/>
        </w:rPr>
      </w:pPr>
      <w:r>
        <w:rPr>
          <w:noProof/>
        </w:rPr>
        <w:t>Strengthen eco-innovation and resource efficiency.</w:t>
      </w:r>
    </w:p>
    <w:p w:rsidR="00794EA4" w:rsidRDefault="0017531E">
      <w:pPr>
        <w:pStyle w:val="ListParagraph"/>
        <w:widowControl w:val="0"/>
        <w:numPr>
          <w:ilvl w:val="0"/>
          <w:numId w:val="34"/>
        </w:numPr>
        <w:spacing w:after="360"/>
        <w:rPr>
          <w:noProof/>
        </w:rPr>
      </w:pPr>
      <w:r>
        <w:rPr>
          <w:noProof/>
        </w:rPr>
        <w:t xml:space="preserve">Spread good practices used in areas </w:t>
      </w:r>
      <w:r>
        <w:rPr>
          <w:noProof/>
        </w:rPr>
        <w:t>suffering of water scarcity and promote further wastewater reuse.</w:t>
      </w:r>
    </w:p>
    <w:p w:rsidR="00794EA4" w:rsidRDefault="0017531E">
      <w:pPr>
        <w:widowControl w:val="0"/>
        <w:spacing w:after="120" w:line="240" w:lineRule="auto"/>
        <w:jc w:val="both"/>
        <w:rPr>
          <w:rFonts w:cstheme="minorHAnsi"/>
          <w:b/>
          <w:noProof/>
          <w:color w:val="1F497D" w:themeColor="text2"/>
        </w:rPr>
      </w:pPr>
      <w:r>
        <w:rPr>
          <w:rFonts w:cstheme="minorHAnsi"/>
          <w:b/>
          <w:noProof/>
          <w:color w:val="1F497D" w:themeColor="text2"/>
        </w:rPr>
        <w:t>Points of Excellence</w:t>
      </w:r>
    </w:p>
    <w:p w:rsidR="00794EA4" w:rsidRDefault="0017531E">
      <w:pPr>
        <w:widowControl w:val="0"/>
        <w:spacing w:after="120" w:line="240" w:lineRule="auto"/>
        <w:jc w:val="both"/>
        <w:rPr>
          <w:rFonts w:cs="Times New Roman"/>
          <w:noProof/>
          <w:sz w:val="20"/>
        </w:rPr>
      </w:pPr>
      <w:r>
        <w:rPr>
          <w:rFonts w:cs="Times New Roman"/>
          <w:noProof/>
          <w:sz w:val="20"/>
        </w:rPr>
        <w:t>Where Spain leads in environmental implementation, it could share its innovative approaches more widely among other countries. Good examples are:</w:t>
      </w:r>
    </w:p>
    <w:p w:rsidR="00794EA4" w:rsidRDefault="0017531E">
      <w:pPr>
        <w:widowControl w:val="0"/>
        <w:numPr>
          <w:ilvl w:val="0"/>
          <w:numId w:val="35"/>
        </w:numPr>
        <w:spacing w:after="120" w:line="240" w:lineRule="auto"/>
        <w:contextualSpacing/>
        <w:jc w:val="both"/>
        <w:rPr>
          <w:rFonts w:cs="Times New Roman"/>
          <w:noProof/>
          <w:sz w:val="20"/>
          <w:lang w:eastAsia="ja-JP"/>
        </w:rPr>
      </w:pPr>
      <w:r>
        <w:rPr>
          <w:rFonts w:cs="Times New Roman"/>
          <w:noProof/>
          <w:sz w:val="20"/>
          <w:lang w:eastAsia="ja-JP"/>
        </w:rPr>
        <w:t xml:space="preserve">The experience and </w:t>
      </w:r>
      <w:r>
        <w:rPr>
          <w:rFonts w:cs="Times New Roman"/>
          <w:noProof/>
          <w:sz w:val="20"/>
          <w:lang w:eastAsia="ja-JP"/>
        </w:rPr>
        <w:t>performance of Spain preparing and managing projects co-financed by the LIFE Programme.</w:t>
      </w:r>
    </w:p>
    <w:p w:rsidR="00794EA4" w:rsidRDefault="0017531E">
      <w:pPr>
        <w:widowControl w:val="0"/>
        <w:numPr>
          <w:ilvl w:val="0"/>
          <w:numId w:val="35"/>
        </w:numPr>
        <w:spacing w:after="120" w:line="240" w:lineRule="auto"/>
        <w:contextualSpacing/>
        <w:jc w:val="both"/>
        <w:rPr>
          <w:rFonts w:cs="Times New Roman"/>
          <w:noProof/>
          <w:sz w:val="20"/>
          <w:lang w:eastAsia="ja-JP"/>
        </w:rPr>
      </w:pPr>
      <w:r>
        <w:rPr>
          <w:rFonts w:cs="Times New Roman"/>
          <w:noProof/>
          <w:sz w:val="20"/>
          <w:lang w:eastAsia="ja-JP"/>
        </w:rPr>
        <w:t>The Spanish Network of Environmental Authorities, created in 1997, as a technical forum to foster environmental integration into the EU Cohesion Policy.</w:t>
      </w:r>
    </w:p>
    <w:p w:rsidR="00794EA4" w:rsidRDefault="0017531E">
      <w:pPr>
        <w:widowControl w:val="0"/>
        <w:numPr>
          <w:ilvl w:val="0"/>
          <w:numId w:val="36"/>
        </w:numPr>
        <w:spacing w:after="120" w:line="240" w:lineRule="auto"/>
        <w:contextualSpacing/>
        <w:jc w:val="both"/>
        <w:rPr>
          <w:rFonts w:cs="Times New Roman"/>
          <w:noProof/>
          <w:sz w:val="20"/>
          <w:lang w:eastAsia="ja-JP"/>
        </w:rPr>
      </w:pPr>
      <w:r>
        <w:rPr>
          <w:rFonts w:cs="Times New Roman"/>
          <w:noProof/>
          <w:sz w:val="20"/>
          <w:lang w:eastAsia="ja-JP"/>
        </w:rPr>
        <w:t>The sustainable</w:t>
      </w:r>
      <w:r>
        <w:rPr>
          <w:rFonts w:cs="Times New Roman"/>
          <w:noProof/>
          <w:sz w:val="20"/>
          <w:lang w:eastAsia="ja-JP"/>
        </w:rPr>
        <w:t xml:space="preserve"> urban model established in cities like Vitoria-Gasteiz, European Green Capital in 2012.</w:t>
      </w:r>
    </w:p>
    <w:p w:rsidR="00794EA4" w:rsidRDefault="0017531E">
      <w:pPr>
        <w:widowControl w:val="0"/>
        <w:numPr>
          <w:ilvl w:val="0"/>
          <w:numId w:val="36"/>
        </w:numPr>
        <w:spacing w:after="120" w:line="240" w:lineRule="auto"/>
        <w:contextualSpacing/>
        <w:jc w:val="both"/>
        <w:rPr>
          <w:rFonts w:cs="Times New Roman"/>
          <w:noProof/>
          <w:sz w:val="20"/>
          <w:lang w:eastAsia="ja-JP"/>
        </w:rPr>
      </w:pPr>
      <w:r>
        <w:rPr>
          <w:rFonts w:cs="Times New Roman"/>
          <w:noProof/>
          <w:sz w:val="20"/>
          <w:lang w:eastAsia="ja-JP"/>
        </w:rPr>
        <w:t>The significant use of EMAS and Ecolabel licences.</w:t>
      </w:r>
    </w:p>
    <w:p w:rsidR="00794EA4" w:rsidRDefault="0017531E">
      <w:pPr>
        <w:widowControl w:val="0"/>
        <w:numPr>
          <w:ilvl w:val="0"/>
          <w:numId w:val="36"/>
        </w:numPr>
        <w:spacing w:after="120" w:line="240" w:lineRule="auto"/>
        <w:contextualSpacing/>
        <w:jc w:val="both"/>
        <w:rPr>
          <w:rFonts w:cs="Times New Roman"/>
          <w:noProof/>
          <w:sz w:val="20"/>
          <w:lang w:eastAsia="ja-JP"/>
        </w:rPr>
      </w:pPr>
      <w:r>
        <w:rPr>
          <w:rFonts w:cs="Times New Roman"/>
          <w:noProof/>
          <w:sz w:val="20"/>
          <w:lang w:eastAsia="ja-JP"/>
        </w:rPr>
        <w:t>The portal of the Ministry for the Environment on the Environmental Impact Assessment (EIA) and Strategic Environmen</w:t>
      </w:r>
      <w:r>
        <w:rPr>
          <w:rFonts w:cs="Times New Roman"/>
          <w:noProof/>
          <w:sz w:val="20"/>
          <w:lang w:eastAsia="ja-JP"/>
        </w:rPr>
        <w:t>tal Assessment (SEA) for projects and plans authorized by the central administration.</w:t>
      </w:r>
    </w:p>
    <w:p w:rsidR="00794EA4" w:rsidRDefault="00794EA4">
      <w:pPr>
        <w:widowControl w:val="0"/>
        <w:spacing w:after="120" w:line="240" w:lineRule="auto"/>
        <w:ind w:left="360"/>
        <w:contextualSpacing/>
        <w:jc w:val="both"/>
        <w:rPr>
          <w:rFonts w:cs="Times New Roman"/>
          <w:noProof/>
          <w:sz w:val="20"/>
          <w:lang w:eastAsia="ja-JP"/>
        </w:rPr>
      </w:pPr>
    </w:p>
    <w:p w:rsidR="00794EA4" w:rsidRDefault="00794EA4">
      <w:pPr>
        <w:widowControl w:val="0"/>
        <w:spacing w:after="120" w:line="240" w:lineRule="auto"/>
        <w:ind w:left="360"/>
        <w:contextualSpacing/>
        <w:jc w:val="both"/>
        <w:rPr>
          <w:rFonts w:cs="Times New Roman"/>
          <w:noProof/>
          <w:sz w:val="20"/>
          <w:lang w:eastAsia="ja-JP"/>
        </w:rPr>
      </w:pPr>
    </w:p>
    <w:p w:rsidR="00794EA4" w:rsidRDefault="00794EA4">
      <w:pPr>
        <w:widowControl w:val="0"/>
        <w:spacing w:after="120" w:line="240" w:lineRule="auto"/>
        <w:ind w:left="360"/>
        <w:contextualSpacing/>
        <w:jc w:val="both"/>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794EA4">
      <w:pPr>
        <w:widowControl w:val="0"/>
        <w:spacing w:after="120" w:line="240" w:lineRule="auto"/>
        <w:jc w:val="center"/>
        <w:rPr>
          <w:rFonts w:cs="Times New Roman"/>
          <w:noProof/>
          <w:sz w:val="20"/>
          <w:lang w:eastAsia="ja-JP"/>
        </w:rPr>
      </w:pPr>
    </w:p>
    <w:p w:rsidR="00794EA4" w:rsidRDefault="0017531E">
      <w:pPr>
        <w:rPr>
          <w:rFonts w:cs="Times New Roman"/>
          <w:noProof/>
          <w:sz w:val="20"/>
          <w:lang w:eastAsia="ja-JP"/>
        </w:rPr>
      </w:pPr>
      <w:r>
        <w:rPr>
          <w:rFonts w:cs="Times New Roman"/>
          <w:noProof/>
          <w:sz w:val="20"/>
          <w:lang w:eastAsia="ja-JP"/>
        </w:rPr>
        <w:br w:type="page"/>
      </w:r>
    </w:p>
    <w:p w:rsidR="00794EA4" w:rsidRDefault="00794EA4">
      <w:pPr>
        <w:widowControl w:val="0"/>
        <w:spacing w:after="120" w:line="240" w:lineRule="auto"/>
        <w:jc w:val="center"/>
        <w:rPr>
          <w:rFonts w:cs="Times New Roman"/>
          <w:noProof/>
          <w:sz w:val="20"/>
          <w:lang w:eastAsia="ja-JP"/>
        </w:rPr>
        <w:sectPr w:rsidR="00794EA4">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1440" w:right="1080" w:bottom="1440" w:left="1080" w:header="709" w:footer="709" w:gutter="0"/>
          <w:pgNumType w:start="4"/>
          <w:cols w:num="2" w:space="360"/>
          <w:docGrid w:linePitch="360"/>
        </w:sectPr>
      </w:pPr>
    </w:p>
    <w:p w:rsidR="00794EA4" w:rsidRDefault="0017531E">
      <w:pPr>
        <w:widowControl w:val="0"/>
        <w:spacing w:after="120" w:line="240" w:lineRule="auto"/>
        <w:jc w:val="center"/>
        <w:outlineLvl w:val="0"/>
        <w:rPr>
          <w:rFonts w:eastAsiaTheme="majorEastAsia" w:cstheme="majorBidi"/>
          <w:b/>
          <w:bCs/>
          <w:noProof/>
          <w:color w:val="1F497D" w:themeColor="text2"/>
          <w:sz w:val="32"/>
          <w:szCs w:val="28"/>
        </w:rPr>
      </w:pPr>
      <w:bookmarkStart w:id="6" w:name="_Toc433296150"/>
      <w:bookmarkStart w:id="7" w:name="_Toc469492809"/>
      <w:r>
        <w:rPr>
          <w:rFonts w:eastAsiaTheme="majorEastAsia" w:cstheme="majorBidi"/>
          <w:b/>
          <w:bCs/>
          <w:noProof/>
          <w:color w:val="1F497D" w:themeColor="text2"/>
          <w:sz w:val="32"/>
          <w:szCs w:val="28"/>
        </w:rPr>
        <w:t>Part I: Thematic Areas</w:t>
      </w:r>
      <w:bookmarkEnd w:id="6"/>
      <w:bookmarkEnd w:id="7"/>
    </w:p>
    <w:p w:rsidR="00794EA4" w:rsidRDefault="0017531E">
      <w:pPr>
        <w:widowControl w:val="0"/>
        <w:numPr>
          <w:ilvl w:val="0"/>
          <w:numId w:val="26"/>
        </w:numPr>
        <w:spacing w:after="120" w:line="240" w:lineRule="auto"/>
        <w:jc w:val="center"/>
        <w:outlineLvl w:val="0"/>
        <w:rPr>
          <w:rFonts w:eastAsiaTheme="majorEastAsia" w:cstheme="majorBidi"/>
          <w:b/>
          <w:bCs/>
          <w:noProof/>
          <w:color w:val="1F497D" w:themeColor="text2"/>
          <w:sz w:val="32"/>
          <w:szCs w:val="28"/>
        </w:rPr>
      </w:pPr>
      <w:bookmarkStart w:id="8" w:name="_Toc433296151"/>
      <w:bookmarkStart w:id="9" w:name="_Toc469492810"/>
      <w:r>
        <w:rPr>
          <w:rFonts w:eastAsiaTheme="majorEastAsia" w:cstheme="majorBidi"/>
          <w:b/>
          <w:bCs/>
          <w:noProof/>
          <w:color w:val="1F497D" w:themeColor="text2"/>
          <w:sz w:val="32"/>
          <w:szCs w:val="28"/>
        </w:rPr>
        <w:t xml:space="preserve">Turning </w:t>
      </w:r>
      <w:r>
        <w:rPr>
          <w:rFonts w:eastAsiaTheme="majorEastAsia" w:cstheme="majorBidi"/>
          <w:b/>
          <w:bCs/>
          <w:noProof/>
          <w:color w:val="1F497D" w:themeColor="text2"/>
          <w:sz w:val="32"/>
          <w:szCs w:val="28"/>
        </w:rPr>
        <w:t>the EU into a circular, resource-efficient, green and competitive low-carbon economy</w:t>
      </w:r>
      <w:bookmarkEnd w:id="8"/>
      <w:bookmarkEnd w:id="9"/>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sectPr w:rsidR="00794EA4">
          <w:headerReference w:type="even" r:id="rId36"/>
          <w:headerReference w:type="default" r:id="rId37"/>
          <w:footerReference w:type="even" r:id="rId38"/>
          <w:footerReference w:type="default" r:id="rId39"/>
          <w:headerReference w:type="first" r:id="rId40"/>
          <w:footerReference w:type="first" r:id="rId41"/>
          <w:type w:val="continuous"/>
          <w:pgSz w:w="11906" w:h="16838"/>
          <w:pgMar w:top="1440" w:right="1080" w:bottom="1440" w:left="1080" w:header="708" w:footer="708" w:gutter="0"/>
          <w:pgNumType w:start="6"/>
          <w:cols w:space="708"/>
          <w:docGrid w:linePitch="360"/>
        </w:sectPr>
      </w:pPr>
    </w:p>
    <w:p w:rsidR="00794EA4" w:rsidRDefault="0017531E">
      <w:pPr>
        <w:widowControl w:val="0"/>
        <w:spacing w:after="240" w:line="240" w:lineRule="auto"/>
        <w:outlineLvl w:val="1"/>
        <w:rPr>
          <w:rFonts w:cs="Times New Roman"/>
          <w:b/>
          <w:noProof/>
          <w:color w:val="1F497D" w:themeColor="text2"/>
          <w:sz w:val="24"/>
          <w:szCs w:val="24"/>
          <w:lang w:eastAsia="en-GB"/>
        </w:rPr>
      </w:pPr>
      <w:bookmarkStart w:id="10" w:name="_Toc454982388"/>
      <w:bookmarkStart w:id="11" w:name="_Toc469492811"/>
      <w:bookmarkStart w:id="12" w:name="_Toc454377324"/>
      <w:r>
        <w:rPr>
          <w:rFonts w:cs="Times New Roman"/>
          <w:b/>
          <w:noProof/>
          <w:color w:val="1F497D" w:themeColor="text2"/>
          <w:sz w:val="24"/>
          <w:szCs w:val="24"/>
          <w:lang w:eastAsia="en-GB"/>
        </w:rPr>
        <w:t xml:space="preserve">Developing a circular economy and improving resource </w:t>
      </w:r>
      <w:r>
        <w:rPr>
          <w:rFonts w:cs="Times New Roman"/>
          <w:b/>
          <w:noProof/>
          <w:color w:val="1F497D" w:themeColor="text2"/>
          <w:sz w:val="24"/>
          <w:szCs w:val="24"/>
          <w:lang w:eastAsia="en-GB"/>
        </w:rPr>
        <w:t>efficiency</w:t>
      </w:r>
      <w:bookmarkEnd w:id="10"/>
      <w:bookmarkEnd w:id="11"/>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2015 Circular Economy Package emphasizes the need to move towards a lifecycle-driven ‘circular’ economy, with a cascading use of resources and residual waste that is close to zero. This can be facilitated by the development of, and access to</w:t>
      </w:r>
      <w:r>
        <w:rPr>
          <w:rFonts w:cs="Times New Roman"/>
          <w:noProof/>
          <w:color w:val="FFFFFF" w:themeColor="background1"/>
          <w:sz w:val="20"/>
        </w:rPr>
        <w:t>, innovative financial instruments and funding for eco-innovation.</w:t>
      </w:r>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8 invites countries to promote sustained, inclusive and sustainable economic growth, full and productive employment and decent work for all. SDG 9 highlights the need to build resilient</w:t>
      </w:r>
      <w:r>
        <w:rPr>
          <w:rFonts w:cs="Times New Roman"/>
          <w:noProof/>
          <w:color w:val="FFFFFF" w:themeColor="background1"/>
          <w:sz w:val="20"/>
        </w:rPr>
        <w:t xml:space="preserve"> infrastructure, promote inclusive and sustainable industrialization and foster innovation. SDG 12 encourages countries to achieve the sustainable management and efficient use of natural resources by 2030.</w:t>
      </w:r>
    </w:p>
    <w:p w:rsidR="00794EA4" w:rsidRDefault="0017531E">
      <w:pPr>
        <w:widowControl w:val="0"/>
        <w:spacing w:before="240" w:after="120" w:line="240" w:lineRule="auto"/>
        <w:jc w:val="both"/>
        <w:outlineLvl w:val="2"/>
        <w:rPr>
          <w:rFonts w:cs="Times New Roman"/>
          <w:b/>
          <w:noProof/>
          <w:color w:val="1F497D" w:themeColor="text2"/>
        </w:rPr>
      </w:pPr>
      <w:r>
        <w:rPr>
          <w:rFonts w:cs="Times New Roman"/>
          <w:b/>
          <w:noProof/>
          <w:color w:val="1F497D" w:themeColor="text2"/>
        </w:rPr>
        <w:t>Measures towards a circular economy</w:t>
      </w:r>
    </w:p>
    <w:bookmarkEnd w:id="12"/>
    <w:p w:rsidR="00794EA4" w:rsidRDefault="0017531E">
      <w:pPr>
        <w:widowControl w:val="0"/>
        <w:spacing w:before="120" w:after="120" w:line="240" w:lineRule="auto"/>
        <w:jc w:val="both"/>
        <w:rPr>
          <w:rFonts w:cs="Times New Roman"/>
          <w:noProof/>
          <w:sz w:val="20"/>
        </w:rPr>
      </w:pPr>
      <w:r>
        <w:rPr>
          <w:rFonts w:cs="Times New Roman"/>
          <w:noProof/>
          <w:sz w:val="20"/>
        </w:rPr>
        <w:t>Transforming o</w:t>
      </w:r>
      <w:r>
        <w:rPr>
          <w:rFonts w:cs="Times New Roman"/>
          <w:noProof/>
          <w:sz w:val="20"/>
        </w:rPr>
        <w:t>ur economies from linear to circular offers an opportunity to reinvent them and make them more sustainable and competitive. This will stimulate investments and bring both short and long-term benefits for the economy, environment and citizens alike</w:t>
      </w:r>
      <w:r>
        <w:rPr>
          <w:rFonts w:cs="Times New Roman"/>
          <w:noProof/>
          <w:sz w:val="20"/>
          <w:vertAlign w:val="superscript"/>
        </w:rPr>
        <w:footnoteReference w:id="5"/>
      </w:r>
      <w:r>
        <w:rPr>
          <w:rFonts w:cs="Times New Roman"/>
          <w:noProof/>
          <w:sz w:val="20"/>
        </w:rPr>
        <w:t>.</w:t>
      </w:r>
    </w:p>
    <w:p w:rsidR="00794EA4" w:rsidRDefault="0017531E">
      <w:pPr>
        <w:widowControl w:val="0"/>
        <w:spacing w:before="120" w:after="120" w:line="240" w:lineRule="auto"/>
        <w:jc w:val="both"/>
        <w:rPr>
          <w:rFonts w:cs="Times New Roman"/>
          <w:noProof/>
          <w:sz w:val="20"/>
        </w:rPr>
      </w:pPr>
      <w:r>
        <w:rPr>
          <w:rFonts w:cs="Times New Roman"/>
          <w:noProof/>
          <w:sz w:val="20"/>
        </w:rPr>
        <w:t>Public</w:t>
      </w:r>
      <w:r>
        <w:rPr>
          <w:rFonts w:cs="Times New Roman"/>
          <w:noProof/>
          <w:sz w:val="20"/>
        </w:rPr>
        <w:t xml:space="preserve"> policy support for circular economy in Spain is a mix of policies and measures addressing technologies and resources for pollution control and energy efficiency. The circular economy and eco-innovation are generally embedded in national and regional polic</w:t>
      </w:r>
      <w:r>
        <w:rPr>
          <w:rFonts w:cs="Times New Roman"/>
          <w:noProof/>
          <w:sz w:val="20"/>
        </w:rPr>
        <w:t>ies targeting resource efficiency, environmental innovations, clean technologies, and sustainable development. However, as yet there is no specific and comprehensive national strategy on circular economy.</w:t>
      </w:r>
    </w:p>
    <w:p w:rsidR="00794EA4" w:rsidRDefault="0017531E">
      <w:pPr>
        <w:widowControl w:val="0"/>
        <w:spacing w:after="120" w:line="240" w:lineRule="auto"/>
        <w:jc w:val="both"/>
        <w:rPr>
          <w:rFonts w:cs="Times New Roman"/>
          <w:noProof/>
          <w:sz w:val="20"/>
        </w:rPr>
      </w:pPr>
      <w:r>
        <w:rPr>
          <w:rFonts w:cs="Times New Roman"/>
          <w:noProof/>
          <w:sz w:val="20"/>
        </w:rPr>
        <w:t>Pressure on material resources is one of the long-t</w:t>
      </w:r>
      <w:r>
        <w:rPr>
          <w:rFonts w:cs="Times New Roman"/>
          <w:noProof/>
          <w:sz w:val="20"/>
        </w:rPr>
        <w:t xml:space="preserve">erm trends affecting job creation and growth in the EU. </w:t>
      </w:r>
    </w:p>
    <w:p w:rsidR="00794EA4" w:rsidRDefault="0017531E">
      <w:pPr>
        <w:widowControl w:val="0"/>
        <w:spacing w:after="240" w:line="240" w:lineRule="auto"/>
        <w:jc w:val="both"/>
        <w:rPr>
          <w:rFonts w:cs="Times New Roman"/>
          <w:noProof/>
          <w:sz w:val="20"/>
        </w:rPr>
      </w:pPr>
      <w:r>
        <w:rPr>
          <w:rFonts w:cs="Times New Roman"/>
          <w:noProof/>
          <w:sz w:val="20"/>
        </w:rPr>
        <w:t>Figure 1 shows that in terms of resource productivity</w:t>
      </w:r>
      <w:r>
        <w:rPr>
          <w:rFonts w:cs="Times New Roman"/>
          <w:noProof/>
          <w:sz w:val="20"/>
          <w:vertAlign w:val="superscript"/>
        </w:rPr>
        <w:footnoteReference w:id="6"/>
      </w:r>
      <w:r>
        <w:rPr>
          <w:rFonts w:cs="Times New Roman"/>
          <w:noProof/>
          <w:sz w:val="20"/>
        </w:rPr>
        <w:t xml:space="preserve"> (how efficiently the economy uses material resources to produce wealth), Spain is performing better than average in the EU, with 2.77 EUR/kg (EU</w:t>
      </w:r>
      <w:r>
        <w:rPr>
          <w:rFonts w:cs="Times New Roman"/>
          <w:noProof/>
          <w:sz w:val="20"/>
        </w:rPr>
        <w:t xml:space="preserve"> average is 2) in 2015</w:t>
      </w:r>
      <w:r>
        <w:rPr>
          <w:rFonts w:cs="Times New Roman"/>
          <w:noProof/>
          <w:sz w:val="20"/>
          <w:vertAlign w:val="superscript"/>
          <w:lang w:val="it-IT"/>
        </w:rPr>
        <w:footnoteReference w:id="7"/>
      </w:r>
      <w:r>
        <w:rPr>
          <w:rFonts w:cs="Times New Roman"/>
          <w:noProof/>
          <w:sz w:val="20"/>
        </w:rPr>
        <w:t>; having the 5</w:t>
      </w:r>
      <w:r>
        <w:rPr>
          <w:rFonts w:cs="Times New Roman"/>
          <w:noProof/>
          <w:sz w:val="20"/>
          <w:vertAlign w:val="superscript"/>
        </w:rPr>
        <w:t>th</w:t>
      </w:r>
      <w:r>
        <w:rPr>
          <w:rFonts w:cs="Times New Roman"/>
          <w:noProof/>
          <w:sz w:val="20"/>
        </w:rPr>
        <w:t xml:space="preserve"> best resource productivity indicator in the EU. Spain's resource efficiency has significantly increased since 2007. However, there is still room for improvement.</w:t>
      </w:r>
    </w:p>
    <w:tbl>
      <w:tblPr>
        <w:tblStyle w:val="TableGrid2"/>
        <w:tblW w:w="5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1"/>
      </w:tblGrid>
      <w:tr w:rsidR="00794EA4">
        <w:trPr>
          <w:trHeight w:val="195"/>
        </w:trPr>
        <w:tc>
          <w:tcPr>
            <w:tcW w:w="5521" w:type="dxa"/>
          </w:tcPr>
          <w:p w:rsidR="00794EA4" w:rsidRDefault="0017531E">
            <w:pPr>
              <w:widowControl w:val="0"/>
              <w:spacing w:after="120"/>
              <w:jc w:val="both"/>
              <w:rPr>
                <w:rFonts w:cs="Times New Roman"/>
                <w:noProof/>
                <w:color w:val="1F497D" w:themeColor="text2"/>
                <w:sz w:val="20"/>
              </w:rPr>
            </w:pPr>
            <w:r>
              <w:rPr>
                <w:b/>
                <w:bCs/>
                <w:noProof/>
                <w:color w:val="1F497D" w:themeColor="text2"/>
                <w:sz w:val="20"/>
              </w:rPr>
              <w:t>Figure 1: Resource productivity 2003-15</w:t>
            </w:r>
            <w:r>
              <w:rPr>
                <w:b/>
                <w:bCs/>
                <w:noProof/>
                <w:color w:val="1F497D" w:themeColor="text2"/>
                <w:sz w:val="20"/>
                <w:vertAlign w:val="superscript"/>
              </w:rPr>
              <w:footnoteReference w:id="8"/>
            </w:r>
          </w:p>
        </w:tc>
      </w:tr>
      <w:tr w:rsidR="00794EA4">
        <w:trPr>
          <w:trHeight w:val="1845"/>
        </w:trPr>
        <w:tc>
          <w:tcPr>
            <w:tcW w:w="5521" w:type="dxa"/>
          </w:tcPr>
          <w:p w:rsidR="00794EA4" w:rsidRDefault="0017531E">
            <w:pPr>
              <w:spacing w:after="120"/>
              <w:jc w:val="both"/>
              <w:rPr>
                <w:rFonts w:cs="Times New Roman"/>
                <w:noProof/>
                <w:sz w:val="20"/>
              </w:rPr>
            </w:pPr>
            <w:r>
              <w:rPr>
                <w:rFonts w:cs="Times New Roman"/>
                <w:noProof/>
                <w:sz w:val="20"/>
                <w:lang w:eastAsia="en-GB"/>
              </w:rPr>
              <w:drawing>
                <wp:inline distT="0" distB="0" distL="0" distR="0" wp14:anchorId="1C634F84" wp14:editId="28EE327A">
                  <wp:extent cx="3053751" cy="20272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6220" cy="2028883"/>
                          </a:xfrm>
                          <a:prstGeom prst="rect">
                            <a:avLst/>
                          </a:prstGeom>
                          <a:noFill/>
                        </pic:spPr>
                      </pic:pic>
                    </a:graphicData>
                  </a:graphic>
                </wp:inline>
              </w:drawing>
            </w:r>
          </w:p>
        </w:tc>
      </w:tr>
    </w:tbl>
    <w:p w:rsidR="00794EA4" w:rsidRDefault="0017531E">
      <w:pPr>
        <w:spacing w:before="120" w:after="120" w:line="240" w:lineRule="auto"/>
        <w:jc w:val="both"/>
        <w:rPr>
          <w:rFonts w:cs="Times New Roman"/>
          <w:noProof/>
          <w:sz w:val="20"/>
        </w:rPr>
      </w:pPr>
      <w:r>
        <w:rPr>
          <w:rFonts w:cs="Times New Roman"/>
          <w:noProof/>
          <w:sz w:val="20"/>
        </w:rPr>
        <w:t xml:space="preserve">Boosting </w:t>
      </w:r>
      <w:r>
        <w:rPr>
          <w:rFonts w:cs="Times New Roman"/>
          <w:noProof/>
          <w:sz w:val="20"/>
        </w:rPr>
        <w:t>employment and greening the economy go hand in hand. The shift to a green and resource efficient economy is an opportunity to support sustainable and high quality employment. In addition, shifting taxation away from the labour towards environment taxation,</w:t>
      </w:r>
      <w:r>
        <w:rPr>
          <w:rFonts w:cs="Times New Roman"/>
          <w:noProof/>
          <w:sz w:val="20"/>
        </w:rPr>
        <w:t xml:space="preserve"> green procurement and green entrepreneurship are equally important areas to support green job creation</w:t>
      </w:r>
      <w:r>
        <w:rPr>
          <w:rFonts w:cs="Times New Roman"/>
          <w:noProof/>
          <w:sz w:val="20"/>
          <w:vertAlign w:val="superscript"/>
        </w:rPr>
        <w:footnoteReference w:id="9"/>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A number of studies have shown at European level the positive link between environmental performance and job creation</w:t>
      </w:r>
      <w:r>
        <w:rPr>
          <w:rFonts w:cs="Times New Roman"/>
          <w:noProof/>
          <w:sz w:val="20"/>
          <w:vertAlign w:val="superscript"/>
        </w:rPr>
        <w:footnoteReference w:id="10"/>
      </w:r>
      <w:r>
        <w:rPr>
          <w:rFonts w:cs="Times New Roman"/>
          <w:noProof/>
          <w:sz w:val="20"/>
        </w:rPr>
        <w:t>. Spain has the potential to exp</w:t>
      </w:r>
      <w:r>
        <w:rPr>
          <w:rFonts w:cs="Times New Roman"/>
          <w:noProof/>
          <w:sz w:val="20"/>
        </w:rPr>
        <w:t>lore it by designing and implementing labour market, education and training measures supporting the green economy. The number of green jobs in new sources of employment could multiply with a shift towards a sustainable economy model.</w:t>
      </w:r>
    </w:p>
    <w:p w:rsidR="00794EA4" w:rsidRDefault="0017531E">
      <w:pPr>
        <w:widowControl w:val="0"/>
        <w:spacing w:after="120" w:line="240" w:lineRule="auto"/>
        <w:jc w:val="both"/>
        <w:rPr>
          <w:rFonts w:cs="Times New Roman"/>
          <w:noProof/>
          <w:sz w:val="20"/>
        </w:rPr>
      </w:pPr>
      <w:r>
        <w:rPr>
          <w:rFonts w:cs="Times New Roman"/>
          <w:noProof/>
          <w:sz w:val="20"/>
        </w:rPr>
        <w:t>Some interesting repor</w:t>
      </w:r>
      <w:r>
        <w:rPr>
          <w:rFonts w:cs="Times New Roman"/>
          <w:noProof/>
          <w:sz w:val="20"/>
        </w:rPr>
        <w:t>ts show the features and the state of play of Green Jobs in Spain</w:t>
      </w:r>
      <w:r>
        <w:rPr>
          <w:rFonts w:cs="Times New Roman"/>
          <w:noProof/>
          <w:sz w:val="20"/>
          <w:vertAlign w:val="superscript"/>
        </w:rPr>
        <w:footnoteReference w:id="11"/>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In a Member State like Spain where unemployment is one of the most serious problems, greening the economy can boost job creation in areas directly connected to the environment such as natu</w:t>
      </w:r>
      <w:r>
        <w:rPr>
          <w:rFonts w:cs="Times New Roman"/>
          <w:noProof/>
          <w:sz w:val="20"/>
        </w:rPr>
        <w:t>re conservation, waste, water and air quality, often referred to as eco-industries, but it can benefit other sectors as well.</w:t>
      </w:r>
    </w:p>
    <w:p w:rsidR="00794EA4" w:rsidRDefault="0017531E">
      <w:pPr>
        <w:widowControl w:val="0"/>
        <w:spacing w:after="240" w:line="240" w:lineRule="auto"/>
        <w:jc w:val="both"/>
        <w:rPr>
          <w:rFonts w:cs="Times New Roman"/>
          <w:noProof/>
          <w:sz w:val="20"/>
        </w:rPr>
      </w:pPr>
      <w:r>
        <w:rPr>
          <w:rFonts w:cs="Times New Roman"/>
          <w:noProof/>
          <w:sz w:val="20"/>
        </w:rPr>
        <w:t>The creation of green jobs has received political attention in light of the economic crisis hitting Spain harshly in the last year</w:t>
      </w:r>
      <w:r>
        <w:rPr>
          <w:rFonts w:cs="Times New Roman"/>
          <w:noProof/>
          <w:sz w:val="20"/>
        </w:rPr>
        <w:t>s, reflecting a positive trend during the recession in comparison with other sectors. Employment in the environmental sector is slightly above the EU average and waste management and renewable energy are the main generators of employment in Spain. However,</w:t>
      </w:r>
      <w:r>
        <w:rPr>
          <w:rFonts w:cs="Times New Roman"/>
          <w:noProof/>
          <w:sz w:val="20"/>
        </w:rPr>
        <w:t xml:space="preserve"> these activities have not exhausted their growth potential, as well as others sectors like wastewater treatment, environmental R&amp;D+I, ecological farming and stock breeding, forestry management and biodiversity protection.</w:t>
      </w:r>
    </w:p>
    <w:p w:rsidR="00794EA4" w:rsidRDefault="0017531E">
      <w:pPr>
        <w:widowControl w:val="0"/>
        <w:spacing w:after="120" w:line="240" w:lineRule="auto"/>
        <w:jc w:val="both"/>
        <w:outlineLvl w:val="2"/>
        <w:rPr>
          <w:rFonts w:cs="Times New Roman"/>
          <w:b/>
          <w:noProof/>
          <w:color w:val="1F497D" w:themeColor="text2"/>
        </w:rPr>
      </w:pPr>
      <w:bookmarkStart w:id="13" w:name="_Toc454553313"/>
      <w:r>
        <w:rPr>
          <w:rFonts w:cs="Times New Roman"/>
          <w:b/>
          <w:noProof/>
          <w:color w:val="1F497D" w:themeColor="text2"/>
        </w:rPr>
        <w:t>SMEs and resource efficiency</w:t>
      </w:r>
      <w:bookmarkEnd w:id="13"/>
    </w:p>
    <w:p w:rsidR="00794EA4" w:rsidRDefault="0017531E">
      <w:pPr>
        <w:widowControl w:val="0"/>
        <w:spacing w:after="120" w:line="240" w:lineRule="auto"/>
        <w:jc w:val="both"/>
        <w:rPr>
          <w:rFonts w:cs="Times New Roman"/>
          <w:noProof/>
          <w:sz w:val="20"/>
        </w:rPr>
      </w:pPr>
      <w:r>
        <w:rPr>
          <w:rFonts w:cs="Times New Roman"/>
          <w:noProof/>
          <w:sz w:val="20"/>
        </w:rPr>
        <w:t>Investments in innovative, cost-saving measures by SMEs to reduce resource and energy use have the potential to result in high cost savings. Thus, according to a study, for only four SME sectors (food &amp; beverages; energy, power &amp; utilities; environmental t</w:t>
      </w:r>
      <w:r>
        <w:rPr>
          <w:rFonts w:cs="Times New Roman"/>
          <w:noProof/>
          <w:sz w:val="20"/>
        </w:rPr>
        <w:t>echnologies; construction) the savings that would strengthen their competitiveness could already amount to EUR 3.7 billion in Spain</w:t>
      </w:r>
      <w:r>
        <w:rPr>
          <w:rFonts w:cs="Times New Roman"/>
          <w:noProof/>
          <w:sz w:val="20"/>
          <w:vertAlign w:val="superscript"/>
        </w:rPr>
        <w:footnoteReference w:id="12"/>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The EU Roadmap on Resource Efficiency outlines how we can transform Europe's economy into a sustainable one by 2050</w:t>
      </w:r>
      <w:r>
        <w:rPr>
          <w:rFonts w:cs="Times New Roman"/>
          <w:noProof/>
          <w:sz w:val="20"/>
          <w:vertAlign w:val="superscript"/>
        </w:rPr>
        <w:footnoteReference w:id="13"/>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 xml:space="preserve">The </w:t>
      </w:r>
      <w:r>
        <w:rPr>
          <w:rFonts w:cs="Times New Roman"/>
          <w:noProof/>
          <w:sz w:val="20"/>
        </w:rPr>
        <w:t>performance of Spanish SMEs is above EU average on several indicators on resource efficiency and green markets</w:t>
      </w:r>
      <w:r>
        <w:rPr>
          <w:rStyle w:val="FootnoteReference"/>
          <w:rFonts w:cs="Times New Roman"/>
          <w:noProof/>
          <w:sz w:val="20"/>
        </w:rPr>
        <w:footnoteReference w:id="14"/>
      </w:r>
      <w:r>
        <w:rPr>
          <w:rFonts w:ascii="Calibri" w:eastAsia="Calibri" w:hAnsi="Calibri" w:cs="Times New Roman"/>
          <w:noProof/>
          <w:sz w:val="20"/>
          <w:lang w:eastAsia="ar-SA"/>
        </w:rPr>
        <w:t>. B</w:t>
      </w:r>
      <w:r>
        <w:rPr>
          <w:rFonts w:cs="Times New Roman"/>
          <w:noProof/>
          <w:sz w:val="20"/>
        </w:rPr>
        <w:t>oosting resource efficiency in the business environment helps increasing Spanish competitiveness.</w:t>
      </w:r>
    </w:p>
    <w:p w:rsidR="00794EA4" w:rsidRDefault="0017531E">
      <w:pPr>
        <w:widowControl w:val="0"/>
        <w:spacing w:after="240" w:line="240" w:lineRule="auto"/>
        <w:jc w:val="both"/>
        <w:rPr>
          <w:rFonts w:cs="Times New Roman"/>
          <w:noProof/>
          <w:sz w:val="20"/>
        </w:rPr>
      </w:pPr>
      <w:r>
        <w:rPr>
          <w:rFonts w:cs="Times New Roman"/>
          <w:noProof/>
          <w:sz w:val="20"/>
        </w:rPr>
        <w:t>Another recent study offers a detailed analy</w:t>
      </w:r>
      <w:r>
        <w:rPr>
          <w:rFonts w:cs="Times New Roman"/>
          <w:noProof/>
          <w:sz w:val="20"/>
        </w:rPr>
        <w:t>sis of the level of application of business support measures to improve resource efficiency applied in the EU Member States</w:t>
      </w:r>
      <w:r>
        <w:rPr>
          <w:rFonts w:cs="Times New Roman"/>
          <w:noProof/>
          <w:sz w:val="20"/>
          <w:vertAlign w:val="superscript"/>
        </w:rPr>
        <w:footnoteReference w:id="15"/>
      </w:r>
      <w:r>
        <w:rPr>
          <w:rFonts w:cs="Times New Roman"/>
          <w:noProof/>
          <w:sz w:val="20"/>
        </w:rPr>
        <w:t>. This study shows that in Spain the most widespread instruments for the promotion of resource efficiency principles are being drive</w:t>
      </w:r>
      <w:r>
        <w:rPr>
          <w:rFonts w:cs="Times New Roman"/>
          <w:noProof/>
          <w:sz w:val="20"/>
        </w:rPr>
        <w:t>n by initiatives and regulations at the national level. Only four of the ten support measures analysed are widely used in Spain: voluntary agreements, development of non-legal standards, measures supporting EPR, and building resource efficiency related ski</w:t>
      </w:r>
      <w:r>
        <w:rPr>
          <w:rFonts w:cs="Times New Roman"/>
          <w:noProof/>
          <w:sz w:val="20"/>
        </w:rPr>
        <w:t>lls.</w:t>
      </w:r>
    </w:p>
    <w:p w:rsidR="00794EA4" w:rsidRDefault="0017531E">
      <w:pPr>
        <w:widowControl w:val="0"/>
        <w:spacing w:after="120" w:line="240" w:lineRule="auto"/>
        <w:jc w:val="both"/>
        <w:outlineLvl w:val="2"/>
        <w:rPr>
          <w:rFonts w:cs="Times New Roman"/>
          <w:b/>
          <w:noProof/>
          <w:color w:val="1F497D" w:themeColor="text2"/>
        </w:rPr>
      </w:pPr>
      <w:bookmarkStart w:id="14" w:name="_Toc454553314"/>
      <w:r>
        <w:rPr>
          <w:rFonts w:cs="Times New Roman"/>
          <w:b/>
          <w:noProof/>
          <w:color w:val="1F497D" w:themeColor="text2"/>
        </w:rPr>
        <w:t>Eco-innovation</w:t>
      </w:r>
      <w:bookmarkEnd w:id="14"/>
    </w:p>
    <w:p w:rsidR="00794EA4" w:rsidRDefault="0017531E">
      <w:pPr>
        <w:widowControl w:val="0"/>
        <w:spacing w:after="120" w:line="240" w:lineRule="auto"/>
        <w:jc w:val="both"/>
        <w:rPr>
          <w:rFonts w:cs="Times New Roman"/>
          <w:noProof/>
          <w:sz w:val="20"/>
        </w:rPr>
      </w:pPr>
      <w:r>
        <w:rPr>
          <w:rFonts w:cs="Times New Roman"/>
          <w:noProof/>
          <w:sz w:val="20"/>
        </w:rPr>
        <w:t>Eco-innovation brings financial benefits through the improved resource productivity and reduced costs of material and energy. Spain remains an eco-innovation follower. However, the economic crisis has posed additional eco-innovation nee</w:t>
      </w:r>
      <w:r>
        <w:rPr>
          <w:rFonts w:cs="Times New Roman"/>
          <w:noProof/>
          <w:sz w:val="20"/>
        </w:rPr>
        <w:t>ds and challenges in Spain.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rsidRPr="0017531E">
        <w:tc>
          <w:tcPr>
            <w:tcW w:w="4909" w:type="dxa"/>
          </w:tcPr>
          <w:p w:rsidR="00794EA4" w:rsidRDefault="0017531E">
            <w:pPr>
              <w:widowControl w:val="0"/>
              <w:jc w:val="both"/>
              <w:rPr>
                <w:rFonts w:cs="Times New Roman"/>
                <w:noProof/>
                <w:color w:val="1F497D" w:themeColor="text2"/>
                <w:sz w:val="20"/>
                <w:lang w:val="it-IT"/>
              </w:rPr>
            </w:pPr>
            <w:r>
              <w:rPr>
                <w:b/>
                <w:noProof/>
                <w:color w:val="1F497D" w:themeColor="text2"/>
                <w:sz w:val="20"/>
                <w:lang w:val="it-IT"/>
              </w:rPr>
              <w:t>Figure 2: Eco-Innovation Index 2015 (EU=100)</w:t>
            </w:r>
            <w:r>
              <w:rPr>
                <w:b/>
                <w:noProof/>
                <w:color w:val="1F497D" w:themeColor="text2"/>
                <w:sz w:val="20"/>
                <w:vertAlign w:val="superscript"/>
                <w:lang w:val="en-AU"/>
              </w:rPr>
              <w:footnoteReference w:id="16"/>
            </w:r>
          </w:p>
        </w:tc>
      </w:tr>
      <w:tr w:rsidR="00794EA4">
        <w:tc>
          <w:tcPr>
            <w:tcW w:w="4909" w:type="dxa"/>
          </w:tcPr>
          <w:p w:rsidR="00794EA4" w:rsidRDefault="0017531E">
            <w:pPr>
              <w:widowControl w:val="0"/>
              <w:jc w:val="both"/>
              <w:rPr>
                <w:rFonts w:cs="Times New Roman"/>
                <w:noProof/>
                <w:sz w:val="20"/>
                <w:lang w:val="it-IT"/>
              </w:rPr>
            </w:pPr>
            <w:r>
              <w:rPr>
                <w:rFonts w:cs="Times New Roman"/>
                <w:noProof/>
                <w:sz w:val="20"/>
                <w:lang w:eastAsia="en-GB"/>
              </w:rPr>
              <w:drawing>
                <wp:inline distT="0" distB="0" distL="0" distR="0" wp14:anchorId="55133CA6" wp14:editId="5E0A8D56">
                  <wp:extent cx="2924355" cy="3985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24356" cy="3985718"/>
                          </a:xfrm>
                          <a:prstGeom prst="rect">
                            <a:avLst/>
                          </a:prstGeom>
                          <a:noFill/>
                        </pic:spPr>
                      </pic:pic>
                    </a:graphicData>
                  </a:graphic>
                </wp:inline>
              </w:drawing>
            </w:r>
          </w:p>
        </w:tc>
      </w:tr>
    </w:tbl>
    <w:p w:rsidR="00794EA4" w:rsidRDefault="0017531E">
      <w:pPr>
        <w:widowControl w:val="0"/>
        <w:spacing w:before="240" w:after="120" w:line="240" w:lineRule="auto"/>
        <w:jc w:val="both"/>
        <w:rPr>
          <w:rFonts w:cs="Times New Roman"/>
          <w:noProof/>
          <w:sz w:val="20"/>
        </w:rPr>
      </w:pPr>
      <w:r>
        <w:rPr>
          <w:rFonts w:cs="Times New Roman"/>
          <w:noProof/>
          <w:sz w:val="20"/>
        </w:rPr>
        <w:t xml:space="preserve">Spain is ranked number 9 in the Eco-IS 2015 as shown in Figure 2. As it was in the case in all previous editions of the Scoreboard, the country has above-average overall </w:t>
      </w:r>
      <w:r>
        <w:rPr>
          <w:rFonts w:cs="Times New Roman"/>
          <w:noProof/>
          <w:sz w:val="20"/>
        </w:rPr>
        <w:t>performance (score of 106). The leading Spanish eco-innovation areas have not changed substantially: waste management, eco-design, energy efficiency, sustainable construction and water efficiency. In any case, large potential rests in the eco-innovations s</w:t>
      </w:r>
      <w:r>
        <w:rPr>
          <w:rFonts w:cs="Times New Roman"/>
          <w:noProof/>
          <w:sz w:val="20"/>
        </w:rPr>
        <w:t>ectors.</w:t>
      </w:r>
    </w:p>
    <w:p w:rsidR="00794EA4" w:rsidRDefault="0017531E">
      <w:pPr>
        <w:widowControl w:val="0"/>
        <w:spacing w:after="120" w:line="240" w:lineRule="auto"/>
        <w:jc w:val="both"/>
        <w:rPr>
          <w:rFonts w:cs="Times New Roman"/>
          <w:noProof/>
          <w:sz w:val="20"/>
        </w:rPr>
      </w:pPr>
      <w:r>
        <w:rPr>
          <w:rFonts w:cs="Times New Roman"/>
          <w:noProof/>
          <w:sz w:val="20"/>
        </w:rPr>
        <w:t>However, despite keeping its performance high, Spain lost three positions and four score-points in comparison to its rank in the Eco-IS 2013. Apart from the financial crisis that led to heavy cuts in public funds affecting eco-innovation and innova</w:t>
      </w:r>
      <w:r>
        <w:rPr>
          <w:rFonts w:cs="Times New Roman"/>
          <w:noProof/>
          <w:sz w:val="20"/>
        </w:rPr>
        <w:t>tion in general, research and innovation policy in Spain face overall several challenges</w:t>
      </w:r>
      <w:r>
        <w:rPr>
          <w:rFonts w:cs="Times New Roman"/>
          <w:noProof/>
          <w:sz w:val="20"/>
          <w:vertAlign w:val="superscript"/>
        </w:rPr>
        <w:footnoteReference w:id="17"/>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The strong level of decentralisation and high margin of manoeuver of the Autonomous Communities in Spain is a major influencer on the country's performance. A decent</w:t>
      </w:r>
      <w:r>
        <w:rPr>
          <w:rFonts w:cs="Times New Roman"/>
          <w:noProof/>
          <w:sz w:val="20"/>
        </w:rPr>
        <w:t>ralised management of eco-innovation policies has the advantage of offering greater flexibility and adaptability to local needs. However, so far a great level of heterogeneity, both legislative and organizational, has been observed in the regional strategi</w:t>
      </w:r>
      <w:r>
        <w:rPr>
          <w:rFonts w:cs="Times New Roman"/>
          <w:noProof/>
          <w:sz w:val="20"/>
        </w:rPr>
        <w:t>es in support of eco-innovation and circular economy with regards to objectives, instruments and environmental standards. This generates uneven administrative and environmental regimes and burden across regions, leading to market distortions.</w:t>
      </w:r>
    </w:p>
    <w:p w:rsidR="00794EA4" w:rsidRDefault="0017531E">
      <w:pPr>
        <w:widowControl w:val="0"/>
        <w:spacing w:after="120" w:line="240" w:lineRule="auto"/>
        <w:jc w:val="both"/>
        <w:rPr>
          <w:rFonts w:cs="Times New Roman"/>
          <w:noProof/>
          <w:sz w:val="20"/>
        </w:rPr>
      </w:pPr>
      <w:r>
        <w:rPr>
          <w:rFonts w:cs="Times New Roman"/>
          <w:noProof/>
          <w:sz w:val="20"/>
        </w:rPr>
        <w:t>As a positive</w:t>
      </w:r>
      <w:r>
        <w:rPr>
          <w:rFonts w:cs="Times New Roman"/>
          <w:noProof/>
          <w:sz w:val="20"/>
        </w:rPr>
        <w:t xml:space="preserve"> point, it can be highlighted that Spain has 942 EMAS registered organisations, which is a very high number with respect to the total of 4034 organisations that hold a registration. Spain is the second European country gathering the most EMAS registered or</w:t>
      </w:r>
      <w:r>
        <w:rPr>
          <w:rFonts w:cs="Times New Roman"/>
          <w:noProof/>
          <w:sz w:val="20"/>
        </w:rPr>
        <w:t>ganisations (after Germany).</w:t>
      </w:r>
    </w:p>
    <w:p w:rsidR="00794EA4" w:rsidRDefault="0017531E">
      <w:pPr>
        <w:widowControl w:val="0"/>
        <w:spacing w:after="240" w:line="240" w:lineRule="auto"/>
        <w:jc w:val="both"/>
        <w:rPr>
          <w:rFonts w:cs="Times New Roman"/>
          <w:noProof/>
          <w:sz w:val="20"/>
        </w:rPr>
      </w:pPr>
      <w:r>
        <w:rPr>
          <w:rFonts w:cs="Times New Roman"/>
          <w:noProof/>
          <w:sz w:val="20"/>
        </w:rPr>
        <w:t>Concerning the EU Ecolabel, Spain has 197 licenses, which is quite a big number with respect to the 1875 total number of licenses. It is the fourth biggest gatherers of EU Ecolabel licenses.</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rPr>
          <w:noProof/>
        </w:rPr>
      </w:pPr>
      <w:bookmarkStart w:id="15" w:name="_Toc433296157"/>
      <w:r>
        <w:rPr>
          <w:noProof/>
        </w:rPr>
        <w:t xml:space="preserve">Further develop </w:t>
      </w:r>
      <w:r>
        <w:rPr>
          <w:noProof/>
        </w:rPr>
        <w:t>circular economy and eco-innovation policies, by better cooperation between all level of governances, as well as with the private sector.</w:t>
      </w:r>
    </w:p>
    <w:p w:rsidR="00794EA4" w:rsidRDefault="0017531E">
      <w:pPr>
        <w:pStyle w:val="NoSpacing"/>
        <w:rPr>
          <w:noProof/>
        </w:rPr>
      </w:pPr>
      <w:r>
        <w:rPr>
          <w:noProof/>
        </w:rPr>
        <w:t>Integrate circular economy and resource efficiency principles in the SMEs policies, e.g. incentive energy and water sa</w:t>
      </w:r>
      <w:r>
        <w:rPr>
          <w:noProof/>
        </w:rPr>
        <w:t>vings, emphasise the use of eco-design, and by investing further in education and training.</w:t>
      </w:r>
    </w:p>
    <w:p w:rsidR="00794EA4" w:rsidRDefault="0017531E">
      <w:pPr>
        <w:pStyle w:val="NoSpacing"/>
        <w:spacing w:after="360"/>
        <w:rPr>
          <w:noProof/>
        </w:rPr>
      </w:pPr>
      <w:r>
        <w:rPr>
          <w:noProof/>
        </w:rPr>
        <w:t>Facilitate green investments and ease the access to funding.</w:t>
      </w:r>
    </w:p>
    <w:p w:rsidR="00794EA4" w:rsidRDefault="0017531E">
      <w:pPr>
        <w:widowControl w:val="0"/>
        <w:spacing w:after="240" w:line="240" w:lineRule="auto"/>
        <w:jc w:val="both"/>
        <w:outlineLvl w:val="1"/>
        <w:rPr>
          <w:rFonts w:cs="Times New Roman"/>
          <w:b/>
          <w:noProof/>
          <w:color w:val="1F497D" w:themeColor="text2"/>
          <w:sz w:val="24"/>
        </w:rPr>
      </w:pPr>
      <w:bookmarkStart w:id="16" w:name="_Toc469402067"/>
      <w:bookmarkStart w:id="17" w:name="_Toc469492812"/>
      <w:bookmarkEnd w:id="15"/>
      <w:r>
        <w:rPr>
          <w:rFonts w:cs="Times New Roman"/>
          <w:b/>
          <w:noProof/>
          <w:color w:val="1F497D" w:themeColor="text2"/>
          <w:sz w:val="24"/>
        </w:rPr>
        <w:t>Waste management</w:t>
      </w:r>
      <w:bookmarkEnd w:id="16"/>
      <w:bookmarkEnd w:id="17"/>
    </w:p>
    <w:p w:rsidR="00794EA4" w:rsidRDefault="0017531E">
      <w:pPr>
        <w:widowControl w:val="0"/>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Turning waste into a resource requires:</w:t>
      </w:r>
    </w:p>
    <w:p w:rsidR="00794EA4" w:rsidRDefault="0017531E">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 xml:space="preserve">Full implementation of Union waste </w:t>
      </w:r>
      <w:r>
        <w:rPr>
          <w:noProof/>
          <w:color w:val="FFFFFF" w:themeColor="background1"/>
          <w:sz w:val="20"/>
        </w:rPr>
        <w:t>legislation, which includes the waste hierarchy; the need to ensure separate collection of waste; the landfill diversion targets etc.</w:t>
      </w:r>
    </w:p>
    <w:p w:rsidR="00794EA4" w:rsidRDefault="0017531E">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Reducing per capita waste generation and waste generation in absolute terms.</w:t>
      </w:r>
    </w:p>
    <w:p w:rsidR="00794EA4" w:rsidRDefault="0017531E">
      <w:pPr>
        <w:widowControl w:val="0"/>
        <w:numPr>
          <w:ilvl w:val="0"/>
          <w:numId w:val="7"/>
        </w:numPr>
        <w:shd w:val="clear" w:color="auto" w:fill="4F81BD" w:themeFill="accent1"/>
        <w:spacing w:after="60" w:line="240" w:lineRule="auto"/>
        <w:contextualSpacing/>
        <w:jc w:val="both"/>
        <w:rPr>
          <w:noProof/>
          <w:color w:val="FFFFFF" w:themeColor="background1"/>
          <w:sz w:val="20"/>
        </w:rPr>
      </w:pPr>
      <w:r>
        <w:rPr>
          <w:noProof/>
          <w:color w:val="FFFFFF" w:themeColor="background1"/>
          <w:sz w:val="20"/>
        </w:rPr>
        <w:t>Limiting energy recovery to non-recyclable ma</w:t>
      </w:r>
      <w:r>
        <w:rPr>
          <w:noProof/>
          <w:color w:val="FFFFFF" w:themeColor="background1"/>
          <w:sz w:val="20"/>
        </w:rPr>
        <w:t>terials and phasing out landfilling of recyclable or recoverable waste.</w:t>
      </w:r>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12 invites countries to substantially reduce waste generation through prevention, reduction, recycling and reuse by 2030.</w:t>
      </w:r>
    </w:p>
    <w:p w:rsidR="00794EA4" w:rsidRDefault="0017531E">
      <w:pPr>
        <w:widowControl w:val="0"/>
        <w:spacing w:before="240" w:after="120" w:line="240" w:lineRule="auto"/>
        <w:jc w:val="both"/>
        <w:rPr>
          <w:rFonts w:cs="Times New Roman"/>
          <w:noProof/>
          <w:sz w:val="20"/>
        </w:rPr>
      </w:pPr>
      <w:r>
        <w:rPr>
          <w:rFonts w:cs="Times New Roman"/>
          <w:noProof/>
          <w:sz w:val="20"/>
        </w:rPr>
        <w:t>The EU's approach to waste management is based on the "was</w:t>
      </w:r>
      <w:r>
        <w:rPr>
          <w:rFonts w:cs="Times New Roman"/>
          <w:noProof/>
          <w:sz w:val="20"/>
        </w:rPr>
        <w:t>te hierarchy" which sets out an order of priority when shaping waste policy and managing waste at the operational level: prevention, (preparing for) reuse, recycling, recovery and, as the least preferred option, disposal (which includes landfilling and inc</w:t>
      </w:r>
      <w:r>
        <w:rPr>
          <w:rFonts w:cs="Times New Roman"/>
          <w:noProof/>
          <w:sz w:val="20"/>
        </w:rPr>
        <w:t>ineration without energy recovery).</w:t>
      </w:r>
    </w:p>
    <w:p w:rsidR="00794EA4" w:rsidRDefault="0017531E">
      <w:pPr>
        <w:widowControl w:val="0"/>
        <w:spacing w:after="120" w:line="240" w:lineRule="auto"/>
        <w:jc w:val="both"/>
        <w:rPr>
          <w:rFonts w:cs="Times New Roman"/>
          <w:noProof/>
          <w:sz w:val="20"/>
        </w:rPr>
      </w:pPr>
      <w:r>
        <w:rPr>
          <w:rFonts w:cs="Times New Roman"/>
          <w:noProof/>
          <w:sz w:val="20"/>
        </w:rPr>
        <w:t>The progress towards reaching recycling targets and the adoption of adequate WMP/WPP</w:t>
      </w:r>
      <w:r>
        <w:rPr>
          <w:rFonts w:cs="Times New Roman"/>
          <w:noProof/>
          <w:sz w:val="20"/>
          <w:vertAlign w:val="superscript"/>
        </w:rPr>
        <w:footnoteReference w:id="18"/>
      </w:r>
      <w:r>
        <w:rPr>
          <w:rFonts w:cs="Times New Roman"/>
          <w:noProof/>
          <w:sz w:val="20"/>
        </w:rPr>
        <w:t xml:space="preserve"> should be the key items to measure the performance of Member States. This section focuses on management of municipal waste for which E</w:t>
      </w:r>
      <w:r>
        <w:rPr>
          <w:rFonts w:cs="Times New Roman"/>
          <w:noProof/>
          <w:sz w:val="20"/>
        </w:rPr>
        <w:t>U law sets mandatory recycling targets.</w:t>
      </w:r>
    </w:p>
    <w:p w:rsidR="00794EA4" w:rsidRDefault="0017531E">
      <w:pPr>
        <w:widowControl w:val="0"/>
        <w:spacing w:after="120" w:line="240" w:lineRule="auto"/>
        <w:jc w:val="both"/>
        <w:rPr>
          <w:rFonts w:cs="Times New Roman"/>
          <w:noProof/>
          <w:sz w:val="20"/>
        </w:rPr>
      </w:pPr>
      <w:r>
        <w:rPr>
          <w:rFonts w:cs="Times New Roman"/>
          <w:noProof/>
          <w:sz w:val="20"/>
        </w:rPr>
        <w:t>There has been a reduction in terms of municipal waste</w:t>
      </w:r>
      <w:r>
        <w:rPr>
          <w:rFonts w:cs="Times New Roman"/>
          <w:noProof/>
          <w:sz w:val="20"/>
          <w:vertAlign w:val="superscript"/>
        </w:rPr>
        <w:footnoteReference w:id="19"/>
      </w:r>
      <w:r>
        <w:rPr>
          <w:rFonts w:cs="Times New Roman"/>
          <w:noProof/>
          <w:sz w:val="20"/>
        </w:rPr>
        <w:t xml:space="preserve"> generation in the last years and now the average amount in Spain (435 kg/y/inhabitant) is below the EU average (475 kg/y/inhabitant).</w:t>
      </w:r>
    </w:p>
    <w:p w:rsidR="00794EA4" w:rsidRDefault="0017531E">
      <w:pPr>
        <w:widowControl w:val="0"/>
        <w:spacing w:before="120" w:after="240" w:line="240" w:lineRule="auto"/>
        <w:jc w:val="both"/>
        <w:rPr>
          <w:rFonts w:cs="Times New Roman"/>
          <w:noProof/>
          <w:sz w:val="20"/>
        </w:rPr>
      </w:pPr>
      <w:r>
        <w:rPr>
          <w:rFonts w:cs="Times New Roman"/>
          <w:noProof/>
          <w:sz w:val="20"/>
        </w:rPr>
        <w:t xml:space="preserve">Figure 3 depicts the </w:t>
      </w:r>
      <w:r>
        <w:rPr>
          <w:rFonts w:cs="Times New Roman"/>
          <w:noProof/>
          <w:sz w:val="20"/>
        </w:rPr>
        <w:t>municipal waste by treatment in Spain in terms of kg per capita, which shows a slightly increase in composting and slightly increase in incineration and a decrease in recycling and landfilling. According to 2014 data, 55% of municipal waste in Spain is lan</w:t>
      </w:r>
      <w:r>
        <w:rPr>
          <w:rFonts w:cs="Times New Roman"/>
          <w:noProof/>
          <w:sz w:val="20"/>
        </w:rPr>
        <w:t>dfilled (much greater than the EU average of 28%).</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c>
          <w:tcPr>
            <w:tcW w:w="4909" w:type="dxa"/>
          </w:tcPr>
          <w:p w:rsidR="00794EA4" w:rsidRDefault="0017531E">
            <w:pPr>
              <w:widowControl w:val="0"/>
              <w:spacing w:after="120"/>
              <w:jc w:val="both"/>
              <w:rPr>
                <w:rFonts w:cs="Times New Roman"/>
                <w:noProof/>
                <w:color w:val="1F497D" w:themeColor="text2"/>
                <w:sz w:val="20"/>
              </w:rPr>
            </w:pPr>
            <w:r>
              <w:rPr>
                <w:rFonts w:cs="Times New Roman"/>
                <w:b/>
                <w:bCs/>
                <w:noProof/>
                <w:color w:val="1F497D" w:themeColor="text2"/>
                <w:sz w:val="20"/>
              </w:rPr>
              <w:t>Figure 3: Municipal waste by treatment in Spain 2007-14</w:t>
            </w:r>
            <w:r>
              <w:rPr>
                <w:b/>
                <w:bCs/>
                <w:noProof/>
                <w:color w:val="1F497D" w:themeColor="text2"/>
                <w:sz w:val="20"/>
                <w:vertAlign w:val="superscript"/>
              </w:rPr>
              <w:footnoteReference w:id="20"/>
            </w:r>
          </w:p>
        </w:tc>
      </w:tr>
      <w:tr w:rsidR="00794EA4">
        <w:tc>
          <w:tcPr>
            <w:tcW w:w="4909" w:type="dxa"/>
          </w:tcPr>
          <w:p w:rsidR="00794EA4" w:rsidRDefault="0017531E">
            <w:pPr>
              <w:widowControl w:val="0"/>
              <w:spacing w:after="120"/>
              <w:jc w:val="both"/>
              <w:rPr>
                <w:rFonts w:cs="Times New Roman"/>
                <w:noProof/>
                <w:sz w:val="20"/>
              </w:rPr>
            </w:pPr>
            <w:r>
              <w:rPr>
                <w:rFonts w:cs="Times New Roman"/>
                <w:noProof/>
                <w:sz w:val="20"/>
                <w:lang w:eastAsia="en-GB"/>
              </w:rPr>
              <w:drawing>
                <wp:inline distT="0" distB="0" distL="0" distR="0" wp14:anchorId="55DCFEB2" wp14:editId="1A23E66E">
                  <wp:extent cx="2989691" cy="2647784"/>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94390" cy="2651946"/>
                          </a:xfrm>
                          <a:prstGeom prst="rect">
                            <a:avLst/>
                          </a:prstGeom>
                        </pic:spPr>
                      </pic:pic>
                    </a:graphicData>
                  </a:graphic>
                </wp:inline>
              </w:drawing>
            </w:r>
          </w:p>
        </w:tc>
      </w:tr>
    </w:tbl>
    <w:p w:rsidR="00794EA4" w:rsidRDefault="0017531E">
      <w:pPr>
        <w:widowControl w:val="0"/>
        <w:spacing w:before="240" w:after="120" w:line="240" w:lineRule="auto"/>
        <w:jc w:val="both"/>
        <w:rPr>
          <w:rFonts w:cs="Times New Roman"/>
          <w:noProof/>
          <w:sz w:val="20"/>
        </w:rPr>
      </w:pPr>
      <w:r>
        <w:rPr>
          <w:rFonts w:cs="Times New Roman"/>
          <w:noProof/>
          <w:sz w:val="20"/>
        </w:rPr>
        <w:t>The opportunities of prevention and recycling are not fully tapped into. Figure 4 shows that although Spain has increased its recycling rate sin</w:t>
      </w:r>
      <w:r>
        <w:rPr>
          <w:rFonts w:cs="Times New Roman"/>
          <w:noProof/>
          <w:sz w:val="20"/>
        </w:rPr>
        <w:t>ce 2011, it must strongly invest in recycling and divert from landfilling in the next coming years in order to reach the 2020 recycling target.</w:t>
      </w:r>
    </w:p>
    <w:p w:rsidR="00794EA4" w:rsidRDefault="0017531E">
      <w:pPr>
        <w:widowControl w:val="0"/>
        <w:spacing w:after="120" w:line="240" w:lineRule="auto"/>
        <w:jc w:val="both"/>
        <w:rPr>
          <w:rFonts w:cs="Times New Roman"/>
          <w:noProof/>
          <w:sz w:val="20"/>
        </w:rPr>
      </w:pPr>
      <w:r>
        <w:rPr>
          <w:rFonts w:cs="Times New Roman"/>
          <w:noProof/>
          <w:sz w:val="20"/>
        </w:rPr>
        <w:t>At the current pace (16% recycled and 17% composted), Spain needs to make significant further efforts to reach t</w:t>
      </w:r>
      <w:r>
        <w:rPr>
          <w:rFonts w:cs="Times New Roman"/>
          <w:noProof/>
          <w:sz w:val="20"/>
        </w:rPr>
        <w:t>he EU recycling target of 50% of municipal waste by 2020.</w:t>
      </w:r>
      <w:r>
        <w:rPr>
          <w:rFonts w:cs="Times New Roman"/>
          <w:noProof/>
          <w:sz w:val="20"/>
          <w:vertAlign w:val="superscript"/>
        </w:rPr>
        <w:footnoteReference w:id="21"/>
      </w:r>
      <w:r>
        <w:rPr>
          <w:rFonts w:cs="Times New Roman"/>
          <w:noProof/>
          <w:sz w:val="20"/>
        </w:rPr>
        <w:t xml:space="preserve"> This can only be achieved by the systematic and concentrated effort of all stakeholders involved in urban waste management at national, regional and local level.</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c>
          <w:tcPr>
            <w:tcW w:w="4909" w:type="dxa"/>
          </w:tcPr>
          <w:p w:rsidR="00794EA4" w:rsidRDefault="0017531E">
            <w:pPr>
              <w:widowControl w:val="0"/>
              <w:spacing w:after="120"/>
              <w:jc w:val="both"/>
              <w:rPr>
                <w:rFonts w:cs="Times New Roman"/>
                <w:noProof/>
                <w:color w:val="1F497D" w:themeColor="text2"/>
                <w:sz w:val="20"/>
              </w:rPr>
            </w:pPr>
            <w:r>
              <w:rPr>
                <w:rFonts w:cs="Times New Roman"/>
                <w:b/>
                <w:bCs/>
                <w:noProof/>
                <w:color w:val="1F497D" w:themeColor="text2"/>
                <w:sz w:val="20"/>
              </w:rPr>
              <w:t xml:space="preserve">Figure 4: Recycling rate of </w:t>
            </w:r>
            <w:r>
              <w:rPr>
                <w:rFonts w:cs="Times New Roman"/>
                <w:b/>
                <w:bCs/>
                <w:noProof/>
                <w:color w:val="1F497D" w:themeColor="text2"/>
                <w:sz w:val="20"/>
              </w:rPr>
              <w:t>municipal waste 2007-14</w:t>
            </w:r>
            <w:r>
              <w:rPr>
                <w:b/>
                <w:bCs/>
                <w:noProof/>
                <w:color w:val="1F497D" w:themeColor="text2"/>
                <w:sz w:val="20"/>
                <w:vertAlign w:val="superscript"/>
              </w:rPr>
              <w:footnoteReference w:id="22"/>
            </w:r>
          </w:p>
        </w:tc>
      </w:tr>
      <w:tr w:rsidR="00794EA4">
        <w:tc>
          <w:tcPr>
            <w:tcW w:w="4909" w:type="dxa"/>
          </w:tcPr>
          <w:p w:rsidR="00794EA4" w:rsidRDefault="0017531E">
            <w:pPr>
              <w:widowControl w:val="0"/>
              <w:spacing w:after="120"/>
              <w:jc w:val="both"/>
              <w:rPr>
                <w:rFonts w:cs="Times New Roman"/>
                <w:noProof/>
                <w:sz w:val="20"/>
              </w:rPr>
            </w:pPr>
            <w:r>
              <w:rPr>
                <w:rFonts w:cs="Times New Roman"/>
                <w:noProof/>
                <w:sz w:val="20"/>
                <w:lang w:eastAsia="en-GB"/>
              </w:rPr>
              <w:drawing>
                <wp:inline distT="0" distB="0" distL="0" distR="0" wp14:anchorId="6E4BD5C9" wp14:editId="6E557953">
                  <wp:extent cx="2942587" cy="24412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4481" cy="2442846"/>
                          </a:xfrm>
                          <a:prstGeom prst="rect">
                            <a:avLst/>
                          </a:prstGeom>
                          <a:noFill/>
                        </pic:spPr>
                      </pic:pic>
                    </a:graphicData>
                  </a:graphic>
                </wp:inline>
              </w:drawing>
            </w:r>
          </w:p>
        </w:tc>
      </w:tr>
    </w:tbl>
    <w:p w:rsidR="00794EA4" w:rsidRDefault="0017531E">
      <w:pPr>
        <w:widowControl w:val="0"/>
        <w:spacing w:before="120" w:after="240" w:line="240" w:lineRule="auto"/>
        <w:jc w:val="both"/>
        <w:rPr>
          <w:rFonts w:cs="Times New Roman"/>
          <w:noProof/>
          <w:sz w:val="20"/>
        </w:rPr>
      </w:pPr>
      <w:r>
        <w:rPr>
          <w:rFonts w:cs="Times New Roman"/>
          <w:noProof/>
          <w:sz w:val="20"/>
        </w:rPr>
        <w:t>In addition, illegal or subs-standard landfilling is still an important problem in Spain, and is closely followed by the Commission. To help bridge the implementation gap in Spain, the Commission has delivered a roadmap for com</w:t>
      </w:r>
      <w:r>
        <w:rPr>
          <w:rFonts w:cs="Times New Roman"/>
          <w:noProof/>
          <w:sz w:val="20"/>
        </w:rPr>
        <w:t>pliance</w:t>
      </w:r>
      <w:r>
        <w:rPr>
          <w:rFonts w:eastAsia="Calibri" w:cs="Times New Roman"/>
          <w:noProof/>
          <w:sz w:val="20"/>
          <w:vertAlign w:val="superscript"/>
        </w:rPr>
        <w:footnoteReference w:id="23"/>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lang w:eastAsia="en-GB"/>
        </w:rPr>
        <w:drawing>
          <wp:inline distT="0" distB="0" distL="0" distR="0" wp14:anchorId="601C685A" wp14:editId="3CDC20A2">
            <wp:extent cx="2975669" cy="2162754"/>
            <wp:effectExtent l="0" t="0" r="0" b="9525"/>
            <wp:docPr id="12" name="Picture 12" descr="P:\ENV-E2\1. ENV IMPLEMENTATION REVIEW\EIR Data management\Pictures\LIFE pictures\Pictures_by_Country2\Spain\LIFE08_ENV_E_000135_1405141523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V-E2\1. ENV IMPLEMENTATION REVIEW\EIR Data management\Pictures\LIFE pictures\Pictures_by_Country2\Spain\LIFE08_ENV_E_000135_1405141523_00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5617" cy="2169985"/>
                    </a:xfrm>
                    <a:prstGeom prst="rect">
                      <a:avLst/>
                    </a:prstGeom>
                    <a:noFill/>
                    <a:ln>
                      <a:noFill/>
                    </a:ln>
                  </pic:spPr>
                </pic:pic>
              </a:graphicData>
            </a:graphic>
          </wp:inline>
        </w:drawing>
      </w:r>
    </w:p>
    <w:p w:rsidR="00794EA4" w:rsidRDefault="0017531E">
      <w:pPr>
        <w:widowControl w:val="0"/>
        <w:spacing w:before="240" w:after="120" w:line="240" w:lineRule="auto"/>
        <w:jc w:val="both"/>
        <w:rPr>
          <w:rFonts w:cs="Times New Roman"/>
          <w:noProof/>
          <w:sz w:val="20"/>
        </w:rPr>
      </w:pPr>
      <w:r>
        <w:rPr>
          <w:rFonts w:cs="Times New Roman"/>
          <w:noProof/>
          <w:sz w:val="20"/>
        </w:rPr>
        <w:t>The underlying causes for the current distance to EU waste targets are: lack of incentives to manage waste according to the waste hierarchy; insufficient (door-to-door) separate collection of waste; lack of co-ordination between the different a</w:t>
      </w:r>
      <w:r>
        <w:rPr>
          <w:rFonts w:cs="Times New Roman"/>
          <w:noProof/>
          <w:sz w:val="20"/>
        </w:rPr>
        <w:t>dministrative levels; insufficient extended producer responsibility (EPR) systems; insufficient management of bio-waste.</w:t>
      </w:r>
    </w:p>
    <w:p w:rsidR="00794EA4" w:rsidRDefault="0017531E">
      <w:pPr>
        <w:widowControl w:val="0"/>
        <w:spacing w:after="120" w:line="240" w:lineRule="auto"/>
        <w:jc w:val="both"/>
        <w:rPr>
          <w:rFonts w:cs="Times New Roman"/>
          <w:noProof/>
          <w:sz w:val="20"/>
        </w:rPr>
      </w:pPr>
      <w:r>
        <w:rPr>
          <w:rFonts w:cs="Times New Roman"/>
          <w:noProof/>
          <w:sz w:val="20"/>
        </w:rPr>
        <w:t xml:space="preserve">Spain has adopted a national Waste Prevention Programme 2014-2020 in 2013 as well as a new national Waste Management Plan 2016-2022 in </w:t>
      </w:r>
      <w:r>
        <w:rPr>
          <w:rFonts w:cs="Times New Roman"/>
          <w:noProof/>
          <w:sz w:val="20"/>
        </w:rPr>
        <w:t>2015, pursuant to the Waste Framework Directive. However, some regional waste management plans have still to be updated.</w:t>
      </w:r>
    </w:p>
    <w:p w:rsidR="00794EA4" w:rsidRDefault="0017531E">
      <w:pPr>
        <w:widowControl w:val="0"/>
        <w:spacing w:after="120" w:line="240" w:lineRule="auto"/>
        <w:jc w:val="both"/>
        <w:rPr>
          <w:rFonts w:cs="Times New Roman"/>
          <w:noProof/>
          <w:sz w:val="20"/>
        </w:rPr>
      </w:pPr>
      <w:r>
        <w:rPr>
          <w:rFonts w:cs="Times New Roman"/>
          <w:noProof/>
          <w:sz w:val="20"/>
        </w:rPr>
        <w:t>The National Framework Plan for Waste Management 2016-2022 (PEMAR)</w:t>
      </w:r>
      <w:r>
        <w:rPr>
          <w:rFonts w:cs="Times New Roman"/>
          <w:noProof/>
          <w:sz w:val="20"/>
          <w:vertAlign w:val="superscript"/>
        </w:rPr>
        <w:footnoteReference w:id="24"/>
      </w:r>
      <w:r>
        <w:rPr>
          <w:rFonts w:cs="Times New Roman"/>
          <w:noProof/>
          <w:sz w:val="20"/>
        </w:rPr>
        <w:t>, approved in November 2015, sets up the strategic guidelines for wa</w:t>
      </w:r>
      <w:r>
        <w:rPr>
          <w:rFonts w:cs="Times New Roman"/>
          <w:noProof/>
          <w:sz w:val="20"/>
        </w:rPr>
        <w:t>ste management in the next six years and the measures necessary to meet EU targets. The final objective is to substitute linear models of production by circular models that reintegrate waste materials into the production line.</w:t>
      </w:r>
    </w:p>
    <w:p w:rsidR="00794EA4" w:rsidRDefault="0017531E">
      <w:pPr>
        <w:widowControl w:val="0"/>
        <w:spacing w:after="120" w:line="240" w:lineRule="auto"/>
        <w:jc w:val="both"/>
        <w:rPr>
          <w:rFonts w:cs="Times New Roman"/>
          <w:noProof/>
          <w:sz w:val="20"/>
        </w:rPr>
      </w:pPr>
      <w:r>
        <w:rPr>
          <w:rFonts w:cs="Times New Roman"/>
          <w:noProof/>
          <w:sz w:val="20"/>
        </w:rPr>
        <w:t xml:space="preserve">The PEMAR applies the waste </w:t>
      </w:r>
      <w:r>
        <w:rPr>
          <w:rFonts w:cs="Times New Roman"/>
          <w:noProof/>
          <w:sz w:val="20"/>
        </w:rPr>
        <w:t>hierarchy that underlies EU waste legislation. The Plan introduces an obligation of result on the Autonomous Communities, imposing on regions to align and review their regional strategies so as to achieve the specific objectives of the national Plan.</w:t>
      </w:r>
    </w:p>
    <w:p w:rsidR="00794EA4" w:rsidRDefault="0017531E">
      <w:pPr>
        <w:widowControl w:val="0"/>
        <w:spacing w:after="120" w:line="240" w:lineRule="auto"/>
        <w:jc w:val="both"/>
        <w:rPr>
          <w:rFonts w:cs="Times New Roman"/>
          <w:noProof/>
          <w:sz w:val="20"/>
        </w:rPr>
      </w:pPr>
      <w:r>
        <w:rPr>
          <w:rFonts w:cs="Times New Roman"/>
          <w:noProof/>
          <w:sz w:val="20"/>
        </w:rPr>
        <w:t xml:space="preserve">Full </w:t>
      </w:r>
      <w:r>
        <w:rPr>
          <w:rFonts w:cs="Times New Roman"/>
          <w:noProof/>
          <w:sz w:val="20"/>
        </w:rPr>
        <w:t>implementation of EU waste legislation could create more than 54,200 jobs in Spain and increase annual turnover of the waste sector by over EUR 5690 million. Moving towards the targets of the Roadmap on resource efficiency could create over 69,500 addition</w:t>
      </w:r>
      <w:r>
        <w:rPr>
          <w:rFonts w:cs="Times New Roman"/>
          <w:noProof/>
          <w:sz w:val="20"/>
        </w:rPr>
        <w:t>al jobs and increase the annual turnover of the waste sector by over EUR 7,300 million</w:t>
      </w:r>
      <w:r>
        <w:rPr>
          <w:rFonts w:eastAsia="Calibri" w:cs="Times New Roman"/>
          <w:noProof/>
          <w:sz w:val="20"/>
          <w:vertAlign w:val="superscript"/>
        </w:rPr>
        <w:footnoteReference w:id="25"/>
      </w:r>
      <w:r>
        <w:rPr>
          <w:rFonts w:cs="Times New Roman"/>
          <w:noProof/>
          <w:sz w:val="20"/>
        </w:rPr>
        <w:t>.</w:t>
      </w:r>
    </w:p>
    <w:p w:rsidR="00794EA4" w:rsidRDefault="0017531E">
      <w:pPr>
        <w:widowControl w:val="0"/>
        <w:spacing w:after="240" w:line="240" w:lineRule="auto"/>
        <w:jc w:val="both"/>
        <w:rPr>
          <w:rFonts w:cs="Times New Roman"/>
          <w:noProof/>
          <w:sz w:val="20"/>
        </w:rPr>
      </w:pPr>
      <w:r>
        <w:rPr>
          <w:rFonts w:cs="Times New Roman"/>
          <w:noProof/>
          <w:sz w:val="20"/>
        </w:rPr>
        <w:t>Therefore, Spain has to intensify its efforts to improve the performance on its waste management system and to meet the targets, especially to reduce landfilling and i</w:t>
      </w:r>
      <w:r>
        <w:rPr>
          <w:rFonts w:cs="Times New Roman"/>
          <w:noProof/>
          <w:sz w:val="20"/>
        </w:rPr>
        <w:t>ncrease recycling.</w:t>
      </w:r>
    </w:p>
    <w:p w:rsidR="00794EA4" w:rsidRDefault="0017531E">
      <w:pPr>
        <w:widowControl w:val="0"/>
        <w:spacing w:after="120" w:line="240" w:lineRule="auto"/>
        <w:jc w:val="both"/>
        <w:rPr>
          <w:rFonts w:cs="Times New Roman"/>
          <w:noProof/>
          <w:sz w:val="20"/>
        </w:rPr>
      </w:pPr>
      <w:r>
        <w:rPr>
          <w:rFonts w:cstheme="minorHAnsi"/>
          <w:noProof/>
          <w:color w:val="1F497D" w:themeColor="text2"/>
          <w:szCs w:val="26"/>
        </w:rPr>
        <w:t>Suggested action</w:t>
      </w:r>
    </w:p>
    <w:p w:rsidR="00794EA4" w:rsidRDefault="0017531E">
      <w:pPr>
        <w:pStyle w:val="NoSpacing"/>
        <w:rPr>
          <w:noProof/>
        </w:rPr>
      </w:pPr>
      <w:r>
        <w:rPr>
          <w:noProof/>
        </w:rPr>
        <w:t>Introduce a national landfill tax or harmonise the regional taxes to phase-out landfilling of recyclable and recoverable waste. Use the revenues to support the separate collection and alternative infrastructure but avoid</w:t>
      </w:r>
      <w:r>
        <w:rPr>
          <w:noProof/>
        </w:rPr>
        <w:t xml:space="preserve"> building excessive infrastructure for the treatment of residual waste.</w:t>
      </w:r>
    </w:p>
    <w:p w:rsidR="00794EA4" w:rsidRDefault="0017531E">
      <w:pPr>
        <w:pStyle w:val="NoSpacing"/>
        <w:rPr>
          <w:noProof/>
        </w:rPr>
      </w:pPr>
      <w:r>
        <w:rPr>
          <w:noProof/>
        </w:rPr>
        <w:t>Focus on improving the effectiveness of the separate collection to increase recycling rates (including specific plans for bio-waste management).</w:t>
      </w:r>
    </w:p>
    <w:p w:rsidR="00794EA4" w:rsidRDefault="0017531E">
      <w:pPr>
        <w:pStyle w:val="NoSpacing"/>
        <w:rPr>
          <w:bCs/>
          <w:noProof/>
          <w:szCs w:val="20"/>
        </w:rPr>
      </w:pPr>
      <w:r>
        <w:rPr>
          <w:bCs/>
          <w:noProof/>
          <w:szCs w:val="20"/>
        </w:rPr>
        <w:t>Extend and improve the cost-effectivene</w:t>
      </w:r>
      <w:r>
        <w:rPr>
          <w:bCs/>
          <w:noProof/>
          <w:szCs w:val="20"/>
        </w:rPr>
        <w:t>ss, monitoring and transparency of existing EPR schemes and eliminate free-riding.</w:t>
      </w:r>
    </w:p>
    <w:p w:rsidR="00794EA4" w:rsidRDefault="0017531E">
      <w:pPr>
        <w:pStyle w:val="NoSpacing"/>
        <w:rPr>
          <w:bCs/>
          <w:noProof/>
          <w:szCs w:val="20"/>
        </w:rPr>
      </w:pPr>
      <w:r>
        <w:rPr>
          <w:bCs/>
          <w:noProof/>
          <w:szCs w:val="20"/>
        </w:rPr>
        <w:t xml:space="preserve">Intensify co-operation between the regions </w:t>
      </w:r>
      <w:r>
        <w:rPr>
          <w:noProof/>
        </w:rPr>
        <w:t xml:space="preserve">to use waste treatment capacity more efficiently and </w:t>
      </w:r>
      <w:r>
        <w:rPr>
          <w:bCs/>
          <w:noProof/>
          <w:szCs w:val="20"/>
        </w:rPr>
        <w:t>to achieve the national recycling targets.</w:t>
      </w:r>
    </w:p>
    <w:p w:rsidR="00794EA4" w:rsidRDefault="0017531E">
      <w:pPr>
        <w:pStyle w:val="NoSpacing"/>
        <w:numPr>
          <w:ilvl w:val="0"/>
          <w:numId w:val="38"/>
        </w:numPr>
        <w:ind w:left="170" w:hanging="170"/>
        <w:rPr>
          <w:noProof/>
        </w:rPr>
      </w:pPr>
      <w:r>
        <w:rPr>
          <w:noProof/>
        </w:rPr>
        <w:t>Complete missing regional Waste Ma</w:t>
      </w:r>
      <w:r>
        <w:rPr>
          <w:noProof/>
        </w:rPr>
        <w:t>nagement Plans in order to cover the whole territory.</w:t>
      </w:r>
    </w:p>
    <w:p w:rsidR="00794EA4" w:rsidRDefault="00794EA4">
      <w:pPr>
        <w:widowControl w:val="0"/>
        <w:spacing w:after="0" w:line="240" w:lineRule="auto"/>
        <w:jc w:val="both"/>
        <w:rPr>
          <w:rFonts w:cs="Times New Roman"/>
          <w:bCs/>
          <w:noProof/>
          <w:sz w:val="20"/>
          <w:szCs w:val="20"/>
        </w:rPr>
      </w:pPr>
    </w:p>
    <w:p w:rsidR="00794EA4" w:rsidRDefault="00794EA4">
      <w:pPr>
        <w:widowControl w:val="0"/>
        <w:spacing w:after="0" w:line="240" w:lineRule="auto"/>
        <w:jc w:val="both"/>
        <w:rPr>
          <w:rFonts w:cs="Times New Roman"/>
          <w:bCs/>
          <w:noProof/>
          <w:sz w:val="20"/>
          <w:szCs w:val="20"/>
        </w:rPr>
      </w:pPr>
    </w:p>
    <w:p w:rsidR="00794EA4" w:rsidRDefault="00794EA4">
      <w:pPr>
        <w:widowControl w:val="0"/>
        <w:spacing w:after="0" w:line="240" w:lineRule="auto"/>
        <w:jc w:val="both"/>
        <w:rPr>
          <w:rFonts w:cs="Times New Roman"/>
          <w:bCs/>
          <w:noProof/>
          <w:sz w:val="20"/>
          <w:szCs w:val="20"/>
        </w:rPr>
      </w:pPr>
    </w:p>
    <w:p w:rsidR="00794EA4" w:rsidRDefault="0017531E">
      <w:pPr>
        <w:widowControl w:val="0"/>
        <w:spacing w:after="0" w:line="240" w:lineRule="auto"/>
        <w:jc w:val="both"/>
        <w:rPr>
          <w:rFonts w:cs="Times New Roman"/>
          <w:bCs/>
          <w:noProof/>
          <w:sz w:val="20"/>
          <w:szCs w:val="20"/>
        </w:rPr>
        <w:sectPr w:rsidR="00794EA4">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440" w:right="1080" w:bottom="1440" w:left="1080" w:header="708" w:footer="708" w:gutter="0"/>
          <w:cols w:num="2" w:space="360"/>
          <w:docGrid w:linePitch="360"/>
        </w:sectPr>
      </w:pPr>
      <w:r>
        <w:rPr>
          <w:rFonts w:cs="Times New Roman"/>
          <w:bCs/>
          <w:noProof/>
          <w:sz w:val="20"/>
          <w:szCs w:val="20"/>
        </w:rPr>
        <w:br w:type="page"/>
      </w:r>
    </w:p>
    <w:p w:rsidR="00794EA4" w:rsidRDefault="0017531E">
      <w:pPr>
        <w:widowControl w:val="0"/>
        <w:numPr>
          <w:ilvl w:val="0"/>
          <w:numId w:val="26"/>
        </w:numPr>
        <w:spacing w:after="120" w:line="240" w:lineRule="auto"/>
        <w:jc w:val="center"/>
        <w:outlineLvl w:val="0"/>
        <w:rPr>
          <w:rFonts w:cstheme="majorBidi"/>
          <w:b/>
          <w:bCs/>
          <w:noProof/>
          <w:color w:val="1F497D" w:themeColor="text2"/>
          <w:sz w:val="32"/>
          <w:szCs w:val="28"/>
        </w:rPr>
      </w:pPr>
      <w:bookmarkStart w:id="18" w:name="_Toc433296159"/>
      <w:bookmarkStart w:id="19" w:name="_Toc469492813"/>
      <w:r>
        <w:rPr>
          <w:rFonts w:cstheme="majorBidi"/>
          <w:b/>
          <w:bCs/>
          <w:noProof/>
          <w:color w:val="1F497D" w:themeColor="text2"/>
          <w:sz w:val="32"/>
          <w:szCs w:val="28"/>
        </w:rPr>
        <w:t>Protecting, conserving and enhancing natural capital</w:t>
      </w:r>
      <w:bookmarkStart w:id="20" w:name="_Toc432413878"/>
      <w:bookmarkEnd w:id="18"/>
      <w:bookmarkEnd w:id="19"/>
      <w:bookmarkEnd w:id="20"/>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sectPr w:rsidR="00794EA4">
          <w:headerReference w:type="even" r:id="rId53"/>
          <w:headerReference w:type="default" r:id="rId54"/>
          <w:footerReference w:type="even" r:id="rId55"/>
          <w:footerReference w:type="default" r:id="rId56"/>
          <w:headerReference w:type="first" r:id="rId57"/>
          <w:footerReference w:type="first" r:id="rId58"/>
          <w:type w:val="continuous"/>
          <w:pgSz w:w="11906" w:h="16838"/>
          <w:pgMar w:top="1440" w:right="1080" w:bottom="1440" w:left="1080" w:header="708" w:footer="708" w:gutter="0"/>
          <w:cols w:space="566"/>
          <w:docGrid w:linePitch="360"/>
        </w:sectPr>
      </w:pPr>
    </w:p>
    <w:p w:rsidR="00794EA4" w:rsidRDefault="0017531E">
      <w:pPr>
        <w:widowControl w:val="0"/>
        <w:spacing w:after="240" w:line="240" w:lineRule="auto"/>
        <w:outlineLvl w:val="1"/>
        <w:rPr>
          <w:rFonts w:cs="Times New Roman"/>
          <w:b/>
          <w:noProof/>
          <w:color w:val="1F497D" w:themeColor="text2"/>
          <w:sz w:val="24"/>
          <w:szCs w:val="24"/>
        </w:rPr>
      </w:pPr>
      <w:bookmarkStart w:id="21" w:name="_Toc433296160"/>
      <w:bookmarkStart w:id="22" w:name="_Toc454457648"/>
      <w:bookmarkStart w:id="23" w:name="_Toc469492814"/>
      <w:bookmarkStart w:id="24" w:name="_Toc433296161"/>
      <w:r>
        <w:rPr>
          <w:rFonts w:cs="Times New Roman"/>
          <w:b/>
          <w:noProof/>
          <w:color w:val="1F497D" w:themeColor="text2"/>
          <w:sz w:val="24"/>
          <w:szCs w:val="24"/>
        </w:rPr>
        <w:t>Nature and Biodiversity</w:t>
      </w:r>
      <w:bookmarkEnd w:id="21"/>
      <w:bookmarkEnd w:id="22"/>
      <w:bookmarkEnd w:id="23"/>
      <w:r>
        <w:rPr>
          <w:rFonts w:cs="Times New Roman"/>
          <w:b/>
          <w:noProof/>
          <w:color w:val="1F497D" w:themeColor="text2"/>
          <w:sz w:val="24"/>
          <w:szCs w:val="24"/>
        </w:rPr>
        <w:t xml:space="preserve"> </w:t>
      </w:r>
    </w:p>
    <w:p w:rsidR="00794EA4" w:rsidRDefault="0017531E">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 xml:space="preserve">The EU Biodiversity Strategy aims to halt the loss of biodiversity in the EU by 2020, restore ecosystems and their services in so far as feasible, and step up efforts to avert global biodiversity loss. The EU Birds and Habitats Directives aim at achieving </w:t>
      </w:r>
      <w:r>
        <w:rPr>
          <w:rFonts w:cs="Times New Roman"/>
          <w:noProof/>
          <w:color w:val="FFFFFF" w:themeColor="background1"/>
          <w:sz w:val="20"/>
        </w:rPr>
        <w:t xml:space="preserve">favourable conservation status of protected species and habitats. </w:t>
      </w:r>
    </w:p>
    <w:p w:rsidR="00794EA4" w:rsidRDefault="0017531E">
      <w:pPr>
        <w:widowControl w:val="0"/>
        <w:shd w:val="clear" w:color="auto" w:fill="4F81BD" w:themeFill="accent1"/>
        <w:spacing w:after="6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 oceans, seas and marine resources, while SDG 15 requires countries to protect, restore and promote the sustainable use of terre</w:t>
      </w:r>
      <w:r>
        <w:rPr>
          <w:rFonts w:cs="Times New Roman"/>
          <w:noProof/>
          <w:color w:val="FFFFFF" w:themeColor="background1"/>
          <w:sz w:val="20"/>
        </w:rPr>
        <w:t>strial ecosystems, sustainably manage forests, combat desertification, and halt and reverse land degradation and halt biodiversity loss.</w:t>
      </w:r>
    </w:p>
    <w:p w:rsidR="00794EA4" w:rsidRDefault="0017531E">
      <w:pPr>
        <w:widowControl w:val="0"/>
        <w:spacing w:before="240" w:after="120" w:line="240" w:lineRule="auto"/>
        <w:jc w:val="both"/>
        <w:rPr>
          <w:rFonts w:cs="Times New Roman"/>
          <w:bCs/>
          <w:noProof/>
          <w:sz w:val="20"/>
          <w:szCs w:val="20"/>
          <w:lang w:val="en"/>
        </w:rPr>
      </w:pPr>
      <w:r>
        <w:rPr>
          <w:rFonts w:cs="Times New Roman"/>
          <w:iCs/>
          <w:noProof/>
          <w:sz w:val="20"/>
        </w:rPr>
        <w:t xml:space="preserve">The 1992 EU Habitats Directive and the 1979 Birds Directive are the </w:t>
      </w:r>
      <w:r>
        <w:rPr>
          <w:rFonts w:cs="Times New Roman"/>
          <w:iCs/>
          <w:noProof/>
          <w:sz w:val="20"/>
          <w:szCs w:val="20"/>
        </w:rPr>
        <w:t>cornerstone of the</w:t>
      </w:r>
      <w:r>
        <w:rPr>
          <w:rFonts w:cs="Times New Roman"/>
          <w:iCs/>
          <w:noProof/>
          <w:sz w:val="20"/>
        </w:rPr>
        <w:t xml:space="preserve"> European legislation aimed at th</w:t>
      </w:r>
      <w:r>
        <w:rPr>
          <w:rFonts w:cs="Times New Roman"/>
          <w:iCs/>
          <w:noProof/>
          <w:sz w:val="20"/>
        </w:rPr>
        <w:t>e conservation of the EU's wildlife. Natura 2000, the largest coordinated network of protected areas in the world, is the key instrument to achieve and implement the Directives' objectives</w:t>
      </w:r>
      <w:r>
        <w:rPr>
          <w:rFonts w:cs="Times New Roman"/>
          <w:noProof/>
          <w:sz w:val="20"/>
          <w:lang w:val="en"/>
        </w:rPr>
        <w:t xml:space="preserve"> to ensure the </w:t>
      </w:r>
      <w:r>
        <w:rPr>
          <w:rFonts w:cs="Times New Roman"/>
          <w:bCs/>
          <w:noProof/>
          <w:sz w:val="20"/>
          <w:lang w:val="en"/>
        </w:rPr>
        <w:t>long-term protection, conservation and survival of Eu</w:t>
      </w:r>
      <w:r>
        <w:rPr>
          <w:rFonts w:cs="Times New Roman"/>
          <w:bCs/>
          <w:noProof/>
          <w:sz w:val="20"/>
          <w:lang w:val="en"/>
        </w:rPr>
        <w:t>rope's most valuable and threatened species and habitats</w:t>
      </w:r>
      <w:r>
        <w:rPr>
          <w:rFonts w:cs="Times New Roman"/>
          <w:bCs/>
          <w:noProof/>
          <w:sz w:val="20"/>
          <w:szCs w:val="20"/>
          <w:lang w:val="en"/>
        </w:rPr>
        <w:t xml:space="preserve"> and the ecosystems they underpin.</w:t>
      </w:r>
    </w:p>
    <w:p w:rsidR="00794EA4" w:rsidRDefault="0017531E">
      <w:pPr>
        <w:widowControl w:val="0"/>
        <w:spacing w:after="120" w:line="240" w:lineRule="auto"/>
        <w:jc w:val="both"/>
        <w:rPr>
          <w:rFonts w:cs="Times New Roman"/>
          <w:noProof/>
          <w:sz w:val="20"/>
        </w:rPr>
      </w:pPr>
      <w:r>
        <w:rPr>
          <w:rFonts w:cs="Times New Roman"/>
          <w:noProof/>
          <w:sz w:val="20"/>
          <w:lang w:val="en"/>
        </w:rPr>
        <w:t xml:space="preserve">The adequate designation of protected sites as Special Ares of Conservation (SAC) under the Habitats Directive and as Special Protection Areas (SPA) under the Birds </w:t>
      </w:r>
      <w:r>
        <w:rPr>
          <w:rFonts w:cs="Times New Roman"/>
          <w:noProof/>
          <w:sz w:val="20"/>
          <w:lang w:val="en"/>
        </w:rPr>
        <w:t xml:space="preserve">Directive is a key milestone towards meeting the objectives of the Directives. </w:t>
      </w:r>
      <w:r>
        <w:rPr>
          <w:rFonts w:cs="Times New Roman"/>
          <w:noProof/>
          <w:sz w:val="20"/>
        </w:rPr>
        <w:t xml:space="preserve">The results of </w:t>
      </w:r>
      <w:r>
        <w:rPr>
          <w:rFonts w:cs="Times New Roman"/>
          <w:noProof/>
          <w:sz w:val="20"/>
          <w:lang w:val="en-US"/>
        </w:rPr>
        <w:t>Habitats Directive Article 17 and Birds Directive Article 12</w:t>
      </w:r>
      <w:r>
        <w:rPr>
          <w:rFonts w:cs="Times New Roman"/>
          <w:noProof/>
          <w:sz w:val="20"/>
        </w:rPr>
        <w:t xml:space="preserve"> reports and the progress towards adequate Sites of Community Importance (SCI)-SPA and SAC designation</w:t>
      </w:r>
      <w:r>
        <w:rPr>
          <w:rFonts w:cs="Times New Roman"/>
          <w:noProof/>
          <w:sz w:val="20"/>
          <w:vertAlign w:val="superscript"/>
        </w:rPr>
        <w:footnoteReference w:id="26"/>
      </w:r>
      <w:r>
        <w:rPr>
          <w:rFonts w:cs="Times New Roman"/>
          <w:noProof/>
          <w:sz w:val="20"/>
        </w:rPr>
        <w:t xml:space="preserve"> </w:t>
      </w:r>
      <w:r>
        <w:rPr>
          <w:rFonts w:cs="Times New Roman"/>
          <w:noProof/>
          <w:sz w:val="20"/>
          <w:szCs w:val="20"/>
        </w:rPr>
        <w:t xml:space="preserve">both in land and at sea, </w:t>
      </w:r>
      <w:r>
        <w:rPr>
          <w:rFonts w:cs="Times New Roman"/>
          <w:noProof/>
          <w:sz w:val="20"/>
        </w:rPr>
        <w:t>should be the key items to measure the performance of Member States.</w:t>
      </w:r>
    </w:p>
    <w:p w:rsidR="00794EA4" w:rsidRDefault="0017531E">
      <w:pPr>
        <w:widowControl w:val="0"/>
        <w:spacing w:after="120" w:line="240" w:lineRule="auto"/>
        <w:jc w:val="both"/>
        <w:rPr>
          <w:rFonts w:cs="Times New Roman"/>
          <w:noProof/>
          <w:sz w:val="20"/>
          <w:szCs w:val="20"/>
          <w:lang w:val="en"/>
        </w:rPr>
      </w:pPr>
      <w:r>
        <w:rPr>
          <w:rFonts w:cs="Times New Roman"/>
          <w:noProof/>
          <w:sz w:val="20"/>
          <w:szCs w:val="20"/>
          <w:lang w:val="en"/>
        </w:rPr>
        <w:t>Spain boasts a very rich biodiversity. It covers four out of the nine bio-geographical regions defined for the implementation of the Habitats Directive: Alpine,</w:t>
      </w:r>
      <w:r>
        <w:rPr>
          <w:rFonts w:cs="Times New Roman"/>
          <w:noProof/>
          <w:sz w:val="20"/>
          <w:szCs w:val="20"/>
          <w:lang w:val="en"/>
        </w:rPr>
        <w:t xml:space="preserve"> Atlantic, Mediterranean and Macaronesian,</w:t>
      </w:r>
      <w:r>
        <w:rPr>
          <w:rFonts w:cs="Times New Roman"/>
          <w:noProof/>
          <w:sz w:val="20"/>
        </w:rPr>
        <w:t xml:space="preserve"> </w:t>
      </w:r>
      <w:r>
        <w:rPr>
          <w:rFonts w:cs="Times New Roman"/>
          <w:noProof/>
          <w:sz w:val="20"/>
          <w:szCs w:val="20"/>
          <w:lang w:val="en"/>
        </w:rPr>
        <w:t xml:space="preserve">and three out of the five marine regions: Atlantic, Mediterranean and Macaronesian. 117 natural habitats and 429 species of wild fauna and flora of Community interest protected under the Habitats Directive occur </w:t>
      </w:r>
      <w:r>
        <w:rPr>
          <w:rFonts w:cs="Times New Roman"/>
          <w:noProof/>
          <w:sz w:val="20"/>
          <w:szCs w:val="20"/>
          <w:lang w:val="en"/>
        </w:rPr>
        <w:t>in the Spanish territory. Spain is also the Member State with a higher number of breeding birds, with a total of 285 bird species reported in its territory.</w:t>
      </w:r>
    </w:p>
    <w:p w:rsidR="00794EA4" w:rsidRDefault="00794EA4">
      <w:pPr>
        <w:widowControl w:val="0"/>
        <w:spacing w:after="120" w:line="240" w:lineRule="auto"/>
        <w:jc w:val="both"/>
        <w:rPr>
          <w:rFonts w:cs="Times New Roman"/>
          <w:noProof/>
          <w:sz w:val="20"/>
          <w:szCs w:val="20"/>
          <w:lang w:val="en"/>
        </w:rPr>
      </w:pPr>
    </w:p>
    <w:p w:rsidR="00794EA4" w:rsidRDefault="0017531E">
      <w:pPr>
        <w:widowControl w:val="0"/>
        <w:spacing w:after="120" w:line="240" w:lineRule="auto"/>
        <w:jc w:val="both"/>
        <w:rPr>
          <w:rFonts w:cs="Times New Roman"/>
          <w:noProof/>
          <w:sz w:val="20"/>
          <w:lang w:val="en"/>
        </w:rPr>
      </w:pPr>
      <w:r>
        <w:rPr>
          <w:rFonts w:cs="Times New Roman"/>
          <w:noProof/>
          <w:sz w:val="20"/>
          <w:szCs w:val="20"/>
          <w:lang w:val="en"/>
        </w:rPr>
        <w:t xml:space="preserve">With 1.863 Natura 2000 sites, </w:t>
      </w:r>
      <w:r>
        <w:rPr>
          <w:rFonts w:cs="Times New Roman"/>
          <w:noProof/>
          <w:sz w:val="20"/>
          <w:szCs w:val="20"/>
        </w:rPr>
        <w:t>644 Birds Directive SPAs and 1.467 Habitats Directive SCIs,</w:t>
      </w:r>
      <w:r>
        <w:rPr>
          <w:rFonts w:cs="Times New Roman"/>
          <w:noProof/>
          <w:sz w:val="20"/>
          <w:szCs w:val="20"/>
          <w:lang w:val="en"/>
        </w:rPr>
        <w:t xml:space="preserve"> covering</w:t>
      </w:r>
      <w:r>
        <w:rPr>
          <w:rFonts w:cs="Times New Roman"/>
          <w:noProof/>
          <w:sz w:val="20"/>
          <w:szCs w:val="20"/>
          <w:lang w:val="en"/>
        </w:rPr>
        <w:t xml:space="preserve"> 27.2% of its land territory </w:t>
      </w:r>
      <w:r>
        <w:rPr>
          <w:rFonts w:cs="Times New Roman"/>
          <w:noProof/>
          <w:sz w:val="20"/>
          <w:szCs w:val="20"/>
        </w:rPr>
        <w:t xml:space="preserve">(EU average 18.1 %), </w:t>
      </w:r>
      <w:r>
        <w:rPr>
          <w:rFonts w:cs="Times New Roman"/>
          <w:noProof/>
          <w:sz w:val="20"/>
          <w:szCs w:val="20"/>
          <w:lang w:val="en"/>
        </w:rPr>
        <w:t>Spain is the Member State providing the largest terrestrial surface contribution to the Natura 2000 Network (more than 137,000 Km²)</w:t>
      </w:r>
      <w:r>
        <w:rPr>
          <w:rFonts w:cs="Times New Roman"/>
          <w:noProof/>
          <w:sz w:val="20"/>
          <w:lang w:val="en"/>
        </w:rPr>
        <w:t>.</w:t>
      </w:r>
    </w:p>
    <w:p w:rsidR="00794EA4" w:rsidRDefault="0017531E">
      <w:pPr>
        <w:widowControl w:val="0"/>
        <w:spacing w:before="120" w:after="120" w:line="240" w:lineRule="auto"/>
        <w:jc w:val="both"/>
        <w:rPr>
          <w:rFonts w:cs="Times New Roman"/>
          <w:noProof/>
          <w:sz w:val="20"/>
          <w:szCs w:val="20"/>
          <w:lang w:val="en"/>
        </w:rPr>
      </w:pPr>
      <w:r>
        <w:rPr>
          <w:rFonts w:cs="Times New Roman"/>
          <w:noProof/>
          <w:sz w:val="20"/>
          <w:szCs w:val="20"/>
          <w:lang w:val="en"/>
        </w:rPr>
        <w:t>Significant advances have been recently achieved in the completion of the network in Spain, particularly as an important surface of new marine SCIs has been proposed for its inclusion in the updated list of sites what also puts Spain at the forefront of ma</w:t>
      </w:r>
      <w:r>
        <w:rPr>
          <w:rFonts w:cs="Times New Roman"/>
          <w:noProof/>
          <w:sz w:val="20"/>
          <w:szCs w:val="20"/>
          <w:lang w:val="en"/>
        </w:rPr>
        <w:t xml:space="preserve">rine contribution to the Natura 2000 network (more than 86,000 Km²). </w:t>
      </w:r>
    </w:p>
    <w:p w:rsidR="00794EA4" w:rsidRDefault="0017531E">
      <w:pPr>
        <w:widowControl w:val="0"/>
        <w:spacing w:before="120" w:after="240" w:line="240" w:lineRule="auto"/>
        <w:jc w:val="both"/>
        <w:rPr>
          <w:rFonts w:cs="Times New Roman"/>
          <w:noProof/>
          <w:sz w:val="20"/>
          <w:szCs w:val="20"/>
          <w:lang w:val="en"/>
        </w:rPr>
      </w:pPr>
      <w:r>
        <w:rPr>
          <w:rFonts w:cs="Times New Roman"/>
          <w:noProof/>
          <w:sz w:val="20"/>
          <w:szCs w:val="20"/>
          <w:lang w:val="en"/>
        </w:rPr>
        <w:t>However, several terrestrial and marine habitats and species are still insufficiently covered by the Spanish SCIs network</w:t>
      </w:r>
      <w:r>
        <w:rPr>
          <w:rFonts w:cs="Times New Roman"/>
          <w:noProof/>
          <w:sz w:val="20"/>
          <w:szCs w:val="20"/>
          <w:vertAlign w:val="superscript"/>
          <w:lang w:val="en"/>
        </w:rPr>
        <w:footnoteReference w:id="27"/>
      </w:r>
      <w:r>
        <w:rPr>
          <w:rFonts w:cs="Times New Roman"/>
          <w:noProof/>
          <w:sz w:val="20"/>
          <w:szCs w:val="20"/>
          <w:lang w:val="en"/>
        </w:rPr>
        <w:t xml:space="preserve">, as shown </w:t>
      </w:r>
      <w:r>
        <w:rPr>
          <w:rFonts w:eastAsia="Calibri" w:cs="Times New Roman"/>
          <w:noProof/>
          <w:sz w:val="20"/>
        </w:rPr>
        <w:t>in Figure 5</w:t>
      </w:r>
      <w:r>
        <w:rPr>
          <w:rStyle w:val="FootnoteReference"/>
          <w:rFonts w:eastAsia="Calibri" w:cs="Times New Roman"/>
          <w:noProof/>
          <w:sz w:val="20"/>
        </w:rPr>
        <w:footnoteReference w:id="28"/>
      </w:r>
      <w:r>
        <w:rPr>
          <w:rFonts w:eastAsia="Calibri" w:cs="Times New Roman"/>
          <w:noProof/>
          <w:sz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tblGrid>
      <w:tr w:rsidR="00794EA4">
        <w:trPr>
          <w:trHeight w:val="576"/>
        </w:trPr>
        <w:tc>
          <w:tcPr>
            <w:tcW w:w="4683" w:type="dxa"/>
          </w:tcPr>
          <w:p w:rsidR="00794EA4" w:rsidRDefault="0017531E">
            <w:pPr>
              <w:widowControl w:val="0"/>
              <w:spacing w:after="120"/>
              <w:jc w:val="both"/>
              <w:rPr>
                <w:rFonts w:cs="Times New Roman"/>
                <w:b/>
                <w:bCs/>
                <w:noProof/>
                <w:color w:val="1F497D" w:themeColor="text2"/>
                <w:sz w:val="20"/>
              </w:rPr>
            </w:pPr>
            <w:r>
              <w:rPr>
                <w:rFonts w:cs="Times New Roman"/>
                <w:b/>
                <w:bCs/>
                <w:noProof/>
                <w:color w:val="1F497D" w:themeColor="text2"/>
                <w:sz w:val="20"/>
              </w:rPr>
              <w:t>Figure 5: Sufficiency assessment of SCI</w:t>
            </w:r>
            <w:r>
              <w:rPr>
                <w:rFonts w:cs="Times New Roman"/>
                <w:b/>
                <w:bCs/>
                <w:noProof/>
                <w:color w:val="1F497D" w:themeColor="text2"/>
                <w:sz w:val="20"/>
              </w:rPr>
              <w:t xml:space="preserve"> networks in Spain </w:t>
            </w:r>
            <w:r>
              <w:rPr>
                <w:rFonts w:cs="Times New Roman"/>
                <w:b/>
                <w:noProof/>
                <w:color w:val="1F497D" w:themeColor="text2"/>
                <w:sz w:val="20"/>
              </w:rPr>
              <w:t xml:space="preserve">based on the situation until December 2013 </w:t>
            </w:r>
            <w:r>
              <w:rPr>
                <w:rFonts w:cs="Times New Roman"/>
                <w:b/>
                <w:bCs/>
                <w:noProof/>
                <w:color w:val="1F497D" w:themeColor="text2"/>
                <w:sz w:val="20"/>
              </w:rPr>
              <w:t>(%)</w:t>
            </w:r>
            <w:r>
              <w:rPr>
                <w:rFonts w:cs="Times New Roman"/>
                <w:b/>
                <w:bCs/>
                <w:noProof/>
                <w:color w:val="1F497D" w:themeColor="text2"/>
                <w:sz w:val="20"/>
                <w:vertAlign w:val="superscript"/>
              </w:rPr>
              <w:footnoteReference w:id="29"/>
            </w:r>
            <w:r>
              <w:rPr>
                <w:rFonts w:cs="Times New Roman"/>
                <w:b/>
                <w:bCs/>
                <w:noProof/>
                <w:color w:val="1F497D" w:themeColor="text2"/>
                <w:sz w:val="20"/>
              </w:rPr>
              <w:t xml:space="preserve"> </w:t>
            </w:r>
          </w:p>
        </w:tc>
      </w:tr>
      <w:tr w:rsidR="00794EA4">
        <w:trPr>
          <w:trHeight w:val="4449"/>
        </w:trPr>
        <w:tc>
          <w:tcPr>
            <w:tcW w:w="4683" w:type="dxa"/>
          </w:tcPr>
          <w:p w:rsidR="00794EA4" w:rsidRDefault="0017531E">
            <w:pPr>
              <w:widowControl w:val="0"/>
              <w:jc w:val="both"/>
              <w:rPr>
                <w:rFonts w:cs="Times New Roman"/>
                <w:noProof/>
                <w:sz w:val="20"/>
              </w:rPr>
            </w:pPr>
            <w:r>
              <w:rPr>
                <w:rFonts w:cs="Times New Roman"/>
                <w:noProof/>
                <w:sz w:val="20"/>
                <w:lang w:eastAsia="en-GB"/>
              </w:rPr>
              <w:drawing>
                <wp:anchor distT="0" distB="0" distL="114300" distR="114300" simplePos="0" relativeHeight="251659264" behindDoc="0" locked="0" layoutInCell="1" allowOverlap="1" wp14:anchorId="63DCBBD2" wp14:editId="261E4061">
                  <wp:simplePos x="3891280" y="3710305"/>
                  <wp:positionH relativeFrom="margin">
                    <wp:align>center</wp:align>
                  </wp:positionH>
                  <wp:positionV relativeFrom="margin">
                    <wp:align>center</wp:align>
                  </wp:positionV>
                  <wp:extent cx="2593340" cy="277495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7150" cy="2779013"/>
                          </a:xfrm>
                          <a:prstGeom prst="rect">
                            <a:avLst/>
                          </a:prstGeom>
                          <a:noFill/>
                        </pic:spPr>
                      </pic:pic>
                    </a:graphicData>
                  </a:graphic>
                  <wp14:sizeRelV relativeFrom="margin">
                    <wp14:pctHeight>0</wp14:pctHeight>
                  </wp14:sizeRelV>
                </wp:anchor>
              </w:drawing>
            </w:r>
          </w:p>
        </w:tc>
      </w:tr>
    </w:tbl>
    <w:p w:rsidR="00794EA4" w:rsidRDefault="0017531E">
      <w:pPr>
        <w:widowControl w:val="0"/>
        <w:spacing w:after="120" w:line="240" w:lineRule="auto"/>
        <w:jc w:val="both"/>
        <w:rPr>
          <w:rFonts w:cs="Times New Roman"/>
          <w:noProof/>
          <w:sz w:val="20"/>
          <w:szCs w:val="20"/>
        </w:rPr>
      </w:pPr>
      <w:r>
        <w:rPr>
          <w:rFonts w:cs="Times New Roman"/>
          <w:noProof/>
          <w:sz w:val="20"/>
          <w:szCs w:val="20"/>
        </w:rPr>
        <w:t xml:space="preserve">While the 6-year deadline required by the Habitats Directive to designate Special Areas of Conservation (SAC) and to establish appropriate conservation objectives and measures has </w:t>
      </w:r>
      <w:r>
        <w:rPr>
          <w:rFonts w:cs="Times New Roman"/>
          <w:noProof/>
          <w:sz w:val="20"/>
          <w:szCs w:val="20"/>
        </w:rPr>
        <w:t>expired for more than 1,400 sites in Spain, as of January 2016 Spain had completed these obligations only for around 68% of the sites concerned</w:t>
      </w:r>
      <w:r>
        <w:rPr>
          <w:rFonts w:cs="Times New Roman"/>
          <w:noProof/>
          <w:sz w:val="20"/>
          <w:vertAlign w:val="superscript"/>
        </w:rPr>
        <w:footnoteReference w:id="30"/>
      </w:r>
      <w:r>
        <w:rPr>
          <w:rFonts w:cs="Times New Roman"/>
          <w:noProof/>
          <w:sz w:val="20"/>
          <w:szCs w:val="20"/>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c>
          <w:tcPr>
            <w:tcW w:w="4909" w:type="dxa"/>
          </w:tcPr>
          <w:p w:rsidR="00794EA4" w:rsidRDefault="0017531E">
            <w:pPr>
              <w:widowControl w:val="0"/>
              <w:spacing w:after="120"/>
              <w:jc w:val="both"/>
              <w:rPr>
                <w:rFonts w:cs="Times New Roman"/>
                <w:b/>
                <w:bCs/>
                <w:noProof/>
                <w:color w:val="1F497D" w:themeColor="text2"/>
                <w:sz w:val="20"/>
              </w:rPr>
            </w:pPr>
            <w:r>
              <w:rPr>
                <w:rFonts w:cs="Times New Roman"/>
                <w:b/>
                <w:bCs/>
                <w:noProof/>
                <w:color w:val="1F497D" w:themeColor="text2"/>
                <w:sz w:val="20"/>
              </w:rPr>
              <w:t>Figure 6: Conservation status of habitats and species in Spain in 2007/2013 (%)</w:t>
            </w:r>
            <w:r>
              <w:rPr>
                <w:rFonts w:cs="Times New Roman"/>
                <w:b/>
                <w:bCs/>
                <w:noProof/>
                <w:color w:val="1F497D" w:themeColor="text2"/>
                <w:sz w:val="20"/>
                <w:vertAlign w:val="superscript"/>
              </w:rPr>
              <w:footnoteReference w:id="31"/>
            </w:r>
          </w:p>
        </w:tc>
      </w:tr>
      <w:tr w:rsidR="00794EA4">
        <w:tc>
          <w:tcPr>
            <w:tcW w:w="4909" w:type="dxa"/>
          </w:tcPr>
          <w:p w:rsidR="00794EA4" w:rsidRDefault="0017531E">
            <w:pPr>
              <w:widowControl w:val="0"/>
              <w:jc w:val="both"/>
              <w:rPr>
                <w:rFonts w:cs="Times New Roman"/>
                <w:noProof/>
                <w:sz w:val="20"/>
              </w:rPr>
            </w:pPr>
            <w:r>
              <w:rPr>
                <w:rFonts w:cs="Times New Roman"/>
                <w:noProof/>
                <w:sz w:val="20"/>
                <w:lang w:eastAsia="en-GB"/>
              </w:rPr>
              <w:drawing>
                <wp:inline distT="0" distB="0" distL="0" distR="0" wp14:anchorId="7198A1F3" wp14:editId="0789E9E2">
                  <wp:extent cx="2846717" cy="317584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46717" cy="3175843"/>
                          </a:xfrm>
                          <a:prstGeom prst="rect">
                            <a:avLst/>
                          </a:prstGeom>
                          <a:noFill/>
                        </pic:spPr>
                      </pic:pic>
                    </a:graphicData>
                  </a:graphic>
                </wp:inline>
              </w:drawing>
            </w:r>
          </w:p>
        </w:tc>
      </w:tr>
    </w:tbl>
    <w:p w:rsidR="00794EA4" w:rsidRDefault="0017531E">
      <w:pPr>
        <w:widowControl w:val="0"/>
        <w:autoSpaceDE w:val="0"/>
        <w:autoSpaceDN w:val="0"/>
        <w:adjustRightInd w:val="0"/>
        <w:spacing w:before="120" w:after="120" w:line="240" w:lineRule="auto"/>
        <w:jc w:val="both"/>
        <w:rPr>
          <w:rFonts w:cs="Times New Roman"/>
          <w:noProof/>
          <w:sz w:val="20"/>
          <w:szCs w:val="20"/>
        </w:rPr>
      </w:pPr>
      <w:r>
        <w:rPr>
          <w:rFonts w:eastAsia="Calibri" w:cs="Times New Roman"/>
          <w:noProof/>
          <w:sz w:val="20"/>
          <w:szCs w:val="20"/>
        </w:rPr>
        <w:t xml:space="preserve">According to the latest </w:t>
      </w:r>
      <w:r>
        <w:rPr>
          <w:rFonts w:eastAsia="Calibri" w:cs="Times New Roman"/>
          <w:noProof/>
          <w:sz w:val="20"/>
          <w:szCs w:val="20"/>
        </w:rPr>
        <w:t>report on the conservation status</w:t>
      </w:r>
      <w:r>
        <w:rPr>
          <w:rFonts w:cs="Times New Roman"/>
          <w:noProof/>
          <w:sz w:val="20"/>
          <w:szCs w:val="20"/>
          <w:vertAlign w:val="superscript"/>
        </w:rPr>
        <w:footnoteReference w:id="32"/>
      </w:r>
      <w:r>
        <w:rPr>
          <w:rFonts w:eastAsia="Calibri" w:cs="Times New Roman"/>
          <w:noProof/>
          <w:sz w:val="20"/>
          <w:szCs w:val="20"/>
        </w:rPr>
        <w:t xml:space="preserve"> of habitats and species covered by the Habitats Directive</w:t>
      </w:r>
      <w:r>
        <w:rPr>
          <w:rFonts w:eastAsia="Calibri" w:cs="Times New Roman"/>
          <w:noProof/>
          <w:sz w:val="20"/>
          <w:szCs w:val="20"/>
          <w:vertAlign w:val="superscript"/>
        </w:rPr>
        <w:footnoteReference w:id="33"/>
      </w:r>
      <w:r>
        <w:rPr>
          <w:rFonts w:eastAsia="Calibri" w:cs="Times New Roman"/>
          <w:noProof/>
          <w:sz w:val="20"/>
          <w:szCs w:val="20"/>
        </w:rPr>
        <w:t xml:space="preserve">, </w:t>
      </w:r>
      <w:r>
        <w:rPr>
          <w:rFonts w:cs="Times New Roman"/>
          <w:noProof/>
          <w:sz w:val="20"/>
          <w:szCs w:val="20"/>
        </w:rPr>
        <w:t>only 12% of the habitats' biogeographic assessments were favourable in 2013 (EU 27: 16 %). On the other hand, 48 % are considered to be unfavourable–inadequate (</w:t>
      </w:r>
      <w:r>
        <w:rPr>
          <w:rFonts w:cs="Times New Roman"/>
          <w:noProof/>
          <w:sz w:val="20"/>
          <w:szCs w:val="20"/>
        </w:rPr>
        <w:t>EU27: 47%) and 14 % are unfavourable – bad (EU27: 30%). As for the species, 22 % of the assessments were favourable in 2013 (EU 27: 23%) 35 % at unfavourable-inadequate (EU27: 42%) and 19% unfavourable-bad status (EU27: 18%). This is depicted in Figure 6</w:t>
      </w:r>
      <w:r>
        <w:rPr>
          <w:rFonts w:cs="Times New Roman"/>
          <w:noProof/>
          <w:sz w:val="20"/>
          <w:szCs w:val="20"/>
          <w:vertAlign w:val="superscript"/>
        </w:rPr>
        <w:footnoteReference w:id="34"/>
      </w:r>
      <w:r>
        <w:rPr>
          <w:rFonts w:cs="Times New Roman"/>
          <w:noProof/>
          <w:sz w:val="20"/>
          <w:szCs w:val="20"/>
        </w:rPr>
        <w:t>.</w:t>
      </w:r>
      <w:r>
        <w:rPr>
          <w:rFonts w:cs="Times New Roman"/>
          <w:noProof/>
          <w:sz w:val="20"/>
          <w:szCs w:val="20"/>
        </w:rPr>
        <w:t xml:space="preserve"> Less than 10% of the habitat types and 20% of the species assessed in unfavourable conservation status are improving.</w:t>
      </w:r>
    </w:p>
    <w:p w:rsidR="00794EA4" w:rsidRDefault="0017531E">
      <w:pPr>
        <w:widowControl w:val="0"/>
        <w:autoSpaceDE w:val="0"/>
        <w:autoSpaceDN w:val="0"/>
        <w:adjustRightInd w:val="0"/>
        <w:spacing w:after="120" w:line="240" w:lineRule="auto"/>
        <w:jc w:val="both"/>
        <w:rPr>
          <w:rFonts w:cs="Times New Roman"/>
          <w:noProof/>
          <w:sz w:val="20"/>
          <w:szCs w:val="20"/>
        </w:rPr>
      </w:pPr>
      <w:r>
        <w:rPr>
          <w:rFonts w:cs="Times New Roman"/>
          <w:noProof/>
          <w:sz w:val="20"/>
          <w:szCs w:val="20"/>
        </w:rPr>
        <w:t>Spain has the highest share of unknown assessments (at approximately 25%) among EU Member States, even if important improvements have bee</w:t>
      </w:r>
      <w:r>
        <w:rPr>
          <w:rFonts w:cs="Times New Roman"/>
          <w:noProof/>
          <w:sz w:val="20"/>
          <w:szCs w:val="20"/>
        </w:rPr>
        <w:t>n achieved since the previous reporting period</w:t>
      </w:r>
      <w:r>
        <w:rPr>
          <w:rFonts w:cs="Times New Roman"/>
          <w:noProof/>
          <w:sz w:val="20"/>
          <w:szCs w:val="20"/>
          <w:vertAlign w:val="superscript"/>
        </w:rPr>
        <w:footnoteReference w:id="35"/>
      </w:r>
      <w:r>
        <w:rPr>
          <w:rFonts w:cs="Times New Roman"/>
          <w:noProof/>
          <w:sz w:val="20"/>
          <w:szCs w:val="20"/>
        </w:rPr>
        <w:t>, which indicates important knowledge gaps for the implementation of the Nature Directives.</w:t>
      </w:r>
    </w:p>
    <w:p w:rsidR="00794EA4" w:rsidRDefault="0017531E">
      <w:pPr>
        <w:widowControl w:val="0"/>
        <w:spacing w:after="120" w:line="240" w:lineRule="auto"/>
        <w:jc w:val="both"/>
        <w:rPr>
          <w:rFonts w:cs="Times New Roman"/>
          <w:noProof/>
          <w:sz w:val="20"/>
          <w:szCs w:val="20"/>
        </w:rPr>
      </w:pPr>
      <w:r>
        <w:rPr>
          <w:rFonts w:cs="Times New Roman"/>
          <w:noProof/>
          <w:sz w:val="20"/>
          <w:szCs w:val="20"/>
        </w:rPr>
        <w:t>The most frequent pressures and threats so far reported are natural system modifications (more than 20% of species an</w:t>
      </w:r>
      <w:r>
        <w:rPr>
          <w:rFonts w:cs="Times New Roman"/>
          <w:noProof/>
          <w:sz w:val="20"/>
          <w:szCs w:val="20"/>
        </w:rPr>
        <w:t>d more than 40% of habitat types) and agriculture (reported for over 20% of the habitats and over 10% for the species assessed), followed by pollution and urbanization.</w:t>
      </w:r>
    </w:p>
    <w:p w:rsidR="00794EA4" w:rsidRDefault="0017531E">
      <w:pPr>
        <w:widowControl w:val="0"/>
        <w:spacing w:after="240" w:line="240" w:lineRule="auto"/>
        <w:jc w:val="both"/>
        <w:rPr>
          <w:rFonts w:cs="Times New Roman"/>
          <w:noProof/>
          <w:sz w:val="20"/>
          <w:szCs w:val="20"/>
        </w:rPr>
      </w:pPr>
      <w:r>
        <w:rPr>
          <w:rFonts w:cs="Times New Roman"/>
          <w:noProof/>
          <w:sz w:val="20"/>
          <w:szCs w:val="20"/>
        </w:rPr>
        <w:t>Figure 7 shows that the short-term population trend of 28% of the breeding bird species</w:t>
      </w:r>
      <w:r>
        <w:rPr>
          <w:rFonts w:cs="Times New Roman"/>
          <w:noProof/>
          <w:sz w:val="20"/>
          <w:szCs w:val="20"/>
        </w:rPr>
        <w:t xml:space="preserve"> assessed under Article 12 reporting is increasing, while 27% are decreasing and 33% stable. On the long term, the population trend of 30% of the species assessed is decreasing and 33% is increasing and 27% stable.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c>
          <w:tcPr>
            <w:tcW w:w="4909" w:type="dxa"/>
          </w:tcPr>
          <w:p w:rsidR="00794EA4" w:rsidRDefault="0017531E">
            <w:pPr>
              <w:widowControl w:val="0"/>
              <w:spacing w:after="120"/>
              <w:jc w:val="both"/>
              <w:rPr>
                <w:rFonts w:cs="Times New Roman"/>
                <w:noProof/>
                <w:color w:val="1F497D" w:themeColor="text2"/>
                <w:sz w:val="20"/>
              </w:rPr>
            </w:pPr>
            <w:r>
              <w:rPr>
                <w:rFonts w:cs="Times New Roman"/>
                <w:b/>
                <w:bCs/>
                <w:noProof/>
                <w:color w:val="1F497D" w:themeColor="text2"/>
                <w:sz w:val="20"/>
              </w:rPr>
              <w:t xml:space="preserve">Figure 7: Short-term population trend of </w:t>
            </w:r>
            <w:r>
              <w:rPr>
                <w:rFonts w:cs="Times New Roman"/>
                <w:b/>
                <w:bCs/>
                <w:noProof/>
                <w:color w:val="1F497D" w:themeColor="text2"/>
                <w:sz w:val="20"/>
              </w:rPr>
              <w:t>breeding and wintering bird species in Spain in 2012 (%)</w:t>
            </w:r>
            <w:r>
              <w:rPr>
                <w:rFonts w:cs="Times New Roman"/>
                <w:b/>
                <w:bCs/>
                <w:noProof/>
                <w:color w:val="1F497D" w:themeColor="text2"/>
                <w:sz w:val="20"/>
                <w:vertAlign w:val="superscript"/>
              </w:rPr>
              <w:footnoteReference w:id="36"/>
            </w:r>
          </w:p>
        </w:tc>
      </w:tr>
      <w:tr w:rsidR="00794EA4">
        <w:tc>
          <w:tcPr>
            <w:tcW w:w="4909" w:type="dxa"/>
          </w:tcPr>
          <w:p w:rsidR="00794EA4" w:rsidRDefault="0017531E">
            <w:pPr>
              <w:widowControl w:val="0"/>
              <w:spacing w:after="120"/>
              <w:jc w:val="both"/>
              <w:rPr>
                <w:rFonts w:cs="Times New Roman"/>
                <w:noProof/>
                <w:sz w:val="20"/>
              </w:rPr>
            </w:pPr>
            <w:r>
              <w:rPr>
                <w:rFonts w:cs="Times New Roman"/>
                <w:noProof/>
                <w:sz w:val="20"/>
                <w:lang w:eastAsia="en-GB"/>
              </w:rPr>
              <w:drawing>
                <wp:inline distT="0" distB="0" distL="0" distR="0" wp14:anchorId="50DE274B" wp14:editId="759637D1">
                  <wp:extent cx="2998382" cy="2131507"/>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98339" cy="2131476"/>
                          </a:xfrm>
                          <a:prstGeom prst="rect">
                            <a:avLst/>
                          </a:prstGeom>
                          <a:noFill/>
                        </pic:spPr>
                      </pic:pic>
                    </a:graphicData>
                  </a:graphic>
                </wp:inline>
              </w:drawing>
            </w:r>
          </w:p>
        </w:tc>
      </w:tr>
    </w:tbl>
    <w:p w:rsidR="00794EA4" w:rsidRDefault="0017531E">
      <w:pPr>
        <w:widowControl w:val="0"/>
        <w:autoSpaceDE w:val="0"/>
        <w:autoSpaceDN w:val="0"/>
        <w:adjustRightInd w:val="0"/>
        <w:spacing w:before="240" w:after="120" w:line="240" w:lineRule="auto"/>
        <w:jc w:val="both"/>
        <w:rPr>
          <w:rFonts w:eastAsia="Calibri" w:cs="Times New Roman"/>
          <w:noProof/>
          <w:color w:val="000000"/>
          <w:sz w:val="20"/>
          <w:szCs w:val="20"/>
          <w:lang w:eastAsia="en-GB"/>
        </w:rPr>
      </w:pPr>
      <w:r>
        <w:rPr>
          <w:rFonts w:eastAsia="Calibri" w:cs="Times New Roman"/>
          <w:noProof/>
          <w:color w:val="000000"/>
          <w:sz w:val="20"/>
          <w:szCs w:val="20"/>
          <w:lang w:eastAsia="en-GB"/>
        </w:rPr>
        <w:t xml:space="preserve">Natura 2000 management and nature protection is mainly a regional competence in Spain, except for the marine sites, which are under the competence of the national Administration, if they do not </w:t>
      </w:r>
      <w:r>
        <w:rPr>
          <w:rFonts w:eastAsia="Calibri" w:cs="Times New Roman"/>
          <w:noProof/>
          <w:color w:val="000000"/>
          <w:sz w:val="20"/>
          <w:szCs w:val="20"/>
          <w:lang w:eastAsia="en-GB"/>
        </w:rPr>
        <w:t>have ecological continuity with adjacent terrestrial sites.</w:t>
      </w:r>
    </w:p>
    <w:p w:rsidR="00794EA4" w:rsidRDefault="0017531E">
      <w:pPr>
        <w:widowControl w:val="0"/>
        <w:autoSpaceDE w:val="0"/>
        <w:autoSpaceDN w:val="0"/>
        <w:adjustRightInd w:val="0"/>
        <w:spacing w:after="120" w:line="240" w:lineRule="auto"/>
        <w:jc w:val="both"/>
        <w:rPr>
          <w:rFonts w:eastAsia="Calibri" w:cs="Times New Roman"/>
          <w:noProof/>
          <w:color w:val="000000"/>
          <w:sz w:val="20"/>
          <w:szCs w:val="20"/>
          <w:lang w:eastAsia="en-GB"/>
        </w:rPr>
      </w:pPr>
      <w:r>
        <w:rPr>
          <w:rFonts w:eastAsia="Calibri" w:cs="Times New Roman"/>
          <w:noProof/>
          <w:sz w:val="20"/>
          <w:szCs w:val="20"/>
          <w:lang w:eastAsia="en-GB"/>
        </w:rPr>
        <w:t xml:space="preserve">The Spanish National Plan for Biodiversity and Natural Heritage, together with the basic legislation, is a good overall framework for the protection of biodiversity in Spain. </w:t>
      </w:r>
      <w:r>
        <w:rPr>
          <w:rFonts w:eastAsia="Calibri" w:cs="Times New Roman"/>
          <w:noProof/>
          <w:color w:val="000000"/>
          <w:sz w:val="20"/>
          <w:szCs w:val="20"/>
          <w:lang w:eastAsia="en-GB"/>
        </w:rPr>
        <w:t>The Spanish basic leg</w:t>
      </w:r>
      <w:r>
        <w:rPr>
          <w:rFonts w:eastAsia="Calibri" w:cs="Times New Roman"/>
          <w:noProof/>
          <w:color w:val="000000"/>
          <w:sz w:val="20"/>
          <w:szCs w:val="20"/>
          <w:lang w:eastAsia="en-GB"/>
        </w:rPr>
        <w:t>islation transposing the Habitats Directive - which has been recently updated - is overall appropriate. It requires the establishment of management plans before designating sites as SACs, therefore ensuring that SAC designation triggers the establishment o</w:t>
      </w:r>
      <w:r>
        <w:rPr>
          <w:rFonts w:eastAsia="Calibri" w:cs="Times New Roman"/>
          <w:noProof/>
          <w:color w:val="000000"/>
          <w:sz w:val="20"/>
          <w:szCs w:val="20"/>
          <w:lang w:eastAsia="en-GB"/>
        </w:rPr>
        <w:t>f conservation measures, as required under Article 6(1) of the Habitats Directive.</w:t>
      </w:r>
    </w:p>
    <w:p w:rsidR="00794EA4" w:rsidRDefault="0017531E">
      <w:pPr>
        <w:widowControl w:val="0"/>
        <w:spacing w:after="120" w:line="240" w:lineRule="auto"/>
        <w:jc w:val="both"/>
        <w:rPr>
          <w:rFonts w:cs="Times New Roman"/>
          <w:noProof/>
          <w:sz w:val="20"/>
          <w:szCs w:val="20"/>
        </w:rPr>
      </w:pPr>
      <w:r>
        <w:rPr>
          <w:rFonts w:cs="Times New Roman"/>
          <w:noProof/>
          <w:sz w:val="20"/>
          <w:szCs w:val="20"/>
        </w:rPr>
        <w:t>The Commission receives a high number of complaints regarding the implementation of the Nature Directives in Spain, mainly on degradation of designated sites, inadequate man</w:t>
      </w:r>
      <w:r>
        <w:rPr>
          <w:rFonts w:cs="Times New Roman"/>
          <w:noProof/>
          <w:sz w:val="20"/>
          <w:szCs w:val="20"/>
        </w:rPr>
        <w:t>agement and bad quality of Appropriate Assessments under Article 6(3) of the Habitats Directive. The degradation of protected water dependent habitats within Natura 2000 is also a frequent concern.</w:t>
      </w:r>
    </w:p>
    <w:p w:rsidR="00794EA4" w:rsidRDefault="0017531E">
      <w:pPr>
        <w:widowControl w:val="0"/>
        <w:spacing w:after="120" w:line="240" w:lineRule="auto"/>
        <w:jc w:val="both"/>
        <w:rPr>
          <w:rFonts w:cs="Times New Roman"/>
          <w:noProof/>
          <w:sz w:val="20"/>
          <w:szCs w:val="20"/>
        </w:rPr>
      </w:pPr>
      <w:r>
        <w:rPr>
          <w:rFonts w:cs="Times New Roman"/>
          <w:noProof/>
          <w:sz w:val="20"/>
          <w:szCs w:val="20"/>
        </w:rPr>
        <w:t>There are also concerns regarding the implementation of th</w:t>
      </w:r>
      <w:r>
        <w:rPr>
          <w:rFonts w:cs="Times New Roman"/>
          <w:noProof/>
          <w:sz w:val="20"/>
          <w:szCs w:val="20"/>
        </w:rPr>
        <w:t>e Birds Directive in Spain, in particular in relation to the extensive use of trapping derogations for finches in several regions.</w:t>
      </w:r>
    </w:p>
    <w:p w:rsidR="00794EA4" w:rsidRDefault="0017531E">
      <w:pPr>
        <w:widowControl w:val="0"/>
        <w:spacing w:after="120" w:line="240" w:lineRule="auto"/>
        <w:jc w:val="both"/>
        <w:rPr>
          <w:rFonts w:eastAsia="Calibri" w:cs="Times New Roman"/>
          <w:noProof/>
          <w:sz w:val="20"/>
          <w:szCs w:val="20"/>
        </w:rPr>
      </w:pPr>
      <w:r>
        <w:rPr>
          <w:rFonts w:eastAsia="Calibri" w:cs="Times New Roman"/>
          <w:noProof/>
          <w:sz w:val="20"/>
          <w:szCs w:val="20"/>
        </w:rPr>
        <w:t>The lack of adequate financial resources and scientific knowledge for some species and habitat types to support appropriate m</w:t>
      </w:r>
      <w:r>
        <w:rPr>
          <w:rFonts w:eastAsia="Calibri" w:cs="Times New Roman"/>
          <w:noProof/>
          <w:sz w:val="20"/>
          <w:szCs w:val="20"/>
        </w:rPr>
        <w:t>anagement are recognized as the most relevant limiting factors to achieve the objectives of the Nature Directives.</w:t>
      </w:r>
      <w:r>
        <w:rPr>
          <w:rFonts w:cs="Times New Roman"/>
          <w:noProof/>
          <w:sz w:val="20"/>
          <w:szCs w:val="20"/>
        </w:rPr>
        <w:t xml:space="preserve"> There is a low use of the potential financing under the ERDF and for nature conservation measures and Natura 2000 priorities</w:t>
      </w:r>
      <w:r>
        <w:rPr>
          <w:rFonts w:cs="Times New Roman"/>
          <w:noProof/>
          <w:sz w:val="20"/>
          <w:szCs w:val="20"/>
          <w:vertAlign w:val="superscript"/>
        </w:rPr>
        <w:footnoteReference w:id="37"/>
      </w:r>
      <w:r>
        <w:rPr>
          <w:rFonts w:cs="Times New Roman"/>
          <w:noProof/>
          <w:sz w:val="20"/>
          <w:szCs w:val="20"/>
        </w:rPr>
        <w:t>, notably due to</w:t>
      </w:r>
      <w:r>
        <w:rPr>
          <w:rFonts w:cs="Times New Roman"/>
          <w:noProof/>
          <w:sz w:val="20"/>
          <w:szCs w:val="20"/>
        </w:rPr>
        <w:t xml:space="preserve"> an insufficient coordination between the relevant competent administrative authorities</w:t>
      </w:r>
      <w:r>
        <w:rPr>
          <w:rFonts w:cs="Times New Roman"/>
          <w:noProof/>
          <w:sz w:val="20"/>
          <w:szCs w:val="20"/>
          <w:vertAlign w:val="superscript"/>
        </w:rPr>
        <w:footnoteReference w:id="38"/>
      </w:r>
      <w:r>
        <w:rPr>
          <w:rFonts w:cs="Times New Roman"/>
          <w:noProof/>
          <w:sz w:val="20"/>
          <w:szCs w:val="20"/>
        </w:rPr>
        <w:t>.</w:t>
      </w:r>
    </w:p>
    <w:p w:rsidR="00794EA4" w:rsidRDefault="0017531E">
      <w:pPr>
        <w:widowControl w:val="0"/>
        <w:spacing w:after="240" w:line="240" w:lineRule="auto"/>
        <w:jc w:val="both"/>
        <w:rPr>
          <w:rFonts w:cs="Times New Roman"/>
          <w:noProof/>
          <w:sz w:val="20"/>
        </w:rPr>
      </w:pPr>
      <w:r>
        <w:rPr>
          <w:rFonts w:cs="Times New Roman"/>
          <w:noProof/>
          <w:sz w:val="20"/>
        </w:rPr>
        <w:t>The Priority Action Framework (PAF) for the financing of the Natura 2000 Network, prepared by Spain in 2014 at the request of the Commission, is a good basis to addre</w:t>
      </w:r>
      <w:r>
        <w:rPr>
          <w:rFonts w:cs="Times New Roman"/>
          <w:noProof/>
          <w:sz w:val="20"/>
        </w:rPr>
        <w:t>ss the above-mentioned limiting factors.</w:t>
      </w:r>
    </w:p>
    <w:p w:rsidR="00794EA4" w:rsidRDefault="0017531E">
      <w:pPr>
        <w:widowControl w:val="0"/>
        <w:spacing w:before="120" w:after="120" w:line="240" w:lineRule="auto"/>
        <w:jc w:val="both"/>
        <w:rPr>
          <w:rFonts w:cs="Times New Roman"/>
          <w:noProof/>
          <w:sz w:val="20"/>
        </w:rPr>
      </w:pPr>
      <w:r>
        <w:rPr>
          <w:rFonts w:cs="Times New Roman"/>
          <w:noProof/>
          <w:sz w:val="20"/>
          <w:lang w:eastAsia="en-GB"/>
        </w:rPr>
        <w:drawing>
          <wp:inline distT="0" distB="0" distL="0" distR="0" wp14:anchorId="1EE84962" wp14:editId="50540333">
            <wp:extent cx="2974163" cy="2059388"/>
            <wp:effectExtent l="0" t="0" r="0" b="0"/>
            <wp:docPr id="28" name="Picture 28" descr="C:\Users\schwemi\AppData\Local\Microsoft\Windows\Temporary Internet Files\Content.Word\iStock_62432328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hwemi\AppData\Local\Microsoft\Windows\Temporary Internet Files\Content.Word\iStock_62432328_LARGE.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80055" cy="2063468"/>
                    </a:xfrm>
                    <a:prstGeom prst="rect">
                      <a:avLst/>
                    </a:prstGeom>
                    <a:noFill/>
                    <a:ln>
                      <a:noFill/>
                    </a:ln>
                  </pic:spPr>
                </pic:pic>
              </a:graphicData>
            </a:graphic>
          </wp:inline>
        </w:drawing>
      </w:r>
    </w:p>
    <w:p w:rsidR="00794EA4" w:rsidRDefault="0017531E">
      <w:pPr>
        <w:widowControl w:val="0"/>
        <w:spacing w:before="240" w:after="120" w:line="240" w:lineRule="auto"/>
        <w:jc w:val="both"/>
        <w:rPr>
          <w:rFonts w:cs="Times New Roman"/>
          <w:noProof/>
          <w:sz w:val="20"/>
        </w:rPr>
      </w:pPr>
      <w:r>
        <w:rPr>
          <w:rFonts w:cs="Times New Roman"/>
          <w:noProof/>
          <w:sz w:val="20"/>
        </w:rPr>
        <w:t>A recent study carried out by the Ministry for Agriculture, Food and Environment (Economic Benefits of the Natura 2000 Network in Spain, still unpublished) assesses these benefits through use values calculated fro</w:t>
      </w:r>
      <w:r>
        <w:rPr>
          <w:rFonts w:cs="Times New Roman"/>
          <w:noProof/>
          <w:sz w:val="20"/>
        </w:rPr>
        <w:t>m direct and indirect real market prices for a limited array of ecosystem services. According to this study, the estimated economic benefits of Natura 2000 (and this is a very conservative estimate) amount to 9.8 billion EUR/year –i.e. 7.5 times the theore</w:t>
      </w:r>
      <w:r>
        <w:rPr>
          <w:rFonts w:cs="Times New Roman"/>
          <w:noProof/>
          <w:sz w:val="20"/>
        </w:rPr>
        <w:t>tical annual cost of maintenance of the network.</w:t>
      </w:r>
    </w:p>
    <w:p w:rsidR="00794EA4" w:rsidRDefault="0017531E">
      <w:pPr>
        <w:widowControl w:val="0"/>
        <w:spacing w:after="120" w:line="240" w:lineRule="auto"/>
        <w:jc w:val="both"/>
        <w:rPr>
          <w:rFonts w:cs="Times New Roman"/>
          <w:noProof/>
          <w:sz w:val="20"/>
        </w:rPr>
      </w:pPr>
      <w:r>
        <w:rPr>
          <w:rFonts w:cs="Times New Roman"/>
          <w:noProof/>
          <w:sz w:val="20"/>
        </w:rPr>
        <w:t>The last changes to the national legislation on Natural Heritage and Biodiversity</w:t>
      </w:r>
      <w:r>
        <w:rPr>
          <w:rFonts w:cs="Times New Roman"/>
          <w:noProof/>
          <w:sz w:val="20"/>
          <w:szCs w:val="20"/>
          <w:vertAlign w:val="superscript"/>
        </w:rPr>
        <w:footnoteReference w:id="39"/>
      </w:r>
      <w:r>
        <w:rPr>
          <w:rFonts w:cs="Times New Roman"/>
          <w:noProof/>
          <w:sz w:val="20"/>
        </w:rPr>
        <w:t xml:space="preserve"> have introduced new possible ways to promote actions on nature conservation, including the declaration of these type of acti</w:t>
      </w:r>
      <w:r>
        <w:rPr>
          <w:rFonts w:cs="Times New Roman"/>
          <w:noProof/>
          <w:sz w:val="20"/>
        </w:rPr>
        <w:t>vities as actions of general interest for the State, as well as the possible establishment of economic incentives (like subsidies prioritization, tax reduction, etc.) for activities contributing to Natura 2000 objectives.</w:t>
      </w:r>
    </w:p>
    <w:p w:rsidR="00794EA4" w:rsidRDefault="0017531E">
      <w:pPr>
        <w:widowControl w:val="0"/>
        <w:spacing w:after="120" w:line="240" w:lineRule="auto"/>
        <w:jc w:val="both"/>
        <w:rPr>
          <w:rFonts w:cs="Times New Roman"/>
          <w:noProof/>
          <w:sz w:val="20"/>
        </w:rPr>
      </w:pPr>
      <w:r>
        <w:rPr>
          <w:rFonts w:cs="Times New Roman"/>
          <w:noProof/>
          <w:sz w:val="20"/>
        </w:rPr>
        <w:t>The possibilities to develop susta</w:t>
      </w:r>
      <w:r>
        <w:rPr>
          <w:rFonts w:cs="Times New Roman"/>
          <w:noProof/>
          <w:sz w:val="20"/>
        </w:rPr>
        <w:t>inable or nature tourism should be highlighted, as tourism is one of the most important economic sectors in Spain that however needs diversification and seasonal adjustment, promoting other modalities different to the traditional "sun and beach" focus. The</w:t>
      </w:r>
      <w:r>
        <w:rPr>
          <w:rFonts w:cs="Times New Roman"/>
          <w:noProof/>
          <w:sz w:val="20"/>
        </w:rPr>
        <w:t>re is also scope for making the tourist infrastructure more sustainable</w:t>
      </w:r>
      <w:r>
        <w:rPr>
          <w:rFonts w:cs="Times New Roman"/>
          <w:noProof/>
          <w:sz w:val="20"/>
          <w:vertAlign w:val="superscript"/>
        </w:rPr>
        <w:footnoteReference w:id="40"/>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In this sense, the Spanish Government approved in 2014</w:t>
      </w:r>
      <w:r>
        <w:rPr>
          <w:rFonts w:cs="Times New Roman"/>
          <w:noProof/>
          <w:sz w:val="20"/>
          <w:szCs w:val="20"/>
          <w:vertAlign w:val="superscript"/>
        </w:rPr>
        <w:footnoteReference w:id="41"/>
      </w:r>
      <w:r>
        <w:rPr>
          <w:rFonts w:cs="Times New Roman"/>
          <w:noProof/>
          <w:sz w:val="20"/>
        </w:rPr>
        <w:t xml:space="preserve"> the Spanish strategic plan on nature and biodiversity tourism 2014-2020, which is a positive step, but there is a clear scope for further growth.</w:t>
      </w:r>
    </w:p>
    <w:p w:rsidR="00794EA4" w:rsidRDefault="0017531E">
      <w:pPr>
        <w:widowControl w:val="0"/>
        <w:spacing w:after="240" w:line="240" w:lineRule="auto"/>
        <w:jc w:val="both"/>
        <w:rPr>
          <w:rFonts w:cs="Times New Roman"/>
          <w:noProof/>
          <w:sz w:val="20"/>
        </w:rPr>
      </w:pPr>
      <w:r>
        <w:rPr>
          <w:rFonts w:cs="Times New Roman"/>
          <w:noProof/>
          <w:sz w:val="20"/>
        </w:rPr>
        <w:t>Indeed, special attention should be paid to the potential for Spain to capitalise its very valuable natural c</w:t>
      </w:r>
      <w:r>
        <w:rPr>
          <w:rFonts w:cs="Times New Roman"/>
          <w:noProof/>
          <w:sz w:val="20"/>
        </w:rPr>
        <w:t>apital to create jobs. Spain makes the largest contribution to the Natura 2000 network in the EU. Therefore, jobs related to protection of biodiversity, reforestation, green infrastructure and ecosystem services have an enormous potential in Spain that sho</w:t>
      </w:r>
      <w:r>
        <w:rPr>
          <w:rFonts w:cs="Times New Roman"/>
          <w:noProof/>
          <w:sz w:val="20"/>
        </w:rPr>
        <w:t>uld not be ignored.</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rPr>
          <w:noProof/>
        </w:rPr>
      </w:pPr>
      <w:r>
        <w:rPr>
          <w:noProof/>
        </w:rPr>
        <w:t>Complete the designation process and put in place clearly defined conservation objectives and the necessary conservation measures for the sites and provide adequate resources for their implementation in order to maintai</w:t>
      </w:r>
      <w:r>
        <w:rPr>
          <w:noProof/>
        </w:rPr>
        <w:t xml:space="preserve">n/restore species and habitats of community interest to a favourable conservation status across their natural range. </w:t>
      </w:r>
    </w:p>
    <w:p w:rsidR="00794EA4" w:rsidRDefault="0017531E">
      <w:pPr>
        <w:pStyle w:val="NoSpacing"/>
        <w:rPr>
          <w:noProof/>
        </w:rPr>
      </w:pPr>
      <w:r>
        <w:rPr>
          <w:noProof/>
        </w:rPr>
        <w:t>Improve the availability to the necessary financial resources for nature conservation, particularly through an enhanced use of the ERDF an</w:t>
      </w:r>
      <w:r>
        <w:rPr>
          <w:noProof/>
        </w:rPr>
        <w:t>d EARDF funds and the further development of the financial incentives for the promotion of nature conservation activities foreseen in the basic legislation.</w:t>
      </w:r>
    </w:p>
    <w:p w:rsidR="00794EA4" w:rsidRDefault="0017531E">
      <w:pPr>
        <w:pStyle w:val="NoSpacing"/>
        <w:rPr>
          <w:noProof/>
        </w:rPr>
      </w:pPr>
      <w:r>
        <w:rPr>
          <w:noProof/>
        </w:rPr>
        <w:t>Capitalise the very valuable natural capital to create jobs. In this context, promoting further the</w:t>
      </w:r>
      <w:r>
        <w:rPr>
          <w:noProof/>
        </w:rPr>
        <w:t xml:space="preserve"> sustainable tourism would be a good focus for Spain. </w:t>
      </w:r>
    </w:p>
    <w:p w:rsidR="00794EA4" w:rsidRDefault="0017531E">
      <w:pPr>
        <w:pStyle w:val="NoSpacing"/>
        <w:spacing w:after="360"/>
        <w:rPr>
          <w:noProof/>
        </w:rPr>
      </w:pPr>
      <w:r>
        <w:rPr>
          <w:noProof/>
        </w:rPr>
        <w:t xml:space="preserve">Develop and promote smart and streamlined implementation approaches, in particular as regards site and species permitting procedures, ensuring the necessary knowledge and data availability. Strengthen </w:t>
      </w:r>
      <w:r>
        <w:rPr>
          <w:noProof/>
        </w:rPr>
        <w:t>communication with stakeholders.</w:t>
      </w:r>
    </w:p>
    <w:p w:rsidR="00794EA4" w:rsidRDefault="0017531E">
      <w:pPr>
        <w:widowControl w:val="0"/>
        <w:spacing w:before="240" w:after="120" w:line="240" w:lineRule="auto"/>
        <w:jc w:val="both"/>
        <w:outlineLvl w:val="2"/>
        <w:rPr>
          <w:rFonts w:cs="Times New Roman"/>
          <w:b/>
          <w:noProof/>
          <w:color w:val="1F497D" w:themeColor="text2"/>
        </w:rPr>
      </w:pPr>
      <w:r>
        <w:rPr>
          <w:rFonts w:cs="Times New Roman"/>
          <w:b/>
          <w:noProof/>
          <w:color w:val="1F497D" w:themeColor="text2"/>
        </w:rPr>
        <w:t>Estimating Natural Capital</w:t>
      </w:r>
    </w:p>
    <w:p w:rsidR="00794EA4" w:rsidRDefault="0017531E">
      <w:pPr>
        <w:widowControl w:val="0"/>
        <w:spacing w:after="120" w:line="240" w:lineRule="auto"/>
        <w:jc w:val="both"/>
        <w:rPr>
          <w:rFonts w:cs="Times New Roman"/>
          <w:noProof/>
          <w:color w:val="000000" w:themeColor="text1"/>
          <w:sz w:val="20"/>
        </w:rPr>
      </w:pPr>
      <w:r>
        <w:rPr>
          <w:rFonts w:cs="Times New Roman"/>
          <w:noProof/>
          <w:sz w:val="20"/>
          <w:lang w:val="en" w:eastAsia="en-GB"/>
        </w:rPr>
        <w:t xml:space="preserve">The EU Biodiversity Strategy to 2020 calls on the Member States to map and asses the state of ecosystems and their services in their national territory by 2014, assess the economic value of such </w:t>
      </w:r>
      <w:r>
        <w:rPr>
          <w:rFonts w:cs="Times New Roman"/>
          <w:noProof/>
          <w:sz w:val="20"/>
          <w:lang w:val="en" w:eastAsia="en-GB"/>
        </w:rPr>
        <w:t>services, and promote the integration of these values into accounting and reporting systems at EU and national level by 2020</w:t>
      </w:r>
      <w:r>
        <w:rPr>
          <w:rFonts w:cs="Times New Roman"/>
          <w:noProof/>
          <w:sz w:val="20"/>
          <w:vertAlign w:val="superscript"/>
          <w:lang w:eastAsia="en-GB"/>
        </w:rPr>
        <w:footnoteReference w:id="42"/>
      </w:r>
      <w:r>
        <w:rPr>
          <w:rFonts w:cs="Times New Roman"/>
          <w:noProof/>
          <w:sz w:val="20"/>
          <w:lang w:val="en" w:eastAsia="en-GB"/>
        </w:rPr>
        <w:t>.</w:t>
      </w:r>
    </w:p>
    <w:p w:rsidR="00794EA4" w:rsidRDefault="0017531E">
      <w:pPr>
        <w:widowControl w:val="0"/>
        <w:spacing w:after="240" w:line="240" w:lineRule="auto"/>
        <w:jc w:val="both"/>
        <w:rPr>
          <w:rFonts w:cs="Times New Roman"/>
          <w:noProof/>
          <w:sz w:val="20"/>
        </w:rPr>
      </w:pPr>
      <w:r>
        <w:rPr>
          <w:rFonts w:cs="Times New Roman"/>
          <w:noProof/>
          <w:sz w:val="20"/>
          <w:lang w:val="en" w:eastAsia="en-GB"/>
        </w:rPr>
        <w:t xml:space="preserve">The National Ecosystem Assessment of Spain evaluation was </w:t>
      </w:r>
      <w:r>
        <w:rPr>
          <w:rFonts w:cs="Times New Roman"/>
          <w:noProof/>
          <w:sz w:val="20"/>
        </w:rPr>
        <w:t>completed in 2012</w:t>
      </w:r>
      <w:r>
        <w:rPr>
          <w:rStyle w:val="FootnoteReference"/>
          <w:rFonts w:cs="Times New Roman"/>
          <w:noProof/>
          <w:sz w:val="20"/>
        </w:rPr>
        <w:footnoteReference w:id="43"/>
      </w:r>
      <w:r>
        <w:rPr>
          <w:rFonts w:cs="Times New Roman"/>
          <w:noProof/>
          <w:sz w:val="20"/>
        </w:rPr>
        <w:t xml:space="preserve"> and was followed up by an in-depth analysis of the e</w:t>
      </w:r>
      <w:r>
        <w:rPr>
          <w:rFonts w:cs="Times New Roman"/>
          <w:noProof/>
          <w:sz w:val="20"/>
        </w:rPr>
        <w:t>conomic and social value of Spanish ecosystem services. The project run by scientists is supported by the government and involves multiple parties and interest groups.</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spacing w:after="360"/>
        <w:rPr>
          <w:noProof/>
        </w:rPr>
      </w:pPr>
      <w:r>
        <w:rPr>
          <w:noProof/>
        </w:rPr>
        <w:t xml:space="preserve">Continue supporting the mapping and assessment of ecosystems and their </w:t>
      </w:r>
      <w:r>
        <w:rPr>
          <w:noProof/>
        </w:rPr>
        <w:t>services, and enhance its use for policy and decision-making (e.g. Spanish strategy on Green Infrastructure) and develop natural capital accounting systems.</w:t>
      </w:r>
    </w:p>
    <w:p w:rsidR="00794EA4" w:rsidRDefault="0017531E">
      <w:pPr>
        <w:widowControl w:val="0"/>
        <w:spacing w:after="240" w:line="240" w:lineRule="auto"/>
        <w:outlineLvl w:val="1"/>
        <w:rPr>
          <w:rFonts w:cs="Times New Roman"/>
          <w:b/>
          <w:noProof/>
          <w:color w:val="1F497D" w:themeColor="text2"/>
          <w:sz w:val="24"/>
          <w:szCs w:val="24"/>
        </w:rPr>
      </w:pPr>
      <w:bookmarkStart w:id="25" w:name="_Toc469492815"/>
      <w:r>
        <w:rPr>
          <w:rFonts w:cs="Times New Roman"/>
          <w:b/>
          <w:noProof/>
          <w:color w:val="1F497D" w:themeColor="text2"/>
          <w:sz w:val="24"/>
          <w:szCs w:val="24"/>
        </w:rPr>
        <w:t>Green Infrastructure</w:t>
      </w:r>
      <w:bookmarkEnd w:id="25"/>
      <w:r>
        <w:rPr>
          <w:rFonts w:cs="Times New Roman"/>
          <w:b/>
          <w:noProof/>
          <w:color w:val="1F497D" w:themeColor="text2"/>
          <w:sz w:val="24"/>
          <w:szCs w:val="24"/>
        </w:rPr>
        <w:t xml:space="preserve"> </w:t>
      </w:r>
    </w:p>
    <w:p w:rsidR="00794EA4" w:rsidRDefault="0017531E">
      <w:pPr>
        <w:widowControl w:val="0"/>
        <w:shd w:val="clear" w:color="auto" w:fill="4F81BD" w:themeFill="accent1"/>
        <w:spacing w:after="120" w:line="240" w:lineRule="auto"/>
        <w:jc w:val="both"/>
        <w:rPr>
          <w:rFonts w:ascii="Calibri" w:eastAsia="Calibri" w:hAnsi="Calibri" w:cs="Times New Roman"/>
          <w:noProof/>
          <w:color w:val="FFFFFF" w:themeColor="background1"/>
          <w:sz w:val="20"/>
          <w:lang w:eastAsia="ar-SA"/>
        </w:rPr>
      </w:pPr>
      <w:r>
        <w:rPr>
          <w:rFonts w:cs="Times New Roman"/>
          <w:noProof/>
          <w:color w:val="FFFFFF" w:themeColor="background1"/>
          <w:sz w:val="20"/>
        </w:rPr>
        <w:t>The EU strategy on green infrastructure</w:t>
      </w:r>
      <w:r>
        <w:rPr>
          <w:rFonts w:cs="Times New Roman"/>
          <w:noProof/>
          <w:color w:val="FFFFFF" w:themeColor="background1"/>
          <w:sz w:val="20"/>
          <w:vertAlign w:val="superscript"/>
        </w:rPr>
        <w:footnoteReference w:id="44"/>
      </w:r>
      <w:r>
        <w:rPr>
          <w:rFonts w:cs="Times New Roman"/>
          <w:noProof/>
          <w:color w:val="FFFFFF" w:themeColor="background1"/>
          <w:sz w:val="20"/>
        </w:rPr>
        <w:t xml:space="preserve"> promotes the </w:t>
      </w:r>
      <w:r>
        <w:rPr>
          <w:rFonts w:ascii="Calibri" w:eastAsia="Calibri" w:hAnsi="Calibri" w:cs="Times New Roman"/>
          <w:noProof/>
          <w:color w:val="FFFFFF" w:themeColor="background1"/>
          <w:sz w:val="20"/>
          <w:lang w:eastAsia="ar-SA"/>
        </w:rPr>
        <w:t xml:space="preserve">incorporation of green </w:t>
      </w:r>
      <w:r>
        <w:rPr>
          <w:rFonts w:ascii="Calibri" w:eastAsia="Calibri" w:hAnsi="Calibri" w:cs="Times New Roman"/>
          <w:noProof/>
          <w:color w:val="FFFFFF" w:themeColor="background1"/>
          <w:sz w:val="20"/>
          <w:lang w:eastAsia="ar-SA"/>
        </w:rPr>
        <w:t>infrastructure into related plans and programmes to help overcome fragmentation of habitats and preserve or restore ecological connectivity, enhance ecosystem resilience and thereby ensure the continued provision of ecosystem services.</w:t>
      </w:r>
    </w:p>
    <w:p w:rsidR="00794EA4" w:rsidRDefault="0017531E">
      <w:pPr>
        <w:widowControl w:val="0"/>
        <w:spacing w:before="240" w:after="120" w:line="240" w:lineRule="auto"/>
        <w:jc w:val="both"/>
        <w:rPr>
          <w:rFonts w:cs="Times New Roman"/>
          <w:noProof/>
          <w:sz w:val="20"/>
        </w:rPr>
      </w:pPr>
      <w:r>
        <w:rPr>
          <w:rFonts w:cs="Times New Roman"/>
          <w:noProof/>
          <w:sz w:val="20"/>
        </w:rPr>
        <w:t>Green Infrastructure</w:t>
      </w:r>
      <w:r>
        <w:rPr>
          <w:rFonts w:cs="Times New Roman"/>
          <w:noProof/>
          <w:sz w:val="20"/>
        </w:rPr>
        <w:t xml:space="preserve"> provides ecological, economic and social benefits through natural solutions. It helps to understand the value of the benefits that nature provides to human society and to mobilise investments to sustain and enhance them.</w:t>
      </w:r>
    </w:p>
    <w:p w:rsidR="00794EA4" w:rsidRDefault="0017531E">
      <w:pPr>
        <w:widowControl w:val="0"/>
        <w:spacing w:after="120" w:line="240" w:lineRule="auto"/>
        <w:jc w:val="both"/>
        <w:rPr>
          <w:rFonts w:cs="Times New Roman"/>
          <w:noProof/>
          <w:sz w:val="20"/>
        </w:rPr>
      </w:pPr>
      <w:r>
        <w:rPr>
          <w:rFonts w:cs="Times New Roman"/>
          <w:noProof/>
          <w:sz w:val="20"/>
        </w:rPr>
        <w:t xml:space="preserve">Spain has no Green Infrastructure </w:t>
      </w:r>
      <w:r>
        <w:rPr>
          <w:rFonts w:cs="Times New Roman"/>
          <w:noProof/>
          <w:sz w:val="20"/>
        </w:rPr>
        <w:t xml:space="preserve">Strategy as such, but the last changes to the basic national </w:t>
      </w:r>
      <w:r>
        <w:rPr>
          <w:rFonts w:cs="Times New Roman"/>
          <w:noProof/>
          <w:sz w:val="20"/>
          <w:szCs w:val="20"/>
        </w:rPr>
        <w:t>legislation</w:t>
      </w:r>
      <w:r>
        <w:rPr>
          <w:rFonts w:cs="Times New Roman"/>
          <w:noProof/>
          <w:sz w:val="20"/>
          <w:szCs w:val="20"/>
          <w:vertAlign w:val="superscript"/>
        </w:rPr>
        <w:footnoteReference w:id="45"/>
      </w:r>
      <w:r>
        <w:rPr>
          <w:rFonts w:cs="Times New Roman"/>
          <w:noProof/>
          <w:sz w:val="20"/>
        </w:rPr>
        <w:t xml:space="preserve"> include provisions for the establishment of a national Strategy on Green Infrastructure, Connectivity and Ecological Restoration. The elaboration of this national strategy is on-goin</w:t>
      </w:r>
      <w:r>
        <w:rPr>
          <w:rFonts w:cs="Times New Roman"/>
          <w:noProof/>
          <w:sz w:val="20"/>
        </w:rPr>
        <w:t>g. Law 33/2015 also imposes a general obligation onto the Autonomous Communities to draft Green Infrastructure Strategies. There are also some national plans and initiatives related to this topic.</w:t>
      </w:r>
    </w:p>
    <w:p w:rsidR="00794EA4" w:rsidRDefault="0017531E">
      <w:pPr>
        <w:widowControl w:val="0"/>
        <w:spacing w:after="120" w:line="240" w:lineRule="auto"/>
        <w:jc w:val="both"/>
        <w:rPr>
          <w:rFonts w:cs="Times New Roman"/>
          <w:noProof/>
          <w:sz w:val="20"/>
        </w:rPr>
      </w:pPr>
      <w:r>
        <w:rPr>
          <w:rFonts w:cs="Times New Roman"/>
          <w:noProof/>
          <w:sz w:val="20"/>
        </w:rPr>
        <w:t>Law 42/2007 (Natural Heritage and Biodiversity) already imp</w:t>
      </w:r>
      <w:r>
        <w:rPr>
          <w:rFonts w:cs="Times New Roman"/>
          <w:noProof/>
          <w:sz w:val="20"/>
        </w:rPr>
        <w:t>osed a general obligation onto the Autonomous Communities to take measures aimed at ensuring environmental connectivity, while various regional laws also focus on the connectivity of natural areas. Prior to this law, some Autonomous Communities had already</w:t>
      </w:r>
      <w:r>
        <w:rPr>
          <w:rFonts w:cs="Times New Roman"/>
          <w:noProof/>
          <w:sz w:val="20"/>
        </w:rPr>
        <w:t xml:space="preserve"> introduced initiatives to develop corridors.</w:t>
      </w:r>
    </w:p>
    <w:p w:rsidR="00794EA4" w:rsidRDefault="0017531E">
      <w:pPr>
        <w:widowControl w:val="0"/>
        <w:spacing w:after="120" w:line="240" w:lineRule="auto"/>
        <w:jc w:val="both"/>
        <w:rPr>
          <w:rFonts w:cs="Times New Roman"/>
          <w:noProof/>
          <w:sz w:val="20"/>
        </w:rPr>
      </w:pPr>
      <w:r>
        <w:rPr>
          <w:rFonts w:cs="Times New Roman"/>
          <w:noProof/>
          <w:sz w:val="20"/>
        </w:rPr>
        <w:t>Transport infrastructure has been identified as one of the main drivers of habitat fragmentation and a working group has been set up to address this issue specifically.</w:t>
      </w:r>
    </w:p>
    <w:p w:rsidR="00794EA4" w:rsidRDefault="0017531E">
      <w:pPr>
        <w:widowControl w:val="0"/>
        <w:spacing w:after="120" w:line="240" w:lineRule="auto"/>
        <w:jc w:val="both"/>
        <w:rPr>
          <w:rFonts w:cs="Times New Roman"/>
          <w:noProof/>
          <w:sz w:val="20"/>
        </w:rPr>
      </w:pPr>
      <w:r>
        <w:rPr>
          <w:rFonts w:cs="Times New Roman"/>
          <w:noProof/>
          <w:sz w:val="20"/>
        </w:rPr>
        <w:t>The focus of the Spanish policy so far is</w:t>
      </w:r>
      <w:r>
        <w:rPr>
          <w:rFonts w:cs="Times New Roman"/>
          <w:noProof/>
          <w:sz w:val="20"/>
        </w:rPr>
        <w:t xml:space="preserve"> to implement measures ensuring connectivity between existing protected areas rather than promoting the development of a comprehensive and coherent ecological network.</w:t>
      </w:r>
    </w:p>
    <w:p w:rsidR="00794EA4" w:rsidRDefault="0017531E">
      <w:pPr>
        <w:widowControl w:val="0"/>
        <w:spacing w:after="120" w:line="240" w:lineRule="auto"/>
        <w:jc w:val="both"/>
        <w:rPr>
          <w:rFonts w:cs="Times New Roman"/>
          <w:noProof/>
          <w:sz w:val="20"/>
        </w:rPr>
      </w:pPr>
      <w:r>
        <w:rPr>
          <w:rFonts w:cs="Times New Roman"/>
          <w:noProof/>
          <w:sz w:val="20"/>
        </w:rPr>
        <w:t>The Ministry for Agriculture, Food and Environment is implementing the National Strategy</w:t>
      </w:r>
      <w:r>
        <w:rPr>
          <w:rFonts w:cs="Times New Roman"/>
          <w:noProof/>
          <w:sz w:val="20"/>
        </w:rPr>
        <w:t xml:space="preserve"> for River Restoration, which connects Green Infrastructure to the Water Framework and Flood Directives and correlates positively with ecosystem service areas and green urban areas.</w:t>
      </w:r>
    </w:p>
    <w:p w:rsidR="00794EA4" w:rsidRDefault="0017531E">
      <w:pPr>
        <w:widowControl w:val="0"/>
        <w:spacing w:after="120" w:line="240" w:lineRule="auto"/>
        <w:jc w:val="both"/>
        <w:rPr>
          <w:rFonts w:cs="Times New Roman"/>
          <w:noProof/>
          <w:sz w:val="20"/>
        </w:rPr>
      </w:pPr>
      <w:r>
        <w:rPr>
          <w:rFonts w:cs="Times New Roman"/>
          <w:noProof/>
          <w:sz w:val="20"/>
        </w:rPr>
        <w:t>The Spanish Strategy for the Coastal Zones also relates to Green Infrastru</w:t>
      </w:r>
      <w:r>
        <w:rPr>
          <w:rFonts w:cs="Times New Roman"/>
          <w:noProof/>
          <w:sz w:val="20"/>
        </w:rPr>
        <w:t>cture through restoring physical functionality in the natural coastal zone and adapting to climate change.</w:t>
      </w:r>
    </w:p>
    <w:p w:rsidR="00794EA4" w:rsidRDefault="0017531E">
      <w:pPr>
        <w:widowControl w:val="0"/>
        <w:spacing w:after="120" w:line="240" w:lineRule="auto"/>
        <w:jc w:val="both"/>
        <w:rPr>
          <w:rFonts w:cs="Times New Roman"/>
          <w:noProof/>
          <w:sz w:val="20"/>
        </w:rPr>
      </w:pPr>
      <w:r>
        <w:rPr>
          <w:rFonts w:cs="Times New Roman"/>
          <w:noProof/>
          <w:sz w:val="20"/>
        </w:rPr>
        <w:t>The Spanish Strategic Plan for the conservation and rational use of the Wetlands promotes the restauration of wetlands that have been destroyed or de</w:t>
      </w:r>
      <w:r>
        <w:rPr>
          <w:rFonts w:cs="Times New Roman"/>
          <w:noProof/>
          <w:sz w:val="20"/>
        </w:rPr>
        <w:t>graded. Focus has also been given to the restoration of dunes and coastal habitats.</w:t>
      </w:r>
    </w:p>
    <w:p w:rsidR="00794EA4" w:rsidRDefault="0017531E">
      <w:pPr>
        <w:widowControl w:val="0"/>
        <w:spacing w:after="120" w:line="240" w:lineRule="auto"/>
        <w:jc w:val="both"/>
        <w:rPr>
          <w:rFonts w:cs="Times New Roman"/>
          <w:noProof/>
          <w:sz w:val="20"/>
        </w:rPr>
      </w:pPr>
      <w:r>
        <w:rPr>
          <w:rFonts w:cs="Times New Roman"/>
          <w:noProof/>
          <w:sz w:val="20"/>
        </w:rPr>
        <w:t>The national Plan of priority actions of hydrological-forestry restauration included in the Spanish Forestry Plan 2002-2030 sets a national plan for restoration of forestry</w:t>
      </w:r>
      <w:r>
        <w:rPr>
          <w:rFonts w:cs="Times New Roman"/>
          <w:noProof/>
          <w:sz w:val="20"/>
        </w:rPr>
        <w:t xml:space="preserve"> in Spain, with focus on restoration, conservation and enhancement of the forest ecosystem.</w:t>
      </w:r>
    </w:p>
    <w:p w:rsidR="00794EA4" w:rsidRDefault="0017531E">
      <w:pPr>
        <w:widowControl w:val="0"/>
        <w:autoSpaceDE w:val="0"/>
        <w:autoSpaceDN w:val="0"/>
        <w:adjustRightInd w:val="0"/>
        <w:spacing w:after="0" w:line="240" w:lineRule="auto"/>
        <w:jc w:val="both"/>
        <w:rPr>
          <w:rFonts w:cs="Times New Roman"/>
          <w:noProof/>
          <w:sz w:val="20"/>
          <w:szCs w:val="20"/>
        </w:rPr>
      </w:pPr>
      <w:r>
        <w:rPr>
          <w:rFonts w:cs="Times New Roman"/>
          <w:noProof/>
          <w:sz w:val="20"/>
          <w:szCs w:val="20"/>
        </w:rPr>
        <w:t>The main challenges of Green Infrastructure for the future include:</w:t>
      </w:r>
    </w:p>
    <w:p w:rsidR="00794EA4" w:rsidRDefault="0017531E">
      <w:pPr>
        <w:widowControl w:val="0"/>
        <w:numPr>
          <w:ilvl w:val="0"/>
          <w:numId w:val="27"/>
        </w:numPr>
        <w:autoSpaceDE w:val="0"/>
        <w:autoSpaceDN w:val="0"/>
        <w:adjustRightInd w:val="0"/>
        <w:spacing w:after="0" w:line="240" w:lineRule="auto"/>
        <w:contextualSpacing/>
        <w:jc w:val="both"/>
        <w:rPr>
          <w:rFonts w:cs="Times New Roman"/>
          <w:noProof/>
          <w:sz w:val="20"/>
          <w:szCs w:val="20"/>
        </w:rPr>
      </w:pPr>
      <w:r>
        <w:rPr>
          <w:rFonts w:cs="Times New Roman"/>
          <w:noProof/>
          <w:sz w:val="20"/>
          <w:szCs w:val="20"/>
        </w:rPr>
        <w:t xml:space="preserve">better integration of biodiversity into economic sectors, e.g., tourism, to promote the </w:t>
      </w:r>
      <w:r>
        <w:rPr>
          <w:rFonts w:cs="Times New Roman"/>
          <w:noProof/>
          <w:sz w:val="20"/>
          <w:szCs w:val="20"/>
        </w:rPr>
        <w:t>development of multifunctional Green Infrastructure areas;</w:t>
      </w:r>
    </w:p>
    <w:p w:rsidR="00794EA4" w:rsidRDefault="0017531E">
      <w:pPr>
        <w:widowControl w:val="0"/>
        <w:numPr>
          <w:ilvl w:val="0"/>
          <w:numId w:val="27"/>
        </w:numPr>
        <w:autoSpaceDE w:val="0"/>
        <w:autoSpaceDN w:val="0"/>
        <w:adjustRightInd w:val="0"/>
        <w:spacing w:after="0" w:line="240" w:lineRule="auto"/>
        <w:contextualSpacing/>
        <w:jc w:val="both"/>
        <w:rPr>
          <w:rFonts w:cs="Times New Roman"/>
          <w:noProof/>
          <w:sz w:val="20"/>
          <w:szCs w:val="20"/>
        </w:rPr>
      </w:pPr>
      <w:r>
        <w:rPr>
          <w:rFonts w:cs="Times New Roman"/>
          <w:noProof/>
          <w:sz w:val="20"/>
          <w:szCs w:val="20"/>
        </w:rPr>
        <w:t>integration of sustainable agriculture and a network of protected areas within broader production landscapes to promote the development of Multi-functional, Green Infrastructure areas;</w:t>
      </w:r>
    </w:p>
    <w:p w:rsidR="00794EA4" w:rsidRDefault="0017531E">
      <w:pPr>
        <w:widowControl w:val="0"/>
        <w:numPr>
          <w:ilvl w:val="0"/>
          <w:numId w:val="27"/>
        </w:numPr>
        <w:autoSpaceDE w:val="0"/>
        <w:autoSpaceDN w:val="0"/>
        <w:adjustRightInd w:val="0"/>
        <w:spacing w:after="120" w:line="240" w:lineRule="auto"/>
        <w:contextualSpacing/>
        <w:jc w:val="both"/>
        <w:rPr>
          <w:rFonts w:cs="Times New Roman"/>
          <w:noProof/>
          <w:sz w:val="20"/>
          <w:szCs w:val="20"/>
        </w:rPr>
      </w:pPr>
      <w:r>
        <w:rPr>
          <w:rFonts w:cs="Times New Roman"/>
          <w:noProof/>
          <w:sz w:val="20"/>
          <w:szCs w:val="20"/>
        </w:rPr>
        <w:t>further inte</w:t>
      </w:r>
      <w:r>
        <w:rPr>
          <w:rFonts w:cs="Times New Roman"/>
          <w:noProof/>
          <w:sz w:val="20"/>
          <w:szCs w:val="20"/>
        </w:rPr>
        <w:t>gration of the Green Infrastructure approach into landscape and urban planning processes;</w:t>
      </w:r>
    </w:p>
    <w:p w:rsidR="00794EA4" w:rsidRDefault="0017531E">
      <w:pPr>
        <w:widowControl w:val="0"/>
        <w:spacing w:before="240" w:after="120" w:line="240" w:lineRule="auto"/>
        <w:jc w:val="both"/>
        <w:rPr>
          <w:rFonts w:cs="Times New Roman"/>
          <w:noProof/>
          <w:sz w:val="20"/>
        </w:rPr>
      </w:pPr>
      <w:r>
        <w:rPr>
          <w:rFonts w:cs="Times New Roman"/>
          <w:noProof/>
          <w:sz w:val="20"/>
        </w:rPr>
        <w:t>One of the outstanding examples of Green Infrastructure development in the EU can be seen in the Basque capital of Vitoria-Gasteiz. In the 1990's the city authorities</w:t>
      </w:r>
      <w:r>
        <w:rPr>
          <w:rFonts w:cs="Times New Roman"/>
          <w:noProof/>
          <w:sz w:val="20"/>
        </w:rPr>
        <w:t xml:space="preserve"> started a project to restore and recover the outlying areas of the city, creating a Green-Belt: a group of peri-urban parks of high ecological and landscape value strategically linked by eco-recreational corridors. The development of Green Infrastructure </w:t>
      </w:r>
      <w:r>
        <w:rPr>
          <w:rFonts w:cs="Times New Roman"/>
          <w:noProof/>
          <w:sz w:val="20"/>
        </w:rPr>
        <w:t>in the city has generated significant economic (reduced risks of floods, tourism), social (better air quality and general wellbeing) and environmental (biodiversity) benefits.</w:t>
      </w:r>
    </w:p>
    <w:p w:rsidR="00794EA4" w:rsidRDefault="0017531E">
      <w:pPr>
        <w:widowControl w:val="0"/>
        <w:spacing w:after="360" w:line="240" w:lineRule="auto"/>
        <w:jc w:val="both"/>
        <w:rPr>
          <w:rFonts w:cs="Times New Roman"/>
          <w:noProof/>
          <w:sz w:val="20"/>
        </w:rPr>
      </w:pPr>
      <w:r>
        <w:rPr>
          <w:rFonts w:cs="Times New Roman"/>
          <w:noProof/>
          <w:sz w:val="20"/>
        </w:rPr>
        <w:t xml:space="preserve">It would be an important and positive step to complete, adopt and implement the </w:t>
      </w:r>
      <w:r>
        <w:rPr>
          <w:rFonts w:cs="Times New Roman"/>
          <w:noProof/>
          <w:sz w:val="20"/>
        </w:rPr>
        <w:t>Spanish national Strategy on Green Infrastructure, Connectivity and Ecological Restoration.</w:t>
      </w:r>
    </w:p>
    <w:p w:rsidR="00794EA4" w:rsidRDefault="0017531E">
      <w:pPr>
        <w:widowControl w:val="0"/>
        <w:spacing w:before="240" w:after="240" w:line="240" w:lineRule="auto"/>
        <w:outlineLvl w:val="1"/>
        <w:rPr>
          <w:rFonts w:cs="Times New Roman"/>
          <w:b/>
          <w:noProof/>
          <w:color w:val="1F497D" w:themeColor="text2"/>
          <w:sz w:val="24"/>
          <w:szCs w:val="24"/>
        </w:rPr>
      </w:pPr>
      <w:bookmarkStart w:id="26" w:name="_Toc469492816"/>
      <w:r>
        <w:rPr>
          <w:rFonts w:cs="Times New Roman"/>
          <w:b/>
          <w:noProof/>
          <w:color w:val="1F497D" w:themeColor="text2"/>
          <w:sz w:val="24"/>
          <w:szCs w:val="24"/>
        </w:rPr>
        <w:t>Soil protection</w:t>
      </w:r>
      <w:bookmarkEnd w:id="26"/>
      <w:r>
        <w:rPr>
          <w:rFonts w:cs="Times New Roman"/>
          <w:b/>
          <w:noProof/>
          <w:color w:val="1F497D" w:themeColor="text2"/>
          <w:sz w:val="24"/>
          <w:szCs w:val="24"/>
        </w:rPr>
        <w:t xml:space="preserve"> </w:t>
      </w:r>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Soil Thematic Strategy highlights the need to ensure a sustainable use of soils. This requires the prevention of further soil degradation </w:t>
      </w:r>
      <w:r>
        <w:rPr>
          <w:rFonts w:cs="Times New Roman"/>
          <w:noProof/>
          <w:color w:val="FFFFFF" w:themeColor="background1"/>
          <w:sz w:val="20"/>
        </w:rPr>
        <w:t>and the preservation of its functions, as well as the restoration of degraded soils. The 2011 Road Map for Resource-Efficient Europe, part of Europe 2020 Strategy provides that by 2020, EU policies take into account their direct and indirect impact on land</w:t>
      </w:r>
      <w:r>
        <w:rPr>
          <w:rFonts w:cs="Times New Roman"/>
          <w:noProof/>
          <w:color w:val="FFFFFF" w:themeColor="background1"/>
          <w:sz w:val="20"/>
        </w:rPr>
        <w:t xml:space="preserve"> use in the EU and globally, and the rate of land take is on track with an aim to achieve no net land take by 2050.</w:t>
      </w:r>
    </w:p>
    <w:p w:rsidR="00794EA4" w:rsidRDefault="0017531E">
      <w:pPr>
        <w:widowControl w:val="0"/>
        <w:shd w:val="clear" w:color="auto" w:fill="4F81BD"/>
        <w:suppressAutoHyphens/>
        <w:spacing w:after="120" w:line="240" w:lineRule="auto"/>
        <w:jc w:val="both"/>
        <w:rPr>
          <w:rFonts w:ascii="Calibri" w:eastAsia="Calibri" w:hAnsi="Calibri" w:cs="Times New Roman"/>
          <w:noProof/>
          <w:color w:val="FFFFFF"/>
          <w:sz w:val="20"/>
          <w:szCs w:val="20"/>
          <w:lang w:eastAsia="ar-SA"/>
        </w:rPr>
      </w:pPr>
      <w:r>
        <w:rPr>
          <w:rFonts w:ascii="Calibri" w:eastAsia="Calibri" w:hAnsi="Calibri" w:cs="Times New Roman"/>
          <w:noProof/>
          <w:color w:val="FFFFFF"/>
          <w:sz w:val="20"/>
          <w:lang w:eastAsia="ar-SA"/>
        </w:rPr>
        <w:t>SDG 15 requires countries to combat desertification, restore degraded land and soil, including land affected by desertification, drought and</w:t>
      </w:r>
      <w:r>
        <w:rPr>
          <w:rFonts w:ascii="Calibri" w:eastAsia="Calibri" w:hAnsi="Calibri" w:cs="Times New Roman"/>
          <w:noProof/>
          <w:color w:val="FFFFFF"/>
          <w:sz w:val="20"/>
          <w:lang w:eastAsia="ar-SA"/>
        </w:rPr>
        <w:t xml:space="preserve"> floods, and strive to achieve a land-degradation-neutral world by 2030.</w:t>
      </w:r>
    </w:p>
    <w:p w:rsidR="00794EA4" w:rsidRDefault="0017531E">
      <w:pPr>
        <w:widowControl w:val="0"/>
        <w:spacing w:before="240" w:after="120" w:line="240" w:lineRule="auto"/>
        <w:jc w:val="both"/>
        <w:rPr>
          <w:noProof/>
          <w:sz w:val="20"/>
          <w:lang w:eastAsia="en-GB"/>
        </w:rPr>
      </w:pPr>
      <w:r>
        <w:rPr>
          <w:noProof/>
          <w:sz w:val="20"/>
          <w:lang w:eastAsia="en-GB"/>
        </w:rPr>
        <w:t>Soil is an important resource for life and the economy. It provides key ecosystem services including the provision of food, fibre and biomass for renewable energy, carbon sequestratio</w:t>
      </w:r>
      <w:r>
        <w:rPr>
          <w:noProof/>
          <w:sz w:val="20"/>
          <w:lang w:eastAsia="en-GB"/>
        </w:rPr>
        <w:t>n, water purification and flood regulation, the provision of raw and building material. Soil is a finite and extremely fragile resource and increasingly degrading in the EU. Land taken by urban development and infrastructure is highly unlikely to be revert</w:t>
      </w:r>
      <w:r>
        <w:rPr>
          <w:noProof/>
          <w:sz w:val="20"/>
          <w:lang w:eastAsia="en-GB"/>
        </w:rPr>
        <w:t>ed to its natural state; it consumes mostly agricultural land and increases fragmentation of habitats. Soil protection is indirectly addressed in existing EU policies in areas such as agriculture, water, waste, chemicals, and prevention of industrial pollu</w:t>
      </w:r>
      <w:r>
        <w:rPr>
          <w:noProof/>
          <w:sz w:val="20"/>
          <w:lang w:eastAsia="en-GB"/>
        </w:rPr>
        <w:t>tion.</w:t>
      </w:r>
    </w:p>
    <w:p w:rsidR="00794EA4" w:rsidRDefault="0017531E">
      <w:pPr>
        <w:widowControl w:val="0"/>
        <w:spacing w:after="120" w:line="240" w:lineRule="auto"/>
        <w:jc w:val="both"/>
        <w:rPr>
          <w:rFonts w:cs="Times New Roman"/>
          <w:noProof/>
          <w:sz w:val="20"/>
        </w:rPr>
      </w:pPr>
      <w:r>
        <w:rPr>
          <w:rFonts w:cs="Times New Roman"/>
          <w:noProof/>
          <w:sz w:val="20"/>
        </w:rPr>
        <w:t>As in many EU countries the main threats to the soil in Spain include pollution, erosion, salinization and to a certain degree the loss of organic matter and biodiversity.</w:t>
      </w:r>
    </w:p>
    <w:p w:rsidR="00794EA4" w:rsidRDefault="0017531E">
      <w:pPr>
        <w:widowControl w:val="0"/>
        <w:spacing w:after="120" w:line="240" w:lineRule="auto"/>
        <w:jc w:val="both"/>
        <w:rPr>
          <w:rFonts w:cs="Times New Roman"/>
          <w:noProof/>
          <w:sz w:val="20"/>
        </w:rPr>
      </w:pPr>
      <w:r>
        <w:rPr>
          <w:rFonts w:cs="Times New Roman"/>
          <w:noProof/>
          <w:sz w:val="20"/>
        </w:rPr>
        <w:t>In 2005 it was regulated to identify those soils in which the presence of poll</w:t>
      </w:r>
      <w:r>
        <w:rPr>
          <w:rFonts w:cs="Times New Roman"/>
          <w:noProof/>
          <w:sz w:val="20"/>
        </w:rPr>
        <w:t>utants above certain levels may involve a risk to human health and terrestrial ecosystems. These soils have been included in a national inventory, implying obligations to decontaminate them. Thus, decontamination works have been carried out in more than 25</w:t>
      </w:r>
      <w:r>
        <w:rPr>
          <w:rFonts w:cs="Times New Roman"/>
          <w:noProof/>
          <w:sz w:val="20"/>
        </w:rPr>
        <w:t>0 sites, suggesting that most of these contaminations are related to industrial activities.</w:t>
      </w:r>
    </w:p>
    <w:p w:rsidR="00794EA4" w:rsidRDefault="0017531E">
      <w:pPr>
        <w:widowControl w:val="0"/>
        <w:spacing w:after="120" w:line="240" w:lineRule="auto"/>
        <w:jc w:val="both"/>
        <w:rPr>
          <w:rFonts w:cs="Times New Roman"/>
          <w:noProof/>
          <w:sz w:val="20"/>
        </w:rPr>
      </w:pPr>
      <w:r>
        <w:rPr>
          <w:rFonts w:cs="Times New Roman"/>
          <w:noProof/>
          <w:sz w:val="20"/>
        </w:rPr>
        <w:t>The National Inventory of Soil Erosion (INES) was produced to detect and quantify main erosion processes and threatened areas. INES also permits to assess time evol</w:t>
      </w:r>
      <w:r>
        <w:rPr>
          <w:rFonts w:cs="Times New Roman"/>
          <w:noProof/>
          <w:sz w:val="20"/>
        </w:rPr>
        <w:t xml:space="preserve">ution providing valuable information to design actions and priorities. Loss of soil by erosion has been estimated in a range of 5-25 t/ha. </w:t>
      </w:r>
    </w:p>
    <w:p w:rsidR="00794EA4" w:rsidRDefault="0017531E">
      <w:pPr>
        <w:widowControl w:val="0"/>
        <w:spacing w:after="120" w:line="240" w:lineRule="auto"/>
        <w:jc w:val="both"/>
        <w:rPr>
          <w:rFonts w:cs="Times New Roman"/>
          <w:noProof/>
          <w:sz w:val="20"/>
        </w:rPr>
      </w:pPr>
      <w:r>
        <w:rPr>
          <w:rFonts w:cs="Times New Roman"/>
          <w:noProof/>
          <w:sz w:val="20"/>
        </w:rPr>
        <w:t>Irrigation of agricultural soils poorly drained and under certain climatic conditions has led to the salinization of</w:t>
      </w:r>
      <w:r>
        <w:rPr>
          <w:rFonts w:cs="Times New Roman"/>
          <w:noProof/>
          <w:sz w:val="20"/>
        </w:rPr>
        <w:t xml:space="preserve"> considerable areas of land regardless of water quality. According to the available information, 3% of the irrigated lands would be seriously affected.</w:t>
      </w:r>
    </w:p>
    <w:p w:rsidR="00794EA4" w:rsidRDefault="0017531E">
      <w:pPr>
        <w:widowControl w:val="0"/>
        <w:spacing w:after="120" w:line="240" w:lineRule="auto"/>
        <w:jc w:val="both"/>
        <w:rPr>
          <w:rFonts w:cs="Times New Roman"/>
          <w:noProof/>
          <w:sz w:val="20"/>
        </w:rPr>
      </w:pPr>
      <w:r>
        <w:rPr>
          <w:rFonts w:cs="Times New Roman"/>
          <w:noProof/>
          <w:sz w:val="20"/>
        </w:rPr>
        <w:t>Figure 8 shows the different land cover types in Spain in 2012.</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c>
          <w:tcPr>
            <w:tcW w:w="4909" w:type="dxa"/>
          </w:tcPr>
          <w:p w:rsidR="00794EA4" w:rsidRDefault="0017531E">
            <w:pPr>
              <w:widowControl w:val="0"/>
              <w:spacing w:after="240"/>
              <w:jc w:val="both"/>
              <w:rPr>
                <w:rFonts w:cs="Times New Roman"/>
                <w:b/>
                <w:bCs/>
                <w:noProof/>
                <w:color w:val="1F497D" w:themeColor="text2"/>
                <w:sz w:val="20"/>
              </w:rPr>
            </w:pPr>
            <w:r>
              <w:rPr>
                <w:rFonts w:cs="Times New Roman"/>
                <w:b/>
                <w:bCs/>
                <w:noProof/>
                <w:color w:val="1F497D" w:themeColor="text2"/>
                <w:sz w:val="20"/>
              </w:rPr>
              <w:t xml:space="preserve">Figure 8: Land Cover types in Spain in </w:t>
            </w:r>
            <w:r>
              <w:rPr>
                <w:rFonts w:cs="Times New Roman"/>
                <w:b/>
                <w:bCs/>
                <w:noProof/>
                <w:color w:val="1F497D" w:themeColor="text2"/>
                <w:sz w:val="20"/>
              </w:rPr>
              <w:t>2012</w:t>
            </w:r>
            <w:r>
              <w:rPr>
                <w:rFonts w:cs="Times New Roman"/>
                <w:b/>
                <w:bCs/>
                <w:noProof/>
                <w:color w:val="1F497D" w:themeColor="text2"/>
                <w:sz w:val="20"/>
                <w:vertAlign w:val="superscript"/>
              </w:rPr>
              <w:footnoteReference w:id="46"/>
            </w:r>
          </w:p>
        </w:tc>
      </w:tr>
      <w:tr w:rsidR="00794EA4">
        <w:tc>
          <w:tcPr>
            <w:tcW w:w="4909" w:type="dxa"/>
          </w:tcPr>
          <w:p w:rsidR="00794EA4" w:rsidRDefault="0017531E">
            <w:pPr>
              <w:widowControl w:val="0"/>
              <w:spacing w:after="120"/>
              <w:jc w:val="both"/>
              <w:rPr>
                <w:rFonts w:cs="Times New Roman"/>
                <w:noProof/>
                <w:sz w:val="20"/>
              </w:rPr>
            </w:pPr>
            <w:r>
              <w:rPr>
                <w:rFonts w:ascii="Arial" w:hAnsi="Arial" w:cs="Arial"/>
                <w:noProof/>
                <w:sz w:val="20"/>
                <w:szCs w:val="20"/>
                <w:lang w:eastAsia="en-GB"/>
              </w:rPr>
              <w:drawing>
                <wp:inline distT="0" distB="0" distL="0" distR="0" wp14:anchorId="420BAA1F" wp14:editId="548A44FF">
                  <wp:extent cx="3062605" cy="3648710"/>
                  <wp:effectExtent l="0" t="0" r="4445" b="8890"/>
                  <wp:docPr id="30" name="Picture 30" descr="ES_CS_CLC_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_CS_CLC_typ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62605" cy="3648710"/>
                          </a:xfrm>
                          <a:prstGeom prst="rect">
                            <a:avLst/>
                          </a:prstGeom>
                          <a:noFill/>
                          <a:ln>
                            <a:noFill/>
                          </a:ln>
                        </pic:spPr>
                      </pic:pic>
                    </a:graphicData>
                  </a:graphic>
                </wp:inline>
              </w:drawing>
            </w:r>
          </w:p>
        </w:tc>
      </w:tr>
    </w:tbl>
    <w:p w:rsidR="00794EA4" w:rsidRDefault="0017531E">
      <w:pPr>
        <w:spacing w:before="240" w:after="120" w:line="240" w:lineRule="auto"/>
        <w:jc w:val="both"/>
        <w:rPr>
          <w:rFonts w:cs="Times New Roman"/>
          <w:noProof/>
          <w:sz w:val="20"/>
        </w:rPr>
      </w:pPr>
      <w:bookmarkStart w:id="27" w:name="_Toc433296162"/>
      <w:bookmarkEnd w:id="24"/>
      <w:r>
        <w:rPr>
          <w:rFonts w:cs="Times New Roman"/>
          <w:noProof/>
          <w:sz w:val="20"/>
        </w:rPr>
        <w:t>Artificial land cover is used for settlements, production systems and infrastructure. It may itself be split between built-up areas (buildings) and non-built-up areas (such as linear transport networks and associated areas).</w:t>
      </w:r>
    </w:p>
    <w:p w:rsidR="00794EA4" w:rsidRDefault="0017531E">
      <w:pPr>
        <w:spacing w:after="120" w:line="240" w:lineRule="auto"/>
        <w:jc w:val="both"/>
        <w:rPr>
          <w:rFonts w:cs="Times New Roman"/>
          <w:noProof/>
          <w:sz w:val="20"/>
          <w:szCs w:val="20"/>
        </w:rPr>
      </w:pPr>
      <w:r>
        <w:rPr>
          <w:rFonts w:cs="Times New Roman"/>
          <w:noProof/>
          <w:sz w:val="20"/>
          <w:szCs w:val="20"/>
        </w:rPr>
        <w:t xml:space="preserve">The annual land take </w:t>
      </w:r>
      <w:r>
        <w:rPr>
          <w:rFonts w:cs="Times New Roman"/>
          <w:noProof/>
          <w:sz w:val="20"/>
          <w:szCs w:val="20"/>
        </w:rPr>
        <w:t>rate (growth of artificial areas) as provided by CORINE Land Cover was 1.48% in Spain over the period 2006-12, the highest in the EU (EU average 0.41%). It represented 18,298 hectares per year</w:t>
      </w:r>
      <w:r>
        <w:rPr>
          <w:rFonts w:cs="Times New Roman"/>
          <w:noProof/>
          <w:sz w:val="20"/>
          <w:szCs w:val="20"/>
          <w:vertAlign w:val="superscript"/>
        </w:rPr>
        <w:footnoteReference w:id="47"/>
      </w:r>
      <w:r>
        <w:rPr>
          <w:rFonts w:cs="Times New Roman"/>
          <w:noProof/>
          <w:sz w:val="20"/>
          <w:szCs w:val="20"/>
        </w:rPr>
        <w:t xml:space="preserve"> and was mainly driven by housing, services and recreation as w</w:t>
      </w:r>
      <w:r>
        <w:rPr>
          <w:rFonts w:cs="Times New Roman"/>
          <w:noProof/>
          <w:sz w:val="20"/>
          <w:szCs w:val="20"/>
        </w:rPr>
        <w:t>ell as industrial and commercial sites.</w:t>
      </w:r>
    </w:p>
    <w:p w:rsidR="00794EA4" w:rsidRDefault="0017531E">
      <w:pPr>
        <w:widowControl w:val="0"/>
        <w:spacing w:after="120" w:line="240" w:lineRule="auto"/>
        <w:jc w:val="both"/>
        <w:rPr>
          <w:rFonts w:cs="Times New Roman"/>
          <w:noProof/>
          <w:sz w:val="20"/>
          <w:szCs w:val="20"/>
        </w:rPr>
      </w:pPr>
      <w:r>
        <w:rPr>
          <w:rFonts w:cs="Times New Roman"/>
          <w:noProof/>
          <w:sz w:val="20"/>
          <w:szCs w:val="20"/>
        </w:rPr>
        <w:t>As the OECD highlights, important environmental pressures remain in Spain driven by land conversion during the construction boom of the early 2000s and the population increase which has been significant in some coast</w:t>
      </w:r>
      <w:r>
        <w:rPr>
          <w:rFonts w:cs="Times New Roman"/>
          <w:noProof/>
          <w:sz w:val="20"/>
          <w:szCs w:val="20"/>
        </w:rPr>
        <w:t>al areas</w:t>
      </w:r>
      <w:r>
        <w:rPr>
          <w:rStyle w:val="FootnoteReference"/>
          <w:rFonts w:cs="Times New Roman"/>
          <w:noProof/>
          <w:sz w:val="20"/>
          <w:szCs w:val="20"/>
        </w:rPr>
        <w:footnoteReference w:id="48"/>
      </w:r>
      <w:r>
        <w:rPr>
          <w:rFonts w:cs="Times New Roman"/>
          <w:noProof/>
          <w:sz w:val="20"/>
          <w:szCs w:val="20"/>
        </w:rPr>
        <w:t>.</w:t>
      </w:r>
    </w:p>
    <w:p w:rsidR="00794EA4" w:rsidRDefault="0017531E">
      <w:pPr>
        <w:widowControl w:val="0"/>
        <w:spacing w:after="120" w:line="240" w:lineRule="auto"/>
        <w:jc w:val="both"/>
        <w:rPr>
          <w:rFonts w:cs="Times New Roman"/>
          <w:noProof/>
          <w:sz w:val="20"/>
          <w:szCs w:val="20"/>
        </w:rPr>
      </w:pPr>
      <w:r>
        <w:rPr>
          <w:rFonts w:cs="Times New Roman"/>
          <w:noProof/>
          <w:sz w:val="20"/>
          <w:szCs w:val="20"/>
        </w:rPr>
        <w:t xml:space="preserve">The soil water erosion rate in 2010 was </w:t>
      </w:r>
      <w:r>
        <w:rPr>
          <w:rFonts w:cs="Times New Roman"/>
          <w:noProof/>
          <w:sz w:val="20"/>
        </w:rPr>
        <w:t>3.94</w:t>
      </w:r>
      <w:r>
        <w:rPr>
          <w:rFonts w:cs="Times New Roman"/>
          <w:noProof/>
          <w:sz w:val="20"/>
          <w:szCs w:val="20"/>
        </w:rPr>
        <w:t xml:space="preserve"> tonnes per ha per year, </w:t>
      </w:r>
      <w:r>
        <w:rPr>
          <w:rFonts w:cs="Times New Roman"/>
          <w:noProof/>
          <w:sz w:val="20"/>
        </w:rPr>
        <w:t>above</w:t>
      </w:r>
      <w:r>
        <w:rPr>
          <w:rFonts w:cs="Times New Roman"/>
          <w:noProof/>
          <w:sz w:val="20"/>
          <w:szCs w:val="20"/>
        </w:rPr>
        <w:t xml:space="preserve"> EU-28 average (2.46 tonnes)</w:t>
      </w:r>
      <w:r>
        <w:rPr>
          <w:rFonts w:cs="Times New Roman"/>
          <w:noProof/>
          <w:sz w:val="20"/>
          <w:szCs w:val="20"/>
          <w:vertAlign w:val="superscript"/>
        </w:rPr>
        <w:footnoteReference w:id="49"/>
      </w:r>
      <w:r>
        <w:rPr>
          <w:rFonts w:cs="Times New Roman"/>
          <w:noProof/>
          <w:sz w:val="20"/>
          <w:szCs w:val="20"/>
        </w:rPr>
        <w:t>.</w:t>
      </w:r>
    </w:p>
    <w:p w:rsidR="00794EA4" w:rsidRDefault="0017531E">
      <w:pPr>
        <w:spacing w:after="120" w:line="240" w:lineRule="auto"/>
        <w:jc w:val="both"/>
        <w:rPr>
          <w:rFonts w:cs="Times New Roman"/>
          <w:noProof/>
          <w:sz w:val="20"/>
          <w:lang w:eastAsia="en-GB"/>
        </w:rPr>
      </w:pPr>
      <w:r>
        <w:rPr>
          <w:rFonts w:cs="Times New Roman"/>
          <w:noProof/>
          <w:sz w:val="20"/>
          <w:lang w:eastAsia="en-GB"/>
        </w:rPr>
        <w:t>There are still not EU-wide datasets enabling the provision of benchmark indicators for soil organic matter decline, contaminated sites, pre</w:t>
      </w:r>
      <w:r>
        <w:rPr>
          <w:rFonts w:cs="Times New Roman"/>
          <w:noProof/>
          <w:sz w:val="20"/>
          <w:lang w:eastAsia="en-GB"/>
        </w:rPr>
        <w:t>ssures on soil biology and diffuse pollution.</w:t>
      </w:r>
    </w:p>
    <w:p w:rsidR="00794EA4" w:rsidRDefault="0017531E">
      <w:pPr>
        <w:widowControl w:val="0"/>
        <w:spacing w:after="360" w:line="240" w:lineRule="auto"/>
        <w:jc w:val="both"/>
        <w:rPr>
          <w:rFonts w:cs="Times New Roman"/>
          <w:noProof/>
          <w:sz w:val="20"/>
          <w:szCs w:val="20"/>
        </w:rPr>
      </w:pPr>
      <w:r>
        <w:rPr>
          <w:rFonts w:cs="Times New Roman"/>
          <w:noProof/>
          <w:sz w:val="20"/>
        </w:rPr>
        <w:t>An updated inventory and assessment of soil protection policy instruments in Spain and other EU Member States is being performed by the EU Expert Group on Soil Protection.</w:t>
      </w:r>
    </w:p>
    <w:p w:rsidR="00794EA4" w:rsidRDefault="0017531E">
      <w:pPr>
        <w:widowControl w:val="0"/>
        <w:spacing w:after="240" w:line="240" w:lineRule="auto"/>
        <w:outlineLvl w:val="1"/>
        <w:rPr>
          <w:rFonts w:cs="Times New Roman"/>
          <w:b/>
          <w:noProof/>
          <w:color w:val="1F497D" w:themeColor="text2"/>
          <w:sz w:val="24"/>
          <w:szCs w:val="24"/>
        </w:rPr>
      </w:pPr>
      <w:bookmarkStart w:id="28" w:name="_Toc469492817"/>
      <w:r>
        <w:rPr>
          <w:rFonts w:cs="Times New Roman"/>
          <w:b/>
          <w:noProof/>
          <w:color w:val="1F497D" w:themeColor="text2"/>
          <w:sz w:val="24"/>
          <w:szCs w:val="24"/>
        </w:rPr>
        <w:t>Marine protection</w:t>
      </w:r>
      <w:bookmarkEnd w:id="28"/>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Coastal and </w:t>
      </w:r>
      <w:r>
        <w:rPr>
          <w:rFonts w:cs="Times New Roman"/>
          <w:noProof/>
          <w:color w:val="FFFFFF" w:themeColor="background1"/>
          <w:sz w:val="20"/>
        </w:rPr>
        <w:t>Marine Policy and legislation require that by 2020 the impact of pressures on marine waters is reduced to achieve or maintain good environmental status and coastal zones are managed sustainably.</w:t>
      </w:r>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SDG 14 requires countries to conserve and sustainably use the</w:t>
      </w:r>
      <w:r>
        <w:rPr>
          <w:rFonts w:cs="Times New Roman"/>
          <w:noProof/>
          <w:color w:val="FFFFFF" w:themeColor="background1"/>
          <w:sz w:val="20"/>
        </w:rPr>
        <w:t xml:space="preserve"> oceans, seas and marine resources for sustainable development.</w:t>
      </w:r>
    </w:p>
    <w:p w:rsidR="00794EA4" w:rsidRDefault="0017531E">
      <w:pPr>
        <w:widowControl w:val="0"/>
        <w:spacing w:before="240" w:after="120" w:line="240" w:lineRule="auto"/>
        <w:jc w:val="both"/>
        <w:rPr>
          <w:noProof/>
          <w:sz w:val="20"/>
        </w:rPr>
      </w:pPr>
      <w:r>
        <w:rPr>
          <w:noProof/>
          <w:sz w:val="20"/>
        </w:rPr>
        <w:t>The Marine Strategy Framework Directive (MSFD)</w:t>
      </w:r>
      <w:r>
        <w:rPr>
          <w:rFonts w:cs="Times New Roman"/>
          <w:noProof/>
          <w:sz w:val="20"/>
          <w:vertAlign w:val="superscript"/>
        </w:rPr>
        <w:footnoteReference w:id="50"/>
      </w:r>
      <w:r>
        <w:rPr>
          <w:noProof/>
          <w:sz w:val="20"/>
        </w:rPr>
        <w:t xml:space="preserve"> aims to achieve Good Environmental Status (GES) of the EU's marine waters by 2020 by</w:t>
      </w:r>
      <w:r>
        <w:rPr>
          <w:noProof/>
          <w:sz w:val="20"/>
          <w:lang w:val="en"/>
        </w:rPr>
        <w:t xml:space="preserve"> providing an ecosystem approach to the management of human </w:t>
      </w:r>
      <w:r>
        <w:rPr>
          <w:noProof/>
          <w:sz w:val="20"/>
          <w:lang w:val="en"/>
        </w:rPr>
        <w:t>activities with impact on the marine environment</w:t>
      </w:r>
      <w:r>
        <w:rPr>
          <w:noProof/>
          <w:sz w:val="20"/>
        </w:rPr>
        <w:t>. The Directive requires Member States to develop and implement a marine strategy for their marine waters, and cooperate with Member States sharing the same marine region or subregion.</w:t>
      </w:r>
    </w:p>
    <w:p w:rsidR="00794EA4" w:rsidRDefault="0017531E">
      <w:pPr>
        <w:widowControl w:val="0"/>
        <w:spacing w:after="120" w:line="240" w:lineRule="auto"/>
        <w:jc w:val="both"/>
        <w:rPr>
          <w:rFonts w:cs="Times New Roman"/>
          <w:noProof/>
          <w:sz w:val="20"/>
        </w:rPr>
      </w:pPr>
      <w:r>
        <w:rPr>
          <w:rFonts w:cs="Times New Roman"/>
          <w:noProof/>
          <w:sz w:val="20"/>
        </w:rPr>
        <w:t>As part of their marine</w:t>
      </w:r>
      <w:r>
        <w:rPr>
          <w:rFonts w:cs="Times New Roman"/>
          <w:noProof/>
          <w:sz w:val="20"/>
        </w:rPr>
        <w:t xml:space="preserve"> strategies, Member States had to make an initial assessment of their marine waters, determine GES</w:t>
      </w:r>
      <w:r>
        <w:rPr>
          <w:rFonts w:cs="Times New Roman"/>
          <w:noProof/>
          <w:sz w:val="20"/>
          <w:vertAlign w:val="superscript"/>
        </w:rPr>
        <w:footnoteReference w:id="51"/>
      </w:r>
      <w:r>
        <w:rPr>
          <w:rFonts w:cs="Times New Roman"/>
          <w:noProof/>
          <w:sz w:val="20"/>
        </w:rPr>
        <w:t xml:space="preserve"> and establish environmental targets by July 2012. They also had to establish monitoring programmes for the on-going assessment of their marine waters by Jul</w:t>
      </w:r>
      <w:r>
        <w:rPr>
          <w:rFonts w:cs="Times New Roman"/>
          <w:noProof/>
          <w:sz w:val="20"/>
        </w:rPr>
        <w:t>y 2014. The next element of their marine strategy is to establish a Programme of Measures (2016). The Commission assesses whether these elements constitute an appropriate framework to meet the requirements of the MSFD.</w:t>
      </w:r>
    </w:p>
    <w:p w:rsidR="00794EA4" w:rsidRDefault="0017531E">
      <w:pPr>
        <w:widowControl w:val="0"/>
        <w:spacing w:after="120" w:line="240" w:lineRule="auto"/>
        <w:jc w:val="both"/>
        <w:rPr>
          <w:rFonts w:eastAsia="Times New Roman" w:cs="Times New Roman"/>
          <w:noProof/>
          <w:sz w:val="20"/>
        </w:rPr>
      </w:pPr>
      <w:r>
        <w:rPr>
          <w:rFonts w:cs="Times New Roman"/>
          <w:noProof/>
          <w:sz w:val="20"/>
        </w:rPr>
        <w:t>Spanish marine waters are part of two</w:t>
      </w:r>
      <w:r>
        <w:rPr>
          <w:rFonts w:cs="Times New Roman"/>
          <w:noProof/>
          <w:sz w:val="20"/>
        </w:rPr>
        <w:t xml:space="preserve"> marine regions: the North-East Atlantic (covering several subregions: the Bay of Biscay and the Iberian coast and Macaronesia for the Canaries islands) and the Mediterranean Sea. Spain is therefore party to both the Convention for the Protection of the Ma</w:t>
      </w:r>
      <w:r>
        <w:rPr>
          <w:rFonts w:cs="Times New Roman"/>
          <w:noProof/>
          <w:sz w:val="20"/>
        </w:rPr>
        <w:t xml:space="preserve">rine Environment and the Coastal Region of the Mediterranean (Barcelona Convention) and the Convention for the protection of the marine environment of the North-East Atlantic (OSPAR Convention). In the open ocean areas of the Atlantic, the main threats to </w:t>
      </w:r>
      <w:r>
        <w:rPr>
          <w:rFonts w:cs="Times New Roman"/>
          <w:noProof/>
          <w:sz w:val="20"/>
        </w:rPr>
        <w:t xml:space="preserve">biodiversity are potentially overfishing, bottom trawling, discards, and pollution resulting from accidents (e.g. oil spills). </w:t>
      </w:r>
      <w:r>
        <w:rPr>
          <w:rFonts w:eastAsia="Times New Roman" w:cs="Times New Roman"/>
          <w:noProof/>
          <w:sz w:val="20"/>
        </w:rPr>
        <w:t>The Mediterranean Sea region has been identified by the EEA in its 2015 State of the Environment report as one of the main climat</w:t>
      </w:r>
      <w:r>
        <w:rPr>
          <w:rFonts w:eastAsia="Times New Roman" w:cs="Times New Roman"/>
          <w:noProof/>
          <w:sz w:val="20"/>
        </w:rPr>
        <w:t>e change hotspots (i.e. one of the areas most responsive to climate change). The biodiversity of the Mediterranean Sea Region is also threatened by pollution from land-based sources such as discharges of excess nutrients and hazardous substances, marine li</w:t>
      </w:r>
      <w:r>
        <w:rPr>
          <w:rFonts w:eastAsia="Times New Roman" w:cs="Times New Roman"/>
          <w:noProof/>
          <w:sz w:val="20"/>
        </w:rPr>
        <w:t>tter, over-fishing, and degradation of critical habitats.</w:t>
      </w:r>
    </w:p>
    <w:p w:rsidR="00794EA4" w:rsidRDefault="0017531E">
      <w:pPr>
        <w:widowControl w:val="0"/>
        <w:spacing w:after="240" w:line="240" w:lineRule="auto"/>
        <w:jc w:val="both"/>
        <w:rPr>
          <w:rFonts w:cs="Times New Roman"/>
          <w:noProof/>
          <w:sz w:val="20"/>
          <w:szCs w:val="20"/>
        </w:rPr>
      </w:pPr>
      <w:r>
        <w:rPr>
          <w:rFonts w:cs="Times New Roman"/>
          <w:noProof/>
          <w:sz w:val="20"/>
        </w:rPr>
        <w:t>With regards to the specificities of implementation of the MSFD</w:t>
      </w:r>
      <w:r>
        <w:rPr>
          <w:rFonts w:cs="Times New Roman"/>
          <w:noProof/>
          <w:sz w:val="20"/>
          <w:lang w:val="en-US"/>
        </w:rPr>
        <w:t>,</w:t>
      </w:r>
      <w:r>
        <w:rPr>
          <w:rFonts w:cs="Times New Roman"/>
          <w:noProof/>
          <w:sz w:val="20"/>
        </w:rPr>
        <w:t xml:space="preserve"> in 2012, Spain reported on</w:t>
      </w:r>
      <w:r>
        <w:rPr>
          <w:rFonts w:cs="Times New Roman"/>
          <w:noProof/>
          <w:sz w:val="20"/>
          <w:lang w:val="en-US"/>
        </w:rPr>
        <w:t xml:space="preserve"> its determination of GES often in a very detailed manner. Strong links were created with existing EU and R</w:t>
      </w:r>
      <w:r>
        <w:rPr>
          <w:rFonts w:cs="Times New Roman"/>
          <w:noProof/>
          <w:sz w:val="20"/>
          <w:lang w:val="en-US"/>
        </w:rPr>
        <w:t>egional Sea Conventions standards. Spain assessed the state of its marine waters in a comprehensive manner identifying almost all pressures on its marine environment. However, there are a few aspects which merit further attention, such as the aggregation o</w:t>
      </w:r>
      <w:r>
        <w:rPr>
          <w:rFonts w:cs="Times New Roman"/>
          <w:noProof/>
          <w:sz w:val="20"/>
          <w:lang w:val="en-US"/>
        </w:rPr>
        <w:t>f GES for the different species, habitats and ecosystems was not defined. For certain descriptors, threshold values or baselines were missing and some lacked specifications</w:t>
      </w:r>
      <w:r>
        <w:rPr>
          <w:rFonts w:cs="Times New Roman"/>
          <w:noProof/>
          <w:sz w:val="20"/>
          <w:vertAlign w:val="superscript"/>
          <w:lang w:val="en-US"/>
        </w:rPr>
        <w:footnoteReference w:id="52"/>
      </w:r>
      <w:r>
        <w:rPr>
          <w:rFonts w:cs="Times New Roman"/>
          <w:noProof/>
          <w:sz w:val="20"/>
          <w:lang w:val="en-US"/>
        </w:rPr>
        <w:t>.</w:t>
      </w:r>
      <w:r>
        <w:rPr>
          <w:rFonts w:cs="Times New Roman"/>
          <w:noProof/>
          <w:sz w:val="20"/>
          <w:szCs w:val="20"/>
        </w:rPr>
        <w:t xml:space="preserve"> It is therefore too early to say whether Spain waters are in good status.</w:t>
      </w:r>
    </w:p>
    <w:p w:rsidR="00794EA4" w:rsidRDefault="0017531E">
      <w:pPr>
        <w:widowControl w:val="0"/>
        <w:spacing w:after="120" w:line="240" w:lineRule="auto"/>
        <w:jc w:val="both"/>
        <w:rPr>
          <w:rFonts w:cs="Times New Roman"/>
          <w:noProof/>
          <w:sz w:val="20"/>
          <w:szCs w:val="20"/>
        </w:rPr>
      </w:pPr>
      <w:r>
        <w:rPr>
          <w:rFonts w:cs="Times New Roman"/>
          <w:noProof/>
          <w:sz w:val="20"/>
          <w:lang w:eastAsia="en-GB"/>
        </w:rPr>
        <w:drawing>
          <wp:inline distT="0" distB="0" distL="0" distR="0" wp14:anchorId="5785CD64" wp14:editId="43255E9A">
            <wp:extent cx="2980055" cy="1995588"/>
            <wp:effectExtent l="0" t="0" r="0" b="5080"/>
            <wp:docPr id="31" name="Picture 31" descr="P:\ENV-E2\1. ENV IMPLEMENTATION REVIEW\EIR Data management\Pictures\LIFE pictures\Pictures_by_Country2\Spain\LIFE07_NAT_E_000732_OCEANA_Juan_Cuetos(Tortuga_B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V-E2\1. ENV IMPLEMENTATION REVIEW\EIR Data management\Pictures\LIFE pictures\Pictures_by_Country2\Spain\LIFE07_NAT_E_000732_OCEANA_Juan_Cuetos(Tortuga_Boba).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80055" cy="1995588"/>
                    </a:xfrm>
                    <a:prstGeom prst="rect">
                      <a:avLst/>
                    </a:prstGeom>
                    <a:noFill/>
                    <a:ln>
                      <a:noFill/>
                    </a:ln>
                  </pic:spPr>
                </pic:pic>
              </a:graphicData>
            </a:graphic>
          </wp:inline>
        </w:drawing>
      </w:r>
    </w:p>
    <w:p w:rsidR="00794EA4" w:rsidRDefault="0017531E">
      <w:pPr>
        <w:widowControl w:val="0"/>
        <w:spacing w:before="240" w:after="120" w:line="240" w:lineRule="auto"/>
        <w:jc w:val="both"/>
        <w:rPr>
          <w:rFonts w:cs="Times New Roman"/>
          <w:noProof/>
          <w:sz w:val="20"/>
          <w:szCs w:val="20"/>
        </w:rPr>
      </w:pPr>
      <w:r>
        <w:rPr>
          <w:rFonts w:cs="Times New Roman"/>
          <w:noProof/>
          <w:sz w:val="20"/>
          <w:szCs w:val="20"/>
        </w:rPr>
        <w:t>Spain</w:t>
      </w:r>
      <w:r>
        <w:rPr>
          <w:rFonts w:cs="Times New Roman"/>
          <w:noProof/>
          <w:sz w:val="20"/>
          <w:szCs w:val="20"/>
        </w:rPr>
        <w:t xml:space="preserve"> established a monitoring programme of its marine waters in 2014. However it seems that its monitoring sub-programme for biodiversity, non-indigenous species, contaminants in seafood, marine litter and underwater noise need further refinement to constitute</w:t>
      </w:r>
      <w:r>
        <w:rPr>
          <w:rFonts w:cs="Times New Roman"/>
          <w:noProof/>
          <w:sz w:val="20"/>
          <w:szCs w:val="20"/>
        </w:rPr>
        <w:t xml:space="preserve"> an appropriate framework to monitor progress towards GES, especially since full coverage for those descriptors will not be in place before 2020</w:t>
      </w:r>
      <w:r>
        <w:rPr>
          <w:rFonts w:cs="Times New Roman"/>
          <w:noProof/>
          <w:sz w:val="20"/>
          <w:szCs w:val="20"/>
          <w:vertAlign w:val="superscript"/>
        </w:rPr>
        <w:footnoteReference w:id="53"/>
      </w:r>
      <w:r>
        <w:rPr>
          <w:rFonts w:cs="Times New Roman"/>
          <w:noProof/>
          <w:sz w:val="20"/>
          <w:szCs w:val="20"/>
        </w:rPr>
        <w:t>.</w:t>
      </w:r>
    </w:p>
    <w:p w:rsidR="00794EA4" w:rsidRDefault="0017531E">
      <w:pPr>
        <w:widowControl w:val="0"/>
        <w:spacing w:after="120" w:line="240" w:lineRule="auto"/>
        <w:jc w:val="both"/>
        <w:rPr>
          <w:rFonts w:eastAsia="Times New Roman" w:cs="Times New Roman"/>
          <w:noProof/>
          <w:sz w:val="20"/>
          <w:szCs w:val="20"/>
          <w:lang w:eastAsia="en-GB"/>
        </w:rPr>
      </w:pPr>
      <w:r>
        <w:rPr>
          <w:rFonts w:cs="Times New Roman"/>
          <w:noProof/>
          <w:sz w:val="20"/>
        </w:rPr>
        <w:t xml:space="preserve">In 2012 Spanish marine protected areas covered </w:t>
      </w:r>
      <w:r>
        <w:rPr>
          <w:rFonts w:eastAsia="Times New Roman" w:cs="Times New Roman"/>
          <w:noProof/>
          <w:sz w:val="20"/>
          <w:szCs w:val="20"/>
          <w:lang w:eastAsia="en-GB"/>
        </w:rPr>
        <w:t>11515</w:t>
      </w:r>
      <w:r>
        <w:rPr>
          <w:rFonts w:eastAsia="Times New Roman" w:cs="Times New Roman"/>
          <w:noProof/>
          <w:color w:val="000000"/>
          <w:sz w:val="20"/>
          <w:szCs w:val="20"/>
          <w:lang w:eastAsia="en-GB"/>
        </w:rPr>
        <w:t xml:space="preserve">.5 km². More specifically, 3735.01 km² of the 0-1 nm zone, 5242.84 km² of the 1-12 nm zone and 2537.67 km² of the 12- end of assessment area zone were covered by </w:t>
      </w:r>
      <w:r>
        <w:rPr>
          <w:rFonts w:eastAsia="Times New Roman" w:cs="Times New Roman"/>
          <w:noProof/>
          <w:sz w:val="20"/>
          <w:szCs w:val="20"/>
          <w:lang w:eastAsia="en-GB"/>
        </w:rPr>
        <w:t>MPAs</w:t>
      </w:r>
      <w:r>
        <w:rPr>
          <w:rFonts w:eastAsia="Times New Roman" w:cs="Times New Roman"/>
          <w:noProof/>
          <w:sz w:val="20"/>
          <w:szCs w:val="20"/>
          <w:vertAlign w:val="superscript"/>
          <w:lang w:eastAsia="en-GB"/>
        </w:rPr>
        <w:footnoteReference w:id="54"/>
      </w:r>
      <w:r>
        <w:rPr>
          <w:rFonts w:eastAsia="Times New Roman" w:cs="Times New Roman"/>
          <w:noProof/>
          <w:sz w:val="20"/>
          <w:szCs w:val="20"/>
          <w:lang w:eastAsia="en-GB"/>
        </w:rPr>
        <w:t>.</w:t>
      </w:r>
    </w:p>
    <w:p w:rsidR="00794EA4" w:rsidRDefault="0017531E">
      <w:pPr>
        <w:widowControl w:val="0"/>
        <w:spacing w:after="240" w:line="240" w:lineRule="auto"/>
        <w:jc w:val="both"/>
        <w:rPr>
          <w:rFonts w:cs="Times New Roman"/>
          <w:noProof/>
          <w:sz w:val="20"/>
        </w:rPr>
      </w:pPr>
      <w:r>
        <w:rPr>
          <w:rFonts w:cs="Times New Roman"/>
          <w:noProof/>
          <w:sz w:val="20"/>
        </w:rPr>
        <w:t>The Commission's report on the implementation of the MSFD</w:t>
      </w:r>
      <w:r>
        <w:rPr>
          <w:rFonts w:cs="Times New Roman"/>
          <w:noProof/>
          <w:sz w:val="20"/>
          <w:vertAlign w:val="superscript"/>
        </w:rPr>
        <w:footnoteReference w:id="55"/>
      </w:r>
      <w:r>
        <w:rPr>
          <w:rFonts w:cs="Times New Roman"/>
          <w:noProof/>
          <w:sz w:val="20"/>
        </w:rPr>
        <w:t xml:space="preserve"> provides guidance to assist </w:t>
      </w:r>
      <w:r>
        <w:rPr>
          <w:rFonts w:cs="Times New Roman"/>
          <w:noProof/>
          <w:sz w:val="20"/>
        </w:rPr>
        <w:t>Spain.</w:t>
      </w:r>
    </w:p>
    <w:p w:rsidR="00794EA4" w:rsidRDefault="0017531E">
      <w:pPr>
        <w:widowControl w:val="0"/>
        <w:spacing w:after="120" w:line="240" w:lineRule="auto"/>
        <w:jc w:val="both"/>
        <w:rPr>
          <w:rFonts w:cs="Times New Roman"/>
          <w:noProof/>
          <w:sz w:val="20"/>
        </w:rPr>
      </w:pPr>
      <w:r>
        <w:rPr>
          <w:rFonts w:cstheme="minorHAnsi"/>
          <w:noProof/>
          <w:color w:val="1F497D" w:themeColor="text2"/>
          <w:szCs w:val="26"/>
        </w:rPr>
        <w:t>Suggested action</w:t>
      </w:r>
    </w:p>
    <w:p w:rsidR="00794EA4" w:rsidRDefault="0017531E">
      <w:pPr>
        <w:pStyle w:val="NoSpacing"/>
        <w:rPr>
          <w:noProof/>
          <w:lang w:val="en-US"/>
        </w:rPr>
      </w:pPr>
      <w:r>
        <w:rPr>
          <w:noProof/>
        </w:rPr>
        <w:t>Continue work to improve the definitions of Good Environmental Status (GES) including through regional cooperation by using the work of the relevant Regional Sea Conventions.</w:t>
      </w:r>
    </w:p>
    <w:p w:rsidR="00794EA4" w:rsidRDefault="0017531E">
      <w:pPr>
        <w:pStyle w:val="NoSpacing"/>
        <w:rPr>
          <w:noProof/>
          <w:lang w:val="en-US"/>
        </w:rPr>
      </w:pPr>
      <w:r>
        <w:rPr>
          <w:noProof/>
          <w:lang w:val="en-US"/>
        </w:rPr>
        <w:t xml:space="preserve">Continue </w:t>
      </w:r>
      <w:r>
        <w:rPr>
          <w:bCs/>
          <w:noProof/>
          <w:lang w:val="en-US"/>
        </w:rPr>
        <w:t xml:space="preserve">integrating </w:t>
      </w:r>
      <w:r>
        <w:rPr>
          <w:noProof/>
          <w:lang w:val="en-US"/>
        </w:rPr>
        <w:t xml:space="preserve">monitoring programmes with relevant </w:t>
      </w:r>
      <w:r>
        <w:rPr>
          <w:noProof/>
          <w:lang w:val="en-US"/>
        </w:rPr>
        <w:t>EU legislation and implement other joint monitoring programmes where they exist at regional or sub-regional level.</w:t>
      </w:r>
    </w:p>
    <w:p w:rsidR="00794EA4" w:rsidRDefault="0017531E">
      <w:pPr>
        <w:pStyle w:val="NoSpacing"/>
        <w:rPr>
          <w:noProof/>
        </w:rPr>
      </w:pPr>
      <w:r>
        <w:rPr>
          <w:noProof/>
        </w:rPr>
        <w:t>Continue to enhance comparability and consistency of monitoring methods within the country's marine regions.</w:t>
      </w:r>
    </w:p>
    <w:p w:rsidR="00794EA4" w:rsidRDefault="0017531E">
      <w:pPr>
        <w:pStyle w:val="NoSpacing"/>
        <w:rPr>
          <w:noProof/>
          <w:lang w:val="en-US"/>
        </w:rPr>
      </w:pPr>
      <w:r>
        <w:rPr>
          <w:noProof/>
          <w:lang w:val="en-US"/>
        </w:rPr>
        <w:t>Ensure that all of its monitorin</w:t>
      </w:r>
      <w:r>
        <w:rPr>
          <w:noProof/>
          <w:lang w:val="en-US"/>
        </w:rPr>
        <w:t>g programme is implemented without delay and is fully appropriate to monitor progress towards its GES.</w:t>
      </w: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szCs w:val="20"/>
        </w:rPr>
      </w:pPr>
    </w:p>
    <w:p w:rsidR="00794EA4" w:rsidRDefault="00794EA4">
      <w:pPr>
        <w:widowControl w:val="0"/>
        <w:spacing w:after="120" w:line="240" w:lineRule="auto"/>
        <w:jc w:val="both"/>
        <w:rPr>
          <w:rFonts w:cs="Times New Roman"/>
          <w:noProof/>
          <w:sz w:val="20"/>
          <w:szCs w:val="20"/>
        </w:rPr>
      </w:pPr>
    </w:p>
    <w:p w:rsidR="00794EA4" w:rsidRDefault="00794EA4">
      <w:pPr>
        <w:widowControl w:val="0"/>
        <w:spacing w:after="120" w:line="240" w:lineRule="auto"/>
        <w:jc w:val="both"/>
        <w:rPr>
          <w:rFonts w:cs="Times New Roman"/>
          <w:noProof/>
          <w:sz w:val="20"/>
          <w:szCs w:val="20"/>
        </w:rPr>
      </w:pPr>
    </w:p>
    <w:bookmarkEnd w:id="27"/>
    <w:p w:rsidR="00794EA4" w:rsidRDefault="0017531E">
      <w:pPr>
        <w:widowControl w:val="0"/>
        <w:spacing w:after="120"/>
        <w:rPr>
          <w:rFonts w:cs="Times New Roman"/>
          <w:noProof/>
          <w:sz w:val="20"/>
        </w:rPr>
      </w:pPr>
      <w:r>
        <w:rPr>
          <w:rFonts w:cs="Times New Roman"/>
          <w:noProof/>
          <w:sz w:val="20"/>
        </w:rPr>
        <w:br w:type="page"/>
      </w:r>
    </w:p>
    <w:p w:rsidR="00794EA4" w:rsidRDefault="00794EA4">
      <w:pPr>
        <w:widowControl w:val="0"/>
        <w:spacing w:after="120" w:line="240" w:lineRule="auto"/>
        <w:jc w:val="both"/>
        <w:rPr>
          <w:rFonts w:cs="Times New Roman"/>
          <w:noProof/>
          <w:color w:val="1F497D" w:themeColor="text2"/>
          <w:sz w:val="20"/>
        </w:rPr>
      </w:pPr>
    </w:p>
    <w:p w:rsidR="00794EA4" w:rsidRDefault="00794EA4">
      <w:pPr>
        <w:widowControl w:val="0"/>
        <w:spacing w:after="120" w:line="240" w:lineRule="auto"/>
        <w:jc w:val="both"/>
        <w:rPr>
          <w:rFonts w:cs="Times New Roman"/>
          <w:noProof/>
          <w:color w:val="1F497D" w:themeColor="text2"/>
          <w:sz w:val="20"/>
        </w:rPr>
      </w:pPr>
    </w:p>
    <w:p w:rsidR="00794EA4" w:rsidRDefault="00794EA4">
      <w:pPr>
        <w:widowControl w:val="0"/>
        <w:spacing w:after="120" w:line="240" w:lineRule="auto"/>
        <w:jc w:val="both"/>
        <w:rPr>
          <w:rFonts w:cs="Times New Roman"/>
          <w:noProof/>
          <w:sz w:val="20"/>
        </w:rPr>
        <w:sectPr w:rsidR="00794EA4">
          <w:headerReference w:type="even" r:id="rId65"/>
          <w:headerReference w:type="default" r:id="rId66"/>
          <w:footerReference w:type="even" r:id="rId67"/>
          <w:footerReference w:type="default" r:id="rId68"/>
          <w:headerReference w:type="first" r:id="rId69"/>
          <w:footerReference w:type="first" r:id="rId70"/>
          <w:type w:val="continuous"/>
          <w:pgSz w:w="11906" w:h="16838"/>
          <w:pgMar w:top="1440" w:right="1080" w:bottom="1440" w:left="1080" w:header="708" w:footer="708" w:gutter="0"/>
          <w:cols w:num="2" w:space="360"/>
          <w:docGrid w:linePitch="360"/>
        </w:sectPr>
      </w:pPr>
    </w:p>
    <w:p w:rsidR="00794EA4" w:rsidRDefault="0017531E">
      <w:pPr>
        <w:widowControl w:val="0"/>
        <w:numPr>
          <w:ilvl w:val="0"/>
          <w:numId w:val="26"/>
        </w:numPr>
        <w:spacing w:after="120" w:line="240" w:lineRule="auto"/>
        <w:jc w:val="center"/>
        <w:outlineLvl w:val="0"/>
        <w:rPr>
          <w:rFonts w:eastAsiaTheme="majorEastAsia" w:cstheme="majorBidi"/>
          <w:b/>
          <w:bCs/>
          <w:noProof/>
          <w:color w:val="1F497D" w:themeColor="text2"/>
          <w:sz w:val="32"/>
          <w:szCs w:val="28"/>
        </w:rPr>
      </w:pPr>
      <w:bookmarkStart w:id="29" w:name="_Toc469492818"/>
      <w:r>
        <w:rPr>
          <w:rFonts w:eastAsiaTheme="majorEastAsia" w:cstheme="majorBidi"/>
          <w:b/>
          <w:bCs/>
          <w:noProof/>
          <w:color w:val="1F497D" w:themeColor="text2"/>
          <w:sz w:val="32"/>
          <w:szCs w:val="28"/>
        </w:rPr>
        <w:t xml:space="preserve">Ensuring citizens' health and </w:t>
      </w:r>
      <w:r>
        <w:rPr>
          <w:rFonts w:eastAsiaTheme="majorEastAsia" w:cstheme="majorBidi"/>
          <w:b/>
          <w:bCs/>
          <w:noProof/>
          <w:color w:val="1F497D" w:themeColor="text2"/>
          <w:sz w:val="32"/>
          <w:szCs w:val="28"/>
        </w:rPr>
        <w:t>quality of life</w:t>
      </w:r>
      <w:bookmarkEnd w:id="29"/>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sectPr w:rsidR="00794EA4">
          <w:headerReference w:type="even" r:id="rId71"/>
          <w:headerReference w:type="default" r:id="rId72"/>
          <w:footerReference w:type="even" r:id="rId73"/>
          <w:footerReference w:type="default" r:id="rId74"/>
          <w:headerReference w:type="first" r:id="rId75"/>
          <w:footerReference w:type="first" r:id="rId76"/>
          <w:type w:val="continuous"/>
          <w:pgSz w:w="11906" w:h="16838"/>
          <w:pgMar w:top="1440" w:right="1080" w:bottom="1440" w:left="1080" w:header="708" w:footer="708" w:gutter="0"/>
          <w:cols w:space="566"/>
          <w:docGrid w:linePitch="360"/>
        </w:sectPr>
      </w:pPr>
    </w:p>
    <w:p w:rsidR="00794EA4" w:rsidRDefault="0017531E">
      <w:pPr>
        <w:widowControl w:val="0"/>
        <w:spacing w:after="240" w:line="240" w:lineRule="auto"/>
        <w:outlineLvl w:val="1"/>
        <w:rPr>
          <w:rFonts w:cs="Times New Roman"/>
          <w:b/>
          <w:noProof/>
          <w:color w:val="1F497D" w:themeColor="text2"/>
          <w:sz w:val="24"/>
          <w:szCs w:val="24"/>
        </w:rPr>
      </w:pPr>
      <w:bookmarkStart w:id="30" w:name="_Toc433296166"/>
      <w:bookmarkStart w:id="31" w:name="_Toc469492819"/>
      <w:r>
        <w:rPr>
          <w:rFonts w:cs="Times New Roman"/>
          <w:b/>
          <w:noProof/>
          <w:color w:val="1F497D" w:themeColor="text2"/>
          <w:sz w:val="24"/>
          <w:szCs w:val="24"/>
        </w:rPr>
        <w:t>Air quality</w:t>
      </w:r>
      <w:bookmarkEnd w:id="30"/>
      <w:bookmarkEnd w:id="31"/>
    </w:p>
    <w:tbl>
      <w:tblPr>
        <w:tblStyle w:val="TableGrid11"/>
        <w:tblpPr w:leftFromText="180" w:rightFromText="180" w:vertAnchor="text" w:horzAnchor="margin" w:tblpY="3843"/>
        <w:tblW w:w="1008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6"/>
      </w:tblGrid>
      <w:tr w:rsidR="00794EA4">
        <w:trPr>
          <w:trHeight w:val="328"/>
        </w:trPr>
        <w:tc>
          <w:tcPr>
            <w:tcW w:w="10086" w:type="dxa"/>
          </w:tcPr>
          <w:p w:rsidR="00794EA4" w:rsidRDefault="0017531E">
            <w:pPr>
              <w:jc w:val="both"/>
              <w:rPr>
                <w:rFonts w:cs="Times New Roman"/>
                <w:b/>
                <w:bCs/>
                <w:noProof/>
                <w:color w:val="1F497D" w:themeColor="text2"/>
                <w:sz w:val="20"/>
              </w:rPr>
            </w:pPr>
            <w:r>
              <w:rPr>
                <w:rFonts w:cs="Times New Roman"/>
                <w:b/>
                <w:bCs/>
                <w:noProof/>
                <w:color w:val="1F497D" w:themeColor="text2"/>
                <w:sz w:val="20"/>
              </w:rPr>
              <w:t>Figure 9: Attainment situation for PM10, NO2 and O3 in 2014</w:t>
            </w:r>
          </w:p>
        </w:tc>
      </w:tr>
      <w:tr w:rsidR="00794EA4">
        <w:trPr>
          <w:trHeight w:val="4030"/>
        </w:trPr>
        <w:tc>
          <w:tcPr>
            <w:tcW w:w="10086" w:type="dxa"/>
          </w:tcPr>
          <w:p w:rsidR="00794EA4" w:rsidRDefault="0017531E">
            <w:pPr>
              <w:jc w:val="both"/>
              <w:rPr>
                <w:rFonts w:cs="Times New Roman"/>
                <w:noProof/>
                <w:sz w:val="20"/>
              </w:rPr>
            </w:pPr>
            <w:r>
              <w:rPr>
                <w:rFonts w:cs="Times New Roman"/>
                <w:noProof/>
                <w:sz w:val="20"/>
                <w:lang w:eastAsia="en-GB"/>
              </w:rPr>
              <w:drawing>
                <wp:inline distT="0" distB="0" distL="0" distR="0" wp14:anchorId="0BAB1BA8" wp14:editId="3E50AA1D">
                  <wp:extent cx="6262577" cy="3095026"/>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264212" cy="3095834"/>
                          </a:xfrm>
                          <a:prstGeom prst="rect">
                            <a:avLst/>
                          </a:prstGeom>
                          <a:noFill/>
                        </pic:spPr>
                      </pic:pic>
                    </a:graphicData>
                  </a:graphic>
                </wp:inline>
              </w:drawing>
            </w:r>
          </w:p>
        </w:tc>
      </w:tr>
    </w:tbl>
    <w:p w:rsidR="00794EA4" w:rsidRDefault="0017531E">
      <w:pPr>
        <w:widowControl w:val="0"/>
        <w:shd w:val="clear" w:color="auto" w:fill="4F81BD" w:themeFill="accent1"/>
        <w:spacing w:after="120" w:line="240" w:lineRule="auto"/>
        <w:jc w:val="both"/>
        <w:rPr>
          <w:rFonts w:cs="Times New Roman"/>
          <w:noProof/>
          <w:color w:val="FFFFFF" w:themeColor="background1"/>
          <w:sz w:val="20"/>
          <w:szCs w:val="20"/>
        </w:rPr>
      </w:pPr>
      <w:r>
        <w:rPr>
          <w:rFonts w:cs="Times New Roman"/>
          <w:noProof/>
          <w:color w:val="FFFFFF" w:themeColor="background1"/>
          <w:sz w:val="20"/>
          <w:szCs w:val="20"/>
        </w:rPr>
        <w:t xml:space="preserve">The EU Clean Air Policy and legislation </w:t>
      </w:r>
      <w:r>
        <w:rPr>
          <w:rFonts w:cs="Times New Roman"/>
          <w:noProof/>
          <w:color w:val="FFFFFF" w:themeColor="background1"/>
          <w:sz w:val="20"/>
          <w:szCs w:val="20"/>
        </w:rPr>
        <w:t xml:space="preserve">require that air quality in the Union is significantly improved, moving closer to the WHO recommended levels. Air pollution and its impacts on ecosystems and biodiversity should be further reduced with the long-term aim of not exceeding critical loads and </w:t>
      </w:r>
      <w:r>
        <w:rPr>
          <w:rFonts w:cs="Times New Roman"/>
          <w:noProof/>
          <w:color w:val="FFFFFF" w:themeColor="background1"/>
          <w:sz w:val="20"/>
          <w:szCs w:val="20"/>
        </w:rPr>
        <w:t>levels. This requires strengthening efforts to reach full compliance with Union air quality legislation and defining strategic targets and actions beyond 2020.</w:t>
      </w:r>
    </w:p>
    <w:p w:rsidR="00794EA4" w:rsidRDefault="0017531E">
      <w:pPr>
        <w:widowControl w:val="0"/>
        <w:spacing w:before="240" w:after="120" w:line="240" w:lineRule="auto"/>
        <w:jc w:val="both"/>
        <w:rPr>
          <w:rFonts w:cs="Times New Roman"/>
          <w:noProof/>
          <w:sz w:val="20"/>
          <w:szCs w:val="20"/>
          <w:lang w:eastAsia="en-GB"/>
        </w:rPr>
      </w:pPr>
      <w:r>
        <w:rPr>
          <w:rFonts w:cs="Times New Roman"/>
          <w:noProof/>
          <w:sz w:val="20"/>
          <w:szCs w:val="20"/>
        </w:rPr>
        <w:t>T</w:t>
      </w:r>
      <w:r>
        <w:rPr>
          <w:rFonts w:cs="Times New Roman"/>
          <w:noProof/>
          <w:sz w:val="20"/>
          <w:szCs w:val="20"/>
          <w:lang w:val="en"/>
        </w:rPr>
        <w:t>he EU has developed an extensive body of legislation</w:t>
      </w:r>
      <w:r>
        <w:rPr>
          <w:rFonts w:cs="Times New Roman"/>
          <w:noProof/>
          <w:sz w:val="20"/>
          <w:szCs w:val="20"/>
          <w:vertAlign w:val="superscript"/>
        </w:rPr>
        <w:footnoteReference w:id="56"/>
      </w:r>
      <w:r>
        <w:rPr>
          <w:rFonts w:cs="Times New Roman"/>
          <w:noProof/>
          <w:sz w:val="20"/>
          <w:szCs w:val="20"/>
          <w:lang w:val="en"/>
        </w:rPr>
        <w:t xml:space="preserve">, </w:t>
      </w:r>
      <w:r>
        <w:rPr>
          <w:rFonts w:cs="Times New Roman"/>
          <w:noProof/>
          <w:sz w:val="20"/>
          <w:szCs w:val="20"/>
        </w:rPr>
        <w:t>which establishes health-based standards</w:t>
      </w:r>
      <w:r>
        <w:rPr>
          <w:rFonts w:cs="Times New Roman"/>
          <w:noProof/>
          <w:sz w:val="20"/>
          <w:szCs w:val="20"/>
        </w:rPr>
        <w:t xml:space="preserve"> and objectives for a number of air pollutants. As part of this, Member States are also required to ensure that up-to-date information on ambient concentrations of different air pollutants is routinely made available to the public. In addition, the Nationa</w:t>
      </w:r>
      <w:r>
        <w:rPr>
          <w:rFonts w:cs="Times New Roman"/>
          <w:noProof/>
          <w:sz w:val="20"/>
          <w:szCs w:val="20"/>
        </w:rPr>
        <w:t>l Emission Ceilings Directive provides for emission reductions at national level that should be achieved for main pollutants.</w:t>
      </w:r>
    </w:p>
    <w:p w:rsidR="00794EA4" w:rsidRDefault="0017531E">
      <w:pPr>
        <w:widowControl w:val="0"/>
        <w:spacing w:after="120" w:line="240" w:lineRule="auto"/>
        <w:jc w:val="both"/>
        <w:rPr>
          <w:rFonts w:cs="Times New Roman"/>
          <w:noProof/>
          <w:sz w:val="20"/>
          <w:szCs w:val="20"/>
          <w:lang w:eastAsia="en-GB"/>
        </w:rPr>
      </w:pPr>
      <w:r>
        <w:rPr>
          <w:rFonts w:cs="Times New Roman"/>
          <w:noProof/>
          <w:sz w:val="20"/>
          <w:szCs w:val="20"/>
          <w:lang w:eastAsia="en-GB"/>
        </w:rPr>
        <w:t>Most of the emissions of several air pollutants have decreased significantly in Spain</w:t>
      </w:r>
      <w:r>
        <w:rPr>
          <w:rFonts w:cs="Times New Roman"/>
          <w:noProof/>
          <w:sz w:val="20"/>
          <w:szCs w:val="20"/>
          <w:vertAlign w:val="superscript"/>
          <w:lang w:eastAsia="en-GB"/>
        </w:rPr>
        <w:footnoteReference w:id="57"/>
      </w:r>
      <w:r>
        <w:rPr>
          <w:rFonts w:cs="Times New Roman"/>
          <w:noProof/>
          <w:sz w:val="20"/>
          <w:szCs w:val="20"/>
          <w:lang w:eastAsia="en-GB"/>
        </w:rPr>
        <w:t xml:space="preserve">. Reductions between 1990 and 2014 for </w:t>
      </w:r>
      <w:r>
        <w:rPr>
          <w:rFonts w:cs="Times New Roman"/>
          <w:noProof/>
          <w:sz w:val="20"/>
          <w:szCs w:val="20"/>
          <w:lang w:eastAsia="en-GB"/>
        </w:rPr>
        <w:t>sulphur oxides (-88%), nitrogen oxides (-40%), as well as volatile organic compounds (</w:t>
      </w:r>
      <w:r>
        <w:rPr>
          <w:rFonts w:cs="Times New Roman"/>
          <w:noProof/>
          <w:sz w:val="20"/>
          <w:szCs w:val="20"/>
          <w:lang w:eastAsia="en-GB"/>
        </w:rPr>
        <w:noBreakHyphen/>
        <w:t>42%) ensure air emissions for these pollutants are within the currently applicable national emission ceilings</w:t>
      </w:r>
      <w:r>
        <w:rPr>
          <w:rFonts w:cs="Times New Roman"/>
          <w:noProof/>
          <w:sz w:val="20"/>
          <w:szCs w:val="20"/>
          <w:vertAlign w:val="superscript"/>
          <w:lang w:eastAsia="en-GB"/>
        </w:rPr>
        <w:footnoteReference w:id="58"/>
      </w:r>
      <w:r>
        <w:rPr>
          <w:rFonts w:cs="Times New Roman"/>
          <w:noProof/>
          <w:sz w:val="20"/>
          <w:szCs w:val="20"/>
          <w:lang w:eastAsia="en-GB"/>
        </w:rPr>
        <w:t>. For ammonia however, recorded emissions have increased (+</w:t>
      </w:r>
      <w:r>
        <w:rPr>
          <w:rFonts w:cs="Times New Roman"/>
          <w:noProof/>
          <w:sz w:val="20"/>
          <w:szCs w:val="20"/>
          <w:lang w:eastAsia="en-GB"/>
        </w:rPr>
        <w:t>3%), keeping them above current ceilings.</w:t>
      </w:r>
    </w:p>
    <w:p w:rsidR="00794EA4" w:rsidRDefault="0017531E">
      <w:pPr>
        <w:widowControl w:val="0"/>
        <w:spacing w:after="120" w:line="240" w:lineRule="auto"/>
        <w:jc w:val="both"/>
        <w:rPr>
          <w:rFonts w:cs="Times New Roman"/>
          <w:noProof/>
          <w:sz w:val="20"/>
          <w:szCs w:val="20"/>
          <w:lang w:eastAsia="en-GB"/>
        </w:rPr>
      </w:pPr>
      <w:r>
        <w:rPr>
          <w:rFonts w:cs="Times New Roman"/>
          <w:noProof/>
          <w:sz w:val="20"/>
          <w:szCs w:val="20"/>
          <w:lang w:eastAsia="en-GB"/>
        </w:rPr>
        <w:t>At the same time, air quality in Spain continues to give cause for concern. For the year 2013, the European Environment Agency estimated that about 23 940 premature deaths were attributable to fine particulate matt</w:t>
      </w:r>
      <w:r>
        <w:rPr>
          <w:rFonts w:cs="Times New Roman"/>
          <w:noProof/>
          <w:sz w:val="20"/>
          <w:szCs w:val="20"/>
          <w:lang w:eastAsia="en-GB"/>
        </w:rPr>
        <w:t>er concentrations, 1 760 to ozone concentration and over 4 280 to nitrogen dioxide concentrations</w:t>
      </w:r>
      <w:r>
        <w:rPr>
          <w:rFonts w:cs="Times New Roman"/>
          <w:noProof/>
          <w:sz w:val="20"/>
          <w:szCs w:val="20"/>
          <w:vertAlign w:val="superscript"/>
        </w:rPr>
        <w:footnoteReference w:id="59"/>
      </w:r>
      <w:r>
        <w:rPr>
          <w:rFonts w:cs="Times New Roman"/>
          <w:noProof/>
          <w:sz w:val="20"/>
          <w:szCs w:val="20"/>
        </w:rPr>
        <w:t>.</w:t>
      </w:r>
      <w:r>
        <w:rPr>
          <w:rFonts w:cs="Times New Roman"/>
          <w:noProof/>
          <w:sz w:val="20"/>
          <w:szCs w:val="20"/>
          <w:lang w:eastAsia="en-GB"/>
        </w:rPr>
        <w:t xml:space="preserve"> This is due also to exceedances above the EU air quality standards such as shown in Figure 9</w:t>
      </w:r>
      <w:r>
        <w:rPr>
          <w:rFonts w:cs="Times New Roman"/>
          <w:noProof/>
          <w:sz w:val="20"/>
          <w:szCs w:val="20"/>
          <w:vertAlign w:val="superscript"/>
          <w:lang w:eastAsia="en-GB"/>
        </w:rPr>
        <w:footnoteReference w:id="60"/>
      </w:r>
      <w:r>
        <w:rPr>
          <w:rFonts w:cs="Times New Roman"/>
          <w:noProof/>
          <w:sz w:val="20"/>
          <w:szCs w:val="20"/>
          <w:lang w:eastAsia="en-GB"/>
        </w:rPr>
        <w:t>.</w:t>
      </w:r>
    </w:p>
    <w:p w:rsidR="00794EA4" w:rsidRDefault="0017531E">
      <w:pPr>
        <w:widowControl w:val="0"/>
        <w:spacing w:after="120" w:line="240" w:lineRule="auto"/>
        <w:jc w:val="both"/>
        <w:rPr>
          <w:rFonts w:cs="Times New Roman"/>
          <w:noProof/>
          <w:sz w:val="20"/>
          <w:szCs w:val="20"/>
          <w:lang w:eastAsia="en-GB"/>
        </w:rPr>
      </w:pPr>
      <w:r>
        <w:rPr>
          <w:rFonts w:cs="Times New Roman"/>
          <w:noProof/>
          <w:sz w:val="20"/>
          <w:szCs w:val="20"/>
          <w:lang w:eastAsia="en-GB"/>
        </w:rPr>
        <w:t>For 2014, exceedances above the EU air quality standards have</w:t>
      </w:r>
      <w:r>
        <w:rPr>
          <w:rFonts w:cs="Times New Roman"/>
          <w:noProof/>
          <w:sz w:val="20"/>
          <w:szCs w:val="20"/>
          <w:lang w:eastAsia="en-GB"/>
        </w:rPr>
        <w:t xml:space="preserve"> been registered for nitrogen dioxide (NO</w:t>
      </w:r>
      <w:r>
        <w:rPr>
          <w:rFonts w:cs="Times New Roman"/>
          <w:noProof/>
          <w:sz w:val="20"/>
          <w:szCs w:val="20"/>
          <w:vertAlign w:val="subscript"/>
          <w:lang w:eastAsia="en-GB"/>
        </w:rPr>
        <w:t>2</w:t>
      </w:r>
      <w:r>
        <w:rPr>
          <w:rFonts w:cs="Times New Roman"/>
          <w:noProof/>
          <w:sz w:val="20"/>
          <w:szCs w:val="20"/>
          <w:lang w:eastAsia="en-GB"/>
        </w:rPr>
        <w:t>)</w:t>
      </w:r>
      <w:r>
        <w:rPr>
          <w:rFonts w:cs="Times New Roman"/>
          <w:noProof/>
          <w:sz w:val="20"/>
          <w:szCs w:val="20"/>
          <w:vertAlign w:val="superscript"/>
          <w:lang w:eastAsia="en-GB"/>
        </w:rPr>
        <w:footnoteReference w:id="61"/>
      </w:r>
      <w:r>
        <w:rPr>
          <w:rFonts w:cs="Times New Roman"/>
          <w:noProof/>
          <w:sz w:val="20"/>
          <w:szCs w:val="20"/>
          <w:lang w:eastAsia="en-GB"/>
        </w:rPr>
        <w:t xml:space="preserve"> in five air quality zones (Madrid, Barcelona, Murcia, Valencia, and Vallés-Baix Llobregat) and particulate matter (PM10)</w:t>
      </w:r>
      <w:r>
        <w:rPr>
          <w:rFonts w:cs="Times New Roman"/>
          <w:noProof/>
          <w:sz w:val="20"/>
          <w:szCs w:val="20"/>
          <w:vertAlign w:val="superscript"/>
          <w:lang w:eastAsia="en-GB"/>
        </w:rPr>
        <w:footnoteReference w:id="62"/>
      </w:r>
      <w:r>
        <w:rPr>
          <w:rFonts w:cs="Times New Roman"/>
          <w:noProof/>
          <w:sz w:val="20"/>
          <w:szCs w:val="20"/>
          <w:lang w:eastAsia="en-GB"/>
        </w:rPr>
        <w:t xml:space="preserve"> in three air quality zones (Oviedo, Terres de l’Ebre, and La Coruña). Furthermore, the ta</w:t>
      </w:r>
      <w:r>
        <w:rPr>
          <w:rFonts w:cs="Times New Roman"/>
          <w:noProof/>
          <w:sz w:val="20"/>
          <w:szCs w:val="20"/>
          <w:lang w:eastAsia="en-GB"/>
        </w:rPr>
        <w:t>rget values regarding ozone</w:t>
      </w:r>
      <w:r>
        <w:rPr>
          <w:rFonts w:cs="Times New Roman"/>
          <w:noProof/>
          <w:sz w:val="20"/>
          <w:szCs w:val="20"/>
          <w:vertAlign w:val="superscript"/>
          <w:lang w:eastAsia="en-GB"/>
        </w:rPr>
        <w:footnoteReference w:id="63"/>
      </w:r>
      <w:r>
        <w:rPr>
          <w:rFonts w:cs="Times New Roman"/>
          <w:noProof/>
          <w:sz w:val="20"/>
          <w:szCs w:val="20"/>
          <w:lang w:eastAsia="en-GB"/>
        </w:rPr>
        <w:t xml:space="preserve"> concentrations are exceeded in many air quality zones. In addition, target values for annual mean concentration have been exceeded in one air quality zone for nickel</w:t>
      </w:r>
      <w:r>
        <w:rPr>
          <w:rFonts w:cs="Times New Roman"/>
          <w:noProof/>
          <w:sz w:val="20"/>
          <w:szCs w:val="20"/>
          <w:vertAlign w:val="superscript"/>
          <w:lang w:eastAsia="en-GB"/>
        </w:rPr>
        <w:footnoteReference w:id="64"/>
      </w:r>
      <w:r>
        <w:rPr>
          <w:rFonts w:cs="Times New Roman"/>
          <w:noProof/>
          <w:sz w:val="20"/>
          <w:szCs w:val="20"/>
          <w:lang w:eastAsia="en-GB"/>
        </w:rPr>
        <w:t>.</w:t>
      </w:r>
    </w:p>
    <w:p w:rsidR="00794EA4" w:rsidRDefault="0017531E">
      <w:pPr>
        <w:widowControl w:val="0"/>
        <w:spacing w:after="120" w:line="240" w:lineRule="auto"/>
        <w:jc w:val="both"/>
        <w:rPr>
          <w:rFonts w:cs="Times New Roman"/>
          <w:noProof/>
          <w:sz w:val="20"/>
          <w:szCs w:val="20"/>
          <w:lang w:eastAsia="en-GB"/>
        </w:rPr>
      </w:pPr>
      <w:r>
        <w:rPr>
          <w:rFonts w:cs="Times New Roman"/>
          <w:noProof/>
          <w:sz w:val="20"/>
          <w:szCs w:val="20"/>
          <w:lang w:eastAsia="en-GB"/>
        </w:rPr>
        <w:t>The persistent breaches of air quality requirements (for PM</w:t>
      </w:r>
      <w:r>
        <w:rPr>
          <w:rFonts w:cs="Times New Roman"/>
          <w:noProof/>
          <w:sz w:val="20"/>
          <w:szCs w:val="20"/>
          <w:vertAlign w:val="subscript"/>
          <w:lang w:eastAsia="en-GB"/>
        </w:rPr>
        <w:t>10</w:t>
      </w:r>
      <w:r>
        <w:rPr>
          <w:rFonts w:cs="Times New Roman"/>
          <w:noProof/>
          <w:sz w:val="20"/>
          <w:szCs w:val="20"/>
          <w:lang w:eastAsia="en-GB"/>
        </w:rPr>
        <w:t xml:space="preserve"> and NO</w:t>
      </w:r>
      <w:r>
        <w:rPr>
          <w:rFonts w:cs="Times New Roman"/>
          <w:noProof/>
          <w:sz w:val="20"/>
          <w:szCs w:val="20"/>
          <w:vertAlign w:val="subscript"/>
          <w:lang w:eastAsia="en-GB"/>
        </w:rPr>
        <w:t>2</w:t>
      </w:r>
      <w:r>
        <w:rPr>
          <w:rFonts w:cs="Times New Roman"/>
          <w:noProof/>
          <w:sz w:val="20"/>
          <w:szCs w:val="20"/>
          <w:lang w:eastAsia="en-GB"/>
        </w:rPr>
        <w:t>), which have severe negative effects on health and environment, are being followed up by the European Commission through infringement procedures covering all the Member States concerned, including Spain. The aim is that adequate measures are put</w:t>
      </w:r>
      <w:r>
        <w:rPr>
          <w:rFonts w:cs="Times New Roman"/>
          <w:noProof/>
          <w:sz w:val="20"/>
          <w:szCs w:val="20"/>
          <w:lang w:eastAsia="en-GB"/>
        </w:rPr>
        <w:t xml:space="preserve"> in place to bring all zones into compliance.</w:t>
      </w:r>
    </w:p>
    <w:p w:rsidR="00794EA4" w:rsidRDefault="0017531E">
      <w:pPr>
        <w:widowControl w:val="0"/>
        <w:spacing w:after="240" w:line="240" w:lineRule="auto"/>
        <w:jc w:val="both"/>
        <w:rPr>
          <w:rFonts w:cs="Times New Roman"/>
          <w:noProof/>
          <w:sz w:val="20"/>
          <w:szCs w:val="20"/>
          <w:lang w:eastAsia="en-GB"/>
        </w:rPr>
      </w:pPr>
      <w:r>
        <w:rPr>
          <w:rFonts w:cs="Times New Roman"/>
          <w:noProof/>
          <w:sz w:val="20"/>
          <w:szCs w:val="20"/>
          <w:lang w:eastAsia="en-GB"/>
        </w:rPr>
        <w:t xml:space="preserve">It is estimated that the health-related external costs from air pollution in Spain are above EUR 22 billion/year (income adjusted, 2010), which include not only the intrinsic value of living a full health life </w:t>
      </w:r>
      <w:r>
        <w:rPr>
          <w:rFonts w:cs="Times New Roman"/>
          <w:noProof/>
          <w:sz w:val="20"/>
          <w:szCs w:val="20"/>
          <w:lang w:eastAsia="en-GB"/>
        </w:rPr>
        <w:t xml:space="preserve">but also direct costs to the economy. These direct economic costs relate to 8 million workdays lost each year due to sickness related to air pollution, with associated costs for employers of EUR 1056 million/year (income adjusted, 2010), for healthcare of </w:t>
      </w:r>
      <w:r>
        <w:rPr>
          <w:rFonts w:cs="Times New Roman"/>
          <w:noProof/>
          <w:sz w:val="20"/>
          <w:szCs w:val="20"/>
          <w:lang w:eastAsia="en-GB"/>
        </w:rPr>
        <w:t>above EUR 82 million/year (income adjusted, 2010), and for agriculture (crop losses) of EUR 367 million/year (2010)</w:t>
      </w:r>
      <w:r>
        <w:rPr>
          <w:rFonts w:cs="Times New Roman"/>
          <w:noProof/>
          <w:sz w:val="20"/>
          <w:szCs w:val="20"/>
          <w:vertAlign w:val="superscript"/>
          <w:lang w:eastAsia="en-GB"/>
        </w:rPr>
        <w:footnoteReference w:id="65"/>
      </w:r>
      <w:r>
        <w:rPr>
          <w:rFonts w:cs="Times New Roman"/>
          <w:noProof/>
          <w:sz w:val="20"/>
          <w:szCs w:val="20"/>
          <w:lang w:eastAsia="en-GB"/>
        </w:rPr>
        <w:t>.</w:t>
      </w:r>
    </w:p>
    <w:p w:rsidR="00794EA4" w:rsidRDefault="0017531E">
      <w:pPr>
        <w:widowControl w:val="0"/>
        <w:spacing w:after="120" w:line="240" w:lineRule="auto"/>
        <w:jc w:val="both"/>
        <w:rPr>
          <w:rFonts w:cstheme="minorHAnsi"/>
          <w:noProof/>
          <w:color w:val="1F497D" w:themeColor="text2"/>
          <w:szCs w:val="20"/>
        </w:rPr>
      </w:pPr>
      <w:r>
        <w:rPr>
          <w:rFonts w:cstheme="minorHAnsi"/>
          <w:noProof/>
          <w:color w:val="1F497D" w:themeColor="text2"/>
          <w:szCs w:val="20"/>
        </w:rPr>
        <w:t>Suggested action</w:t>
      </w:r>
    </w:p>
    <w:p w:rsidR="00794EA4" w:rsidRDefault="0017531E">
      <w:pPr>
        <w:pStyle w:val="NoSpacing"/>
        <w:rPr>
          <w:noProof/>
        </w:rPr>
      </w:pPr>
      <w:r>
        <w:rPr>
          <w:noProof/>
        </w:rPr>
        <w:t>Maintain downward emissions trends of air pollutants in order to achieve full compliance with currently applicable nation</w:t>
      </w:r>
      <w:r>
        <w:rPr>
          <w:noProof/>
        </w:rPr>
        <w:t xml:space="preserve">al emission ceilings </w:t>
      </w:r>
      <w:r>
        <w:rPr>
          <w:i/>
          <w:noProof/>
        </w:rPr>
        <w:t>and</w:t>
      </w:r>
      <w:r>
        <w:rPr>
          <w:noProof/>
        </w:rPr>
        <w:t xml:space="preserve"> air quality limit values - and reduce adverse air pollution impacts on health, environment and economy.</w:t>
      </w:r>
    </w:p>
    <w:p w:rsidR="00794EA4" w:rsidRDefault="0017531E">
      <w:pPr>
        <w:pStyle w:val="NoSpacing"/>
        <w:rPr>
          <w:noProof/>
        </w:rPr>
      </w:pPr>
      <w:r>
        <w:rPr>
          <w:noProof/>
        </w:rPr>
        <w:t>Reduce ammonia (NH</w:t>
      </w:r>
      <w:r>
        <w:rPr>
          <w:noProof/>
          <w:vertAlign w:val="subscript"/>
        </w:rPr>
        <w:t>3</w:t>
      </w:r>
      <w:r>
        <w:rPr>
          <w:noProof/>
        </w:rPr>
        <w:t>) emissions to comply with currently applicable national emission ceilings</w:t>
      </w:r>
      <w:r>
        <w:rPr>
          <w:rStyle w:val="FootnoteReference"/>
          <w:noProof/>
          <w:szCs w:val="20"/>
        </w:rPr>
        <w:footnoteReference w:id="66"/>
      </w:r>
      <w:r>
        <w:rPr>
          <w:noProof/>
        </w:rPr>
        <w:t>, for example by introducing or e</w:t>
      </w:r>
      <w:r>
        <w:rPr>
          <w:noProof/>
        </w:rPr>
        <w:t>xpanding the use of low-emission agricultural techniques.</w:t>
      </w:r>
    </w:p>
    <w:p w:rsidR="00794EA4" w:rsidRDefault="0017531E">
      <w:pPr>
        <w:pStyle w:val="NoSpacing"/>
        <w:rPr>
          <w:noProof/>
        </w:rPr>
      </w:pPr>
      <w:r>
        <w:rPr>
          <w:noProof/>
        </w:rPr>
        <w:t>Reduce nitrogen oxide (NO</w:t>
      </w:r>
      <w:r>
        <w:rPr>
          <w:noProof/>
          <w:vertAlign w:val="subscript"/>
        </w:rPr>
        <w:t>x</w:t>
      </w:r>
      <w:r>
        <w:rPr>
          <w:noProof/>
        </w:rPr>
        <w:t>) emissions to comply with currently applicable national emission ceilings</w:t>
      </w:r>
      <w:r>
        <w:rPr>
          <w:noProof/>
          <w:vertAlign w:val="superscript"/>
        </w:rPr>
        <w:footnoteReference w:id="67"/>
      </w:r>
      <w:r>
        <w:rPr>
          <w:noProof/>
        </w:rPr>
        <w:t xml:space="preserve"> and/or to reduce nitrogen dioxide (NO</w:t>
      </w:r>
      <w:r>
        <w:rPr>
          <w:noProof/>
          <w:vertAlign w:val="subscript"/>
        </w:rPr>
        <w:t>2</w:t>
      </w:r>
      <w:r>
        <w:rPr>
          <w:noProof/>
        </w:rPr>
        <w:t xml:space="preserve">) (and ozone concentrations), inter alia, by reducing </w:t>
      </w:r>
      <w:r>
        <w:rPr>
          <w:noProof/>
        </w:rPr>
        <w:t>transport related emissions - in particular in urban areas.</w:t>
      </w:r>
    </w:p>
    <w:p w:rsidR="00794EA4" w:rsidRDefault="0017531E">
      <w:pPr>
        <w:pStyle w:val="NoSpacing"/>
        <w:spacing w:after="360"/>
        <w:rPr>
          <w:noProof/>
        </w:rPr>
      </w:pPr>
      <w:r>
        <w:rPr>
          <w:noProof/>
        </w:rPr>
        <w:t>Reduce PM</w:t>
      </w:r>
      <w:r>
        <w:rPr>
          <w:noProof/>
          <w:vertAlign w:val="subscript"/>
        </w:rPr>
        <w:t>10</w:t>
      </w:r>
      <w:r>
        <w:rPr>
          <w:noProof/>
        </w:rPr>
        <w:t xml:space="preserve"> emission and concentration, inter alia, by reducing emissions related to energy and heat generation using solid fuels, to transport and to agriculture.</w:t>
      </w:r>
    </w:p>
    <w:p w:rsidR="00794EA4" w:rsidRDefault="0017531E">
      <w:pPr>
        <w:widowControl w:val="0"/>
        <w:spacing w:before="240" w:after="240" w:line="240" w:lineRule="auto"/>
        <w:outlineLvl w:val="1"/>
        <w:rPr>
          <w:rFonts w:cs="Times New Roman"/>
          <w:b/>
          <w:noProof/>
          <w:color w:val="1F497D" w:themeColor="text2"/>
          <w:sz w:val="24"/>
          <w:szCs w:val="24"/>
          <w:lang w:eastAsia="en-GB"/>
        </w:rPr>
      </w:pPr>
      <w:bookmarkStart w:id="32" w:name="_Toc454377334"/>
      <w:bookmarkStart w:id="33" w:name="_Toc469492820"/>
      <w:r>
        <w:rPr>
          <w:rFonts w:cs="Times New Roman"/>
          <w:b/>
          <w:noProof/>
          <w:color w:val="1F497D" w:themeColor="text2"/>
          <w:sz w:val="24"/>
          <w:szCs w:val="24"/>
          <w:lang w:eastAsia="en-GB"/>
        </w:rPr>
        <w:t>Noise</w:t>
      </w:r>
      <w:bookmarkEnd w:id="32"/>
      <w:bookmarkEnd w:id="33"/>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Environmental Noise Di</w:t>
      </w:r>
      <w:r>
        <w:rPr>
          <w:rFonts w:cs="Times New Roman"/>
          <w:noProof/>
          <w:color w:val="FFFFFF" w:themeColor="background1"/>
          <w:sz w:val="20"/>
        </w:rPr>
        <w:t>rective provides for a common approach for the avoidance, prevention and reduction of harmful effects due to exposure to environmental noise.</w:t>
      </w:r>
    </w:p>
    <w:p w:rsidR="00794EA4" w:rsidRDefault="0017531E">
      <w:pPr>
        <w:widowControl w:val="0"/>
        <w:spacing w:before="240" w:after="120" w:line="240" w:lineRule="auto"/>
        <w:jc w:val="both"/>
        <w:rPr>
          <w:rFonts w:cs="Times New Roman"/>
          <w:noProof/>
          <w:sz w:val="20"/>
        </w:rPr>
      </w:pPr>
      <w:r>
        <w:rPr>
          <w:rFonts w:cs="Times New Roman"/>
          <w:noProof/>
          <w:sz w:val="20"/>
        </w:rPr>
        <w:t>Excessive noise is one of the main causes of health issues</w:t>
      </w:r>
      <w:r>
        <w:rPr>
          <w:rFonts w:eastAsia="Calibri" w:cs="Times New Roman"/>
          <w:noProof/>
          <w:sz w:val="20"/>
          <w:vertAlign w:val="superscript"/>
        </w:rPr>
        <w:footnoteReference w:id="68"/>
      </w:r>
      <w:r>
        <w:rPr>
          <w:rFonts w:cs="Times New Roman"/>
          <w:noProof/>
          <w:sz w:val="20"/>
        </w:rPr>
        <w:t xml:space="preserve">. To alleviate this, the EU </w:t>
      </w:r>
      <w:r>
        <w:rPr>
          <w:rFonts w:cs="Times New Roman"/>
          <w:i/>
          <w:noProof/>
          <w:sz w:val="20"/>
        </w:rPr>
        <w:t>acquis</w:t>
      </w:r>
      <w:r>
        <w:rPr>
          <w:rFonts w:cs="Times New Roman"/>
          <w:noProof/>
          <w:sz w:val="20"/>
        </w:rPr>
        <w:t xml:space="preserve"> sets out several req</w:t>
      </w:r>
      <w:r>
        <w:rPr>
          <w:rFonts w:cs="Times New Roman"/>
          <w:noProof/>
          <w:sz w:val="20"/>
        </w:rPr>
        <w:t>uirements, including assessing the exposure to environmental noise through noise mapping, ensuring that information on environmental noise and its effects is made available to the public, and adopting action plans with a view to preventing and reducing env</w:t>
      </w:r>
      <w:r>
        <w:rPr>
          <w:rFonts w:cs="Times New Roman"/>
          <w:noProof/>
          <w:sz w:val="20"/>
        </w:rPr>
        <w:t>ironmental noise where necessary and to preserving the acoustic environment quality where it is good.</w:t>
      </w:r>
    </w:p>
    <w:p w:rsidR="00794EA4" w:rsidRDefault="0017531E">
      <w:pPr>
        <w:widowControl w:val="0"/>
        <w:spacing w:after="120" w:line="240" w:lineRule="auto"/>
        <w:jc w:val="both"/>
        <w:rPr>
          <w:rFonts w:cs="Times New Roman"/>
          <w:noProof/>
          <w:sz w:val="20"/>
        </w:rPr>
      </w:pPr>
      <w:r>
        <w:rPr>
          <w:rFonts w:cs="Times New Roman"/>
          <w:noProof/>
          <w:sz w:val="20"/>
        </w:rPr>
        <w:t>Spain's implementation of the Environmental Noise Directive</w:t>
      </w:r>
      <w:r>
        <w:rPr>
          <w:rFonts w:cs="Times New Roman"/>
          <w:noProof/>
          <w:sz w:val="20"/>
          <w:vertAlign w:val="superscript"/>
        </w:rPr>
        <w:footnoteReference w:id="69"/>
      </w:r>
      <w:r>
        <w:rPr>
          <w:rFonts w:cs="Times New Roman"/>
          <w:noProof/>
          <w:sz w:val="20"/>
        </w:rPr>
        <w:t xml:space="preserve"> is significantly delayed. There have been delays in both noise mapping for the most recent re</w:t>
      </w:r>
      <w:r>
        <w:rPr>
          <w:rFonts w:cs="Times New Roman"/>
          <w:noProof/>
          <w:sz w:val="20"/>
        </w:rPr>
        <w:t>porting round, for the reference year 2011, and the adoption of action plans for noise management in the current period. The Commission is following up on this matter.</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spacing w:after="360"/>
        <w:rPr>
          <w:noProof/>
        </w:rPr>
      </w:pPr>
      <w:r>
        <w:rPr>
          <w:noProof/>
        </w:rPr>
        <w:t>Complete noise mapping and action plans for noise management.</w:t>
      </w:r>
    </w:p>
    <w:p w:rsidR="00794EA4" w:rsidRDefault="0017531E">
      <w:pPr>
        <w:widowControl w:val="0"/>
        <w:spacing w:before="240" w:after="240" w:line="240" w:lineRule="auto"/>
        <w:outlineLvl w:val="1"/>
        <w:rPr>
          <w:rFonts w:cs="Times New Roman"/>
          <w:b/>
          <w:noProof/>
          <w:color w:val="1F497D" w:themeColor="text2"/>
          <w:sz w:val="24"/>
          <w:szCs w:val="24"/>
        </w:rPr>
      </w:pPr>
      <w:bookmarkStart w:id="34" w:name="_Toc469492821"/>
      <w:r>
        <w:rPr>
          <w:rFonts w:cs="Times New Roman"/>
          <w:b/>
          <w:noProof/>
          <w:color w:val="1F497D" w:themeColor="text2"/>
          <w:sz w:val="24"/>
          <w:szCs w:val="24"/>
        </w:rPr>
        <w:t>Water qua</w:t>
      </w:r>
      <w:r>
        <w:rPr>
          <w:rFonts w:cs="Times New Roman"/>
          <w:b/>
          <w:noProof/>
          <w:color w:val="1F497D" w:themeColor="text2"/>
          <w:sz w:val="24"/>
          <w:szCs w:val="24"/>
        </w:rPr>
        <w:t>lity and management</w:t>
      </w:r>
      <w:bookmarkEnd w:id="34"/>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water policy and legislation require that the impact of pressures on transitional, coastal and fresh waters (including surface and ground waters) is significantly reduced to achieve, maintain or enhance good status of water </w:t>
      </w:r>
      <w:r>
        <w:rPr>
          <w:rFonts w:cs="Times New Roman"/>
          <w:noProof/>
          <w:color w:val="FFFFFF" w:themeColor="background1"/>
          <w:sz w:val="20"/>
        </w:rPr>
        <w:t>bodies, as defined by the Water Framework Directive; that citizens throughout the Union benefit from high standards for safe drinking and bathing water; and that the nutrient cycle (nitrogen and phosphorus) is managed in a more sustainable and resource-eff</w:t>
      </w:r>
      <w:r>
        <w:rPr>
          <w:rFonts w:cs="Times New Roman"/>
          <w:noProof/>
          <w:color w:val="FFFFFF" w:themeColor="background1"/>
          <w:sz w:val="20"/>
        </w:rPr>
        <w:t>icient way.</w:t>
      </w:r>
    </w:p>
    <w:p w:rsidR="00794EA4" w:rsidRDefault="0017531E">
      <w:pPr>
        <w:widowControl w:val="0"/>
        <w:shd w:val="clear" w:color="auto" w:fill="4F81BD" w:themeFill="accent1"/>
        <w:spacing w:after="120" w:line="240" w:lineRule="auto"/>
        <w:jc w:val="both"/>
        <w:rPr>
          <w:rFonts w:cs="Times New Roman"/>
          <w:noProof/>
          <w:color w:val="FFFFFF" w:themeColor="background1"/>
          <w:sz w:val="20"/>
          <w:lang w:val="en"/>
        </w:rPr>
      </w:pPr>
      <w:r>
        <w:rPr>
          <w:rFonts w:cs="Times New Roman"/>
          <w:noProof/>
          <w:color w:val="FFFFFF" w:themeColor="background1"/>
          <w:sz w:val="20"/>
        </w:rPr>
        <w:t>SDG 6 encourages countries to ensure availability and sustainable management of water and sanitation for all.</w:t>
      </w:r>
    </w:p>
    <w:p w:rsidR="00794EA4" w:rsidRDefault="0017531E">
      <w:pPr>
        <w:widowControl w:val="0"/>
        <w:autoSpaceDE w:val="0"/>
        <w:spacing w:before="240" w:after="120" w:line="240" w:lineRule="auto"/>
        <w:jc w:val="both"/>
        <w:rPr>
          <w:rFonts w:eastAsia="Times New Roman" w:cs="Times New Roman"/>
          <w:noProof/>
          <w:color w:val="000000"/>
          <w:sz w:val="20"/>
          <w:szCs w:val="20"/>
        </w:rPr>
      </w:pPr>
      <w:r>
        <w:rPr>
          <w:rFonts w:eastAsia="Times New Roman" w:cs="Times New Roman"/>
          <w:noProof/>
          <w:color w:val="000000"/>
          <w:sz w:val="20"/>
          <w:szCs w:val="20"/>
        </w:rPr>
        <w:t xml:space="preserve">The main overall objective of EU water policy and legislation is to ensure access to good quality water in sufficient quantity for all Europeans. The EU water </w:t>
      </w:r>
      <w:r>
        <w:rPr>
          <w:rFonts w:eastAsia="Times New Roman" w:cs="Times New Roman"/>
          <w:i/>
          <w:noProof/>
          <w:color w:val="000000"/>
          <w:sz w:val="20"/>
          <w:szCs w:val="20"/>
        </w:rPr>
        <w:t>acquis</w:t>
      </w:r>
      <w:r>
        <w:rPr>
          <w:rFonts w:eastAsia="Times New Roman" w:cs="Times New Roman"/>
          <w:noProof/>
          <w:color w:val="000000"/>
          <w:sz w:val="20"/>
          <w:szCs w:val="20"/>
          <w:vertAlign w:val="superscript"/>
        </w:rPr>
        <w:footnoteReference w:id="70"/>
      </w:r>
      <w:r>
        <w:rPr>
          <w:rFonts w:eastAsia="Times New Roman" w:cs="Times New Roman"/>
          <w:noProof/>
          <w:color w:val="000000"/>
          <w:sz w:val="20"/>
          <w:szCs w:val="20"/>
        </w:rPr>
        <w:t xml:space="preserve"> seeks to ensure good status of all water bodies across Europe by addressing pollution sou</w:t>
      </w:r>
      <w:r>
        <w:rPr>
          <w:rFonts w:eastAsia="Times New Roman" w:cs="Times New Roman"/>
          <w:noProof/>
          <w:color w:val="000000"/>
          <w:sz w:val="20"/>
          <w:szCs w:val="20"/>
        </w:rPr>
        <w:t xml:space="preserve">rces (from e.g. agriculture, urban areas and industrial activities), physical and hydrological modifications to water bodies) and the management of risks of flooding. </w:t>
      </w:r>
    </w:p>
    <w:p w:rsidR="00794EA4" w:rsidRDefault="0017531E">
      <w:pPr>
        <w:widowControl w:val="0"/>
        <w:autoSpaceDE w:val="0"/>
        <w:spacing w:after="120" w:line="240" w:lineRule="auto"/>
        <w:jc w:val="both"/>
        <w:rPr>
          <w:rFonts w:cs="Times New Roman"/>
          <w:noProof/>
          <w:sz w:val="20"/>
        </w:rPr>
      </w:pPr>
      <w:r>
        <w:rPr>
          <w:rFonts w:cs="Times New Roman"/>
          <w:noProof/>
          <w:sz w:val="20"/>
        </w:rPr>
        <w:t xml:space="preserve">River Basin Management Plans (RBMPs) are a requirement of the Water Framework Directive </w:t>
      </w:r>
      <w:r>
        <w:rPr>
          <w:rFonts w:cs="Times New Roman"/>
          <w:noProof/>
          <w:sz w:val="20"/>
        </w:rPr>
        <w:t>and a means of achieving the protection, improvement and sustainable use of the water environment across Europe. This includes surface freshwaters such as lakes and rivers, groundwater, estuaries and coastal waters up to one nautical mile.</w:t>
      </w:r>
    </w:p>
    <w:p w:rsidR="00794EA4" w:rsidRDefault="0017531E">
      <w:pPr>
        <w:widowControl w:val="0"/>
        <w:autoSpaceDE w:val="0"/>
        <w:spacing w:after="120" w:line="240" w:lineRule="auto"/>
        <w:jc w:val="both"/>
        <w:rPr>
          <w:rFonts w:cs="Times New Roman"/>
          <w:noProof/>
          <w:sz w:val="20"/>
        </w:rPr>
      </w:pPr>
      <w:r>
        <w:rPr>
          <w:rFonts w:cs="Times New Roman"/>
          <w:noProof/>
          <w:sz w:val="20"/>
        </w:rPr>
        <w:t>Spain has provid</w:t>
      </w:r>
      <w:r>
        <w:rPr>
          <w:rFonts w:cs="Times New Roman"/>
          <w:noProof/>
          <w:sz w:val="20"/>
        </w:rPr>
        <w:t>ed information to the Commission from its second generation of RBMPs. However, as the Commission has not yet been able to validate this information for all Member States, it is not reported here.</w:t>
      </w:r>
    </w:p>
    <w:p w:rsidR="00794EA4" w:rsidRDefault="0017531E">
      <w:pPr>
        <w:widowControl w:val="0"/>
        <w:spacing w:after="120" w:line="240" w:lineRule="auto"/>
        <w:jc w:val="both"/>
        <w:rPr>
          <w:rFonts w:cs="Times New Roman"/>
          <w:noProof/>
          <w:sz w:val="20"/>
        </w:rPr>
      </w:pPr>
      <w:r>
        <w:rPr>
          <w:rFonts w:cs="Times New Roman"/>
          <w:noProof/>
          <w:sz w:val="20"/>
        </w:rPr>
        <w:t>In its first generation of RBMPs Spain reported the status o</w:t>
      </w:r>
      <w:r>
        <w:rPr>
          <w:rFonts w:cs="Times New Roman"/>
          <w:noProof/>
          <w:sz w:val="20"/>
        </w:rPr>
        <w:t>f 4381 rivers, 329 lakes, 180 transitional, 260 coastal and 748 groundwater bodies.</w:t>
      </w:r>
    </w:p>
    <w:p w:rsidR="00794EA4" w:rsidRDefault="0017531E">
      <w:pPr>
        <w:widowControl w:val="0"/>
        <w:spacing w:after="120" w:line="240" w:lineRule="auto"/>
        <w:jc w:val="both"/>
        <w:rPr>
          <w:rFonts w:cs="Times New Roman"/>
          <w:noProof/>
          <w:sz w:val="20"/>
        </w:rPr>
      </w:pPr>
      <w:r>
        <w:rPr>
          <w:rFonts w:cs="Times New Roman"/>
          <w:noProof/>
          <w:sz w:val="20"/>
        </w:rPr>
        <w:t>Only 43% of natural surface water bodies achieve a good or high ecological status</w:t>
      </w:r>
      <w:r>
        <w:rPr>
          <w:rFonts w:eastAsia="Times New Roman" w:cs="Times New Roman"/>
          <w:noProof/>
          <w:color w:val="000000"/>
          <w:sz w:val="20"/>
          <w:szCs w:val="20"/>
          <w:vertAlign w:val="superscript"/>
        </w:rPr>
        <w:footnoteReference w:id="71"/>
      </w:r>
      <w:r>
        <w:rPr>
          <w:rFonts w:cs="Times New Roman"/>
          <w:noProof/>
          <w:sz w:val="20"/>
        </w:rPr>
        <w:t xml:space="preserve"> and 32% of heavily modified or artificial water bodies achieve a good or high ecological </w:t>
      </w:r>
      <w:r>
        <w:rPr>
          <w:rFonts w:cs="Times New Roman"/>
          <w:noProof/>
          <w:sz w:val="20"/>
        </w:rPr>
        <w:t>potential. 57% of surface water bodies (while the status of 39% is unknown), 61% of heavily modified and artificial water bodies (29% unknown) and 66% of groundwater bodies achieve good chemical status.</w:t>
      </w:r>
      <w:r>
        <w:rPr>
          <w:rFonts w:eastAsia="Times New Roman" w:cs="Times New Roman"/>
          <w:noProof/>
          <w:color w:val="000000"/>
          <w:sz w:val="20"/>
          <w:szCs w:val="20"/>
          <w:vertAlign w:val="superscript"/>
        </w:rPr>
        <w:footnoteReference w:id="72"/>
      </w:r>
      <w:r>
        <w:rPr>
          <w:rFonts w:cs="Times New Roman"/>
          <w:noProof/>
          <w:sz w:val="20"/>
        </w:rPr>
        <w:t xml:space="preserve"> 71% of groundwater bodies are in good quantitative s</w:t>
      </w:r>
      <w:r>
        <w:rPr>
          <w:rFonts w:cs="Times New Roman"/>
          <w:noProof/>
          <w:sz w:val="20"/>
        </w:rPr>
        <w:t>tatus</w:t>
      </w:r>
      <w:r>
        <w:rPr>
          <w:rFonts w:eastAsia="Times New Roman" w:cs="Times New Roman"/>
          <w:noProof/>
          <w:color w:val="000000"/>
          <w:sz w:val="20"/>
          <w:szCs w:val="20"/>
          <w:vertAlign w:val="superscript"/>
        </w:rPr>
        <w:footnoteReference w:id="73"/>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The main pressure on the Spanish surface waters is point source pollution that affects 35% of water bodies. Flow modification and morphological alterations affect 30% of water bodies followed by diffuse pollution</w:t>
      </w:r>
      <w:r>
        <w:rPr>
          <w:rFonts w:eastAsia="Times New Roman" w:cs="Times New Roman"/>
          <w:noProof/>
          <w:color w:val="000000"/>
          <w:sz w:val="20"/>
          <w:szCs w:val="20"/>
          <w:vertAlign w:val="superscript"/>
        </w:rPr>
        <w:footnoteReference w:id="74"/>
      </w:r>
      <w:r>
        <w:rPr>
          <w:rFonts w:cs="Times New Roman"/>
          <w:noProof/>
          <w:sz w:val="20"/>
        </w:rPr>
        <w:t xml:space="preserve"> that affects 23% and abstraction t</w:t>
      </w:r>
      <w:r>
        <w:rPr>
          <w:rFonts w:cs="Times New Roman"/>
          <w:noProof/>
          <w:sz w:val="20"/>
        </w:rPr>
        <w:t>hat affects 21% of water bodies. There are significant regional differences, e.g. point sources of pollution affect 68% of water bodies in the Andalusian Mediterranean river basin district but only 18% in the Ebro river basin district.</w:t>
      </w:r>
    </w:p>
    <w:p w:rsidR="00794EA4" w:rsidRDefault="0017531E">
      <w:pPr>
        <w:widowControl w:val="0"/>
        <w:spacing w:after="120" w:line="240" w:lineRule="auto"/>
        <w:jc w:val="both"/>
        <w:rPr>
          <w:rFonts w:cs="Times New Roman"/>
          <w:noProof/>
          <w:sz w:val="20"/>
        </w:rPr>
      </w:pPr>
      <w:r>
        <w:rPr>
          <w:rFonts w:cs="Times New Roman"/>
          <w:noProof/>
          <w:sz w:val="20"/>
        </w:rPr>
        <w:t>The first Spanish RB</w:t>
      </w:r>
      <w:r>
        <w:rPr>
          <w:rFonts w:cs="Times New Roman"/>
          <w:noProof/>
          <w:sz w:val="20"/>
        </w:rPr>
        <w:t xml:space="preserve">MPs had some deficiencies that result in uncertainties about the status and effectiveness of Programmes of Measures (PoMs). In particular, there are weaknesses in monitoring, methodologies for status assessment and the link between pressures and PoMs. The </w:t>
      </w:r>
      <w:r>
        <w:rPr>
          <w:rFonts w:cs="Times New Roman"/>
          <w:noProof/>
          <w:sz w:val="20"/>
        </w:rPr>
        <w:t>planned measures are expected to result in improvement of ecological and chemical status of surface water bodies by 11% and 3% respectively. The measures should also bring improvement of ecological potential of artificial and heavily modified water bodies</w:t>
      </w:r>
      <w:r>
        <w:rPr>
          <w:rFonts w:eastAsia="Times New Roman" w:cs="Times New Roman"/>
          <w:noProof/>
          <w:color w:val="000000"/>
          <w:sz w:val="20"/>
          <w:szCs w:val="20"/>
          <w:vertAlign w:val="superscript"/>
        </w:rPr>
        <w:footnoteReference w:id="75"/>
      </w:r>
      <w:r>
        <w:rPr>
          <w:rFonts w:cs="Times New Roman"/>
          <w:noProof/>
          <w:sz w:val="20"/>
        </w:rPr>
        <w:t xml:space="preserve"> by 8% and chemical status by 3%. Furthermore, there is a need of better considering modernisation of irrigation in the PoMs; established ecological flows should guarantee good ecological status and exemptions reflected in RBMPs should be better justified.</w:t>
      </w:r>
    </w:p>
    <w:p w:rsidR="00794EA4" w:rsidRDefault="0017531E">
      <w:pPr>
        <w:widowControl w:val="0"/>
        <w:spacing w:after="120" w:line="240" w:lineRule="auto"/>
        <w:jc w:val="both"/>
        <w:rPr>
          <w:rFonts w:cs="Times New Roman"/>
          <w:noProof/>
          <w:sz w:val="20"/>
        </w:rPr>
      </w:pPr>
      <w:r>
        <w:rPr>
          <w:rFonts w:cs="Times New Roman"/>
          <w:noProof/>
          <w:sz w:val="20"/>
        </w:rPr>
        <w:t>The Commission is assessing on a regular basis the implementation of the Water Framework Directive by the Member States</w:t>
      </w:r>
      <w:r>
        <w:rPr>
          <w:rFonts w:cs="Times New Roman"/>
          <w:noProof/>
          <w:sz w:val="20"/>
          <w:vertAlign w:val="superscript"/>
        </w:rPr>
        <w:footnoteReference w:id="76"/>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Spain has already adopted and notified to the Commission most of the second generation 25 RBMPs</w:t>
      </w:r>
      <w:r>
        <w:rPr>
          <w:rStyle w:val="FootnoteReference"/>
          <w:rFonts w:cs="Times New Roman"/>
          <w:noProof/>
          <w:sz w:val="20"/>
        </w:rPr>
        <w:footnoteReference w:id="77"/>
      </w:r>
      <w:r>
        <w:rPr>
          <w:rFonts w:cs="Times New Roman"/>
          <w:noProof/>
          <w:sz w:val="20"/>
        </w:rPr>
        <w:t xml:space="preserve">. The Commission is currently </w:t>
      </w:r>
      <w:r>
        <w:rPr>
          <w:rFonts w:cs="Times New Roman"/>
          <w:noProof/>
          <w:sz w:val="20"/>
        </w:rPr>
        <w:t>assessing the content of these second RBMPs.</w:t>
      </w:r>
    </w:p>
    <w:p w:rsidR="00794EA4" w:rsidRDefault="0017531E">
      <w:pPr>
        <w:widowControl w:val="0"/>
        <w:spacing w:after="120" w:line="240" w:lineRule="auto"/>
        <w:jc w:val="both"/>
        <w:rPr>
          <w:rFonts w:eastAsia="Arial Unicode MS" w:cs="Times New Roman"/>
          <w:noProof/>
          <w:sz w:val="20"/>
          <w:lang w:val="en-US"/>
        </w:rPr>
      </w:pPr>
      <w:r>
        <w:rPr>
          <w:rFonts w:eastAsia="Arial Unicode MS" w:cs="Times New Roman"/>
          <w:noProof/>
          <w:sz w:val="20"/>
        </w:rPr>
        <w:t xml:space="preserve">Regarding the implementation of the Nitrates Directive, following a horizontal monitoring </w:t>
      </w:r>
      <w:r>
        <w:rPr>
          <w:rFonts w:eastAsia="Arial Unicode MS" w:cs="Times New Roman"/>
          <w:noProof/>
          <w:sz w:val="20"/>
          <w:lang w:val="en-US"/>
        </w:rPr>
        <w:t>based on the 2008-2011 water quality data, the regional Action Programmes and the current Nitrates Vulnerable Zones desig</w:t>
      </w:r>
      <w:r>
        <w:rPr>
          <w:rFonts w:eastAsia="Arial Unicode MS" w:cs="Times New Roman"/>
          <w:noProof/>
          <w:sz w:val="20"/>
          <w:lang w:val="en-US"/>
        </w:rPr>
        <w:t>nation showed possible insufficiencies. In certain regions (e.g.: Cataluña), intensive livestock production, and in particular pig farming, puts additional pressure on water resources quality.</w:t>
      </w:r>
    </w:p>
    <w:p w:rsidR="00794EA4" w:rsidRDefault="0017531E">
      <w:pPr>
        <w:widowControl w:val="0"/>
        <w:spacing w:after="120" w:line="240" w:lineRule="auto"/>
        <w:jc w:val="both"/>
        <w:rPr>
          <w:rFonts w:cs="Times New Roman"/>
          <w:noProof/>
          <w:sz w:val="20"/>
        </w:rPr>
      </w:pPr>
      <w:r>
        <w:rPr>
          <w:rFonts w:cs="Times New Roman"/>
          <w:noProof/>
          <w:sz w:val="20"/>
          <w:lang w:val="en-US"/>
        </w:rPr>
        <w:t>Regarding drinking water, Spain reaches very high compliance ra</w:t>
      </w:r>
      <w:r>
        <w:rPr>
          <w:rFonts w:cs="Times New Roman"/>
          <w:noProof/>
          <w:sz w:val="20"/>
          <w:lang w:val="en-US"/>
        </w:rPr>
        <w:t>tes of 99-100 % for microbiological, chemical and indicator parameters laid down in the Drinking Water Directive</w:t>
      </w:r>
      <w:r>
        <w:rPr>
          <w:rFonts w:cs="Times New Roman"/>
          <w:noProof/>
          <w:sz w:val="20"/>
          <w:vertAlign w:val="superscript"/>
          <w:lang w:val="en-US"/>
        </w:rPr>
        <w:footnoteReference w:id="78"/>
      </w:r>
      <w:r>
        <w:rPr>
          <w:rFonts w:cs="Times New Roman"/>
          <w:noProof/>
          <w:sz w:val="20"/>
          <w:lang w:val="en-US"/>
        </w:rPr>
        <w:t>.</w:t>
      </w:r>
      <w:r>
        <w:rPr>
          <w:rFonts w:cs="Times New Roman"/>
          <w:noProof/>
          <w:sz w:val="20"/>
        </w:rPr>
        <w:t xml:space="preserve"> </w:t>
      </w:r>
    </w:p>
    <w:p w:rsidR="00794EA4" w:rsidRDefault="0017531E">
      <w:pPr>
        <w:widowControl w:val="0"/>
        <w:spacing w:before="120" w:after="120" w:line="240" w:lineRule="auto"/>
        <w:jc w:val="both"/>
        <w:rPr>
          <w:rFonts w:cs="Times New Roman"/>
          <w:noProof/>
          <w:sz w:val="20"/>
          <w:lang w:val="en-US"/>
        </w:rPr>
      </w:pPr>
      <w:r>
        <w:rPr>
          <w:rFonts w:cs="Times New Roman"/>
          <w:noProof/>
          <w:sz w:val="20"/>
        </w:rPr>
        <w:t>Figure 10 shows that in 2015</w:t>
      </w:r>
      <w:r>
        <w:rPr>
          <w:rFonts w:cs="Times New Roman"/>
          <w:noProof/>
          <w:sz w:val="20"/>
          <w:lang w:val="en-US"/>
        </w:rPr>
        <w:t xml:space="preserve"> in Spain out of 2189 bathing waters, 83.2 % were of excellent quality, 9.5 %of good quality, 3.3 % of sufficien</w:t>
      </w:r>
      <w:r>
        <w:rPr>
          <w:rFonts w:cs="Times New Roman"/>
          <w:noProof/>
          <w:sz w:val="20"/>
          <w:lang w:val="en-US"/>
        </w:rPr>
        <w:t>t quality. 58 bathing waters were of poor quality or non-compliant while it was not possible to assess the remaining 31 bathing waters</w:t>
      </w:r>
      <w:r>
        <w:rPr>
          <w:rFonts w:cs="Times New Roman"/>
          <w:noProof/>
          <w:sz w:val="20"/>
          <w:vertAlign w:val="superscript"/>
          <w:lang w:val="en-US"/>
        </w:rPr>
        <w:footnoteReference w:id="79"/>
      </w:r>
      <w:r>
        <w:rPr>
          <w:rFonts w:cs="Times New Roman"/>
          <w:noProof/>
          <w:sz w:val="20"/>
          <w:lang w:val="en-US"/>
        </w:rPr>
        <w:t>.</w:t>
      </w:r>
    </w:p>
    <w:p w:rsidR="00794EA4" w:rsidRDefault="00794EA4">
      <w:pPr>
        <w:widowControl w:val="0"/>
        <w:spacing w:before="120" w:after="120" w:line="240" w:lineRule="auto"/>
        <w:jc w:val="both"/>
        <w:rPr>
          <w:rFonts w:cs="Times New Roman"/>
          <w:noProof/>
          <w:sz w:val="20"/>
          <w:lang w:val="en-US"/>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c>
          <w:tcPr>
            <w:tcW w:w="4909" w:type="dxa"/>
          </w:tcPr>
          <w:p w:rsidR="00794EA4" w:rsidRDefault="0017531E">
            <w:pPr>
              <w:widowControl w:val="0"/>
              <w:spacing w:after="120"/>
              <w:jc w:val="both"/>
              <w:rPr>
                <w:rFonts w:cs="Times New Roman"/>
                <w:b/>
                <w:bCs/>
                <w:noProof/>
                <w:color w:val="1F497D" w:themeColor="text2"/>
                <w:sz w:val="20"/>
              </w:rPr>
            </w:pPr>
            <w:r>
              <w:rPr>
                <w:rFonts w:cs="Times New Roman"/>
                <w:b/>
                <w:bCs/>
                <w:noProof/>
                <w:color w:val="1F497D" w:themeColor="text2"/>
                <w:sz w:val="20"/>
              </w:rPr>
              <w:t>Figure 10: Bathing water quality 2012 – 2015</w:t>
            </w:r>
            <w:r>
              <w:rPr>
                <w:rFonts w:cs="Times New Roman"/>
                <w:b/>
                <w:bCs/>
                <w:noProof/>
                <w:color w:val="1F497D" w:themeColor="text2"/>
                <w:sz w:val="20"/>
                <w:vertAlign w:val="superscript"/>
              </w:rPr>
              <w:footnoteReference w:id="80"/>
            </w:r>
          </w:p>
        </w:tc>
      </w:tr>
      <w:tr w:rsidR="00794EA4">
        <w:tc>
          <w:tcPr>
            <w:tcW w:w="4909" w:type="dxa"/>
          </w:tcPr>
          <w:p w:rsidR="00794EA4" w:rsidRDefault="0017531E">
            <w:pPr>
              <w:widowControl w:val="0"/>
              <w:spacing w:after="120"/>
              <w:jc w:val="both"/>
              <w:rPr>
                <w:rFonts w:cs="Times New Roman"/>
                <w:noProof/>
                <w:sz w:val="20"/>
              </w:rPr>
            </w:pPr>
            <w:r>
              <w:rPr>
                <w:rFonts w:cs="Times New Roman"/>
                <w:noProof/>
                <w:sz w:val="20"/>
                <w:lang w:eastAsia="en-GB"/>
              </w:rPr>
              <w:drawing>
                <wp:inline distT="0" distB="0" distL="0" distR="0" wp14:anchorId="379AE936" wp14:editId="4CF18BD1">
                  <wp:extent cx="3045067" cy="2639833"/>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54889" cy="2648348"/>
                          </a:xfrm>
                          <a:prstGeom prst="rect">
                            <a:avLst/>
                          </a:prstGeom>
                          <a:noFill/>
                        </pic:spPr>
                      </pic:pic>
                    </a:graphicData>
                  </a:graphic>
                </wp:inline>
              </w:drawing>
            </w:r>
          </w:p>
        </w:tc>
      </w:tr>
    </w:tbl>
    <w:p w:rsidR="00794EA4" w:rsidRDefault="0017531E">
      <w:pPr>
        <w:widowControl w:val="0"/>
        <w:spacing w:before="120" w:after="120" w:line="240" w:lineRule="auto"/>
        <w:jc w:val="both"/>
        <w:rPr>
          <w:rFonts w:cs="Times New Roman"/>
          <w:noProof/>
          <w:sz w:val="20"/>
        </w:rPr>
      </w:pPr>
      <w:r>
        <w:rPr>
          <w:rFonts w:cs="Times New Roman"/>
          <w:noProof/>
          <w:sz w:val="20"/>
        </w:rPr>
        <w:t xml:space="preserve">Regarding the implementation of the Urban Waste Water Treatment </w:t>
      </w:r>
      <w:r>
        <w:rPr>
          <w:rFonts w:cs="Times New Roman"/>
          <w:noProof/>
          <w:sz w:val="20"/>
        </w:rPr>
        <w:t>Directive, Spain demonstrates some high compliance rates: 99.7% of the waste water load is collected and 86.2 % is subject to secondary treatment as shown in Figure 11. However, only 38% of the waste water load which should have been subject to more string</w:t>
      </w:r>
      <w:r>
        <w:rPr>
          <w:rFonts w:cs="Times New Roman"/>
          <w:noProof/>
          <w:sz w:val="20"/>
        </w:rPr>
        <w:t>ent treatment is actually treated as such.</w:t>
      </w:r>
    </w:p>
    <w:p w:rsidR="00794EA4" w:rsidRDefault="0017531E">
      <w:pPr>
        <w:widowControl w:val="0"/>
        <w:spacing w:before="120" w:after="120" w:line="240" w:lineRule="auto"/>
        <w:jc w:val="both"/>
        <w:rPr>
          <w:rFonts w:cs="Times New Roman"/>
          <w:noProof/>
          <w:sz w:val="20"/>
        </w:rPr>
      </w:pPr>
      <w:r>
        <w:rPr>
          <w:rFonts w:cs="Times New Roman"/>
          <w:noProof/>
          <w:sz w:val="20"/>
        </w:rPr>
        <w:t>It is important to note that there are still a certain number of agglomerations that do not comply with the requirements and deadlines of the UWWT Directive. Therefore further efforts are needed in this regard. Co</w:t>
      </w:r>
      <w:r>
        <w:rPr>
          <w:rFonts w:cs="Times New Roman"/>
          <w:noProof/>
          <w:sz w:val="20"/>
        </w:rPr>
        <w:t>nsequently, the Commission has opened various infringement procedures against Spain regarding sensitive, normal areas and small agglomerations. These cases of non-compliance are closely followed by the Commission.</w:t>
      </w:r>
    </w:p>
    <w:p w:rsidR="00794EA4" w:rsidRDefault="0017531E">
      <w:pPr>
        <w:widowControl w:val="0"/>
        <w:spacing w:before="120" w:after="120" w:line="240" w:lineRule="auto"/>
        <w:jc w:val="both"/>
        <w:rPr>
          <w:rFonts w:cs="Times New Roman"/>
          <w:noProof/>
          <w:sz w:val="20"/>
        </w:rPr>
      </w:pPr>
      <w:r>
        <w:rPr>
          <w:rFonts w:cs="Times New Roman"/>
          <w:noProof/>
          <w:sz w:val="20"/>
        </w:rPr>
        <w:t>Figure 11 shows the total generated load a</w:t>
      </w:r>
      <w:r>
        <w:rPr>
          <w:rFonts w:cs="Times New Roman"/>
          <w:noProof/>
          <w:sz w:val="20"/>
        </w:rPr>
        <w:t>t Member State level (in population equivalent and regardless of agglomerations) and the load that remains to be addressed by Spain.</w:t>
      </w:r>
    </w:p>
    <w:p w:rsidR="00794EA4" w:rsidRDefault="0017531E">
      <w:pPr>
        <w:widowControl w:val="0"/>
        <w:spacing w:before="120" w:after="240" w:line="240" w:lineRule="auto"/>
        <w:jc w:val="both"/>
        <w:rPr>
          <w:rFonts w:cs="Times New Roman"/>
          <w:noProof/>
          <w:sz w:val="20"/>
        </w:rPr>
      </w:pPr>
      <w:r>
        <w:rPr>
          <w:rFonts w:cs="Times New Roman"/>
          <w:noProof/>
          <w:sz w:val="20"/>
        </w:rPr>
        <w:t>The estimated investment needs (reported under Article 17 of the Urban Waste Water Treatment Directive) to reach full compl</w:t>
      </w:r>
      <w:r>
        <w:rPr>
          <w:rFonts w:cs="Times New Roman"/>
          <w:noProof/>
          <w:sz w:val="20"/>
        </w:rPr>
        <w:t>iance with the Directive in Spain are of EUR 2944 million.</w:t>
      </w:r>
    </w:p>
    <w:p w:rsidR="00794EA4" w:rsidRDefault="00794EA4">
      <w:pPr>
        <w:widowControl w:val="0"/>
        <w:spacing w:before="120" w:after="240" w:line="240" w:lineRule="auto"/>
        <w:jc w:val="both"/>
        <w:rPr>
          <w:rFonts w:cs="Times New Roman"/>
          <w:noProof/>
          <w:sz w:val="20"/>
        </w:rPr>
      </w:pPr>
    </w:p>
    <w:p w:rsidR="00794EA4" w:rsidRDefault="00794EA4">
      <w:pPr>
        <w:widowControl w:val="0"/>
        <w:spacing w:before="120" w:after="240" w:line="240" w:lineRule="auto"/>
        <w:jc w:val="both"/>
        <w:rPr>
          <w:rFonts w:cs="Times New Roman"/>
          <w:noProof/>
          <w:sz w:val="20"/>
        </w:rPr>
      </w:pPr>
    </w:p>
    <w:p w:rsidR="00794EA4" w:rsidRDefault="00794EA4">
      <w:pPr>
        <w:widowControl w:val="0"/>
        <w:spacing w:before="120" w:after="240" w:line="240" w:lineRule="auto"/>
        <w:jc w:val="both"/>
        <w:rPr>
          <w:rFonts w:cs="Times New Roman"/>
          <w:noProof/>
          <w:sz w:val="20"/>
        </w:rPr>
      </w:pPr>
    </w:p>
    <w:p w:rsidR="00794EA4" w:rsidRDefault="00794EA4">
      <w:pPr>
        <w:widowControl w:val="0"/>
        <w:spacing w:before="120" w:after="24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rPr>
          <w:trHeight w:val="273"/>
        </w:trPr>
        <w:tc>
          <w:tcPr>
            <w:tcW w:w="4909" w:type="dxa"/>
            <w:shd w:val="clear" w:color="auto" w:fill="auto"/>
          </w:tcPr>
          <w:p w:rsidR="00794EA4" w:rsidRDefault="0017531E">
            <w:pPr>
              <w:widowControl w:val="0"/>
              <w:spacing w:after="120"/>
              <w:jc w:val="both"/>
              <w:rPr>
                <w:rFonts w:cs="Times New Roman"/>
                <w:noProof/>
                <w:sz w:val="20"/>
              </w:rPr>
            </w:pPr>
            <w:r>
              <w:rPr>
                <w:rFonts w:cs="Times New Roman"/>
                <w:b/>
                <w:bCs/>
                <w:noProof/>
                <w:color w:val="1F497D" w:themeColor="text2"/>
                <w:sz w:val="20"/>
              </w:rPr>
              <w:t>Figure 11: Urban waste water Spanish situation 2012 – Final deadline 2005</w:t>
            </w:r>
            <w:r>
              <w:rPr>
                <w:rFonts w:cs="Times New Roman"/>
                <w:b/>
                <w:bCs/>
                <w:noProof/>
                <w:color w:val="1F497D" w:themeColor="text2"/>
                <w:sz w:val="20"/>
                <w:vertAlign w:val="superscript"/>
              </w:rPr>
              <w:footnoteReference w:id="81"/>
            </w:r>
          </w:p>
        </w:tc>
      </w:tr>
      <w:tr w:rsidR="00794EA4">
        <w:trPr>
          <w:trHeight w:val="261"/>
        </w:trPr>
        <w:tc>
          <w:tcPr>
            <w:tcW w:w="4909" w:type="dxa"/>
            <w:shd w:val="clear" w:color="auto" w:fill="auto"/>
          </w:tcPr>
          <w:p w:rsidR="00794EA4" w:rsidRDefault="0017531E">
            <w:pPr>
              <w:widowControl w:val="0"/>
              <w:spacing w:after="120"/>
              <w:jc w:val="both"/>
              <w:rPr>
                <w:rFonts w:cs="Times New Roman"/>
                <w:b/>
                <w:bCs/>
                <w:noProof/>
                <w:color w:val="1F497D" w:themeColor="text2"/>
                <w:sz w:val="20"/>
              </w:rPr>
            </w:pPr>
            <w:r>
              <w:rPr>
                <w:rFonts w:cs="Times New Roman"/>
                <w:b/>
                <w:bCs/>
                <w:noProof/>
                <w:color w:val="1F497D" w:themeColor="text2"/>
                <w:sz w:val="20"/>
                <w:lang w:eastAsia="en-GB"/>
              </w:rPr>
              <w:drawing>
                <wp:inline distT="0" distB="0" distL="0" distR="0" wp14:anchorId="698DAA8A" wp14:editId="7AD45342">
                  <wp:extent cx="2965837" cy="2480807"/>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2264" cy="2486183"/>
                          </a:xfrm>
                          <a:prstGeom prst="rect">
                            <a:avLst/>
                          </a:prstGeom>
                          <a:noFill/>
                        </pic:spPr>
                      </pic:pic>
                    </a:graphicData>
                  </a:graphic>
                </wp:inline>
              </w:drawing>
            </w:r>
          </w:p>
        </w:tc>
      </w:tr>
    </w:tbl>
    <w:p w:rsidR="00794EA4" w:rsidRDefault="0017531E">
      <w:pPr>
        <w:spacing w:after="120" w:line="240" w:lineRule="auto"/>
        <w:jc w:val="both"/>
        <w:rPr>
          <w:rFonts w:cs="Times New Roman"/>
          <w:noProof/>
          <w:sz w:val="20"/>
        </w:rPr>
      </w:pPr>
      <w:r>
        <w:rPr>
          <w:rFonts w:cs="Times New Roman"/>
          <w:noProof/>
          <w:sz w:val="20"/>
        </w:rPr>
        <w:t>Certain areas of Spain are water-stressed</w:t>
      </w:r>
      <w:r>
        <w:rPr>
          <w:rFonts w:cs="Times New Roman"/>
          <w:noProof/>
          <w:sz w:val="20"/>
          <w:vertAlign w:val="superscript"/>
        </w:rPr>
        <w:footnoteReference w:id="82"/>
      </w:r>
      <w:r>
        <w:rPr>
          <w:rFonts w:cs="Times New Roman"/>
          <w:noProof/>
          <w:sz w:val="20"/>
        </w:rPr>
        <w:t xml:space="preserve">, meaning that water demand exceeds the available water resources under </w:t>
      </w:r>
      <w:r>
        <w:rPr>
          <w:rFonts w:cs="Times New Roman"/>
          <w:noProof/>
          <w:sz w:val="20"/>
        </w:rPr>
        <w:t>sustainable conditions. Spanish RBMPs include, by legal requirement, water balances at the scale of water exploitation systems which allow assessing the reliability of water supply for all uses and ensuring that the environmental objectives will be met onc</w:t>
      </w:r>
      <w:r>
        <w:rPr>
          <w:rFonts w:cs="Times New Roman"/>
          <w:noProof/>
          <w:sz w:val="20"/>
        </w:rPr>
        <w:t>e accounting for the previous restriction of e-flows. In water-stressed areas, water reuse and desalination are part of the mix of resources on which the system relies to meet water demands.</w:t>
      </w:r>
    </w:p>
    <w:p w:rsidR="00794EA4" w:rsidRDefault="0017531E">
      <w:pPr>
        <w:widowControl w:val="0"/>
        <w:spacing w:after="120" w:line="240" w:lineRule="auto"/>
        <w:jc w:val="both"/>
        <w:rPr>
          <w:rFonts w:cs="Times New Roman"/>
          <w:noProof/>
          <w:sz w:val="20"/>
        </w:rPr>
      </w:pPr>
      <w:r>
        <w:rPr>
          <w:rFonts w:cs="Times New Roman"/>
          <w:noProof/>
          <w:sz w:val="20"/>
        </w:rPr>
        <w:t xml:space="preserve">Decoupling economic growth from water use remains a challenge in </w:t>
      </w:r>
      <w:r>
        <w:rPr>
          <w:rFonts w:cs="Times New Roman"/>
          <w:noProof/>
          <w:sz w:val="20"/>
        </w:rPr>
        <w:t>Spain</w:t>
      </w:r>
      <w:r>
        <w:rPr>
          <w:rFonts w:eastAsia="Calibri" w:cs="Times New Roman"/>
          <w:noProof/>
          <w:sz w:val="20"/>
          <w:szCs w:val="20"/>
          <w:vertAlign w:val="superscript"/>
          <w:lang w:eastAsia="en-GB"/>
        </w:rPr>
        <w:footnoteReference w:id="83"/>
      </w:r>
      <w:r>
        <w:rPr>
          <w:rFonts w:eastAsia="Calibri" w:cs="Times New Roman"/>
          <w:noProof/>
          <w:sz w:val="20"/>
          <w:szCs w:val="20"/>
          <w:lang w:eastAsia="en-GB"/>
        </w:rPr>
        <w:t>.</w:t>
      </w:r>
      <w:r>
        <w:rPr>
          <w:rFonts w:cs="Times New Roman"/>
          <w:noProof/>
          <w:sz w:val="20"/>
        </w:rPr>
        <w:t xml:space="preserve"> Sectors like agriculture, tourism and energy are heavily dependent on water supply. At the same time, tariffs for supplied water are slightly lower than the EU average and there are large variations between cities and regions. In addition, there is</w:t>
      </w:r>
      <w:r>
        <w:rPr>
          <w:rFonts w:cs="Times New Roman"/>
          <w:noProof/>
          <w:sz w:val="20"/>
        </w:rPr>
        <w:t xml:space="preserve"> a lack of transparency in subsidies for water used in agriculture, and environmental costs (e.g. related to diffuse pollution) are rarely applied. Furthermore, there is a need to ensure sustainability of irrigation projects, the established ecological flo</w:t>
      </w:r>
      <w:r>
        <w:rPr>
          <w:rFonts w:cs="Times New Roman"/>
          <w:noProof/>
          <w:sz w:val="20"/>
        </w:rPr>
        <w:t>ws should guarantee good ecological status and exemptions linked to new infrastructure need to be better justified in the RBMPs.</w:t>
      </w:r>
    </w:p>
    <w:p w:rsidR="00794EA4" w:rsidRDefault="0017531E">
      <w:pPr>
        <w:widowControl w:val="0"/>
        <w:spacing w:after="120" w:line="240" w:lineRule="auto"/>
        <w:jc w:val="both"/>
        <w:rPr>
          <w:rFonts w:cs="Times New Roman"/>
          <w:noProof/>
          <w:sz w:val="20"/>
        </w:rPr>
      </w:pPr>
      <w:r>
        <w:rPr>
          <w:rFonts w:cs="Times New Roman"/>
          <w:noProof/>
          <w:sz w:val="20"/>
        </w:rPr>
        <w:t>An adequate water-pricing policy to recover the cost of water services, together with greater transparency of prices and subsid</w:t>
      </w:r>
      <w:r>
        <w:rPr>
          <w:rFonts w:cs="Times New Roman"/>
          <w:noProof/>
          <w:sz w:val="20"/>
        </w:rPr>
        <w:t>es, promotion of wastewater reuse, modernisation of irrigation systems, as well as better control of water abstraction, could all harness water saving potential, especially in the agriculture sector, the major consumer of water.</w:t>
      </w:r>
    </w:p>
    <w:p w:rsidR="00794EA4" w:rsidRDefault="0017531E">
      <w:pPr>
        <w:widowControl w:val="0"/>
        <w:spacing w:after="120" w:line="240" w:lineRule="auto"/>
        <w:jc w:val="both"/>
        <w:rPr>
          <w:rFonts w:cs="Times New Roman"/>
          <w:noProof/>
          <w:sz w:val="20"/>
        </w:rPr>
      </w:pPr>
      <w:r>
        <w:rPr>
          <w:rFonts w:cs="Times New Roman"/>
          <w:noProof/>
          <w:sz w:val="20"/>
        </w:rPr>
        <w:t>There is scope for a more e</w:t>
      </w:r>
      <w:r>
        <w:rPr>
          <w:rFonts w:cs="Times New Roman"/>
          <w:noProof/>
          <w:sz w:val="20"/>
        </w:rPr>
        <w:t>fficient use of water supply infrastructures, e.g.: desalinisation plants built primarily on the Mediterranean coast some of them with EU funding support have been underused; reduction of leakages in the water supply networks should be a priority. Measures</w:t>
      </w:r>
      <w:r>
        <w:rPr>
          <w:rFonts w:cs="Times New Roman"/>
          <w:noProof/>
          <w:sz w:val="20"/>
        </w:rPr>
        <w:t xml:space="preserve"> to improve the water governance could also be envisaged.</w:t>
      </w:r>
    </w:p>
    <w:p w:rsidR="00794EA4" w:rsidRDefault="0017531E">
      <w:pPr>
        <w:widowControl w:val="0"/>
        <w:spacing w:after="240" w:line="240" w:lineRule="auto"/>
        <w:jc w:val="both"/>
        <w:rPr>
          <w:rFonts w:cs="Times New Roman"/>
          <w:noProof/>
          <w:sz w:val="20"/>
        </w:rPr>
      </w:pPr>
      <w:r>
        <w:rPr>
          <w:rFonts w:cs="Times New Roman"/>
          <w:noProof/>
          <w:sz w:val="20"/>
        </w:rPr>
        <w:t>Finally, flooding is a recurrent problem in Spain but natural water retention measures for flood prevention are often disregarded, despite being sometimes more cost-effective than hard infrastructur</w:t>
      </w:r>
      <w:r>
        <w:rPr>
          <w:rFonts w:cs="Times New Roman"/>
          <w:noProof/>
          <w:sz w:val="20"/>
        </w:rPr>
        <w:t>e for flood prevention, as well as being cheaper than the costs of flood recovery</w:t>
      </w:r>
      <w:r>
        <w:rPr>
          <w:rFonts w:cs="Times New Roman"/>
          <w:noProof/>
          <w:sz w:val="20"/>
          <w:vertAlign w:val="superscript"/>
        </w:rPr>
        <w:footnoteReference w:id="84"/>
      </w:r>
      <w:r>
        <w:rPr>
          <w:rFonts w:cs="Times New Roman"/>
          <w:noProof/>
          <w:sz w:val="20"/>
        </w:rPr>
        <w:t>.</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rPr>
          <w:noProof/>
        </w:rPr>
      </w:pPr>
      <w:bookmarkStart w:id="35" w:name="_Toc433296168"/>
      <w:r>
        <w:rPr>
          <w:noProof/>
        </w:rPr>
        <w:t>Spain should continue improving its water policy in line with the intervention logic of the Water Framework Directive (WFD).</w:t>
      </w:r>
    </w:p>
    <w:p w:rsidR="00794EA4" w:rsidRDefault="0017531E">
      <w:pPr>
        <w:pStyle w:val="NoSpacing"/>
        <w:rPr>
          <w:noProof/>
        </w:rPr>
      </w:pPr>
      <w:r>
        <w:rPr>
          <w:noProof/>
        </w:rPr>
        <w:t>The methods for the assessment</w:t>
      </w:r>
      <w:r>
        <w:rPr>
          <w:noProof/>
        </w:rPr>
        <w:t xml:space="preserve"> of status should be fully developed to improve certainty about the water status and monitoring programmes should be adequately funded. This will provide better information basis for decision making.</w:t>
      </w:r>
    </w:p>
    <w:p w:rsidR="00794EA4" w:rsidRDefault="0017531E">
      <w:pPr>
        <w:pStyle w:val="NoSpacing"/>
        <w:rPr>
          <w:noProof/>
        </w:rPr>
      </w:pPr>
      <w:r>
        <w:rPr>
          <w:noProof/>
        </w:rPr>
        <w:t xml:space="preserve">New physical modifications of water bodies should be </w:t>
      </w:r>
      <w:r>
        <w:rPr>
          <w:noProof/>
        </w:rPr>
        <w:t>assessed in line with article 4(7) of the WFD, after considering alternative options and adequate mitigation measures.</w:t>
      </w:r>
    </w:p>
    <w:p w:rsidR="00794EA4" w:rsidRDefault="0017531E">
      <w:pPr>
        <w:pStyle w:val="NoSpacing"/>
        <w:rPr>
          <w:noProof/>
        </w:rPr>
      </w:pPr>
      <w:r>
        <w:rPr>
          <w:noProof/>
        </w:rPr>
        <w:t>Control of water abstraction both for surface and ground waters should improve. An effective water pricing policy including recovery of e</w:t>
      </w:r>
      <w:r>
        <w:rPr>
          <w:noProof/>
        </w:rPr>
        <w:t>nvironmental and resource costs should be put in place, in particular for agriculture, in order to provide adequate incentive for efficient use of water. The setup of a national regulator or supervisor body to ensure consistency and the adequate cost-recov</w:t>
      </w:r>
      <w:r>
        <w:rPr>
          <w:noProof/>
        </w:rPr>
        <w:t>ery in the urban tariffs would be also advisable.</w:t>
      </w:r>
    </w:p>
    <w:p w:rsidR="00794EA4" w:rsidRDefault="0017531E">
      <w:pPr>
        <w:pStyle w:val="NoSpacing"/>
        <w:rPr>
          <w:rFonts w:eastAsia="Arial Unicode MS"/>
          <w:noProof/>
          <w:color w:val="000000"/>
        </w:rPr>
      </w:pPr>
      <w:r>
        <w:rPr>
          <w:rFonts w:eastAsia="Arial Unicode MS"/>
          <w:noProof/>
        </w:rPr>
        <w:t>Spain shall ensure appropriate designation of nitrate vulnerable zones and reinforce action in order to address nutrients pollution and improve water quality over time (groundwater, fresh and saline surface</w:t>
      </w:r>
      <w:r>
        <w:rPr>
          <w:rFonts w:eastAsia="Arial Unicode MS"/>
          <w:noProof/>
        </w:rPr>
        <w:t xml:space="preserve"> waters) in these zones.</w:t>
      </w:r>
      <w:bookmarkEnd w:id="35"/>
    </w:p>
    <w:p w:rsidR="00794EA4" w:rsidRDefault="0017531E">
      <w:pPr>
        <w:pStyle w:val="NoSpacing"/>
        <w:spacing w:after="360"/>
        <w:rPr>
          <w:rFonts w:eastAsia="Arial Unicode MS"/>
          <w:noProof/>
          <w:color w:val="000000"/>
        </w:rPr>
      </w:pPr>
      <w:r>
        <w:rPr>
          <w:rFonts w:eastAsia="Arial Unicode MS"/>
          <w:noProof/>
        </w:rPr>
        <w:t>Complete implementation of the Urban Waste Water Treatment Directive for all agglomerations, by building up the necessary infrastructure.</w:t>
      </w:r>
    </w:p>
    <w:p w:rsidR="00794EA4" w:rsidRDefault="00794EA4">
      <w:pPr>
        <w:widowControl w:val="0"/>
        <w:spacing w:before="240" w:after="240" w:line="240" w:lineRule="auto"/>
        <w:outlineLvl w:val="1"/>
        <w:rPr>
          <w:rFonts w:cs="Times New Roman"/>
          <w:b/>
          <w:noProof/>
          <w:color w:val="1F497D" w:themeColor="text2"/>
          <w:sz w:val="24"/>
          <w:szCs w:val="24"/>
        </w:rPr>
      </w:pPr>
      <w:bookmarkStart w:id="36" w:name="_Toc436815691"/>
      <w:bookmarkStart w:id="37" w:name="_Toc469492822"/>
    </w:p>
    <w:p w:rsidR="00794EA4" w:rsidRDefault="00794EA4">
      <w:pPr>
        <w:widowControl w:val="0"/>
        <w:spacing w:before="240" w:after="240" w:line="240" w:lineRule="auto"/>
        <w:outlineLvl w:val="1"/>
        <w:rPr>
          <w:rFonts w:cs="Times New Roman"/>
          <w:b/>
          <w:noProof/>
          <w:color w:val="1F497D" w:themeColor="text2"/>
          <w:sz w:val="24"/>
          <w:szCs w:val="24"/>
        </w:rPr>
      </w:pPr>
    </w:p>
    <w:p w:rsidR="00794EA4" w:rsidRDefault="00794EA4">
      <w:pPr>
        <w:widowControl w:val="0"/>
        <w:spacing w:before="240" w:after="240" w:line="240" w:lineRule="auto"/>
        <w:outlineLvl w:val="1"/>
        <w:rPr>
          <w:rFonts w:cs="Times New Roman"/>
          <w:b/>
          <w:noProof/>
          <w:color w:val="1F497D" w:themeColor="text2"/>
          <w:sz w:val="24"/>
          <w:szCs w:val="24"/>
        </w:rPr>
      </w:pPr>
    </w:p>
    <w:p w:rsidR="00794EA4" w:rsidRDefault="0017531E">
      <w:pPr>
        <w:widowControl w:val="0"/>
        <w:spacing w:before="240" w:after="240" w:line="240" w:lineRule="auto"/>
        <w:outlineLvl w:val="1"/>
        <w:rPr>
          <w:rFonts w:cs="Times New Roman"/>
          <w:b/>
          <w:noProof/>
          <w:color w:val="1F497D" w:themeColor="text2"/>
          <w:sz w:val="24"/>
          <w:szCs w:val="24"/>
        </w:rPr>
      </w:pPr>
      <w:r>
        <w:rPr>
          <w:rFonts w:cs="Times New Roman"/>
          <w:b/>
          <w:noProof/>
          <w:color w:val="1F497D" w:themeColor="text2"/>
          <w:sz w:val="24"/>
          <w:szCs w:val="24"/>
        </w:rPr>
        <w:t>Enhancing the sustainability of cities</w:t>
      </w:r>
      <w:bookmarkEnd w:id="36"/>
      <w:bookmarkEnd w:id="37"/>
      <w:r>
        <w:rPr>
          <w:rFonts w:cs="Times New Roman"/>
          <w:b/>
          <w:noProof/>
          <w:color w:val="1F497D" w:themeColor="text2"/>
          <w:sz w:val="24"/>
          <w:szCs w:val="24"/>
        </w:rPr>
        <w:t xml:space="preserve"> </w:t>
      </w:r>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EU Policy on the urban environment encourages </w:t>
      </w:r>
      <w:r>
        <w:rPr>
          <w:rFonts w:cs="Times New Roman"/>
          <w:noProof/>
          <w:color w:val="FFFFFF" w:themeColor="background1"/>
          <w:sz w:val="20"/>
        </w:rPr>
        <w:t xml:space="preserve">cities to implement policies for sustainable urban planning and design, including innovative approaches for urban public transport and mobility, sustainable buildings, energy efficiency and urban biodiversity conservation. </w:t>
      </w:r>
    </w:p>
    <w:p w:rsidR="00794EA4" w:rsidRDefault="0017531E">
      <w:pPr>
        <w:widowControl w:val="0"/>
        <w:shd w:val="clear" w:color="auto" w:fill="4F81BD" w:themeFill="accent1"/>
        <w:spacing w:after="0" w:line="240" w:lineRule="auto"/>
        <w:jc w:val="both"/>
        <w:rPr>
          <w:rFonts w:cs="Times New Roman"/>
          <w:i/>
          <w:noProof/>
          <w:color w:val="FFFFFF" w:themeColor="background1"/>
          <w:sz w:val="20"/>
        </w:rPr>
      </w:pPr>
      <w:r>
        <w:rPr>
          <w:rFonts w:cs="Times New Roman"/>
          <w:noProof/>
          <w:color w:val="FFFFFF" w:themeColor="background1"/>
          <w:sz w:val="20"/>
        </w:rPr>
        <w:t xml:space="preserve">SDG11 aims at making cities and </w:t>
      </w:r>
      <w:r>
        <w:rPr>
          <w:rFonts w:cs="Times New Roman"/>
          <w:noProof/>
          <w:color w:val="FFFFFF" w:themeColor="background1"/>
          <w:sz w:val="20"/>
        </w:rPr>
        <w:t>human settlements inclusive, safe, resilient and sustainable.</w:t>
      </w:r>
    </w:p>
    <w:p w:rsidR="00794EA4" w:rsidRDefault="0017531E">
      <w:pPr>
        <w:widowControl w:val="0"/>
        <w:spacing w:before="240" w:after="120" w:line="240" w:lineRule="auto"/>
        <w:jc w:val="both"/>
        <w:rPr>
          <w:rFonts w:cs="Times New Roman"/>
          <w:noProof/>
          <w:sz w:val="20"/>
        </w:rPr>
      </w:pPr>
      <w:r>
        <w:rPr>
          <w:rFonts w:cs="Times New Roman"/>
          <w:noProof/>
          <w:sz w:val="20"/>
        </w:rPr>
        <w:t>Europe is a Union of cities and towns; around 75% of the EU population are living in urban areas.</w:t>
      </w:r>
      <w:r>
        <w:rPr>
          <w:rFonts w:cs="Times New Roman"/>
          <w:noProof/>
          <w:sz w:val="20"/>
          <w:vertAlign w:val="superscript"/>
        </w:rPr>
        <w:footnoteReference w:id="85"/>
      </w:r>
      <w:r>
        <w:rPr>
          <w:rFonts w:cs="Times New Roman"/>
          <w:noProof/>
          <w:sz w:val="20"/>
        </w:rPr>
        <w:t xml:space="preserve"> The urban environment poses particular challenges for the environment and human health, whilst </w:t>
      </w:r>
      <w:r>
        <w:rPr>
          <w:rFonts w:cs="Times New Roman"/>
          <w:noProof/>
          <w:sz w:val="20"/>
        </w:rPr>
        <w:t xml:space="preserve">also providing opportunities and efficiency gains in the use of resources. </w:t>
      </w:r>
    </w:p>
    <w:p w:rsidR="00794EA4" w:rsidRDefault="0017531E">
      <w:pPr>
        <w:widowControl w:val="0"/>
        <w:spacing w:after="120" w:line="240" w:lineRule="auto"/>
        <w:jc w:val="both"/>
        <w:rPr>
          <w:rFonts w:cs="Times New Roman"/>
          <w:noProof/>
          <w:sz w:val="20"/>
        </w:rPr>
      </w:pPr>
      <w:r>
        <w:rPr>
          <w:rFonts w:cs="Times New Roman"/>
          <w:noProof/>
          <w:sz w:val="20"/>
        </w:rPr>
        <w:t xml:space="preserve">The Member States, European institutions, cities and stakeholders have prepared a new Urban Agenda for the EU (incorporating the Smart Cities initiative) to tackle these issues in </w:t>
      </w:r>
      <w:r>
        <w:rPr>
          <w:rFonts w:cs="Times New Roman"/>
          <w:noProof/>
          <w:sz w:val="20"/>
        </w:rPr>
        <w:t>a comprehensive way, including their connections with social and economic challenges. At the heart of this Urban Agenda will be the development of twelve partnerships on the identified urban challenges, including air quality and housing</w:t>
      </w:r>
      <w:r>
        <w:rPr>
          <w:rFonts w:cs="Times New Roman"/>
          <w:noProof/>
          <w:sz w:val="20"/>
          <w:vertAlign w:val="superscript"/>
        </w:rPr>
        <w:footnoteReference w:id="86"/>
      </w:r>
      <w:r>
        <w:rPr>
          <w:rFonts w:cs="Times New Roman"/>
          <w:noProof/>
          <w:sz w:val="20"/>
        </w:rPr>
        <w:t xml:space="preserve">. </w:t>
      </w:r>
    </w:p>
    <w:p w:rsidR="00794EA4" w:rsidRDefault="0017531E">
      <w:pPr>
        <w:widowControl w:val="0"/>
        <w:spacing w:after="120" w:line="240" w:lineRule="auto"/>
        <w:jc w:val="both"/>
        <w:rPr>
          <w:rFonts w:cs="Times New Roman"/>
          <w:noProof/>
          <w:sz w:val="20"/>
        </w:rPr>
      </w:pPr>
      <w:r>
        <w:rPr>
          <w:rFonts w:cs="Times New Roman"/>
          <w:noProof/>
          <w:sz w:val="20"/>
        </w:rPr>
        <w:t>The European Com</w:t>
      </w:r>
      <w:r>
        <w:rPr>
          <w:rFonts w:cs="Times New Roman"/>
          <w:noProof/>
          <w:sz w:val="20"/>
        </w:rPr>
        <w:t>mission will launch a new EU benchmark system in 2017</w:t>
      </w:r>
      <w:r>
        <w:rPr>
          <w:rFonts w:cs="Times New Roman"/>
          <w:noProof/>
          <w:sz w:val="20"/>
          <w:vertAlign w:val="superscript"/>
        </w:rPr>
        <w:footnoteReference w:id="87"/>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The EU stimulates green cities through awards and funding, such as the EU Green Capital Award aimed at cities with more than 100,000 inhabitants and the EU Green Leaf initiative aimed at cities and to</w:t>
      </w:r>
      <w:r>
        <w:rPr>
          <w:rFonts w:cs="Times New Roman"/>
          <w:noProof/>
          <w:sz w:val="20"/>
        </w:rPr>
        <w:t>wns, with between 20,000 and 100,000 inhabitants.</w:t>
      </w:r>
    </w:p>
    <w:p w:rsidR="00794EA4" w:rsidRDefault="0017531E">
      <w:pPr>
        <w:widowControl w:val="0"/>
        <w:spacing w:after="120" w:line="240" w:lineRule="auto"/>
        <w:jc w:val="both"/>
        <w:rPr>
          <w:rFonts w:cs="Times New Roman"/>
          <w:noProof/>
          <w:sz w:val="20"/>
        </w:rPr>
      </w:pPr>
      <w:r>
        <w:rPr>
          <w:rFonts w:cs="Times New Roman"/>
          <w:noProof/>
          <w:sz w:val="20"/>
        </w:rPr>
        <w:t>In the case of Spain, it should be highlighted that Vitoria-Gasteiz (in the region of País Vasco) received the EU Green Capital Award in 2012</w:t>
      </w:r>
      <w:r>
        <w:rPr>
          <w:rFonts w:cs="Times New Roman"/>
          <w:noProof/>
          <w:sz w:val="20"/>
          <w:vertAlign w:val="superscript"/>
        </w:rPr>
        <w:footnoteReference w:id="88"/>
      </w:r>
      <w:r>
        <w:rPr>
          <w:rFonts w:cs="Times New Roman"/>
          <w:noProof/>
          <w:sz w:val="20"/>
        </w:rPr>
        <w:t>. Moreover, Mollet del Vallès (in the region of Cataluña) was on</w:t>
      </w:r>
      <w:r>
        <w:rPr>
          <w:rFonts w:cs="Times New Roman"/>
          <w:noProof/>
          <w:sz w:val="20"/>
        </w:rPr>
        <w:t>e of the two cities winning the inaugural EU Green Leaf in 2015</w:t>
      </w:r>
      <w:r>
        <w:rPr>
          <w:rFonts w:cs="Times New Roman"/>
          <w:noProof/>
          <w:sz w:val="20"/>
          <w:vertAlign w:val="superscript"/>
        </w:rPr>
        <w:footnoteReference w:id="89"/>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It should be highlighted that with the support of the ERDF during the last programming periods Spain has developed important and outstanding initiatives in terms of sustainable urban develop</w:t>
      </w:r>
      <w:r>
        <w:rPr>
          <w:rFonts w:cs="Times New Roman"/>
          <w:noProof/>
          <w:sz w:val="20"/>
        </w:rPr>
        <w:t>ment as well as urban regeneration across many cities and towns. In the current period 2014-2020, Spain has also launched an ambitious and comprehensive initiative in favour of the local administrations to promote Strategies on Sustainable and Integrated U</w:t>
      </w:r>
      <w:r>
        <w:rPr>
          <w:rFonts w:cs="Times New Roman"/>
          <w:noProof/>
          <w:sz w:val="20"/>
        </w:rPr>
        <w:t>rban Development</w:t>
      </w:r>
      <w:r>
        <w:rPr>
          <w:rStyle w:val="FootnoteReference"/>
          <w:rFonts w:cs="Times New Roman"/>
          <w:noProof/>
          <w:sz w:val="20"/>
        </w:rPr>
        <w:footnoteReference w:id="90"/>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Personal transport exacerbates seasonal problems with air quality and traffic congestion</w:t>
      </w:r>
      <w:r>
        <w:rPr>
          <w:rFonts w:cs="Times New Roman"/>
          <w:noProof/>
          <w:sz w:val="20"/>
          <w:vertAlign w:val="superscript"/>
        </w:rPr>
        <w:footnoteReference w:id="91"/>
      </w:r>
      <w:r>
        <w:rPr>
          <w:rFonts w:cs="Times New Roman"/>
          <w:noProof/>
          <w:sz w:val="20"/>
        </w:rPr>
        <w:t xml:space="preserve"> in the major metropolitan areas in Spain, leading to health and economic costs. Recent events in Madrid clearly show this issue and its consequences. A comprehensive approach is needed to tackle this matter, bringing environmental as well as economic and </w:t>
      </w:r>
      <w:r>
        <w:rPr>
          <w:rFonts w:cs="Times New Roman"/>
          <w:noProof/>
          <w:sz w:val="20"/>
        </w:rPr>
        <w:t>social benefits.</w:t>
      </w:r>
    </w:p>
    <w:p w:rsidR="00794EA4" w:rsidRDefault="0017531E">
      <w:pPr>
        <w:widowControl w:val="0"/>
        <w:spacing w:before="120" w:after="360" w:line="240" w:lineRule="auto"/>
        <w:jc w:val="both"/>
        <w:rPr>
          <w:rFonts w:cs="Times New Roman"/>
          <w:noProof/>
          <w:sz w:val="20"/>
        </w:rPr>
      </w:pPr>
      <w:r>
        <w:rPr>
          <w:rFonts w:cs="Times New Roman"/>
          <w:noProof/>
          <w:sz w:val="20"/>
        </w:rPr>
        <w:t>In the framework of the National Plan of Air Quality and Protection of the Atmosphere 2013-2016, one of the measures envisaged by the Spanish authorities in this direction is the distribution of eco-labels for 50% of the vehicles in Spain, accounting for 1</w:t>
      </w:r>
      <w:r>
        <w:rPr>
          <w:rFonts w:cs="Times New Roman"/>
          <w:noProof/>
          <w:sz w:val="20"/>
        </w:rPr>
        <w:t xml:space="preserve">6 million vehicles that will be classified into “Cero”, “Eco”, “C” and “B” according to their potential pollutants </w:t>
      </w:r>
      <w:r>
        <w:rPr>
          <w:rFonts w:cs="Times New Roman"/>
          <w:noProof/>
          <w:sz w:val="20"/>
          <w:vertAlign w:val="superscript"/>
        </w:rPr>
        <w:footnoteReference w:id="92"/>
      </w:r>
      <w:r>
        <w:rPr>
          <w:rFonts w:cs="Times New Roman"/>
          <w:noProof/>
          <w:sz w:val="20"/>
        </w:rPr>
        <w:t>.</w:t>
      </w:r>
    </w:p>
    <w:p w:rsidR="00794EA4" w:rsidRDefault="0017531E">
      <w:pPr>
        <w:widowControl w:val="0"/>
        <w:spacing w:before="120" w:after="360" w:line="240" w:lineRule="auto"/>
        <w:jc w:val="both"/>
        <w:rPr>
          <w:rFonts w:cs="Times New Roman"/>
          <w:noProof/>
          <w:sz w:val="20"/>
        </w:rPr>
      </w:pPr>
      <w:r>
        <w:rPr>
          <w:rFonts w:cs="Times New Roman"/>
          <w:noProof/>
          <w:sz w:val="20"/>
          <w:lang w:eastAsia="en-GB"/>
        </w:rPr>
        <w:drawing>
          <wp:inline distT="0" distB="0" distL="0" distR="0" wp14:anchorId="3E8B1718" wp14:editId="7901C0D1">
            <wp:extent cx="2941982" cy="3283889"/>
            <wp:effectExtent l="0" t="0" r="0" b="0"/>
            <wp:docPr id="67" name="Picture 67" descr="C:\Users\schwemi\AppData\Local\Microsoft\Windows\Temporary Internet Files\Content.Word\iStock_20655352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wemi\AppData\Local\Microsoft\Windows\Temporary Internet Files\Content.Word\iStock_20655352_LARG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949051" cy="3291780"/>
                    </a:xfrm>
                    <a:prstGeom prst="rect">
                      <a:avLst/>
                    </a:prstGeom>
                    <a:noFill/>
                    <a:ln>
                      <a:noFill/>
                    </a:ln>
                  </pic:spPr>
                </pic:pic>
              </a:graphicData>
            </a:graphic>
          </wp:inline>
        </w:drawing>
      </w:r>
    </w:p>
    <w:p w:rsidR="00794EA4" w:rsidRDefault="00794EA4">
      <w:pPr>
        <w:widowControl w:val="0"/>
        <w:spacing w:before="120" w:after="240" w:line="240" w:lineRule="auto"/>
        <w:outlineLvl w:val="1"/>
        <w:rPr>
          <w:rFonts w:cs="Times New Roman"/>
          <w:b/>
          <w:noProof/>
          <w:color w:val="1F497D" w:themeColor="text2"/>
          <w:sz w:val="24"/>
          <w:szCs w:val="24"/>
        </w:rPr>
      </w:pPr>
      <w:bookmarkStart w:id="38" w:name="_Toc453686116"/>
      <w:bookmarkStart w:id="39" w:name="_Toc469492823"/>
    </w:p>
    <w:p w:rsidR="00794EA4" w:rsidRDefault="00794EA4">
      <w:pPr>
        <w:widowControl w:val="0"/>
        <w:spacing w:before="120" w:after="240" w:line="240" w:lineRule="auto"/>
        <w:outlineLvl w:val="1"/>
        <w:rPr>
          <w:rFonts w:cs="Times New Roman"/>
          <w:b/>
          <w:noProof/>
          <w:color w:val="1F497D" w:themeColor="text2"/>
          <w:sz w:val="24"/>
          <w:szCs w:val="24"/>
        </w:rPr>
      </w:pPr>
    </w:p>
    <w:p w:rsidR="00794EA4" w:rsidRDefault="00794EA4">
      <w:pPr>
        <w:widowControl w:val="0"/>
        <w:spacing w:before="120" w:after="240" w:line="240" w:lineRule="auto"/>
        <w:outlineLvl w:val="1"/>
        <w:rPr>
          <w:rFonts w:cs="Times New Roman"/>
          <w:b/>
          <w:noProof/>
          <w:color w:val="1F497D" w:themeColor="text2"/>
          <w:sz w:val="24"/>
          <w:szCs w:val="24"/>
        </w:rPr>
      </w:pPr>
    </w:p>
    <w:p w:rsidR="00794EA4" w:rsidRDefault="00794EA4">
      <w:pPr>
        <w:widowControl w:val="0"/>
        <w:spacing w:before="120" w:after="240" w:line="240" w:lineRule="auto"/>
        <w:outlineLvl w:val="1"/>
        <w:rPr>
          <w:rFonts w:cs="Times New Roman"/>
          <w:b/>
          <w:noProof/>
          <w:color w:val="1F497D" w:themeColor="text2"/>
          <w:sz w:val="24"/>
          <w:szCs w:val="24"/>
        </w:rPr>
      </w:pPr>
    </w:p>
    <w:p w:rsidR="00794EA4" w:rsidRDefault="00794EA4">
      <w:pPr>
        <w:widowControl w:val="0"/>
        <w:spacing w:before="120" w:after="240" w:line="240" w:lineRule="auto"/>
        <w:outlineLvl w:val="1"/>
        <w:rPr>
          <w:rFonts w:cs="Times New Roman"/>
          <w:b/>
          <w:noProof/>
          <w:color w:val="1F497D" w:themeColor="text2"/>
          <w:sz w:val="24"/>
          <w:szCs w:val="24"/>
        </w:rPr>
      </w:pPr>
    </w:p>
    <w:p w:rsidR="00794EA4" w:rsidRDefault="0017531E">
      <w:pPr>
        <w:widowControl w:val="0"/>
        <w:spacing w:before="120" w:after="240" w:line="240" w:lineRule="auto"/>
        <w:outlineLvl w:val="1"/>
        <w:rPr>
          <w:rFonts w:cs="Times New Roman"/>
          <w:b/>
          <w:noProof/>
          <w:color w:val="1F497D" w:themeColor="text2"/>
          <w:sz w:val="24"/>
          <w:szCs w:val="24"/>
        </w:rPr>
      </w:pPr>
      <w:r>
        <w:rPr>
          <w:rFonts w:cs="Times New Roman"/>
          <w:b/>
          <w:noProof/>
          <w:color w:val="1F497D" w:themeColor="text2"/>
          <w:sz w:val="24"/>
          <w:szCs w:val="24"/>
        </w:rPr>
        <w:t>International agreements</w:t>
      </w:r>
      <w:bookmarkEnd w:id="38"/>
      <w:bookmarkEnd w:id="39"/>
      <w:r>
        <w:rPr>
          <w:rFonts w:cs="Times New Roman"/>
          <w:b/>
          <w:noProof/>
          <w:color w:val="1F497D" w:themeColor="text2"/>
          <w:sz w:val="24"/>
          <w:szCs w:val="24"/>
        </w:rPr>
        <w:t xml:space="preserve"> </w:t>
      </w:r>
    </w:p>
    <w:p w:rsidR="00794EA4" w:rsidRDefault="0017531E">
      <w:pPr>
        <w:widowControl w:val="0"/>
        <w:shd w:val="clear" w:color="auto" w:fill="4F81BD" w:themeFill="accent1"/>
        <w:spacing w:before="120" w:after="0" w:line="240" w:lineRule="auto"/>
        <w:jc w:val="both"/>
        <w:rPr>
          <w:rFonts w:cstheme="minorHAnsi"/>
          <w:noProof/>
          <w:color w:val="1F497D" w:themeColor="text2"/>
          <w:szCs w:val="26"/>
        </w:rPr>
      </w:pPr>
      <w:r>
        <w:rPr>
          <w:rFonts w:cs="Times New Roman"/>
          <w:noProof/>
          <w:color w:val="FFFFFF" w:themeColor="background1"/>
          <w:sz w:val="20"/>
        </w:rPr>
        <w:t>The EU Treaties require that the Union policy on the environment promotes measures at the international l</w:t>
      </w:r>
      <w:r>
        <w:rPr>
          <w:rFonts w:cs="Times New Roman"/>
          <w:noProof/>
          <w:color w:val="FFFFFF" w:themeColor="background1"/>
          <w:sz w:val="20"/>
        </w:rPr>
        <w:t>evel to deal with regional or worldwide environmental problems.</w:t>
      </w:r>
    </w:p>
    <w:p w:rsidR="00794EA4" w:rsidRDefault="0017531E">
      <w:pPr>
        <w:spacing w:before="240" w:after="120" w:line="240" w:lineRule="auto"/>
        <w:jc w:val="both"/>
        <w:rPr>
          <w:rFonts w:ascii="Calibri" w:hAnsi="Calibri" w:cs="Times New Roman"/>
          <w:noProof/>
          <w:sz w:val="20"/>
          <w:szCs w:val="20"/>
        </w:rPr>
      </w:pPr>
      <w:r>
        <w:rPr>
          <w:rFonts w:ascii="Calibri" w:hAnsi="Calibri" w:cs="Times New Roman"/>
          <w:noProof/>
          <w:sz w:val="20"/>
          <w:szCs w:val="20"/>
        </w:rPr>
        <w:t>Most environmental problems have a transboundary nature and often a global scope and they can only be addressed effectively through international co-operation. International environmental agre</w:t>
      </w:r>
      <w:r>
        <w:rPr>
          <w:rFonts w:ascii="Calibri" w:hAnsi="Calibri" w:cs="Times New Roman"/>
          <w:noProof/>
          <w:sz w:val="20"/>
          <w:szCs w:val="20"/>
        </w:rPr>
        <w:t>ements concluded by the Union are binding upon the institutions of the Union and on its Member States. This requires the EU and the Member States to sign, ratify and effectively implement all relevant multilateral environmental agreements (MEAs) in a timel</w:t>
      </w:r>
      <w:r>
        <w:rPr>
          <w:rFonts w:ascii="Calibri" w:hAnsi="Calibri" w:cs="Times New Roman"/>
          <w:noProof/>
          <w:sz w:val="20"/>
          <w:szCs w:val="20"/>
        </w:rPr>
        <w:t>y manner. This will also be an important contribution towards the achievement of the SDGs, which Member States committed to in 2015 and include many commitments contained already in legally binding agreements.</w:t>
      </w:r>
    </w:p>
    <w:p w:rsidR="00794EA4" w:rsidRDefault="0017531E">
      <w:pPr>
        <w:widowControl w:val="0"/>
        <w:spacing w:after="120" w:line="240" w:lineRule="auto"/>
        <w:jc w:val="both"/>
        <w:rPr>
          <w:rFonts w:cs="Times New Roman"/>
          <w:noProof/>
          <w:sz w:val="20"/>
        </w:rPr>
      </w:pPr>
      <w:r>
        <w:rPr>
          <w:rFonts w:ascii="Calibri" w:hAnsi="Calibri" w:cs="Times New Roman"/>
          <w:noProof/>
          <w:sz w:val="20"/>
          <w:szCs w:val="20"/>
        </w:rPr>
        <w:t xml:space="preserve">The fact that some Member States did not sign </w:t>
      </w:r>
      <w:r>
        <w:rPr>
          <w:rFonts w:ascii="Calibri" w:hAnsi="Calibri" w:cs="Times New Roman"/>
          <w:noProof/>
          <w:sz w:val="20"/>
          <w:szCs w:val="20"/>
        </w:rPr>
        <w:t>and/or ratify a number of MEAs compromises environmental implementation, including within the Union, as well as the Union’s credibility in related negotiations and international meetings where supporting the participation of third countries to such agreeme</w:t>
      </w:r>
      <w:r>
        <w:rPr>
          <w:rFonts w:ascii="Calibri" w:hAnsi="Calibri" w:cs="Times New Roman"/>
          <w:noProof/>
          <w:sz w:val="20"/>
          <w:szCs w:val="20"/>
        </w:rPr>
        <w:t>nts is an established EU policy objective. In agreements where voting takes place it has a direct impact on the number of votes to be cast by the EU.</w:t>
      </w:r>
    </w:p>
    <w:p w:rsidR="00794EA4" w:rsidRDefault="0017531E">
      <w:pPr>
        <w:widowControl w:val="0"/>
        <w:spacing w:after="120" w:line="240" w:lineRule="auto"/>
        <w:jc w:val="both"/>
        <w:rPr>
          <w:rFonts w:cs="Times New Roman"/>
          <w:noProof/>
          <w:sz w:val="20"/>
        </w:rPr>
      </w:pPr>
      <w:r>
        <w:rPr>
          <w:rFonts w:cs="Times New Roman"/>
          <w:noProof/>
          <w:sz w:val="20"/>
        </w:rPr>
        <w:t>Spain has signed and ratified almost all MEAs. It has signed but not yet ratified the Offshore Protocol of</w:t>
      </w:r>
      <w:r>
        <w:rPr>
          <w:rFonts w:cs="Times New Roman"/>
          <w:noProof/>
          <w:sz w:val="20"/>
        </w:rPr>
        <w:t xml:space="preserve"> the Barcelona Convention.</w:t>
      </w:r>
    </w:p>
    <w:p w:rsidR="00794EA4" w:rsidRDefault="00794EA4">
      <w:pPr>
        <w:widowControl w:val="0"/>
        <w:spacing w:after="120" w:line="240" w:lineRule="auto"/>
        <w:jc w:val="both"/>
        <w:rPr>
          <w:rFonts w:cs="Times New Roman"/>
          <w:noProof/>
          <w:sz w:val="20"/>
        </w:rPr>
      </w:pPr>
    </w:p>
    <w:p w:rsidR="00794EA4" w:rsidRDefault="00794EA4">
      <w:pPr>
        <w:widowControl w:val="0"/>
        <w:spacing w:after="120"/>
        <w:rPr>
          <w:rFonts w:cs="Times New Roman"/>
          <w:noProof/>
          <w:sz w:val="20"/>
        </w:rPr>
      </w:pPr>
    </w:p>
    <w:p w:rsidR="00794EA4" w:rsidRDefault="00794EA4">
      <w:pPr>
        <w:widowControl w:val="0"/>
        <w:spacing w:after="120"/>
        <w:rPr>
          <w:rFonts w:cs="Times New Roman"/>
          <w:noProof/>
          <w:sz w:val="20"/>
        </w:rPr>
        <w:sectPr w:rsidR="00794EA4">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440" w:right="1080" w:bottom="1440" w:left="1080" w:header="708" w:footer="708" w:gutter="0"/>
          <w:cols w:num="2" w:space="360"/>
          <w:docGrid w:linePitch="360"/>
        </w:sectPr>
      </w:pPr>
    </w:p>
    <w:p w:rsidR="00794EA4" w:rsidRDefault="0017531E">
      <w:pPr>
        <w:widowControl w:val="0"/>
        <w:spacing w:after="120" w:line="240" w:lineRule="auto"/>
        <w:jc w:val="center"/>
        <w:outlineLvl w:val="0"/>
        <w:rPr>
          <w:rFonts w:eastAsiaTheme="majorEastAsia" w:cstheme="majorBidi"/>
          <w:b/>
          <w:bCs/>
          <w:noProof/>
          <w:color w:val="1F497D" w:themeColor="text2"/>
          <w:sz w:val="32"/>
          <w:szCs w:val="28"/>
        </w:rPr>
      </w:pPr>
      <w:bookmarkStart w:id="40" w:name="_Toc433296176"/>
      <w:bookmarkStart w:id="41" w:name="_Toc469492824"/>
      <w:r>
        <w:rPr>
          <w:rFonts w:eastAsiaTheme="majorEastAsia" w:cstheme="majorBidi"/>
          <w:b/>
          <w:bCs/>
          <w:noProof/>
          <w:color w:val="1F497D" w:themeColor="text2"/>
          <w:sz w:val="32"/>
          <w:szCs w:val="28"/>
        </w:rPr>
        <w:t xml:space="preserve">Part II: </w:t>
      </w:r>
      <w:bookmarkEnd w:id="40"/>
      <w:r>
        <w:rPr>
          <w:rFonts w:eastAsiaTheme="majorEastAsia" w:cstheme="majorBidi"/>
          <w:b/>
          <w:bCs/>
          <w:noProof/>
          <w:color w:val="1F497D" w:themeColor="text2"/>
          <w:sz w:val="32"/>
          <w:szCs w:val="28"/>
        </w:rPr>
        <w:t>Enabling Framework: Implementation Tools</w:t>
      </w:r>
      <w:bookmarkEnd w:id="41"/>
    </w:p>
    <w:p w:rsidR="00794EA4" w:rsidRDefault="00794EA4">
      <w:pPr>
        <w:widowControl w:val="0"/>
        <w:spacing w:after="120"/>
        <w:rPr>
          <w:rFonts w:cs="Times New Roman"/>
          <w:noProof/>
          <w:sz w:val="20"/>
        </w:rPr>
        <w:sectPr w:rsidR="00794EA4">
          <w:headerReference w:type="even" r:id="rId87"/>
          <w:headerReference w:type="default" r:id="rId88"/>
          <w:footerReference w:type="even" r:id="rId89"/>
          <w:footerReference w:type="default" r:id="rId90"/>
          <w:headerReference w:type="first" r:id="rId91"/>
          <w:footerReference w:type="first" r:id="rId92"/>
          <w:pgSz w:w="11906" w:h="16838" w:code="9"/>
          <w:pgMar w:top="1080" w:right="1440" w:bottom="1080" w:left="1440" w:header="709" w:footer="709" w:gutter="0"/>
          <w:cols w:space="566"/>
          <w:docGrid w:linePitch="360"/>
        </w:sectPr>
      </w:pPr>
    </w:p>
    <w:p w:rsidR="00794EA4" w:rsidRDefault="0017531E">
      <w:pPr>
        <w:widowControl w:val="0"/>
        <w:numPr>
          <w:ilvl w:val="0"/>
          <w:numId w:val="26"/>
        </w:numPr>
        <w:spacing w:after="120" w:line="240" w:lineRule="auto"/>
        <w:jc w:val="center"/>
        <w:outlineLvl w:val="0"/>
        <w:rPr>
          <w:rFonts w:eastAsiaTheme="majorEastAsia" w:cstheme="majorBidi"/>
          <w:b/>
          <w:bCs/>
          <w:noProof/>
          <w:color w:val="1F497D" w:themeColor="text2"/>
          <w:sz w:val="32"/>
          <w:szCs w:val="28"/>
        </w:rPr>
      </w:pPr>
      <w:bookmarkStart w:id="42" w:name="_Toc469492825"/>
      <w:r>
        <w:rPr>
          <w:rFonts w:eastAsiaTheme="majorEastAsia" w:cstheme="majorBidi"/>
          <w:b/>
          <w:bCs/>
          <w:noProof/>
          <w:color w:val="1F497D" w:themeColor="text2"/>
          <w:sz w:val="32"/>
          <w:szCs w:val="28"/>
        </w:rPr>
        <w:t>Market based instruments and investment</w:t>
      </w:r>
      <w:bookmarkStart w:id="43" w:name="_Toc433296178"/>
      <w:bookmarkStart w:id="44" w:name="_Toc433296181"/>
      <w:bookmarkEnd w:id="42"/>
      <w:r>
        <w:rPr>
          <w:rFonts w:eastAsiaTheme="majorEastAsia" w:cstheme="majorBidi"/>
          <w:b/>
          <w:bCs/>
          <w:noProof/>
          <w:color w:val="1F497D" w:themeColor="text2"/>
          <w:sz w:val="32"/>
          <w:szCs w:val="28"/>
        </w:rPr>
        <w:t xml:space="preserve"> </w:t>
      </w:r>
    </w:p>
    <w:p w:rsidR="00794EA4" w:rsidRDefault="00794EA4">
      <w:pPr>
        <w:widowControl w:val="0"/>
        <w:spacing w:after="120"/>
        <w:rPr>
          <w:rFonts w:cs="Times New Roman"/>
          <w:noProof/>
          <w:sz w:val="20"/>
        </w:rPr>
      </w:pPr>
    </w:p>
    <w:p w:rsidR="00794EA4" w:rsidRDefault="00794EA4">
      <w:pPr>
        <w:widowControl w:val="0"/>
        <w:spacing w:after="120"/>
        <w:rPr>
          <w:rFonts w:cs="Times New Roman"/>
          <w:noProof/>
          <w:sz w:val="20"/>
        </w:rPr>
        <w:sectPr w:rsidR="00794EA4">
          <w:headerReference w:type="even" r:id="rId93"/>
          <w:headerReference w:type="default" r:id="rId94"/>
          <w:footerReference w:type="even" r:id="rId95"/>
          <w:footerReference w:type="default" r:id="rId96"/>
          <w:headerReference w:type="first" r:id="rId97"/>
          <w:footerReference w:type="first" r:id="rId98"/>
          <w:type w:val="continuous"/>
          <w:pgSz w:w="11906" w:h="16838" w:code="9"/>
          <w:pgMar w:top="1080" w:right="1440" w:bottom="1080" w:left="1440" w:header="709" w:footer="709" w:gutter="0"/>
          <w:cols w:space="566"/>
          <w:docGrid w:linePitch="360"/>
        </w:sectPr>
      </w:pPr>
    </w:p>
    <w:p w:rsidR="00794EA4" w:rsidRDefault="0017531E">
      <w:pPr>
        <w:widowControl w:val="0"/>
        <w:spacing w:after="240" w:line="240" w:lineRule="auto"/>
        <w:outlineLvl w:val="1"/>
        <w:rPr>
          <w:rFonts w:cs="Times New Roman"/>
          <w:b/>
          <w:noProof/>
          <w:color w:val="1F497D" w:themeColor="text2"/>
          <w:sz w:val="24"/>
          <w:szCs w:val="24"/>
        </w:rPr>
      </w:pPr>
      <w:bookmarkStart w:id="45" w:name="_Toc454457661"/>
      <w:bookmarkStart w:id="46" w:name="_Toc469492826"/>
      <w:bookmarkEnd w:id="43"/>
      <w:r>
        <w:rPr>
          <w:rFonts w:cs="Times New Roman"/>
          <w:b/>
          <w:noProof/>
          <w:color w:val="1F497D" w:themeColor="text2"/>
          <w:sz w:val="24"/>
          <w:szCs w:val="24"/>
        </w:rPr>
        <w:t>Green taxation and environmentally</w:t>
      </w:r>
      <w:r>
        <w:rPr>
          <w:rFonts w:cs="Times New Roman"/>
          <w:b/>
          <w:noProof/>
          <w:color w:val="1F497D" w:themeColor="text2"/>
          <w:sz w:val="24"/>
          <w:szCs w:val="24"/>
        </w:rPr>
        <w:t xml:space="preserve"> harmful subsidies</w:t>
      </w:r>
      <w:bookmarkEnd w:id="45"/>
      <w:bookmarkEnd w:id="46"/>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Circular Economy Action Plan encourages the use of financial incentives and economic instruments, such as taxation to ensure that product prices better reflect environmental costs. The phasing out of environmentally harmful subsidies</w:t>
      </w:r>
      <w:r>
        <w:rPr>
          <w:rFonts w:cs="Times New Roman"/>
          <w:noProof/>
          <w:color w:val="FFFFFF" w:themeColor="background1"/>
          <w:sz w:val="20"/>
        </w:rPr>
        <w:t xml:space="preserve"> is monitored in the context of the European Semester and in national reform programmes submitted by Member States.</w:t>
      </w:r>
    </w:p>
    <w:p w:rsidR="00794EA4" w:rsidRDefault="0017531E">
      <w:pPr>
        <w:widowControl w:val="0"/>
        <w:spacing w:before="240" w:after="120" w:line="240" w:lineRule="auto"/>
        <w:jc w:val="both"/>
        <w:rPr>
          <w:rFonts w:cs="Times New Roman"/>
          <w:noProof/>
          <w:sz w:val="20"/>
        </w:rPr>
      </w:pPr>
      <w:r>
        <w:rPr>
          <w:rFonts w:cs="Times New Roman"/>
          <w:noProof/>
          <w:sz w:val="20"/>
        </w:rPr>
        <w:t>Taxing pollution and resource use can generate increased revenue and brings important social and environmental benefits. Moreover, environme</w:t>
      </w:r>
      <w:r>
        <w:rPr>
          <w:rFonts w:cs="Times New Roman"/>
          <w:noProof/>
          <w:sz w:val="20"/>
        </w:rPr>
        <w:t>ntally-related taxation is one of the few taxes that are generally not detrimental to growth.</w:t>
      </w:r>
    </w:p>
    <w:p w:rsidR="00794EA4" w:rsidRDefault="0017531E">
      <w:pPr>
        <w:widowControl w:val="0"/>
        <w:spacing w:after="120" w:line="240" w:lineRule="auto"/>
        <w:jc w:val="both"/>
        <w:rPr>
          <w:rFonts w:cs="Times New Roman"/>
          <w:noProof/>
          <w:sz w:val="20"/>
        </w:rPr>
      </w:pPr>
      <w:r>
        <w:rPr>
          <w:rFonts w:cs="Times New Roman"/>
          <w:noProof/>
          <w:sz w:val="20"/>
        </w:rPr>
        <w:t>Green taxes have been a tool commonly used to pursue environmental objectives in the various policy sectors in Spain. However, there was an overall decline in env</w:t>
      </w:r>
      <w:r>
        <w:rPr>
          <w:rFonts w:cs="Times New Roman"/>
          <w:noProof/>
          <w:sz w:val="20"/>
        </w:rPr>
        <w:t>ironmental tax collection as percentage of total tax revenue in the last decade. There is also a normative dispersion and for certain taxes a heterogeneous approach at regional and even at local level.</w:t>
      </w:r>
    </w:p>
    <w:p w:rsidR="00794EA4" w:rsidRDefault="0017531E">
      <w:pPr>
        <w:widowControl w:val="0"/>
        <w:spacing w:after="120" w:line="240" w:lineRule="auto"/>
        <w:jc w:val="both"/>
        <w:rPr>
          <w:rFonts w:cs="Times New Roman"/>
          <w:noProof/>
          <w:sz w:val="20"/>
        </w:rPr>
      </w:pPr>
      <w:r>
        <w:rPr>
          <w:rFonts w:cs="Times New Roman"/>
          <w:noProof/>
          <w:sz w:val="20"/>
        </w:rPr>
        <w:t>In Spain revenues from environmental taxes as a propor</w:t>
      </w:r>
      <w:r>
        <w:rPr>
          <w:rFonts w:cs="Times New Roman"/>
          <w:noProof/>
          <w:sz w:val="20"/>
        </w:rPr>
        <w:t>tion of GDP are among the lowest in the EU. It should be noted that in 2012 Spain was the Member State with the lowest rate: 1.6 % of the GDP, far below EU average of 2.4%. This share represented a 10 year low for Spain, fallen from 2.08% of GDP in 2002.</w:t>
      </w:r>
    </w:p>
    <w:p w:rsidR="00794EA4" w:rsidRDefault="0017531E">
      <w:pPr>
        <w:widowControl w:val="0"/>
        <w:spacing w:after="120" w:line="240" w:lineRule="auto"/>
        <w:jc w:val="both"/>
        <w:rPr>
          <w:rFonts w:cs="Times New Roman"/>
          <w:noProof/>
          <w:sz w:val="20"/>
        </w:rPr>
      </w:pPr>
      <w:r>
        <w:rPr>
          <w:rFonts w:cs="Times New Roman"/>
          <w:noProof/>
          <w:sz w:val="20"/>
        </w:rPr>
        <w:t>A</w:t>
      </w:r>
      <w:r>
        <w:rPr>
          <w:rFonts w:cs="Times New Roman"/>
          <w:noProof/>
          <w:sz w:val="20"/>
        </w:rPr>
        <w:t>ccording to 2014 data, Spain is the third lowest in the EU (after Lithuania and Slovakia). Revenues from environmentally related taxes amounted to only 1.85% of GDP against an EU average of 2.46%. Moreover, Spain is one of the countries with the lowest sha</w:t>
      </w:r>
      <w:r>
        <w:rPr>
          <w:rFonts w:cs="Times New Roman"/>
          <w:noProof/>
          <w:sz w:val="20"/>
        </w:rPr>
        <w:t>re of environmental taxation in revenues from taxes and social contributions (5.5% of GDP in 2014, EU average 6.35%), as shown in Figure 12.</w:t>
      </w:r>
    </w:p>
    <w:p w:rsidR="00794EA4" w:rsidRDefault="0017531E">
      <w:pPr>
        <w:widowControl w:val="0"/>
        <w:spacing w:after="120" w:line="240" w:lineRule="auto"/>
        <w:jc w:val="both"/>
        <w:rPr>
          <w:rFonts w:cs="Times New Roman"/>
          <w:noProof/>
          <w:sz w:val="20"/>
        </w:rPr>
      </w:pPr>
      <w:r>
        <w:rPr>
          <w:rFonts w:cs="Times New Roman"/>
          <w:noProof/>
          <w:sz w:val="20"/>
        </w:rPr>
        <w:t>As in most Member States, the biggest chunk of revenues from the environmentally-related taxes comes from energy ta</w:t>
      </w:r>
      <w:r>
        <w:rPr>
          <w:rFonts w:cs="Times New Roman"/>
          <w:noProof/>
          <w:sz w:val="20"/>
        </w:rPr>
        <w:t>xes.</w:t>
      </w:r>
    </w:p>
    <w:p w:rsidR="00794EA4" w:rsidRDefault="0017531E">
      <w:pPr>
        <w:widowControl w:val="0"/>
        <w:spacing w:after="120" w:line="240" w:lineRule="auto"/>
        <w:jc w:val="both"/>
        <w:rPr>
          <w:rFonts w:cs="Times New Roman"/>
          <w:noProof/>
          <w:sz w:val="20"/>
        </w:rPr>
      </w:pPr>
      <w:r>
        <w:rPr>
          <w:rFonts w:cs="Times New Roman"/>
          <w:noProof/>
          <w:sz w:val="20"/>
        </w:rPr>
        <w:t xml:space="preserve">Environmental tax reform can play an important part in sustaining economic growth. Taxing pollution and resource use would bring in additional revenues, and at the same time it would help discouraging activities that will bring additional cost in the </w:t>
      </w:r>
      <w:r>
        <w:rPr>
          <w:rFonts w:cs="Times New Roman"/>
          <w:noProof/>
          <w:sz w:val="20"/>
        </w:rPr>
        <w:t>future in terms of clean up, health costs, etc. This additional revenue could also substitute for cuts in spending.</w:t>
      </w: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c>
          <w:tcPr>
            <w:tcW w:w="4909" w:type="dxa"/>
          </w:tcPr>
          <w:p w:rsidR="00794EA4" w:rsidRDefault="0017531E">
            <w:pPr>
              <w:widowControl w:val="0"/>
              <w:spacing w:after="120"/>
              <w:jc w:val="both"/>
              <w:rPr>
                <w:rFonts w:cs="Times New Roman"/>
                <w:b/>
                <w:bCs/>
                <w:noProof/>
                <w:color w:val="1F497D" w:themeColor="text2"/>
                <w:sz w:val="20"/>
              </w:rPr>
            </w:pPr>
            <w:r>
              <w:rPr>
                <w:rFonts w:cs="Times New Roman"/>
                <w:b/>
                <w:bCs/>
                <w:noProof/>
                <w:color w:val="1F497D" w:themeColor="text2"/>
                <w:sz w:val="20"/>
              </w:rPr>
              <w:t xml:space="preserve">Figure 12: </w:t>
            </w:r>
            <w:r>
              <w:rPr>
                <w:b/>
                <w:bCs/>
                <w:noProof/>
                <w:color w:val="1F497D" w:themeColor="text2"/>
                <w:sz w:val="20"/>
              </w:rPr>
              <w:t xml:space="preserve">Environmental tax revenues as a share of total revenues from taxes and social contributions  (excluding imputed social </w:t>
            </w:r>
            <w:r>
              <w:rPr>
                <w:b/>
                <w:bCs/>
                <w:noProof/>
                <w:color w:val="1F497D" w:themeColor="text2"/>
                <w:sz w:val="20"/>
              </w:rPr>
              <w:t>contributions) in 2014</w:t>
            </w:r>
            <w:r>
              <w:rPr>
                <w:b/>
                <w:bCs/>
                <w:noProof/>
                <w:color w:val="1F497D" w:themeColor="text2"/>
                <w:sz w:val="20"/>
                <w:vertAlign w:val="superscript"/>
              </w:rPr>
              <w:footnoteReference w:id="93"/>
            </w:r>
          </w:p>
        </w:tc>
      </w:tr>
      <w:tr w:rsidR="00794EA4">
        <w:tc>
          <w:tcPr>
            <w:tcW w:w="4909" w:type="dxa"/>
          </w:tcPr>
          <w:p w:rsidR="00794EA4" w:rsidRDefault="0017531E">
            <w:pPr>
              <w:widowControl w:val="0"/>
              <w:spacing w:after="120"/>
              <w:jc w:val="both"/>
              <w:rPr>
                <w:rFonts w:cs="Times New Roman"/>
                <w:noProof/>
                <w:sz w:val="20"/>
              </w:rPr>
            </w:pPr>
            <w:r>
              <w:rPr>
                <w:rFonts w:cs="Times New Roman"/>
                <w:noProof/>
                <w:sz w:val="20"/>
                <w:lang w:eastAsia="en-GB"/>
              </w:rPr>
              <w:drawing>
                <wp:inline distT="0" distB="0" distL="0" distR="0" wp14:anchorId="534F0E9B" wp14:editId="1AF033BE">
                  <wp:extent cx="3019647" cy="429456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21704" cy="4297486"/>
                          </a:xfrm>
                          <a:prstGeom prst="rect">
                            <a:avLst/>
                          </a:prstGeom>
                          <a:noFill/>
                        </pic:spPr>
                      </pic:pic>
                    </a:graphicData>
                  </a:graphic>
                </wp:inline>
              </w:drawing>
            </w:r>
          </w:p>
        </w:tc>
      </w:tr>
    </w:tbl>
    <w:p w:rsidR="00794EA4" w:rsidRDefault="0017531E">
      <w:pPr>
        <w:widowControl w:val="0"/>
        <w:spacing w:before="120" w:after="120" w:line="240" w:lineRule="auto"/>
        <w:jc w:val="both"/>
        <w:rPr>
          <w:rFonts w:cs="Times New Roman"/>
          <w:noProof/>
          <w:sz w:val="20"/>
        </w:rPr>
      </w:pPr>
      <w:r>
        <w:rPr>
          <w:rFonts w:cs="Times New Roman"/>
          <w:noProof/>
          <w:sz w:val="20"/>
        </w:rPr>
        <w:t xml:space="preserve">Shifting taxation away from labour towards taxes less harmful to growth remains a key challenge in Spain, and has been proposed as Country Specific Recommendation (CSR) between 2012 and 2014 in the framework of the European </w:t>
      </w:r>
      <w:r>
        <w:rPr>
          <w:rFonts w:cs="Times New Roman"/>
          <w:noProof/>
          <w:sz w:val="20"/>
        </w:rPr>
        <w:t>Semester.</w:t>
      </w:r>
    </w:p>
    <w:p w:rsidR="00794EA4" w:rsidRDefault="0017531E">
      <w:pPr>
        <w:widowControl w:val="0"/>
        <w:spacing w:before="120" w:after="120" w:line="240" w:lineRule="auto"/>
        <w:jc w:val="both"/>
        <w:rPr>
          <w:rFonts w:cs="Times New Roman"/>
          <w:noProof/>
          <w:sz w:val="20"/>
          <w:szCs w:val="20"/>
        </w:rPr>
      </w:pPr>
      <w:r>
        <w:rPr>
          <w:rFonts w:cs="Times New Roman"/>
          <w:noProof/>
          <w:sz w:val="20"/>
          <w:szCs w:val="20"/>
        </w:rPr>
        <w:t>Some measures have been taken in Spain in the last years, mainly in the energy sector. A tax on fluorinated greenhouse gases has been introduced (Law 16/2013) and is being phased-in gradually from 2014 to be fully applicable in 2016. Since 2013 (</w:t>
      </w:r>
      <w:r>
        <w:rPr>
          <w:rFonts w:cs="Times New Roman"/>
          <w:noProof/>
          <w:sz w:val="20"/>
          <w:szCs w:val="20"/>
        </w:rPr>
        <w:t>Law 15/2012), Spain has implemented taxes on the production of electric energy, on the production of radioactive fuel and on the storage of radioactive waste. These taxes have contributed to slightly increase the above-mentioned Spanish rate. Moreover, Spa</w:t>
      </w:r>
      <w:r>
        <w:rPr>
          <w:rFonts w:cs="Times New Roman"/>
          <w:noProof/>
          <w:sz w:val="20"/>
          <w:szCs w:val="20"/>
        </w:rPr>
        <w:t>in approved in 2015 a new tax regarding the extraction of hydrocarbons (gas and oil). However, the practical effects of this new tax are likely insignificants.</w:t>
      </w:r>
    </w:p>
    <w:p w:rsidR="00794EA4" w:rsidRDefault="0017531E">
      <w:pPr>
        <w:widowControl w:val="0"/>
        <w:spacing w:after="120" w:line="240" w:lineRule="auto"/>
        <w:jc w:val="both"/>
        <w:rPr>
          <w:rFonts w:cs="Times New Roman"/>
          <w:noProof/>
          <w:sz w:val="20"/>
        </w:rPr>
      </w:pPr>
      <w:r>
        <w:rPr>
          <w:rFonts w:cs="Times New Roman"/>
          <w:noProof/>
          <w:sz w:val="20"/>
        </w:rPr>
        <w:t>There is clearly room to review environmental taxes, mainly in the transport and energy sectors,</w:t>
      </w:r>
      <w:r>
        <w:rPr>
          <w:rFonts w:cs="Times New Roman"/>
          <w:noProof/>
          <w:sz w:val="20"/>
        </w:rPr>
        <w:t xml:space="preserve"> but also in the pollution and resources use fields. For instance, the municipal vehicle circulation taxes do not always reflect the environmental performance of the vehicles. In addition, new options in the waste and water sectors could be explored. Landf</w:t>
      </w:r>
      <w:r>
        <w:rPr>
          <w:rFonts w:cs="Times New Roman"/>
          <w:noProof/>
          <w:sz w:val="20"/>
        </w:rPr>
        <w:t>ill taxes may be a supportive tool on treatment of municipal waste. The water pricing policy needs a revision and a new approach, being a key issue to improve water management in Spain.</w:t>
      </w:r>
    </w:p>
    <w:p w:rsidR="00794EA4" w:rsidRDefault="0017531E">
      <w:pPr>
        <w:widowControl w:val="0"/>
        <w:spacing w:after="120" w:line="240" w:lineRule="auto"/>
        <w:jc w:val="both"/>
        <w:rPr>
          <w:rFonts w:cs="Times New Roman"/>
          <w:noProof/>
          <w:sz w:val="20"/>
        </w:rPr>
      </w:pPr>
      <w:r>
        <w:rPr>
          <w:rFonts w:cs="Times New Roman"/>
          <w:iCs/>
          <w:noProof/>
          <w:sz w:val="20"/>
        </w:rPr>
        <w:t>In this respect, a 2016 study suggests that there is considerable pote</w:t>
      </w:r>
      <w:r>
        <w:rPr>
          <w:rFonts w:cs="Times New Roman"/>
          <w:iCs/>
          <w:noProof/>
          <w:sz w:val="20"/>
        </w:rPr>
        <w:t>ntial for additional revenue from environmental taxes in Spain</w:t>
      </w:r>
      <w:r>
        <w:rPr>
          <w:rStyle w:val="FootnoteReference"/>
          <w:rFonts w:cs="Times New Roman"/>
          <w:iCs/>
          <w:noProof/>
          <w:sz w:val="20"/>
        </w:rPr>
        <w:footnoteReference w:id="94"/>
      </w:r>
      <w:r>
        <w:rPr>
          <w:rFonts w:cs="Times New Roman"/>
          <w:iCs/>
          <w:noProof/>
          <w:sz w:val="20"/>
        </w:rPr>
        <w:t>. Under a good practice scenario</w:t>
      </w:r>
      <w:r>
        <w:rPr>
          <w:rStyle w:val="FootnoteReference"/>
          <w:rFonts w:cs="Times New Roman"/>
          <w:iCs/>
          <w:noProof/>
          <w:sz w:val="20"/>
        </w:rPr>
        <w:footnoteReference w:id="95"/>
      </w:r>
      <w:r>
        <w:rPr>
          <w:rFonts w:cs="Times New Roman"/>
          <w:iCs/>
          <w:noProof/>
          <w:sz w:val="20"/>
        </w:rPr>
        <w:t xml:space="preserve"> these taxes could generate an additional EUR 3.45 billion by 2018, rising to EUR 6.96 billion by 2030 (both in real 2015 terms). </w:t>
      </w:r>
      <w:r>
        <w:rPr>
          <w:rFonts w:cs="Times New Roman"/>
          <w:noProof/>
          <w:sz w:val="20"/>
        </w:rPr>
        <w:t>This is equivalent to an incre</w:t>
      </w:r>
      <w:r>
        <w:rPr>
          <w:rFonts w:cs="Times New Roman"/>
          <w:noProof/>
          <w:sz w:val="20"/>
        </w:rPr>
        <w:t>ase by 1.11% and 1.82% of GDP in 2018 and 2030, respectively.</w:t>
      </w:r>
    </w:p>
    <w:p w:rsidR="00794EA4" w:rsidRDefault="0017531E">
      <w:pPr>
        <w:widowControl w:val="0"/>
        <w:spacing w:after="120" w:line="240" w:lineRule="auto"/>
        <w:jc w:val="both"/>
        <w:rPr>
          <w:rFonts w:cs="Times New Roman"/>
          <w:noProof/>
          <w:sz w:val="20"/>
        </w:rPr>
      </w:pPr>
      <w:r>
        <w:rPr>
          <w:rFonts w:cs="Times New Roman"/>
          <w:noProof/>
          <w:sz w:val="20"/>
        </w:rPr>
        <w:t>In the same vein, the Report issued in February 2014 by the Committee of Experts on the reform of the Spanish tax system (</w:t>
      </w:r>
      <w:r>
        <w:rPr>
          <w:rFonts w:cs="Times New Roman"/>
          <w:i/>
          <w:noProof/>
          <w:sz w:val="20"/>
        </w:rPr>
        <w:t>Lagares report</w:t>
      </w:r>
      <w:r>
        <w:rPr>
          <w:rFonts w:cs="Times New Roman"/>
          <w:noProof/>
          <w:sz w:val="20"/>
        </w:rPr>
        <w:t>) made a complete analysis of this matter, proposing speci</w:t>
      </w:r>
      <w:r>
        <w:rPr>
          <w:rFonts w:cs="Times New Roman"/>
          <w:noProof/>
          <w:sz w:val="20"/>
        </w:rPr>
        <w:t>fic recommendations to harmonize and to improve the performance of environmental taxes in Spain, increasing the revenues in a more logic and sustainable way. However, although this work was commissioned by the Spanish Government, these measures are not par</w:t>
      </w:r>
      <w:r>
        <w:rPr>
          <w:rFonts w:cs="Times New Roman"/>
          <w:noProof/>
          <w:sz w:val="20"/>
        </w:rPr>
        <w:t>t of the national tax reform approved in Spain at the end of 2014 (Law 26/2014).</w:t>
      </w:r>
    </w:p>
    <w:p w:rsidR="00794EA4" w:rsidRDefault="0017531E">
      <w:pPr>
        <w:widowControl w:val="0"/>
        <w:spacing w:after="120" w:line="240" w:lineRule="auto"/>
        <w:jc w:val="both"/>
        <w:rPr>
          <w:rFonts w:cs="Times New Roman"/>
          <w:noProof/>
          <w:sz w:val="20"/>
        </w:rPr>
      </w:pPr>
      <w:r>
        <w:rPr>
          <w:rFonts w:cs="Times New Roman"/>
          <w:noProof/>
          <w:sz w:val="20"/>
        </w:rPr>
        <w:t xml:space="preserve">This report and the above-mentioned study also show that many environmental taxes for example concerning waste management, water abstraction, water pollution, wastewater, and </w:t>
      </w:r>
      <w:r>
        <w:rPr>
          <w:rFonts w:cs="Times New Roman"/>
          <w:noProof/>
          <w:sz w:val="20"/>
        </w:rPr>
        <w:t>air pollution are adopted and implemented at regional and even at local level, with a high normative dispersion and different approaches. This heterogeneous situation may lead to market fragmentation and economic inefficiencies.</w:t>
      </w:r>
    </w:p>
    <w:p w:rsidR="00794EA4" w:rsidRDefault="0017531E">
      <w:pPr>
        <w:widowControl w:val="0"/>
        <w:spacing w:after="120" w:line="240" w:lineRule="auto"/>
        <w:jc w:val="both"/>
        <w:rPr>
          <w:rFonts w:cs="Times New Roman"/>
          <w:noProof/>
          <w:sz w:val="20"/>
        </w:rPr>
      </w:pPr>
      <w:r>
        <w:rPr>
          <w:rFonts w:cs="Times New Roman"/>
          <w:noProof/>
          <w:sz w:val="20"/>
        </w:rPr>
        <w:t>Therefore, Spain should con</w:t>
      </w:r>
      <w:r>
        <w:rPr>
          <w:rFonts w:cs="Times New Roman"/>
          <w:noProof/>
          <w:sz w:val="20"/>
        </w:rPr>
        <w:t>sider the full potential of environmental taxation, as well as to implement a consistent approach across the country, to harvest environmental, economic and social (jobs) benefits.</w:t>
      </w:r>
    </w:p>
    <w:p w:rsidR="00794EA4" w:rsidRDefault="0017531E">
      <w:pPr>
        <w:widowControl w:val="0"/>
        <w:spacing w:after="120" w:line="240" w:lineRule="auto"/>
        <w:jc w:val="both"/>
        <w:rPr>
          <w:rFonts w:cs="Times New Roman"/>
          <w:noProof/>
          <w:sz w:val="20"/>
        </w:rPr>
      </w:pPr>
      <w:r>
        <w:rPr>
          <w:rFonts w:cs="Times New Roman"/>
          <w:noProof/>
          <w:sz w:val="20"/>
        </w:rPr>
        <w:t>The reduction of environmentally harmful subsidies (EHS) is another key cha</w:t>
      </w:r>
      <w:r>
        <w:rPr>
          <w:rFonts w:cs="Times New Roman"/>
          <w:noProof/>
          <w:sz w:val="20"/>
        </w:rPr>
        <w:t>llenge. Spain is still subsidising fossil fuels, local coal, company cars, and diesel compared to petrol when the policy objectives could be achieved in a less environmentally harmful way.</w:t>
      </w:r>
    </w:p>
    <w:p w:rsidR="00794EA4" w:rsidRDefault="0017531E">
      <w:pPr>
        <w:widowControl w:val="0"/>
        <w:spacing w:after="120" w:line="240" w:lineRule="auto"/>
        <w:jc w:val="both"/>
        <w:rPr>
          <w:rFonts w:cs="Times New Roman"/>
          <w:noProof/>
          <w:sz w:val="20"/>
        </w:rPr>
      </w:pPr>
      <w:r>
        <w:rPr>
          <w:rFonts w:cs="Times New Roman"/>
          <w:noProof/>
          <w:sz w:val="20"/>
        </w:rPr>
        <w:t>Spain has no overall strategy to eliminate EHS, although moving awa</w:t>
      </w:r>
      <w:r>
        <w:rPr>
          <w:rFonts w:cs="Times New Roman"/>
          <w:noProof/>
          <w:sz w:val="20"/>
        </w:rPr>
        <w:t>y from EHS can deliver economic, social and environmental benefits, allow for improved competitiveness and support budget consolidation</w:t>
      </w:r>
      <w:r>
        <w:rPr>
          <w:rFonts w:cs="Times New Roman"/>
          <w:noProof/>
          <w:sz w:val="20"/>
          <w:vertAlign w:val="superscript"/>
        </w:rPr>
        <w:footnoteReference w:id="96"/>
      </w:r>
      <w:r>
        <w:rPr>
          <w:rFonts w:cs="Times New Roman"/>
          <w:noProof/>
          <w:sz w:val="20"/>
        </w:rPr>
        <w:t xml:space="preserve">. It is important to ensure that energy tax rates become more consistent across fuels and uses, and that the tax system </w:t>
      </w:r>
      <w:r>
        <w:rPr>
          <w:rFonts w:cs="Times New Roman"/>
          <w:noProof/>
          <w:sz w:val="20"/>
        </w:rPr>
        <w:t>does not unduly favour fossil-based solutions.</w:t>
      </w:r>
    </w:p>
    <w:p w:rsidR="00794EA4" w:rsidRDefault="0017531E">
      <w:pPr>
        <w:widowControl w:val="0"/>
        <w:spacing w:after="120" w:line="240" w:lineRule="auto"/>
        <w:jc w:val="both"/>
        <w:rPr>
          <w:rFonts w:cs="Times New Roman"/>
          <w:noProof/>
          <w:sz w:val="20"/>
          <w:szCs w:val="20"/>
        </w:rPr>
      </w:pPr>
      <w:r>
        <w:rPr>
          <w:rFonts w:eastAsia="Calibri" w:cs="Times New Roman"/>
          <w:noProof/>
          <w:sz w:val="20"/>
          <w:szCs w:val="20"/>
          <w:lang w:eastAsia="en-GB"/>
        </w:rPr>
        <w:t>Spain is one of the main Member States using fossil fuel subsidies (FFS)</w:t>
      </w:r>
      <w:r>
        <w:rPr>
          <w:rFonts w:eastAsia="Calibri" w:cs="Times New Roman"/>
          <w:noProof/>
          <w:sz w:val="20"/>
          <w:szCs w:val="20"/>
          <w:vertAlign w:val="superscript"/>
          <w:lang w:eastAsia="en-GB"/>
        </w:rPr>
        <w:footnoteReference w:id="97"/>
      </w:r>
      <w:r>
        <w:rPr>
          <w:rFonts w:eastAsia="Calibri" w:cs="Times New Roman"/>
          <w:noProof/>
          <w:sz w:val="20"/>
          <w:szCs w:val="20"/>
          <w:lang w:eastAsia="en-GB"/>
        </w:rPr>
        <w:t xml:space="preserve">. </w:t>
      </w:r>
      <w:r>
        <w:rPr>
          <w:rFonts w:cs="Times New Roman"/>
          <w:noProof/>
          <w:sz w:val="20"/>
          <w:szCs w:val="20"/>
        </w:rPr>
        <w:t xml:space="preserve">The diesel-petrol differential is not justified from an environmental perspective: diesel emits higher levels of several air pollutants and should be taxed higher. </w:t>
      </w:r>
      <w:r>
        <w:rPr>
          <w:rFonts w:eastAsia="Calibri" w:cs="Times New Roman"/>
          <w:noProof/>
          <w:sz w:val="20"/>
          <w:szCs w:val="20"/>
          <w:lang w:eastAsia="en-GB"/>
        </w:rPr>
        <w:t>The diesel differential in Spain is 26% (a figure of 0% means the same level of taxation for</w:t>
      </w:r>
      <w:r>
        <w:rPr>
          <w:rFonts w:eastAsia="Calibri" w:cs="Times New Roman"/>
          <w:noProof/>
          <w:sz w:val="20"/>
          <w:szCs w:val="20"/>
          <w:lang w:eastAsia="en-GB"/>
        </w:rPr>
        <w:t xml:space="preserve"> petrol and diesel cars, i.e. no diesel differential)</w:t>
      </w:r>
      <w:r>
        <w:rPr>
          <w:rFonts w:eastAsia="Calibri" w:cs="Times New Roman"/>
          <w:noProof/>
          <w:sz w:val="20"/>
          <w:szCs w:val="20"/>
          <w:vertAlign w:val="superscript"/>
          <w:lang w:eastAsia="en-GB"/>
        </w:rPr>
        <w:footnoteReference w:id="98"/>
      </w:r>
      <w:r>
        <w:rPr>
          <w:rFonts w:eastAsia="Calibri" w:cs="Times New Roman"/>
          <w:noProof/>
          <w:sz w:val="20"/>
          <w:szCs w:val="20"/>
          <w:lang w:eastAsia="en-GB"/>
        </w:rPr>
        <w:t xml:space="preserve">. </w:t>
      </w:r>
      <w:r>
        <w:rPr>
          <w:rFonts w:cs="Times New Roman"/>
          <w:noProof/>
          <w:sz w:val="20"/>
          <w:szCs w:val="20"/>
        </w:rPr>
        <w:t>Lower diesel tax led to "dieselisation" of the fleet in Europe. Currently in the EU more than 55% of new registrations are diesel cars; while in Spain this goes up to 63%. Furthermore, exemptions from</w:t>
      </w:r>
      <w:r>
        <w:rPr>
          <w:rFonts w:cs="Times New Roman"/>
          <w:noProof/>
          <w:sz w:val="20"/>
          <w:szCs w:val="20"/>
        </w:rPr>
        <w:t xml:space="preserve"> the coal tax should be also reconsidered.</w:t>
      </w:r>
    </w:p>
    <w:p w:rsidR="00794EA4" w:rsidRDefault="0017531E">
      <w:pPr>
        <w:widowControl w:val="0"/>
        <w:spacing w:after="360" w:line="240" w:lineRule="auto"/>
        <w:jc w:val="both"/>
        <w:rPr>
          <w:rFonts w:cs="Times New Roman"/>
          <w:noProof/>
          <w:sz w:val="20"/>
          <w:szCs w:val="20"/>
        </w:rPr>
      </w:pPr>
      <w:r>
        <w:rPr>
          <w:rFonts w:cs="Times New Roman"/>
          <w:noProof/>
          <w:sz w:val="20"/>
          <w:szCs w:val="20"/>
        </w:rPr>
        <w:t>Therefore, developing a national strategy for phasing out environmentally harmful subsidies would be a positive approach for Spain.</w:t>
      </w:r>
    </w:p>
    <w:p w:rsidR="00794EA4" w:rsidRDefault="0017531E">
      <w:pPr>
        <w:widowControl w:val="0"/>
        <w:spacing w:before="240" w:after="240" w:line="240" w:lineRule="auto"/>
        <w:outlineLvl w:val="1"/>
        <w:rPr>
          <w:rFonts w:cs="Times New Roman"/>
          <w:b/>
          <w:noProof/>
          <w:color w:val="1F497D" w:themeColor="text2"/>
          <w:sz w:val="24"/>
          <w:szCs w:val="24"/>
        </w:rPr>
      </w:pPr>
      <w:bookmarkStart w:id="47" w:name="_Toc454457662"/>
      <w:bookmarkStart w:id="48" w:name="_Toc469492827"/>
      <w:r>
        <w:rPr>
          <w:rFonts w:cs="Times New Roman"/>
          <w:b/>
          <w:noProof/>
          <w:color w:val="1F497D" w:themeColor="text2"/>
          <w:sz w:val="24"/>
          <w:szCs w:val="24"/>
        </w:rPr>
        <w:t>Green Public Procurement</w:t>
      </w:r>
      <w:bookmarkEnd w:id="47"/>
      <w:bookmarkEnd w:id="48"/>
      <w:r>
        <w:rPr>
          <w:rFonts w:cs="Times New Roman"/>
          <w:b/>
          <w:noProof/>
          <w:color w:val="1F497D" w:themeColor="text2"/>
          <w:sz w:val="24"/>
          <w:szCs w:val="24"/>
        </w:rPr>
        <w:t xml:space="preserve"> </w:t>
      </w:r>
    </w:p>
    <w:p w:rsidR="00794EA4" w:rsidRDefault="0017531E">
      <w:pPr>
        <w:widowControl w:val="0"/>
        <w:shd w:val="clear" w:color="auto" w:fill="4F81BD" w:themeFill="accent1"/>
        <w:spacing w:before="240" w:after="120" w:line="240" w:lineRule="auto"/>
        <w:contextualSpacing/>
        <w:jc w:val="both"/>
        <w:rPr>
          <w:rFonts w:cs="Times New Roman"/>
          <w:noProof/>
          <w:color w:val="FFFFFF" w:themeColor="background1"/>
          <w:sz w:val="20"/>
        </w:rPr>
      </w:pPr>
      <w:r>
        <w:rPr>
          <w:rFonts w:cs="Times New Roman"/>
          <w:noProof/>
          <w:color w:val="FFFFFF" w:themeColor="background1"/>
          <w:sz w:val="20"/>
        </w:rPr>
        <w:t xml:space="preserve">The EU green public procurement policies encourage </w:t>
      </w:r>
      <w:r>
        <w:rPr>
          <w:rFonts w:cs="Times New Roman"/>
          <w:noProof/>
          <w:color w:val="FFFFFF" w:themeColor="background1"/>
          <w:sz w:val="20"/>
        </w:rPr>
        <w:t>Member States to take further steps to reach the target of applying green procurement criteria to at least 50% of public tenders.</w:t>
      </w:r>
    </w:p>
    <w:p w:rsidR="00794EA4" w:rsidRDefault="0017531E">
      <w:pPr>
        <w:widowControl w:val="0"/>
        <w:spacing w:before="240" w:after="120" w:line="240" w:lineRule="auto"/>
        <w:jc w:val="both"/>
        <w:rPr>
          <w:rFonts w:cs="Times New Roman"/>
          <w:noProof/>
          <w:sz w:val="20"/>
        </w:rPr>
      </w:pPr>
      <w:r>
        <w:rPr>
          <w:rFonts w:cs="Times New Roman"/>
          <w:noProof/>
          <w:sz w:val="20"/>
        </w:rPr>
        <w:t>Green Public Procurement (GPP) is a process whereby public authorities seek to procure goods, services and works with a reduce</w:t>
      </w:r>
      <w:r>
        <w:rPr>
          <w:rFonts w:cs="Times New Roman"/>
          <w:noProof/>
          <w:sz w:val="20"/>
        </w:rPr>
        <w:t>d environmental impact throughout their life-cycle when compared to goods, services and works with the same primary function that would otherwise be procured.</w:t>
      </w:r>
    </w:p>
    <w:p w:rsidR="00794EA4" w:rsidRDefault="0017531E">
      <w:pPr>
        <w:widowControl w:val="0"/>
        <w:spacing w:after="120" w:line="240" w:lineRule="auto"/>
        <w:jc w:val="both"/>
        <w:rPr>
          <w:rFonts w:cs="Times New Roman"/>
          <w:noProof/>
          <w:sz w:val="20"/>
        </w:rPr>
      </w:pPr>
      <w:r>
        <w:rPr>
          <w:rFonts w:cs="Times New Roman"/>
          <w:noProof/>
          <w:sz w:val="20"/>
        </w:rPr>
        <w:t>The purchasing power of public procurement equals to approximately 14% of GDP</w:t>
      </w:r>
      <w:r>
        <w:rPr>
          <w:rFonts w:cs="Times New Roman"/>
          <w:noProof/>
          <w:sz w:val="20"/>
          <w:vertAlign w:val="superscript"/>
        </w:rPr>
        <w:footnoteReference w:id="99"/>
      </w:r>
      <w:r>
        <w:rPr>
          <w:rFonts w:cs="Times New Roman"/>
          <w:noProof/>
          <w:sz w:val="20"/>
        </w:rPr>
        <w:t>. A substantial par</w:t>
      </w:r>
      <w:r>
        <w:rPr>
          <w:rFonts w:cs="Times New Roman"/>
          <w:noProof/>
          <w:sz w:val="20"/>
        </w:rPr>
        <w:t>t of this money is spent on sectors with high environmental impact such as construction or transport, so GPP can help to significantly lower the impact of public spending and foster sustainable innovative businesses. The Commission has proposed EU GPP crit</w:t>
      </w:r>
      <w:r>
        <w:rPr>
          <w:rFonts w:cs="Times New Roman"/>
          <w:noProof/>
          <w:sz w:val="20"/>
        </w:rPr>
        <w:t>eria</w:t>
      </w:r>
      <w:r>
        <w:rPr>
          <w:rFonts w:cs="Times New Roman"/>
          <w:noProof/>
          <w:sz w:val="20"/>
          <w:vertAlign w:val="superscript"/>
        </w:rPr>
        <w:footnoteReference w:id="100"/>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Overall, there is no horizontal and coherent nation-wide public procurement policy in Spain, neither are there sufficient controls on the proper implementation of public procurement rules, especially at sub-central government level</w:t>
      </w:r>
      <w:r>
        <w:rPr>
          <w:rFonts w:cs="Times New Roman"/>
          <w:noProof/>
          <w:sz w:val="20"/>
          <w:vertAlign w:val="superscript"/>
        </w:rPr>
        <w:footnoteReference w:id="101"/>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The Green Publi</w:t>
      </w:r>
      <w:r>
        <w:rPr>
          <w:rFonts w:cs="Times New Roman"/>
          <w:noProof/>
          <w:sz w:val="20"/>
        </w:rPr>
        <w:t>c Procurement Plan of the State General Administration and its Public Entities and the Managing Bodies of the Social Security is the national strategy on Green Public Procurement (GPP) of Spain. It was approved in January 2008</w:t>
      </w:r>
      <w:r>
        <w:rPr>
          <w:rFonts w:cs="Times New Roman"/>
          <w:noProof/>
          <w:sz w:val="20"/>
          <w:vertAlign w:val="superscript"/>
        </w:rPr>
        <w:footnoteReference w:id="102"/>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 xml:space="preserve">GPP criteria are developed </w:t>
      </w:r>
      <w:r>
        <w:rPr>
          <w:rFonts w:cs="Times New Roman"/>
          <w:noProof/>
          <w:sz w:val="20"/>
        </w:rPr>
        <w:t>at the national level for the following product groups: construction and maintenance, energy, transport, office equipment, paper and publications, furniture, cleaning products and services, and events. Some regions have also implemented measures in this re</w:t>
      </w:r>
      <w:r>
        <w:rPr>
          <w:rFonts w:cs="Times New Roman"/>
          <w:noProof/>
          <w:sz w:val="20"/>
        </w:rPr>
        <w:t>spect, e.g.: in Catalonia, the Government Agreement on Public Procurement is based on the EU GPP criteria and in the Basque Country GPP criteria are developed based on market consultation mainly based on EU GPP criteria</w:t>
      </w:r>
      <w:r>
        <w:rPr>
          <w:rFonts w:cs="Times New Roman"/>
          <w:noProof/>
          <w:sz w:val="20"/>
          <w:vertAlign w:val="superscript"/>
        </w:rPr>
        <w:footnoteReference w:id="103"/>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The GPP targets are to have levels</w:t>
      </w:r>
      <w:r>
        <w:rPr>
          <w:rFonts w:cs="Times New Roman"/>
          <w:noProof/>
          <w:sz w:val="20"/>
        </w:rPr>
        <w:t xml:space="preserve"> of green purchase between 25% and 100% depending on the product group and implementation phase. Eight product groups have been included, according to the priority groups of the EU Commission, along with a timescale for achieving specific targets. Targets </w:t>
      </w:r>
      <w:r>
        <w:rPr>
          <w:rFonts w:cs="Times New Roman"/>
          <w:noProof/>
          <w:sz w:val="20"/>
        </w:rPr>
        <w:t>for consumption reduction and energy mix have also been set</w:t>
      </w:r>
      <w:r>
        <w:rPr>
          <w:rFonts w:cs="Times New Roman"/>
          <w:noProof/>
          <w:sz w:val="20"/>
          <w:vertAlign w:val="superscript"/>
        </w:rPr>
        <w:footnoteReference w:id="104"/>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Spain has adopted two reports on the state of green public procurement in the State General Administration. The first report in November 2011 and the last one in July 2015.</w:t>
      </w:r>
    </w:p>
    <w:p w:rsidR="00794EA4" w:rsidRDefault="0017531E">
      <w:pPr>
        <w:widowControl w:val="0"/>
        <w:spacing w:after="120" w:line="240" w:lineRule="auto"/>
        <w:jc w:val="both"/>
        <w:rPr>
          <w:rFonts w:cs="Times New Roman"/>
          <w:noProof/>
          <w:sz w:val="20"/>
        </w:rPr>
      </w:pPr>
      <w:r>
        <w:rPr>
          <w:rFonts w:cs="Times New Roman"/>
          <w:noProof/>
          <w:sz w:val="20"/>
        </w:rPr>
        <w:t>The Second Report was</w:t>
      </w:r>
      <w:r>
        <w:rPr>
          <w:rFonts w:cs="Times New Roman"/>
          <w:noProof/>
          <w:sz w:val="20"/>
        </w:rPr>
        <w:t xml:space="preserve"> produced in accordance with the provisions of the abovementioned Green Public Procurement Plan, reflecting new progress since the adoption of the first report on the implementation of measures in favour of green public procurement.</w:t>
      </w:r>
    </w:p>
    <w:p w:rsidR="00794EA4" w:rsidRDefault="0017531E">
      <w:pPr>
        <w:widowControl w:val="0"/>
        <w:spacing w:after="480" w:line="240" w:lineRule="auto"/>
        <w:jc w:val="both"/>
        <w:rPr>
          <w:rFonts w:cs="Times New Roman"/>
          <w:noProof/>
          <w:sz w:val="20"/>
        </w:rPr>
      </w:pPr>
      <w:r>
        <w:rPr>
          <w:rFonts w:cs="Times New Roman"/>
          <w:noProof/>
          <w:sz w:val="20"/>
        </w:rPr>
        <w:t>The Report reflects ove</w:t>
      </w:r>
      <w:r>
        <w:rPr>
          <w:rFonts w:cs="Times New Roman"/>
          <w:noProof/>
          <w:sz w:val="20"/>
        </w:rPr>
        <w:t>rall the achievement of broad levels of compliance, with practically total implementation of results in most of the above-mentioned eight product groups for which the Plan prioritizes the inclusion of environmental criteria. The wide replacement of paper p</w:t>
      </w:r>
      <w:r>
        <w:rPr>
          <w:rFonts w:cs="Times New Roman"/>
          <w:noProof/>
          <w:sz w:val="20"/>
        </w:rPr>
        <w:t>ublications by electronic publications should be highlighted.</w:t>
      </w:r>
    </w:p>
    <w:p w:rsidR="00794EA4" w:rsidRDefault="0017531E">
      <w:pPr>
        <w:widowControl w:val="0"/>
        <w:spacing w:after="240" w:line="240" w:lineRule="auto"/>
        <w:jc w:val="both"/>
        <w:outlineLvl w:val="1"/>
        <w:rPr>
          <w:rFonts w:cs="Times New Roman"/>
          <w:b/>
          <w:noProof/>
          <w:color w:val="1F497D" w:themeColor="text2"/>
          <w:sz w:val="24"/>
          <w:szCs w:val="24"/>
          <w:lang w:eastAsia="en-GB"/>
        </w:rPr>
      </w:pPr>
      <w:bookmarkStart w:id="49" w:name="_Toc469334767"/>
      <w:bookmarkStart w:id="50" w:name="_Toc469492828"/>
      <w:bookmarkEnd w:id="44"/>
      <w:r>
        <w:rPr>
          <w:rFonts w:cs="Times New Roman"/>
          <w:b/>
          <w:noProof/>
          <w:color w:val="1F497D" w:themeColor="text2"/>
          <w:sz w:val="24"/>
          <w:szCs w:val="24"/>
          <w:lang w:eastAsia="en-GB"/>
        </w:rPr>
        <w:t>Investments: the contribution of EU funds</w:t>
      </w:r>
      <w:bookmarkEnd w:id="49"/>
      <w:bookmarkEnd w:id="50"/>
      <w:r>
        <w:rPr>
          <w:rFonts w:cs="Times New Roman"/>
          <w:b/>
          <w:noProof/>
          <w:color w:val="1F497D" w:themeColor="text2"/>
          <w:sz w:val="24"/>
          <w:szCs w:val="24"/>
          <w:lang w:eastAsia="en-GB"/>
        </w:rPr>
        <w:t xml:space="preserve"> </w:t>
      </w:r>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European Structural and Investment Funds Regulations provide that Member States promote environment and climate objectives in their funding strategies </w:t>
      </w:r>
      <w:r>
        <w:rPr>
          <w:rFonts w:cs="Times New Roman"/>
          <w:noProof/>
          <w:color w:val="FFFFFF" w:themeColor="background1"/>
          <w:sz w:val="20"/>
        </w:rPr>
        <w:t>and programmes for economic, social and territorial cohesion, rural development and maritime policy, and reinforce the capacity of implementing bodies to deliver cost-effective and sustainable investments in these areas.</w:t>
      </w:r>
    </w:p>
    <w:p w:rsidR="00794EA4" w:rsidRDefault="0017531E">
      <w:pPr>
        <w:widowControl w:val="0"/>
        <w:suppressAutoHyphens/>
        <w:spacing w:before="120" w:after="120" w:line="240" w:lineRule="auto"/>
        <w:jc w:val="both"/>
        <w:rPr>
          <w:rFonts w:ascii="Calibri" w:eastAsia="Calibri" w:hAnsi="Calibri" w:cs="Times New Roman"/>
          <w:noProof/>
          <w:sz w:val="20"/>
          <w:szCs w:val="24"/>
          <w:lang w:eastAsia="ar-SA"/>
        </w:rPr>
      </w:pPr>
      <w:r>
        <w:rPr>
          <w:rFonts w:ascii="Calibri" w:eastAsia="Calibri" w:hAnsi="Calibri" w:cs="Times New Roman"/>
          <w:noProof/>
          <w:sz w:val="20"/>
          <w:szCs w:val="24"/>
          <w:lang w:eastAsia="ar-SA"/>
        </w:rPr>
        <w:t>Making good use of the European Str</w:t>
      </w:r>
      <w:r>
        <w:rPr>
          <w:rFonts w:ascii="Calibri" w:eastAsia="Calibri" w:hAnsi="Calibri" w:cs="Times New Roman"/>
          <w:noProof/>
          <w:sz w:val="20"/>
          <w:szCs w:val="24"/>
          <w:lang w:eastAsia="ar-SA"/>
        </w:rPr>
        <w:t>uctural and Investment Funds (ESIF)</w:t>
      </w:r>
      <w:r>
        <w:rPr>
          <w:rStyle w:val="FootnoteReference"/>
          <w:rFonts w:ascii="Calibri" w:eastAsia="Calibri" w:hAnsi="Calibri" w:cs="Times New Roman"/>
          <w:noProof/>
          <w:sz w:val="20"/>
          <w:szCs w:val="24"/>
          <w:lang w:eastAsia="ar-SA"/>
        </w:rPr>
        <w:footnoteReference w:id="105"/>
      </w:r>
      <w:r>
        <w:rPr>
          <w:rFonts w:ascii="Calibri" w:eastAsia="Calibri" w:hAnsi="Calibri" w:cs="Times New Roman"/>
          <w:noProof/>
          <w:sz w:val="20"/>
          <w:szCs w:val="24"/>
          <w:lang w:eastAsia="ar-SA"/>
        </w:rPr>
        <w:t xml:space="preserve"> is essential to achieve the environmental goals and integrate these into other policy areas. Other instruments such as the Horizon 2020, the LIFE programme and the EFSI</w:t>
      </w:r>
      <w:r>
        <w:rPr>
          <w:rStyle w:val="FootnoteReference"/>
          <w:rFonts w:ascii="Calibri" w:eastAsia="Calibri" w:hAnsi="Calibri" w:cs="Times New Roman"/>
          <w:noProof/>
          <w:sz w:val="20"/>
          <w:szCs w:val="24"/>
          <w:lang w:eastAsia="ar-SA"/>
        </w:rPr>
        <w:footnoteReference w:id="106"/>
      </w:r>
      <w:r>
        <w:rPr>
          <w:rFonts w:ascii="Calibri" w:eastAsia="Calibri" w:hAnsi="Calibri" w:cs="Times New Roman"/>
          <w:noProof/>
          <w:sz w:val="20"/>
          <w:szCs w:val="24"/>
          <w:lang w:eastAsia="ar-SA"/>
        </w:rPr>
        <w:t xml:space="preserve"> may also support implementation and spread of bes</w:t>
      </w:r>
      <w:r>
        <w:rPr>
          <w:rFonts w:ascii="Calibri" w:eastAsia="Calibri" w:hAnsi="Calibri" w:cs="Times New Roman"/>
          <w:noProof/>
          <w:sz w:val="20"/>
          <w:szCs w:val="24"/>
          <w:lang w:eastAsia="ar-SA"/>
        </w:rPr>
        <w:t>t practice.</w:t>
      </w:r>
    </w:p>
    <w:p w:rsidR="00794EA4" w:rsidRDefault="0017531E">
      <w:pPr>
        <w:widowControl w:val="0"/>
        <w:spacing w:after="120" w:line="240" w:lineRule="auto"/>
        <w:jc w:val="both"/>
        <w:rPr>
          <w:rFonts w:cs="Times New Roman"/>
          <w:noProof/>
          <w:sz w:val="20"/>
        </w:rPr>
      </w:pPr>
      <w:r>
        <w:rPr>
          <w:rFonts w:cs="Times New Roman"/>
          <w:noProof/>
          <w:sz w:val="20"/>
        </w:rPr>
        <w:t>In absolute terms, Spain is traditionally a very relevant beneficiary of the EU Cohesion Policy</w:t>
      </w:r>
      <w:r>
        <w:rPr>
          <w:rFonts w:cs="Times New Roman"/>
          <w:noProof/>
          <w:sz w:val="20"/>
          <w:vertAlign w:val="superscript"/>
        </w:rPr>
        <w:footnoteReference w:id="107"/>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The EU funding received by Spain during the last programming periods has significantly contributed to reach the environmental standards as well as</w:t>
      </w:r>
      <w:r>
        <w:rPr>
          <w:rFonts w:cs="Times New Roman"/>
          <w:noProof/>
          <w:sz w:val="20"/>
        </w:rPr>
        <w:t xml:space="preserve"> to improve the implementation of EU environmental policy and law in many sectors, e.g.: water and waste.</w:t>
      </w:r>
    </w:p>
    <w:p w:rsidR="00794EA4" w:rsidRDefault="0017531E">
      <w:pPr>
        <w:widowControl w:val="0"/>
        <w:spacing w:after="120" w:line="240" w:lineRule="auto"/>
        <w:jc w:val="both"/>
        <w:rPr>
          <w:rFonts w:cs="Times New Roman"/>
          <w:noProof/>
          <w:sz w:val="20"/>
        </w:rPr>
      </w:pPr>
      <w:r>
        <w:rPr>
          <w:rFonts w:cs="Times New Roman"/>
          <w:noProof/>
          <w:sz w:val="20"/>
        </w:rPr>
        <w:t>Current data suggest that the EU funds for the 2007-2013 period were almost fully spent</w:t>
      </w:r>
      <w:r>
        <w:rPr>
          <w:rFonts w:cs="Times New Roman"/>
          <w:noProof/>
          <w:sz w:val="20"/>
          <w:vertAlign w:val="superscript"/>
        </w:rPr>
        <w:footnoteReference w:id="108"/>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Spain will receive EUR 28.56 billion</w:t>
      </w:r>
      <w:r>
        <w:rPr>
          <w:rFonts w:cs="Times New Roman"/>
          <w:noProof/>
          <w:sz w:val="20"/>
          <w:vertAlign w:val="superscript"/>
        </w:rPr>
        <w:footnoteReference w:id="109"/>
      </w:r>
      <w:r>
        <w:rPr>
          <w:rFonts w:cs="Times New Roman"/>
          <w:noProof/>
          <w:sz w:val="20"/>
        </w:rPr>
        <w:t xml:space="preserve"> in total from the EU C</w:t>
      </w:r>
      <w:r>
        <w:rPr>
          <w:rFonts w:cs="Times New Roman"/>
          <w:noProof/>
          <w:sz w:val="20"/>
        </w:rPr>
        <w:t>ohesion Policy funding over the programming period 2014-2020 (ERDF and ESF, including European Territorial Cooperation funding and the allocation for the Youth Employment Initiative).</w:t>
      </w:r>
    </w:p>
    <w:p w:rsidR="00794EA4" w:rsidRDefault="0017531E">
      <w:pPr>
        <w:widowControl w:val="0"/>
        <w:spacing w:after="120" w:line="240" w:lineRule="auto"/>
        <w:jc w:val="both"/>
        <w:rPr>
          <w:rFonts w:cs="Times New Roman"/>
          <w:noProof/>
          <w:sz w:val="20"/>
        </w:rPr>
      </w:pPr>
      <w:r>
        <w:rPr>
          <w:rFonts w:cs="Times New Roman"/>
          <w:noProof/>
          <w:sz w:val="20"/>
        </w:rPr>
        <w:t xml:space="preserve">Spain will also receive EUR 8.29 billion for rural development (EARDF) </w:t>
      </w:r>
      <w:r>
        <w:rPr>
          <w:rFonts w:cs="Times New Roman"/>
          <w:noProof/>
          <w:sz w:val="20"/>
        </w:rPr>
        <w:t>and EUR 1.16 billion for fisheries and the maritime sector (EMFF).</w:t>
      </w:r>
    </w:p>
    <w:p w:rsidR="00794EA4" w:rsidRDefault="0017531E">
      <w:pPr>
        <w:widowControl w:val="0"/>
        <w:spacing w:after="240" w:line="240" w:lineRule="auto"/>
        <w:jc w:val="both"/>
        <w:rPr>
          <w:rFonts w:cs="Times New Roman"/>
          <w:noProof/>
          <w:sz w:val="20"/>
        </w:rPr>
      </w:pPr>
      <w:r>
        <w:rPr>
          <w:rFonts w:cs="Times New Roman"/>
          <w:noProof/>
          <w:sz w:val="20"/>
        </w:rPr>
        <w:t>In the period 2014-2020, 13 out of the 19 Spanish regions are reaching the status of "more developed" and therefore receiving less EU funding, whereas the Cohesion Fund is no longer availab</w:t>
      </w:r>
      <w:r>
        <w:rPr>
          <w:rFonts w:cs="Times New Roman"/>
          <w:noProof/>
          <w:sz w:val="20"/>
        </w:rPr>
        <w:t>le to Spain. Environmental investments have also to follow the new design of the EU Cohesion Policy and the main priorities reflected in the thematic concentration (Innovation, TICs, SMEs and Low Carbon Economy). Nevertheless, the direct environmental inve</w:t>
      </w:r>
      <w:r>
        <w:rPr>
          <w:rFonts w:cs="Times New Roman"/>
          <w:noProof/>
          <w:sz w:val="20"/>
        </w:rPr>
        <w:t>stments are still significant and represent around 11.8% of the ERDF (EUR 2.3 billion).</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794EA4">
        <w:trPr>
          <w:trHeight w:val="541"/>
        </w:trPr>
        <w:tc>
          <w:tcPr>
            <w:tcW w:w="4909" w:type="dxa"/>
          </w:tcPr>
          <w:p w:rsidR="00794EA4" w:rsidRDefault="0017531E">
            <w:pPr>
              <w:spacing w:after="120"/>
              <w:jc w:val="both"/>
              <w:rPr>
                <w:rFonts w:cs="Times New Roman"/>
                <w:noProof/>
                <w:sz w:val="20"/>
              </w:rPr>
            </w:pPr>
            <w:r>
              <w:rPr>
                <w:rFonts w:cs="Times New Roman"/>
                <w:b/>
                <w:bCs/>
                <w:noProof/>
                <w:color w:val="1F497D" w:themeColor="text2"/>
                <w:sz w:val="20"/>
              </w:rPr>
              <w:t>Figure 13: European Structural and Investment Funds 2014-2020: Budget Spain by theme, EUR billion</w:t>
            </w:r>
            <w:r>
              <w:rPr>
                <w:rFonts w:cs="Times New Roman"/>
                <w:noProof/>
                <w:sz w:val="20"/>
                <w:vertAlign w:val="superscript"/>
              </w:rPr>
              <w:footnoteReference w:id="110"/>
            </w:r>
          </w:p>
        </w:tc>
      </w:tr>
      <w:tr w:rsidR="00794EA4">
        <w:trPr>
          <w:trHeight w:val="558"/>
        </w:trPr>
        <w:tc>
          <w:tcPr>
            <w:tcW w:w="4909" w:type="dxa"/>
          </w:tcPr>
          <w:p w:rsidR="00794EA4" w:rsidRDefault="0017531E">
            <w:pPr>
              <w:spacing w:after="120"/>
              <w:jc w:val="both"/>
              <w:rPr>
                <w:rFonts w:cs="Times New Roman"/>
                <w:noProof/>
                <w:sz w:val="20"/>
              </w:rPr>
            </w:pPr>
            <w:r>
              <w:rPr>
                <w:rFonts w:cs="Times New Roman"/>
                <w:noProof/>
                <w:sz w:val="20"/>
                <w:lang w:eastAsia="en-GB"/>
              </w:rPr>
              <w:drawing>
                <wp:inline distT="0" distB="0" distL="0" distR="0" wp14:anchorId="0BFDB4ED" wp14:editId="1F12A4B8">
                  <wp:extent cx="3027969" cy="3776869"/>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028742" cy="3777833"/>
                          </a:xfrm>
                          <a:prstGeom prst="rect">
                            <a:avLst/>
                          </a:prstGeom>
                        </pic:spPr>
                      </pic:pic>
                    </a:graphicData>
                  </a:graphic>
                </wp:inline>
              </w:drawing>
            </w:r>
          </w:p>
        </w:tc>
      </w:tr>
    </w:tbl>
    <w:p w:rsidR="00794EA4" w:rsidRDefault="0017531E">
      <w:pPr>
        <w:widowControl w:val="0"/>
        <w:spacing w:before="120" w:after="120" w:line="240" w:lineRule="auto"/>
        <w:jc w:val="both"/>
        <w:rPr>
          <w:rFonts w:cs="Times New Roman"/>
          <w:noProof/>
          <w:sz w:val="20"/>
        </w:rPr>
      </w:pPr>
      <w:r>
        <w:rPr>
          <w:rFonts w:cs="Times New Roman"/>
          <w:noProof/>
          <w:sz w:val="20"/>
        </w:rPr>
        <w:t xml:space="preserve">In terms of environmental sectors, the main priorities in Spain </w:t>
      </w:r>
      <w:r>
        <w:rPr>
          <w:rFonts w:cs="Times New Roman"/>
          <w:noProof/>
          <w:sz w:val="20"/>
        </w:rPr>
        <w:t>for ERDF 2014-2020 are: wastewater (around EUR 1.1 billion), rehabilitation of industrial sites and contaminated land (EUR 265 million), biodiversity and Natura 2000 (EUR 225 million) and adaptation to climate change (EUR 195 million).</w:t>
      </w:r>
    </w:p>
    <w:p w:rsidR="00794EA4" w:rsidRDefault="0017531E">
      <w:pPr>
        <w:widowControl w:val="0"/>
        <w:spacing w:after="120" w:line="240" w:lineRule="auto"/>
        <w:jc w:val="both"/>
        <w:rPr>
          <w:rFonts w:cs="Times New Roman"/>
          <w:noProof/>
          <w:sz w:val="20"/>
        </w:rPr>
      </w:pPr>
      <w:r>
        <w:rPr>
          <w:rFonts w:cs="Times New Roman"/>
          <w:noProof/>
          <w:sz w:val="20"/>
        </w:rPr>
        <w:t xml:space="preserve">There is a national </w:t>
      </w:r>
      <w:r>
        <w:rPr>
          <w:rFonts w:cs="Times New Roman"/>
          <w:noProof/>
          <w:sz w:val="20"/>
        </w:rPr>
        <w:t>OP on Sustainable Growth, with the largest ERDF allocation (around EUR 5.5 billion) with 4 priority axes: Low carbon economy, Sustainable urban development, Water quality, and Sustainable transport. This OP concentrates a high part of the environmental inv</w:t>
      </w:r>
      <w:r>
        <w:rPr>
          <w:rFonts w:cs="Times New Roman"/>
          <w:noProof/>
          <w:sz w:val="20"/>
        </w:rPr>
        <w:t>estments, although they are also present in many regional ERDF OPs.</w:t>
      </w:r>
    </w:p>
    <w:p w:rsidR="00794EA4" w:rsidRDefault="0017531E">
      <w:pPr>
        <w:widowControl w:val="0"/>
        <w:spacing w:after="120" w:line="240" w:lineRule="auto"/>
        <w:jc w:val="both"/>
        <w:rPr>
          <w:rFonts w:eastAsia="Calibri" w:cs="Times New Roman"/>
          <w:noProof/>
          <w:sz w:val="20"/>
        </w:rPr>
      </w:pPr>
      <w:r>
        <w:rPr>
          <w:rFonts w:eastAsia="Calibri" w:cs="Times New Roman"/>
          <w:noProof/>
          <w:sz w:val="20"/>
        </w:rPr>
        <w:t>Moreover, it should be highlighted the various territorial cooperation ERDF OPs (transnational and cross-border cooperation) with the participation of Spain where the environmental investm</w:t>
      </w:r>
      <w:r>
        <w:rPr>
          <w:rFonts w:eastAsia="Calibri" w:cs="Times New Roman"/>
          <w:noProof/>
          <w:sz w:val="20"/>
        </w:rPr>
        <w:t>ents have a considerable weight.</w:t>
      </w:r>
    </w:p>
    <w:p w:rsidR="00794EA4" w:rsidRDefault="0017531E">
      <w:pPr>
        <w:widowControl w:val="0"/>
        <w:spacing w:after="120" w:line="240" w:lineRule="auto"/>
        <w:jc w:val="both"/>
        <w:rPr>
          <w:rFonts w:cs="Times New Roman"/>
          <w:noProof/>
          <w:sz w:val="20"/>
        </w:rPr>
      </w:pPr>
      <w:r>
        <w:rPr>
          <w:rFonts w:cs="Times New Roman"/>
          <w:noProof/>
          <w:sz w:val="20"/>
        </w:rPr>
        <w:t>The environmental integration has been ensured in the Partnership Agreement 2014-2020 and the different Operational Programmes for the four ESIF through the application of the SEA Directive and by other means. The Spanish N</w:t>
      </w:r>
      <w:r>
        <w:rPr>
          <w:rFonts w:cs="Times New Roman"/>
          <w:noProof/>
          <w:sz w:val="20"/>
        </w:rPr>
        <w:t>etwork of Environmental Authorities, with the participation of DG ENV and DG REGIO, plays an important role to promote environmental integration into the EU funding.</w:t>
      </w:r>
    </w:p>
    <w:p w:rsidR="00794EA4" w:rsidRDefault="0017531E">
      <w:pPr>
        <w:widowControl w:val="0"/>
        <w:spacing w:after="120" w:line="240" w:lineRule="auto"/>
        <w:jc w:val="both"/>
        <w:rPr>
          <w:rFonts w:cs="Times New Roman"/>
          <w:noProof/>
          <w:sz w:val="20"/>
        </w:rPr>
      </w:pPr>
      <w:r>
        <w:rPr>
          <w:rFonts w:cs="Times New Roman"/>
          <w:noProof/>
          <w:sz w:val="20"/>
        </w:rPr>
        <w:t xml:space="preserve">The thematic environmental ex-ante conditionalities (EAC) on Water and Waste have been </w:t>
      </w:r>
      <w:r>
        <w:rPr>
          <w:rFonts w:cs="Times New Roman"/>
          <w:noProof/>
          <w:sz w:val="20"/>
        </w:rPr>
        <w:t>only partially fulfilled by Spain. Therefore, Action Plans have been agreed with the Spanish authorities to comply with all the criteria by end-2016. These action plans play a major role in accelerating the implementation of the EU environmental policy, an</w:t>
      </w:r>
      <w:r>
        <w:rPr>
          <w:rFonts w:cs="Times New Roman"/>
          <w:noProof/>
          <w:sz w:val="20"/>
        </w:rPr>
        <w:t>d foster a dialogue with the national competent authorities.</w:t>
      </w:r>
    </w:p>
    <w:p w:rsidR="00794EA4" w:rsidRDefault="0017531E">
      <w:pPr>
        <w:widowControl w:val="0"/>
        <w:spacing w:after="120" w:line="240" w:lineRule="auto"/>
        <w:jc w:val="both"/>
        <w:rPr>
          <w:rFonts w:cs="Times New Roman"/>
          <w:noProof/>
          <w:sz w:val="20"/>
        </w:rPr>
      </w:pPr>
      <w:r>
        <w:rPr>
          <w:rFonts w:cs="Times New Roman"/>
          <w:noProof/>
          <w:sz w:val="20"/>
        </w:rPr>
        <w:t>The general environmental EAC on EIA/SEA (looking into the legal framework and the effective arrangements to comply with the environmental impact assessment rules) was considered as fulfilled, al</w:t>
      </w:r>
      <w:r>
        <w:rPr>
          <w:rFonts w:cs="Times New Roman"/>
          <w:noProof/>
          <w:sz w:val="20"/>
        </w:rPr>
        <w:t>so considering the commitments undertaken by the Spanish authorities.</w:t>
      </w:r>
    </w:p>
    <w:p w:rsidR="00794EA4" w:rsidRDefault="0017531E">
      <w:pPr>
        <w:widowControl w:val="0"/>
        <w:spacing w:after="120" w:line="240" w:lineRule="auto"/>
        <w:jc w:val="both"/>
        <w:rPr>
          <w:rFonts w:cs="Times New Roman"/>
          <w:noProof/>
          <w:sz w:val="20"/>
        </w:rPr>
      </w:pPr>
      <w:r>
        <w:rPr>
          <w:rFonts w:cs="Times New Roman"/>
          <w:noProof/>
          <w:sz w:val="20"/>
        </w:rPr>
        <w:t xml:space="preserve">Spain should take advantage of the ESIF available for the programming period 2014-2020 in order to improve the compliance with the EU environmental law and policy, as well as to use the </w:t>
      </w:r>
      <w:r>
        <w:rPr>
          <w:rFonts w:cs="Times New Roman"/>
          <w:noProof/>
          <w:sz w:val="20"/>
        </w:rPr>
        <w:t>potential of the green economy for competitiveness and job creation.</w:t>
      </w:r>
    </w:p>
    <w:p w:rsidR="00794EA4" w:rsidRDefault="0017531E">
      <w:pPr>
        <w:widowControl w:val="0"/>
        <w:spacing w:after="120" w:line="240" w:lineRule="auto"/>
        <w:jc w:val="both"/>
        <w:rPr>
          <w:rFonts w:cs="Times New Roman"/>
          <w:noProof/>
          <w:sz w:val="20"/>
        </w:rPr>
      </w:pPr>
      <w:r>
        <w:rPr>
          <w:rFonts w:cs="Times New Roman"/>
          <w:noProof/>
          <w:sz w:val="20"/>
        </w:rPr>
        <w:t>It is too early to draw conclusions about the use and result of ESIF for the period 2014-2020, as the relevant programmes are still in an early stage of their implementation.</w:t>
      </w:r>
    </w:p>
    <w:p w:rsidR="00794EA4" w:rsidRDefault="0017531E">
      <w:pPr>
        <w:spacing w:after="120" w:line="240" w:lineRule="auto"/>
        <w:jc w:val="both"/>
        <w:rPr>
          <w:rFonts w:cs="Times New Roman"/>
          <w:noProof/>
          <w:sz w:val="20"/>
          <w:szCs w:val="20"/>
        </w:rPr>
      </w:pPr>
      <w:r>
        <w:rPr>
          <w:rFonts w:cs="Times New Roman"/>
          <w:noProof/>
          <w:sz w:val="20"/>
          <w:szCs w:val="20"/>
        </w:rPr>
        <w:t>Regarding th</w:t>
      </w:r>
      <w:r>
        <w:rPr>
          <w:rFonts w:cs="Times New Roman"/>
          <w:noProof/>
          <w:sz w:val="20"/>
          <w:szCs w:val="20"/>
        </w:rPr>
        <w:t>e integration of environmental concerns into the Common Agricultural Policy (CAP), the two key areas for Spain (as for all Member States) are, first, using Rural Development funds to pay for environmental land management and other environmental measures, w</w:t>
      </w:r>
      <w:r>
        <w:rPr>
          <w:rFonts w:cs="Times New Roman"/>
          <w:noProof/>
          <w:sz w:val="20"/>
          <w:szCs w:val="20"/>
        </w:rPr>
        <w:t>hile avoiding financing measures which could damage the environment; and second, to, ensuring an effective implementation of the first pillar of the CAP with regard to cross compliance and 1st pillar 'greening'. 30 % of direct payment envelope is allocated</w:t>
      </w:r>
      <w:r>
        <w:rPr>
          <w:rFonts w:cs="Times New Roman"/>
          <w:noProof/>
          <w:sz w:val="20"/>
          <w:szCs w:val="20"/>
        </w:rPr>
        <w:t xml:space="preserve"> to greening practices beneficial for the environment. An environmentally ambitious implementation of 1st pillar greening would clearly help to improve the environmental situation in areas not covered by rural development, including intensive area.</w:t>
      </w:r>
    </w:p>
    <w:p w:rsidR="00794EA4" w:rsidRDefault="0017531E">
      <w:pPr>
        <w:widowControl w:val="0"/>
        <w:spacing w:after="120" w:line="240" w:lineRule="auto"/>
        <w:jc w:val="both"/>
        <w:rPr>
          <w:rFonts w:cs="Times New Roman"/>
          <w:noProof/>
          <w:sz w:val="20"/>
        </w:rPr>
      </w:pPr>
      <w:r>
        <w:rPr>
          <w:rFonts w:cs="Times New Roman"/>
          <w:noProof/>
          <w:sz w:val="20"/>
        </w:rPr>
        <w:t>It shou</w:t>
      </w:r>
      <w:r>
        <w:rPr>
          <w:rFonts w:cs="Times New Roman"/>
          <w:noProof/>
          <w:sz w:val="20"/>
        </w:rPr>
        <w:t>ld be noted that the implementation of the eligibility of land for Pillar I of the CAP (direct payments) by Spain is very restrictive and lists elements with reduction power (lowering number of hectares for which direct payments are received) which are not</w:t>
      </w:r>
      <w:r>
        <w:rPr>
          <w:rFonts w:cs="Times New Roman"/>
          <w:noProof/>
          <w:sz w:val="20"/>
        </w:rPr>
        <w:t xml:space="preserve"> standard elements (e.g. slope). High number of hectares of silvopastoral systems found themselves ineligible for CAP payments, or their eligibility (number of hectares eligible) got significantly decreased. This is also due to the fact that under Rural De</w:t>
      </w:r>
      <w:r>
        <w:rPr>
          <w:rFonts w:cs="Times New Roman"/>
          <w:noProof/>
          <w:sz w:val="20"/>
        </w:rPr>
        <w:t xml:space="preserve">velopment Programmes (fund EAFRD) in the agri-environment-climate measure only parcels that are eligible under Pillar I of the CAP can receive per hectare support for e.g. extensive management, biodiversity- related actions- in a way that Spain implements </w:t>
      </w:r>
      <w:r>
        <w:rPr>
          <w:rFonts w:cs="Times New Roman"/>
          <w:noProof/>
          <w:sz w:val="20"/>
        </w:rPr>
        <w:t>it. This is very problematic and potentially affects huge areas of Natura 2000 habitats dependant on (some level of) grazing. It is of crucial importance that land managers, farmers, who provide public goods via traditional farming, supporting number of ec</w:t>
      </w:r>
      <w:r>
        <w:rPr>
          <w:rFonts w:cs="Times New Roman"/>
          <w:noProof/>
          <w:sz w:val="20"/>
        </w:rPr>
        <w:t>osystem services, find their parcels eligible for funding under CAP as far as there is an active management of land.</w:t>
      </w:r>
    </w:p>
    <w:p w:rsidR="00794EA4" w:rsidRDefault="0017531E">
      <w:pPr>
        <w:widowControl w:val="0"/>
        <w:spacing w:after="120" w:line="240" w:lineRule="auto"/>
        <w:jc w:val="both"/>
        <w:rPr>
          <w:rFonts w:cs="Times New Roman"/>
          <w:noProof/>
          <w:sz w:val="20"/>
        </w:rPr>
      </w:pPr>
      <w:r>
        <w:rPr>
          <w:rFonts w:cs="Times New Roman"/>
          <w:noProof/>
          <w:sz w:val="20"/>
        </w:rPr>
        <w:t>Spain is suggested to improve the rules, via constructive dialogue with the European Commission, including DG ENV, in order not to disadvan</w:t>
      </w:r>
      <w:r>
        <w:rPr>
          <w:rFonts w:cs="Times New Roman"/>
          <w:noProof/>
          <w:sz w:val="20"/>
        </w:rPr>
        <w:t>tage land managers who practice active agricultural land management.</w:t>
      </w:r>
    </w:p>
    <w:p w:rsidR="00794EA4" w:rsidRDefault="0017531E">
      <w:pPr>
        <w:widowControl w:val="0"/>
        <w:spacing w:after="120" w:line="240" w:lineRule="auto"/>
        <w:jc w:val="both"/>
        <w:rPr>
          <w:rFonts w:cs="Times New Roman"/>
          <w:noProof/>
          <w:sz w:val="20"/>
        </w:rPr>
      </w:pPr>
      <w:r>
        <w:rPr>
          <w:rFonts w:cs="Times New Roman"/>
          <w:noProof/>
          <w:sz w:val="20"/>
        </w:rPr>
        <w:t xml:space="preserve">Regarding a pure environmental financial instrument like the LIFE programme, it should be noted that since the launch of the LIFE programme by the European Commission in 1992, a total of </w:t>
      </w:r>
      <w:r>
        <w:rPr>
          <w:rFonts w:cs="Times New Roman"/>
          <w:noProof/>
          <w:sz w:val="20"/>
        </w:rPr>
        <w:t>738 projects have been financed in Spain. Of these, 458 focus on environmental innovation and demonstration, 261 on nature conservation and wildlife biodiversity and 9 on information and communication. As of 2014, 8 Climate Action projects are also being c</w:t>
      </w:r>
      <w:r>
        <w:rPr>
          <w:rFonts w:cs="Times New Roman"/>
          <w:noProof/>
          <w:sz w:val="20"/>
        </w:rPr>
        <w:t>o-funded by LIFE. These projects represent a total investment of EUR 1.2 billion, of which EUR 573 million has been contributed by the European Union.</w:t>
      </w:r>
    </w:p>
    <w:p w:rsidR="00794EA4" w:rsidRDefault="0017531E">
      <w:pPr>
        <w:widowControl w:val="0"/>
        <w:spacing w:after="120" w:line="240" w:lineRule="auto"/>
        <w:jc w:val="both"/>
        <w:rPr>
          <w:rFonts w:cs="Times New Roman"/>
          <w:noProof/>
          <w:sz w:val="20"/>
        </w:rPr>
      </w:pPr>
      <w:r>
        <w:rPr>
          <w:rFonts w:cs="Times New Roman"/>
          <w:noProof/>
          <w:sz w:val="20"/>
        </w:rPr>
        <w:t>For the period 2014-2017 some EUR 75 million have been indicatively earmarked for Spain through a nationa</w:t>
      </w:r>
      <w:r>
        <w:rPr>
          <w:rFonts w:cs="Times New Roman"/>
          <w:noProof/>
          <w:sz w:val="20"/>
        </w:rPr>
        <w:t>l allocation. It is expected that the success rate of Spanish projects will not be affected by the abandonment of national allocations as of 2018, since there have always been sufficient Spanish applications with a high merit.</w:t>
      </w:r>
    </w:p>
    <w:p w:rsidR="00794EA4" w:rsidRDefault="0017531E">
      <w:pPr>
        <w:widowControl w:val="0"/>
        <w:spacing w:after="240" w:line="240" w:lineRule="auto"/>
        <w:jc w:val="both"/>
        <w:rPr>
          <w:rFonts w:cs="Times New Roman"/>
          <w:noProof/>
          <w:sz w:val="20"/>
        </w:rPr>
      </w:pPr>
      <w:r>
        <w:rPr>
          <w:rFonts w:cs="Times New Roman"/>
          <w:noProof/>
          <w:sz w:val="20"/>
        </w:rPr>
        <w:t xml:space="preserve">Spain has always been one of </w:t>
      </w:r>
      <w:r>
        <w:rPr>
          <w:rFonts w:cs="Times New Roman"/>
          <w:noProof/>
          <w:sz w:val="20"/>
        </w:rPr>
        <w:t>the countries with the highest number of proposals submitted to the LIFE programme and Spanish projects have traditionally been successful in achieving their objectives. Thus, LIFE projects in Spain have, e.g., achieved the increase of the Spanish marine p</w:t>
      </w:r>
      <w:r>
        <w:rPr>
          <w:rFonts w:cs="Times New Roman"/>
          <w:noProof/>
          <w:sz w:val="20"/>
        </w:rPr>
        <w:t xml:space="preserve">rotected areas from less than 1% to more than 8% of the marine territory, improved the status of the most endangered feline worldwide, the Iberian lynx, from critically endangered' to 'endangered', and substantially raised the awareness in Spain regarding </w:t>
      </w:r>
      <w:r>
        <w:rPr>
          <w:rFonts w:cs="Times New Roman"/>
          <w:noProof/>
          <w:sz w:val="20"/>
        </w:rPr>
        <w:t>the socio-economic advantages of Natura2000 and of sustainable resource management.</w:t>
      </w: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pPr>
    </w:p>
    <w:p w:rsidR="00794EA4" w:rsidRDefault="0017531E">
      <w:pPr>
        <w:widowControl w:val="0"/>
        <w:spacing w:after="120" w:line="240" w:lineRule="auto"/>
        <w:jc w:val="both"/>
        <w:rPr>
          <w:rFonts w:cs="Times New Roman"/>
          <w:noProof/>
          <w:sz w:val="20"/>
        </w:rPr>
      </w:pPr>
      <w:r>
        <w:rPr>
          <w:rFonts w:cs="Times New Roman"/>
          <w:noProof/>
          <w:sz w:val="20"/>
        </w:rPr>
        <w:br w:type="page"/>
      </w:r>
    </w:p>
    <w:p w:rsidR="00794EA4" w:rsidRDefault="00794EA4">
      <w:pPr>
        <w:widowControl w:val="0"/>
        <w:rPr>
          <w:rFonts w:cs="Times New Roman"/>
          <w:noProof/>
          <w:sz w:val="20"/>
        </w:rPr>
        <w:sectPr w:rsidR="00794EA4">
          <w:headerReference w:type="even" r:id="rId101"/>
          <w:headerReference w:type="default" r:id="rId102"/>
          <w:footerReference w:type="even" r:id="rId103"/>
          <w:footerReference w:type="default" r:id="rId104"/>
          <w:headerReference w:type="first" r:id="rId105"/>
          <w:footerReference w:type="first" r:id="rId106"/>
          <w:type w:val="continuous"/>
          <w:pgSz w:w="11906" w:h="16838"/>
          <w:pgMar w:top="1440" w:right="1080" w:bottom="1440" w:left="1080" w:header="708" w:footer="708" w:gutter="0"/>
          <w:cols w:num="2" w:space="360"/>
          <w:docGrid w:linePitch="360"/>
        </w:sectPr>
      </w:pPr>
    </w:p>
    <w:p w:rsidR="00794EA4" w:rsidRDefault="0017531E">
      <w:pPr>
        <w:widowControl w:val="0"/>
        <w:numPr>
          <w:ilvl w:val="0"/>
          <w:numId w:val="26"/>
        </w:numPr>
        <w:spacing w:after="120" w:line="240" w:lineRule="auto"/>
        <w:jc w:val="center"/>
        <w:outlineLvl w:val="0"/>
        <w:rPr>
          <w:rFonts w:eastAsiaTheme="majorEastAsia" w:cstheme="majorBidi"/>
          <w:b/>
          <w:bCs/>
          <w:noProof/>
          <w:color w:val="1F497D" w:themeColor="text2"/>
          <w:sz w:val="32"/>
          <w:szCs w:val="28"/>
        </w:rPr>
      </w:pPr>
      <w:bookmarkStart w:id="51" w:name="_Toc469492829"/>
      <w:r>
        <w:rPr>
          <w:rFonts w:eastAsiaTheme="majorEastAsia" w:cstheme="majorBidi"/>
          <w:b/>
          <w:bCs/>
          <w:noProof/>
          <w:color w:val="1F497D" w:themeColor="text2"/>
          <w:sz w:val="32"/>
          <w:szCs w:val="28"/>
        </w:rPr>
        <w:t xml:space="preserve">Effective governance and </w:t>
      </w:r>
      <w:r>
        <w:rPr>
          <w:rFonts w:eastAsiaTheme="majorEastAsia" w:cstheme="majorBidi"/>
          <w:b/>
          <w:bCs/>
          <w:noProof/>
          <w:color w:val="1F497D" w:themeColor="text2"/>
          <w:sz w:val="32"/>
          <w:szCs w:val="28"/>
        </w:rPr>
        <w:t>knowledge</w:t>
      </w:r>
      <w:bookmarkEnd w:id="51"/>
    </w:p>
    <w:p w:rsidR="00794EA4" w:rsidRDefault="00794EA4">
      <w:pPr>
        <w:widowControl w:val="0"/>
        <w:spacing w:after="120" w:line="240" w:lineRule="auto"/>
        <w:jc w:val="both"/>
        <w:rPr>
          <w:rFonts w:cs="Times New Roman"/>
          <w:noProof/>
          <w:sz w:val="20"/>
        </w:rPr>
      </w:pPr>
    </w:p>
    <w:p w:rsidR="00794EA4" w:rsidRDefault="00794EA4">
      <w:pPr>
        <w:widowControl w:val="0"/>
        <w:spacing w:after="120" w:line="240" w:lineRule="auto"/>
        <w:jc w:val="both"/>
        <w:rPr>
          <w:rFonts w:cs="Times New Roman"/>
          <w:noProof/>
          <w:sz w:val="20"/>
        </w:rPr>
        <w:sectPr w:rsidR="00794EA4">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440" w:right="1080" w:bottom="1440" w:left="1080" w:header="708" w:footer="708" w:gutter="0"/>
          <w:cols w:space="566"/>
          <w:docGrid w:linePitch="360"/>
        </w:sectPr>
      </w:pPr>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bookmarkStart w:id="52" w:name="_Toc433798401"/>
      <w:r>
        <w:rPr>
          <w:rFonts w:cs="Times New Roman"/>
          <w:noProof/>
          <w:color w:val="FFFFFF" w:themeColor="background1"/>
          <w:sz w:val="20"/>
        </w:rPr>
        <w:t xml:space="preserve">SDG 16 aims at providing access to justice and building effective, accountable and inclusive institutions at all levels. SDG 17 aims </w:t>
      </w:r>
      <w:r>
        <w:rPr>
          <w:rFonts w:cs="Times New Roman"/>
          <w:noProof/>
          <w:color w:val="FFFFFF" w:themeColor="background1"/>
          <w:sz w:val="20"/>
        </w:rPr>
        <w:t>at better implementation, improving policy coordination and policy coherence, stimulating science, technology and innovation, establishing partnerships and developing measurements of progress.</w:t>
      </w:r>
    </w:p>
    <w:p w:rsidR="00794EA4" w:rsidRDefault="0017531E">
      <w:pPr>
        <w:widowControl w:val="0"/>
        <w:spacing w:before="240" w:after="120" w:line="240" w:lineRule="auto"/>
        <w:jc w:val="both"/>
        <w:rPr>
          <w:rFonts w:cs="Times New Roman"/>
          <w:noProof/>
          <w:color w:val="000000" w:themeColor="text1"/>
          <w:sz w:val="20"/>
        </w:rPr>
      </w:pPr>
      <w:r>
        <w:rPr>
          <w:rFonts w:cs="Times New Roman"/>
          <w:noProof/>
          <w:sz w:val="20"/>
        </w:rPr>
        <w:t>Effective governance of EU environmental legislation and polici</w:t>
      </w:r>
      <w:r>
        <w:rPr>
          <w:rFonts w:cs="Times New Roman"/>
          <w:noProof/>
          <w:sz w:val="20"/>
        </w:rPr>
        <w:t>es requires having an appropriate institutional framework, policy coherence and coordination, applying legal and non-legal instruments, engaging with non-governmental stakeholders, and having adequate levels of knowledge and skills</w:t>
      </w:r>
      <w:r>
        <w:rPr>
          <w:rFonts w:cs="Times New Roman"/>
          <w:noProof/>
          <w:sz w:val="20"/>
          <w:vertAlign w:val="superscript"/>
        </w:rPr>
        <w:footnoteReference w:id="111"/>
      </w:r>
      <w:r>
        <w:rPr>
          <w:rFonts w:cs="Times New Roman"/>
          <w:noProof/>
          <w:sz w:val="20"/>
        </w:rPr>
        <w:t xml:space="preserve">. Successful implementation depends, to a large extent, on central, regional and local government fulfilling key legislative and administrative tasks, notably adoption of sound implementing legislation, co-ordinated action to meet environmental objectives </w:t>
      </w:r>
      <w:r>
        <w:rPr>
          <w:rFonts w:cs="Times New Roman"/>
          <w:noProof/>
          <w:sz w:val="20"/>
        </w:rPr>
        <w:t>and correct decision-making on matters such as industrial permits. Beyond fulfilment of these tasks, government must intervene to ensure day-to-day compliance by economic operators, utilities and individuals ("compliance assurance"). Civil society also has</w:t>
      </w:r>
      <w:r>
        <w:rPr>
          <w:rFonts w:cs="Times New Roman"/>
          <w:noProof/>
          <w:sz w:val="20"/>
        </w:rPr>
        <w:t xml:space="preserve"> </w:t>
      </w:r>
      <w:r>
        <w:rPr>
          <w:rFonts w:cs="Times New Roman"/>
          <w:noProof/>
          <w:color w:val="000000" w:themeColor="text1"/>
          <w:sz w:val="20"/>
        </w:rPr>
        <w:t>a role to play, including through legal action. To underpin the roles of all actors, it is crucial to collect and share knowledge and evidence on the state of the environment and on environmental pressures, drivers and impacts.</w:t>
      </w:r>
    </w:p>
    <w:p w:rsidR="00794EA4" w:rsidRDefault="0017531E">
      <w:pPr>
        <w:widowControl w:val="0"/>
        <w:spacing w:after="360" w:line="240" w:lineRule="auto"/>
        <w:jc w:val="both"/>
        <w:rPr>
          <w:rFonts w:cs="Times New Roman"/>
          <w:noProof/>
          <w:sz w:val="20"/>
        </w:rPr>
      </w:pPr>
      <w:r>
        <w:rPr>
          <w:rFonts w:cs="Times New Roman"/>
          <w:noProof/>
          <w:color w:val="000000" w:themeColor="text1"/>
          <w:sz w:val="20"/>
        </w:rPr>
        <w:t>Equally, effective governan</w:t>
      </w:r>
      <w:r>
        <w:rPr>
          <w:rFonts w:cs="Times New Roman"/>
          <w:noProof/>
          <w:color w:val="000000" w:themeColor="text1"/>
          <w:sz w:val="20"/>
        </w:rPr>
        <w:t>ce of EU environmental legislation</w:t>
      </w:r>
      <w:r>
        <w:rPr>
          <w:rFonts w:cs="Times New Roman"/>
          <w:noProof/>
          <w:sz w:val="20"/>
          <w:szCs w:val="20"/>
          <w:lang w:val="en-US"/>
        </w:rPr>
        <w:t xml:space="preserve"> and policies benefits from a dialogue within Member States and between Member States and the Commission on whether the current EU environmental legislation is fit for purpose. Legislation can only be properly implemented </w:t>
      </w:r>
      <w:r>
        <w:rPr>
          <w:rFonts w:cs="Times New Roman"/>
          <w:noProof/>
          <w:sz w:val="20"/>
          <w:szCs w:val="20"/>
          <w:lang w:val="en-US"/>
        </w:rPr>
        <w:t xml:space="preserve">when it takes into account experiences at Member State level with putting EU commitments into effect. The Make it Work initiative, a Member State driven project, established in 2014, organizes a discussion on how the clarity, coherence and structure of EU </w:t>
      </w:r>
      <w:r>
        <w:rPr>
          <w:rFonts w:cs="Times New Roman"/>
          <w:noProof/>
          <w:sz w:val="20"/>
          <w:szCs w:val="20"/>
          <w:lang w:val="en-US"/>
        </w:rPr>
        <w:t>environmental legislation can be improved without lowering existing protection standards.</w:t>
      </w:r>
    </w:p>
    <w:p w:rsidR="00794EA4" w:rsidRDefault="0017531E">
      <w:pPr>
        <w:widowControl w:val="0"/>
        <w:spacing w:after="240" w:line="240" w:lineRule="auto"/>
        <w:outlineLvl w:val="1"/>
        <w:rPr>
          <w:rFonts w:cs="Times New Roman"/>
          <w:b/>
          <w:noProof/>
          <w:color w:val="1F497D" w:themeColor="text2"/>
          <w:sz w:val="24"/>
          <w:szCs w:val="24"/>
        </w:rPr>
      </w:pPr>
      <w:bookmarkStart w:id="53" w:name="_Toc455482814"/>
      <w:bookmarkStart w:id="54" w:name="_Toc469492830"/>
      <w:r>
        <w:rPr>
          <w:rFonts w:cs="Times New Roman"/>
          <w:b/>
          <w:noProof/>
          <w:color w:val="1F497D" w:themeColor="text2"/>
          <w:sz w:val="24"/>
          <w:szCs w:val="24"/>
        </w:rPr>
        <w:t>Effective governance within central, regional and local government</w:t>
      </w:r>
      <w:bookmarkEnd w:id="53"/>
      <w:bookmarkEnd w:id="54"/>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Those involved in implementing environment legislation at Union, national, regional and local level</w:t>
      </w:r>
      <w:r>
        <w:rPr>
          <w:rFonts w:cs="Times New Roman"/>
          <w:noProof/>
          <w:color w:val="FFFFFF" w:themeColor="background1"/>
          <w:sz w:val="20"/>
        </w:rPr>
        <w:t>s need to be equipped with the knowledge, tools and capacity to improve the delivery of benefits from that legislation, and the governance of the enforcement process.</w:t>
      </w:r>
    </w:p>
    <w:p w:rsidR="00794EA4" w:rsidRDefault="0017531E">
      <w:pPr>
        <w:widowControl w:val="0"/>
        <w:spacing w:after="120" w:line="240" w:lineRule="auto"/>
        <w:jc w:val="both"/>
        <w:outlineLvl w:val="2"/>
        <w:rPr>
          <w:rFonts w:cs="Times New Roman"/>
          <w:b/>
          <w:noProof/>
          <w:color w:val="1F497D" w:themeColor="text2"/>
        </w:rPr>
      </w:pPr>
      <w:r>
        <w:rPr>
          <w:rFonts w:cs="Times New Roman"/>
          <w:b/>
          <w:noProof/>
          <w:color w:val="1F497D" w:themeColor="text2"/>
        </w:rPr>
        <w:t>Capacity to implement rules</w:t>
      </w:r>
    </w:p>
    <w:p w:rsidR="00794EA4" w:rsidRDefault="0017531E">
      <w:pPr>
        <w:widowControl w:val="0"/>
        <w:spacing w:after="120" w:line="240" w:lineRule="auto"/>
        <w:jc w:val="both"/>
        <w:rPr>
          <w:rFonts w:cs="Times New Roman"/>
          <w:noProof/>
          <w:color w:val="000000" w:themeColor="text1"/>
          <w:sz w:val="20"/>
        </w:rPr>
      </w:pPr>
      <w:r>
        <w:rPr>
          <w:rFonts w:cs="Times New Roman"/>
          <w:noProof/>
          <w:color w:val="000000" w:themeColor="text1"/>
          <w:sz w:val="20"/>
        </w:rPr>
        <w:t>It is crucial that central, regional and local administration</w:t>
      </w:r>
      <w:r>
        <w:rPr>
          <w:rFonts w:cs="Times New Roman"/>
          <w:noProof/>
          <w:color w:val="000000" w:themeColor="text1"/>
          <w:sz w:val="20"/>
        </w:rPr>
        <w:t>s have the necessary capacities and skills and training to carry out their own tasks and co-operate and co-ordinate effectively with each other, within a system of multi-level governance.</w:t>
      </w:r>
    </w:p>
    <w:bookmarkEnd w:id="52"/>
    <w:p w:rsidR="00794EA4" w:rsidRDefault="0017531E">
      <w:pPr>
        <w:widowControl w:val="0"/>
        <w:spacing w:after="120" w:line="240" w:lineRule="auto"/>
        <w:jc w:val="both"/>
        <w:rPr>
          <w:rFonts w:cs="Times New Roman"/>
          <w:noProof/>
          <w:color w:val="000000" w:themeColor="text1"/>
          <w:sz w:val="20"/>
        </w:rPr>
      </w:pPr>
      <w:r>
        <w:rPr>
          <w:rFonts w:cs="Times New Roman"/>
          <w:noProof/>
          <w:color w:val="000000" w:themeColor="text1"/>
          <w:sz w:val="20"/>
        </w:rPr>
        <w:t>The 2013 European Quality of Government Index puts Spain in 15</w:t>
      </w:r>
      <w:r>
        <w:rPr>
          <w:rFonts w:cs="Times New Roman"/>
          <w:noProof/>
          <w:color w:val="000000" w:themeColor="text1"/>
          <w:sz w:val="20"/>
          <w:vertAlign w:val="superscript"/>
        </w:rPr>
        <w:t>th</w:t>
      </w:r>
      <w:r>
        <w:rPr>
          <w:rFonts w:cs="Times New Roman"/>
          <w:noProof/>
          <w:color w:val="000000" w:themeColor="text1"/>
          <w:sz w:val="20"/>
        </w:rPr>
        <w:t xml:space="preserve"> pla</w:t>
      </w:r>
      <w:r>
        <w:rPr>
          <w:rFonts w:cs="Times New Roman"/>
          <w:noProof/>
          <w:color w:val="000000" w:themeColor="text1"/>
          <w:sz w:val="20"/>
        </w:rPr>
        <w:t>ce out of the 28 Member States</w:t>
      </w:r>
      <w:r>
        <w:rPr>
          <w:rFonts w:cs="Times New Roman"/>
          <w:noProof/>
          <w:color w:val="000000" w:themeColor="text1"/>
          <w:sz w:val="20"/>
          <w:vertAlign w:val="superscript"/>
        </w:rPr>
        <w:footnoteReference w:id="112"/>
      </w:r>
      <w:r>
        <w:rPr>
          <w:rFonts w:cs="Times New Roman"/>
          <w:noProof/>
          <w:color w:val="000000" w:themeColor="text1"/>
          <w:sz w:val="20"/>
        </w:rPr>
        <w:t>.</w:t>
      </w:r>
    </w:p>
    <w:p w:rsidR="00794EA4" w:rsidRDefault="0017531E">
      <w:pPr>
        <w:widowControl w:val="0"/>
        <w:spacing w:after="120" w:line="240" w:lineRule="auto"/>
        <w:jc w:val="both"/>
        <w:rPr>
          <w:rFonts w:cs="Times New Roman"/>
          <w:noProof/>
          <w:color w:val="000000" w:themeColor="text1"/>
          <w:sz w:val="20"/>
        </w:rPr>
      </w:pPr>
      <w:r>
        <w:rPr>
          <w:rFonts w:cs="Times New Roman"/>
          <w:noProof/>
          <w:color w:val="000000" w:themeColor="text1"/>
          <w:sz w:val="20"/>
        </w:rPr>
        <w:t xml:space="preserve">According to the World Bank 2015 Worldwide Governance Indicators, Spain scores well below the EU average for the government effectiveness indicator, which captures the perceptions of the quality of public services, the </w:t>
      </w:r>
      <w:r>
        <w:rPr>
          <w:rFonts w:cs="Times New Roman"/>
          <w:noProof/>
          <w:color w:val="000000" w:themeColor="text1"/>
          <w:sz w:val="20"/>
        </w:rPr>
        <w:t>capacity of the civil service and its independence from political pressures, and the quality of policy formulation</w:t>
      </w:r>
      <w:r>
        <w:rPr>
          <w:rFonts w:cs="Times New Roman"/>
          <w:noProof/>
          <w:color w:val="000000" w:themeColor="text1"/>
          <w:sz w:val="20"/>
          <w:vertAlign w:val="superscript"/>
        </w:rPr>
        <w:footnoteReference w:id="113"/>
      </w:r>
      <w:r>
        <w:rPr>
          <w:rFonts w:cs="Times New Roman"/>
          <w:noProof/>
          <w:color w:val="000000" w:themeColor="text1"/>
          <w:sz w:val="20"/>
        </w:rPr>
        <w:t>.</w:t>
      </w:r>
    </w:p>
    <w:p w:rsidR="00794EA4" w:rsidRDefault="0017531E">
      <w:pPr>
        <w:widowControl w:val="0"/>
        <w:spacing w:after="120" w:line="240" w:lineRule="auto"/>
        <w:jc w:val="both"/>
        <w:rPr>
          <w:rFonts w:cs="Times New Roman"/>
          <w:noProof/>
          <w:color w:val="000000" w:themeColor="text1"/>
          <w:sz w:val="20"/>
        </w:rPr>
      </w:pPr>
      <w:r>
        <w:rPr>
          <w:rFonts w:cs="Times New Roman"/>
          <w:noProof/>
          <w:color w:val="000000" w:themeColor="text1"/>
          <w:sz w:val="20"/>
        </w:rPr>
        <w:t>During the last years, there has been some progress in Spain in order to streamline and to improve the efficiency of the different public a</w:t>
      </w:r>
      <w:r>
        <w:rPr>
          <w:rFonts w:cs="Times New Roman"/>
          <w:noProof/>
          <w:color w:val="000000" w:themeColor="text1"/>
          <w:sz w:val="20"/>
        </w:rPr>
        <w:t>dministrations. At the same time, due to the economic crisis, the public sector has suffered of important resource cutbacks, affecting the environmental sector as well.</w:t>
      </w:r>
    </w:p>
    <w:p w:rsidR="00794EA4" w:rsidRDefault="0017531E">
      <w:pPr>
        <w:widowControl w:val="0"/>
        <w:spacing w:after="240" w:line="240" w:lineRule="auto"/>
        <w:jc w:val="both"/>
        <w:rPr>
          <w:rFonts w:cs="Times New Roman"/>
          <w:noProof/>
          <w:color w:val="000000" w:themeColor="text1"/>
          <w:sz w:val="20"/>
        </w:rPr>
      </w:pPr>
      <w:r>
        <w:rPr>
          <w:rFonts w:cs="Times New Roman"/>
          <w:bCs/>
          <w:noProof/>
          <w:color w:val="000000" w:themeColor="text1"/>
          <w:sz w:val="20"/>
        </w:rPr>
        <w:t>Spain's public administration is highly decentralised</w:t>
      </w:r>
      <w:r>
        <w:rPr>
          <w:rFonts w:cs="Times New Roman"/>
          <w:noProof/>
          <w:color w:val="000000" w:themeColor="text1"/>
          <w:sz w:val="20"/>
        </w:rPr>
        <w:t>. This is illustrated by the share</w:t>
      </w:r>
      <w:r>
        <w:rPr>
          <w:rFonts w:cs="Times New Roman"/>
          <w:noProof/>
          <w:color w:val="000000" w:themeColor="text1"/>
          <w:sz w:val="20"/>
        </w:rPr>
        <w:t xml:space="preserve"> of spending managed by the regional and local government levels (39% of total non-consolidated expenditure over 2018-2014). This is even more accentuated in the field of the environment.</w:t>
      </w:r>
    </w:p>
    <w:p w:rsidR="00794EA4" w:rsidRDefault="0017531E">
      <w:pPr>
        <w:widowControl w:val="0"/>
        <w:spacing w:after="120" w:line="240" w:lineRule="auto"/>
        <w:jc w:val="both"/>
        <w:rPr>
          <w:rFonts w:cs="Times New Roman"/>
          <w:noProof/>
          <w:color w:val="000000" w:themeColor="text1"/>
          <w:sz w:val="20"/>
        </w:rPr>
      </w:pPr>
      <w:r>
        <w:rPr>
          <w:rFonts w:cs="Times New Roman"/>
          <w:noProof/>
          <w:sz w:val="20"/>
          <w:lang w:eastAsia="en-GB"/>
        </w:rPr>
        <w:drawing>
          <wp:inline distT="0" distB="0" distL="0" distR="0" wp14:anchorId="2945D84C" wp14:editId="7787B0F3">
            <wp:extent cx="3046383" cy="2030681"/>
            <wp:effectExtent l="0" t="0" r="1905" b="8255"/>
            <wp:docPr id="70" name="Picture 70" descr="C:\Users\schwemi\AppData\Local\Microsoft\Windows\Temporary Internet Files\Content.Word\iStock_1779700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wemi\AppData\Local\Microsoft\Windows\Temporary Internet Files\Content.Word\iStock_17797000_LARGE.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46532" cy="2030781"/>
                    </a:xfrm>
                    <a:prstGeom prst="rect">
                      <a:avLst/>
                    </a:prstGeom>
                    <a:noFill/>
                    <a:ln>
                      <a:noFill/>
                    </a:ln>
                  </pic:spPr>
                </pic:pic>
              </a:graphicData>
            </a:graphic>
          </wp:inline>
        </w:drawing>
      </w:r>
    </w:p>
    <w:p w:rsidR="00794EA4" w:rsidRDefault="0017531E">
      <w:pPr>
        <w:widowControl w:val="0"/>
        <w:spacing w:before="240" w:after="240" w:line="240" w:lineRule="auto"/>
        <w:jc w:val="both"/>
        <w:rPr>
          <w:rFonts w:cs="Times New Roman"/>
          <w:noProof/>
          <w:color w:val="000000" w:themeColor="text1"/>
          <w:sz w:val="20"/>
        </w:rPr>
      </w:pPr>
      <w:r>
        <w:rPr>
          <w:rFonts w:cs="Times New Roman"/>
          <w:noProof/>
          <w:color w:val="000000" w:themeColor="text1"/>
          <w:sz w:val="20"/>
        </w:rPr>
        <w:t>The Spanish Constitution (1978) provides for the exclusive compete</w:t>
      </w:r>
      <w:r>
        <w:rPr>
          <w:rFonts w:cs="Times New Roman"/>
          <w:noProof/>
          <w:color w:val="000000" w:themeColor="text1"/>
          <w:sz w:val="20"/>
        </w:rPr>
        <w:t>nce of the State (national Parliament and Government) to approve basic legislation for environmental protection without detriment to the competence of the Autonomous Communities to establish additional protection measures and to develop the basis legislati</w:t>
      </w:r>
      <w:r>
        <w:rPr>
          <w:rFonts w:cs="Times New Roman"/>
          <w:noProof/>
          <w:color w:val="000000" w:themeColor="text1"/>
          <w:sz w:val="20"/>
        </w:rPr>
        <w:t>on.</w:t>
      </w:r>
    </w:p>
    <w:p w:rsidR="00794EA4" w:rsidRDefault="0017531E">
      <w:pPr>
        <w:widowControl w:val="0"/>
        <w:spacing w:after="120" w:line="240" w:lineRule="auto"/>
        <w:jc w:val="both"/>
        <w:rPr>
          <w:rFonts w:cs="Times New Roman"/>
          <w:noProof/>
          <w:sz w:val="20"/>
        </w:rPr>
      </w:pPr>
      <w:r>
        <w:rPr>
          <w:rFonts w:cs="Times New Roman"/>
          <w:noProof/>
          <w:sz w:val="20"/>
        </w:rPr>
        <w:t>Most of the environmental implementation competences belong to the regions, although the central administration has still important powers in fields like water management in rivers that flow through different regions and coastal protection. The local a</w:t>
      </w:r>
      <w:r>
        <w:rPr>
          <w:rFonts w:cs="Times New Roman"/>
          <w:noProof/>
          <w:sz w:val="20"/>
        </w:rPr>
        <w:t>uthorities have also an important role in fields like waste management, air quality or sustainable urban development.</w:t>
      </w:r>
    </w:p>
    <w:p w:rsidR="00794EA4" w:rsidRDefault="0017531E">
      <w:pPr>
        <w:widowControl w:val="0"/>
        <w:spacing w:after="120" w:line="240" w:lineRule="auto"/>
        <w:jc w:val="both"/>
        <w:rPr>
          <w:rFonts w:cs="Times New Roman"/>
          <w:noProof/>
          <w:sz w:val="20"/>
        </w:rPr>
      </w:pPr>
      <w:r>
        <w:rPr>
          <w:rFonts w:cs="Times New Roman"/>
          <w:noProof/>
          <w:sz w:val="20"/>
        </w:rPr>
        <w:t>The various public administrations involved in the implementation of environmental law have a different level of financial and human resou</w:t>
      </w:r>
      <w:r>
        <w:rPr>
          <w:rFonts w:cs="Times New Roman"/>
          <w:noProof/>
          <w:sz w:val="20"/>
        </w:rPr>
        <w:t>rces available to undertake their tasks.</w:t>
      </w:r>
    </w:p>
    <w:p w:rsidR="00794EA4" w:rsidRDefault="0017531E">
      <w:pPr>
        <w:widowControl w:val="0"/>
        <w:spacing w:after="120" w:line="240" w:lineRule="auto"/>
        <w:jc w:val="both"/>
        <w:rPr>
          <w:rFonts w:cs="Times New Roman"/>
          <w:noProof/>
          <w:sz w:val="20"/>
        </w:rPr>
      </w:pPr>
      <w:r>
        <w:rPr>
          <w:rFonts w:cs="Times New Roman"/>
          <w:noProof/>
          <w:sz w:val="20"/>
        </w:rPr>
        <w:t>The Spanish Government approved the Spanish Sustainable Development Strategy (SDS) in 2007. A periodic review and monitor of this SDS has not been carried-out, namely after the economic crisis started in 2008. In ad</w:t>
      </w:r>
      <w:r>
        <w:rPr>
          <w:rFonts w:cs="Times New Roman"/>
          <w:noProof/>
          <w:sz w:val="20"/>
        </w:rPr>
        <w:t>dition, various Autonomous Communities have also approved their regional SDS.</w:t>
      </w:r>
    </w:p>
    <w:p w:rsidR="00794EA4" w:rsidRDefault="0017531E">
      <w:pPr>
        <w:widowControl w:val="0"/>
        <w:spacing w:after="120" w:line="240" w:lineRule="auto"/>
        <w:jc w:val="both"/>
        <w:rPr>
          <w:rFonts w:cs="Times New Roman"/>
          <w:noProof/>
          <w:sz w:val="20"/>
          <w:szCs w:val="20"/>
        </w:rPr>
      </w:pPr>
      <w:r>
        <w:rPr>
          <w:rFonts w:cs="Times New Roman"/>
          <w:noProof/>
          <w:sz w:val="20"/>
        </w:rPr>
        <w:t>The idea of sustainability re-emerged with the Sustainable Economy Law, adopted in 2011. While a welcome articulation of what a sustainable economy might mean in the Spanish cont</w:t>
      </w:r>
      <w:r>
        <w:rPr>
          <w:rFonts w:cs="Times New Roman"/>
          <w:noProof/>
          <w:sz w:val="20"/>
        </w:rPr>
        <w:t>ext, the Sustainable Economy Law generally reaffirms previously existing commitments, with environmental actions implemented separately from other action areas covered by the law</w:t>
      </w:r>
      <w:r>
        <w:rPr>
          <w:rStyle w:val="FootnoteReference"/>
          <w:rFonts w:cs="Times New Roman"/>
          <w:noProof/>
          <w:sz w:val="20"/>
          <w:szCs w:val="20"/>
        </w:rPr>
        <w:footnoteReference w:id="114"/>
      </w:r>
      <w:r>
        <w:rPr>
          <w:rFonts w:cs="Times New Roman"/>
          <w:noProof/>
          <w:sz w:val="20"/>
          <w:szCs w:val="20"/>
        </w:rPr>
        <w:t xml:space="preserve">. Furthermore, this Law provided for a periodic report on its implementation </w:t>
      </w:r>
      <w:r>
        <w:rPr>
          <w:rFonts w:cs="Times New Roman"/>
          <w:noProof/>
          <w:sz w:val="20"/>
          <w:szCs w:val="20"/>
        </w:rPr>
        <w:t>and results, which however has not been undertook.</w:t>
      </w:r>
    </w:p>
    <w:p w:rsidR="00794EA4" w:rsidRDefault="0017531E">
      <w:pPr>
        <w:widowControl w:val="0"/>
        <w:spacing w:after="360" w:line="240" w:lineRule="auto"/>
        <w:jc w:val="both"/>
        <w:rPr>
          <w:rFonts w:cs="Times New Roman"/>
          <w:noProof/>
          <w:sz w:val="20"/>
        </w:rPr>
      </w:pPr>
      <w:r>
        <w:rPr>
          <w:rFonts w:cs="Times New Roman"/>
          <w:noProof/>
          <w:sz w:val="20"/>
        </w:rPr>
        <w:t>Environmental policy developments in Spain are mainly driven by EU Directives and Regulations. During the last decade, there has been a progress regarding the transposition in time of EU environmental Dire</w:t>
      </w:r>
      <w:r>
        <w:rPr>
          <w:rFonts w:cs="Times New Roman"/>
          <w:noProof/>
          <w:sz w:val="20"/>
        </w:rPr>
        <w:t>ctives. The Commission has traditionally received a very high number of complaints against Spain in the field of the environment. Overall, the Spanish authorities have a smooth cooperation with the Commission services to solve the pending issues on impleme</w:t>
      </w:r>
      <w:r>
        <w:rPr>
          <w:rFonts w:cs="Times New Roman"/>
          <w:noProof/>
          <w:sz w:val="20"/>
        </w:rPr>
        <w:t xml:space="preserve">ntation of environmental law. The number of infringements has decreased during the last years. However, important implementation gaps remain, e.g.: in the wastewater and waste sectors. Several cases brought to the attention of the Commission also indicate </w:t>
      </w:r>
      <w:r>
        <w:rPr>
          <w:rFonts w:cs="Times New Roman"/>
          <w:noProof/>
          <w:sz w:val="20"/>
        </w:rPr>
        <w:t>that enforcement of environmental legislation is not always effective, i.e. unlawful activities continue or the environmental damage is not addressed for years despite the intervention of the competent authorities</w:t>
      </w:r>
      <w:r>
        <w:rPr>
          <w:rFonts w:cs="Times New Roman"/>
          <w:noProof/>
          <w:color w:val="000000" w:themeColor="text1"/>
          <w:sz w:val="20"/>
          <w:vertAlign w:val="superscript"/>
        </w:rPr>
        <w:footnoteReference w:id="115"/>
      </w:r>
      <w:r>
        <w:rPr>
          <w:rFonts w:cs="Times New Roman"/>
          <w:noProof/>
          <w:sz w:val="20"/>
        </w:rPr>
        <w:t>.</w:t>
      </w:r>
    </w:p>
    <w:p w:rsidR="00794EA4" w:rsidRDefault="0017531E">
      <w:pPr>
        <w:widowControl w:val="0"/>
        <w:spacing w:after="120" w:line="240" w:lineRule="auto"/>
        <w:jc w:val="both"/>
        <w:rPr>
          <w:rFonts w:cs="Times New Roman"/>
          <w:b/>
          <w:noProof/>
          <w:color w:val="1F497D" w:themeColor="text2"/>
        </w:rPr>
      </w:pPr>
      <w:bookmarkStart w:id="55" w:name="_Toc454553336"/>
      <w:r>
        <w:rPr>
          <w:rFonts w:cs="Times New Roman"/>
          <w:b/>
          <w:noProof/>
          <w:color w:val="1F497D" w:themeColor="text2"/>
        </w:rPr>
        <w:t>Coordination and integration</w:t>
      </w:r>
      <w:bookmarkEnd w:id="55"/>
    </w:p>
    <w:p w:rsidR="00794EA4" w:rsidRDefault="0017531E">
      <w:pPr>
        <w:widowControl w:val="0"/>
        <w:spacing w:after="120" w:line="240" w:lineRule="auto"/>
        <w:jc w:val="both"/>
        <w:rPr>
          <w:rFonts w:cs="Times New Roman"/>
          <w:noProof/>
          <w:sz w:val="20"/>
        </w:rPr>
      </w:pPr>
      <w:r>
        <w:rPr>
          <w:rFonts w:cs="Times New Roman"/>
          <w:noProof/>
          <w:sz w:val="20"/>
        </w:rPr>
        <w:t>Impact asse</w:t>
      </w:r>
      <w:r>
        <w:rPr>
          <w:rFonts w:cs="Times New Roman"/>
          <w:noProof/>
          <w:sz w:val="20"/>
        </w:rPr>
        <w:t>ssments are important tools to ensure environmental integration in all government policies</w:t>
      </w:r>
      <w:r>
        <w:rPr>
          <w:rFonts w:cs="Times New Roman"/>
          <w:noProof/>
          <w:sz w:val="20"/>
          <w:szCs w:val="20"/>
          <w:vertAlign w:val="superscript"/>
        </w:rPr>
        <w:footnoteReference w:id="116"/>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The transposition of the revised EIA Directive</w:t>
      </w:r>
      <w:r>
        <w:rPr>
          <w:rFonts w:cs="Times New Roman"/>
          <w:noProof/>
          <w:sz w:val="20"/>
          <w:vertAlign w:val="superscript"/>
        </w:rPr>
        <w:footnoteReference w:id="117"/>
      </w:r>
      <w:r>
        <w:rPr>
          <w:rFonts w:cs="Times New Roman"/>
          <w:noProof/>
          <w:sz w:val="20"/>
        </w:rPr>
        <w:t xml:space="preserve"> will be an opportunity to streamline the regulatory framework on environmental assessments.</w:t>
      </w:r>
    </w:p>
    <w:p w:rsidR="00794EA4" w:rsidRDefault="0017531E">
      <w:pPr>
        <w:widowControl w:val="0"/>
        <w:spacing w:after="120" w:line="240" w:lineRule="auto"/>
        <w:jc w:val="both"/>
        <w:rPr>
          <w:rFonts w:cs="Times New Roman"/>
          <w:noProof/>
          <w:sz w:val="20"/>
        </w:rPr>
      </w:pPr>
      <w:r>
        <w:rPr>
          <w:rFonts w:cs="Times New Roman"/>
          <w:noProof/>
          <w:sz w:val="20"/>
        </w:rPr>
        <w:t>The Commission encourag</w:t>
      </w:r>
      <w:r>
        <w:rPr>
          <w:rFonts w:cs="Times New Roman"/>
          <w:noProof/>
          <w:sz w:val="20"/>
        </w:rPr>
        <w:t>es the streamlining of the environmental assessments to avoid overlaps in environmental assessments and accelerate decision-making, without compromising the quality of the environmental assessment procedure. The Commission has issued a guidance document in</w:t>
      </w:r>
      <w:r>
        <w:rPr>
          <w:rFonts w:cs="Times New Roman"/>
          <w:noProof/>
          <w:sz w:val="20"/>
        </w:rPr>
        <w:t xml:space="preserve"> 2016</w:t>
      </w:r>
      <w:r>
        <w:rPr>
          <w:rFonts w:cs="Times New Roman"/>
          <w:noProof/>
          <w:sz w:val="20"/>
          <w:vertAlign w:val="superscript"/>
        </w:rPr>
        <w:footnoteReference w:id="118"/>
      </w:r>
      <w:r>
        <w:rPr>
          <w:rFonts w:cs="Times New Roman"/>
          <w:noProof/>
          <w:sz w:val="20"/>
        </w:rPr>
        <w:t xml:space="preserve"> regarding the setting up of coordinated and/or joint procedures that are simultaneously subject to assessments under the EIA Directive, Habitats Directive, Water Framework Directive, and the Industrial Emissions Directive.</w:t>
      </w:r>
    </w:p>
    <w:p w:rsidR="00794EA4" w:rsidRDefault="0017531E">
      <w:pPr>
        <w:widowControl w:val="0"/>
        <w:spacing w:after="120" w:line="240" w:lineRule="auto"/>
        <w:jc w:val="both"/>
        <w:rPr>
          <w:rFonts w:cs="Times New Roman"/>
          <w:noProof/>
          <w:sz w:val="20"/>
        </w:rPr>
      </w:pPr>
      <w:r>
        <w:rPr>
          <w:rFonts w:cs="Times New Roman"/>
          <w:noProof/>
          <w:sz w:val="20"/>
        </w:rPr>
        <w:t>Over the last years, Spain</w:t>
      </w:r>
      <w:r>
        <w:rPr>
          <w:rFonts w:cs="Times New Roman"/>
          <w:noProof/>
          <w:sz w:val="20"/>
        </w:rPr>
        <w:t xml:space="preserve"> has taken different measures to streamline the EIA process, like the new national basic legislation on EIA &amp; SEA</w:t>
      </w:r>
      <w:r>
        <w:rPr>
          <w:rFonts w:cs="Times New Roman"/>
          <w:noProof/>
          <w:sz w:val="20"/>
          <w:vertAlign w:val="superscript"/>
        </w:rPr>
        <w:footnoteReference w:id="119"/>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Spain's highly decentralised administration creates coordination challenges, namely in various policy areas, such as the environment.</w:t>
      </w:r>
    </w:p>
    <w:p w:rsidR="00794EA4" w:rsidRDefault="0017531E">
      <w:pPr>
        <w:widowControl w:val="0"/>
        <w:spacing w:after="120" w:line="240" w:lineRule="auto"/>
        <w:jc w:val="both"/>
        <w:rPr>
          <w:rFonts w:cs="Times New Roman"/>
          <w:noProof/>
          <w:sz w:val="20"/>
        </w:rPr>
      </w:pPr>
      <w:r>
        <w:rPr>
          <w:rFonts w:cs="Times New Roman"/>
          <w:noProof/>
          <w:sz w:val="20"/>
        </w:rPr>
        <w:t>The Sp</w:t>
      </w:r>
      <w:r>
        <w:rPr>
          <w:rFonts w:cs="Times New Roman"/>
          <w:noProof/>
          <w:sz w:val="20"/>
        </w:rPr>
        <w:t>anish legal system foresees some mechanisms of cooperation and coordination at political and technical level, mainly between the State administration and the Autonomous Communities, like the Sectoral Conference on Environment and some technical and partici</w:t>
      </w:r>
      <w:r>
        <w:rPr>
          <w:rFonts w:cs="Times New Roman"/>
          <w:noProof/>
          <w:sz w:val="20"/>
        </w:rPr>
        <w:t>patory committees, like the National Council on Water and the Environment Advisory Council. However, there is clear room to improve and strengthen these cooperative actions.</w:t>
      </w:r>
    </w:p>
    <w:p w:rsidR="00794EA4" w:rsidRDefault="0017531E">
      <w:pPr>
        <w:widowControl w:val="0"/>
        <w:spacing w:after="240" w:line="240" w:lineRule="auto"/>
        <w:jc w:val="both"/>
        <w:rPr>
          <w:rFonts w:cs="Times New Roman"/>
          <w:noProof/>
          <w:sz w:val="20"/>
        </w:rPr>
      </w:pPr>
      <w:r>
        <w:rPr>
          <w:rFonts w:cs="Times New Roman"/>
          <w:noProof/>
          <w:sz w:val="20"/>
        </w:rPr>
        <w:t>As a good practice, it is worth to highlight the experience of the Spanish Network</w:t>
      </w:r>
      <w:r>
        <w:rPr>
          <w:rFonts w:cs="Times New Roman"/>
          <w:noProof/>
          <w:sz w:val="20"/>
        </w:rPr>
        <w:t xml:space="preserve"> of Environmental Authorities, which is a purely technical forum of managing and environmental authorities to foster environmental integration into the implementation of the EU Cohesion Policy in Spain. This network created in 1997 has served as inspiratio</w:t>
      </w:r>
      <w:r>
        <w:rPr>
          <w:rFonts w:cs="Times New Roman"/>
          <w:noProof/>
          <w:sz w:val="20"/>
        </w:rPr>
        <w:t>n for similar environmental integration networks in other Member States and even for the European Network of Managing and Environmental Authorities (ENEA-MA).</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spacing w:after="360"/>
        <w:rPr>
          <w:noProof/>
        </w:rPr>
      </w:pPr>
      <w:r>
        <w:rPr>
          <w:noProof/>
        </w:rPr>
        <w:t>Spain should address the fragmentation at regional and local levels by developin</w:t>
      </w:r>
      <w:r>
        <w:rPr>
          <w:noProof/>
        </w:rPr>
        <w:t>g better coordination mechanisms for environment.</w:t>
      </w:r>
    </w:p>
    <w:p w:rsidR="00794EA4" w:rsidRDefault="0017531E">
      <w:pPr>
        <w:widowControl w:val="0"/>
        <w:spacing w:before="240" w:after="240" w:line="240" w:lineRule="auto"/>
        <w:outlineLvl w:val="1"/>
        <w:rPr>
          <w:rFonts w:cs="Times New Roman"/>
          <w:b/>
          <w:noProof/>
          <w:color w:val="1F497D" w:themeColor="text2"/>
          <w:sz w:val="24"/>
          <w:szCs w:val="24"/>
        </w:rPr>
      </w:pPr>
      <w:bookmarkStart w:id="56" w:name="_Toc454463574"/>
      <w:bookmarkStart w:id="57" w:name="_Toc469492831"/>
      <w:r>
        <w:rPr>
          <w:rFonts w:cs="Times New Roman"/>
          <w:b/>
          <w:noProof/>
          <w:color w:val="1F497D" w:themeColor="text2"/>
          <w:sz w:val="24"/>
          <w:szCs w:val="24"/>
        </w:rPr>
        <w:t>Compliance assurance</w:t>
      </w:r>
      <w:bookmarkEnd w:id="56"/>
      <w:bookmarkEnd w:id="57"/>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EU law generally and specific provisions on inspections, other checks, penalties and environmental liability help lay the basis for the systems Member States need to have in place to </w:t>
      </w:r>
      <w:r>
        <w:rPr>
          <w:rFonts w:cs="Times New Roman"/>
          <w:noProof/>
          <w:color w:val="FFFFFF" w:themeColor="background1"/>
          <w:sz w:val="20"/>
        </w:rPr>
        <w:t>secure compliance with EU environmental rules.</w:t>
      </w:r>
    </w:p>
    <w:p w:rsidR="00794EA4" w:rsidRDefault="0017531E">
      <w:pPr>
        <w:widowControl w:val="0"/>
        <w:spacing w:before="240" w:after="240" w:line="240" w:lineRule="auto"/>
        <w:jc w:val="both"/>
        <w:rPr>
          <w:rFonts w:cs="Times New Roman"/>
          <w:noProof/>
          <w:sz w:val="20"/>
        </w:rPr>
      </w:pPr>
      <w:r>
        <w:rPr>
          <w:rFonts w:cs="Times New Roman"/>
          <w:noProof/>
          <w:sz w:val="20"/>
        </w:rPr>
        <w:t>Public authorities help ensure accountability of duty-holders by monitoring and promoting compliance and by taking credible follow-up action (i.e. enforcement) when breaches occur or liabilities arise. Complia</w:t>
      </w:r>
      <w:r>
        <w:rPr>
          <w:rFonts w:cs="Times New Roman"/>
          <w:noProof/>
          <w:sz w:val="20"/>
        </w:rPr>
        <w:t>nce monitoring can be done both on the initiative of authorities themselves and in response to citizen complaints. It can involve using various kinds of checks, including inspections for permitted activities, surveillance for possible illegal activities, i</w:t>
      </w:r>
      <w:r>
        <w:rPr>
          <w:rFonts w:cs="Times New Roman"/>
          <w:noProof/>
          <w:sz w:val="20"/>
        </w:rPr>
        <w:t>nvestigations for crimes and audits for systemic weaknesses. Similarly, there is a range of means to promote compliance, including awareness-raising campaigns and use of guidance documents and online information tools. Follow-up to breaches and liabilities</w:t>
      </w:r>
      <w:r>
        <w:rPr>
          <w:rFonts w:cs="Times New Roman"/>
          <w:noProof/>
          <w:sz w:val="20"/>
        </w:rPr>
        <w:t xml:space="preserve"> can include administrative action (e.g. withdrawal of a permit), use of criminal law</w:t>
      </w:r>
      <w:r>
        <w:rPr>
          <w:rFonts w:cs="Times New Roman"/>
          <w:noProof/>
          <w:sz w:val="20"/>
          <w:vertAlign w:val="superscript"/>
        </w:rPr>
        <w:footnoteReference w:id="120"/>
      </w:r>
      <w:r>
        <w:rPr>
          <w:rFonts w:cs="Times New Roman"/>
          <w:noProof/>
          <w:sz w:val="20"/>
        </w:rPr>
        <w:t xml:space="preserve"> and action under liability law (e.g. required remediation after damage from an accident using liability rules) and contractual law (e.g. measures to require compliance w</w:t>
      </w:r>
      <w:r>
        <w:rPr>
          <w:rFonts w:cs="Times New Roman"/>
          <w:noProof/>
          <w:sz w:val="20"/>
        </w:rPr>
        <w:t>ith nature conservation contracts). Taken together, all of these interventions represent "compliance assurance" as shown in Figure 14.</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tblGrid>
      <w:tr w:rsidR="00794EA4">
        <w:trPr>
          <w:trHeight w:val="606"/>
        </w:trPr>
        <w:tc>
          <w:tcPr>
            <w:tcW w:w="4904" w:type="dxa"/>
          </w:tcPr>
          <w:p w:rsidR="00794EA4" w:rsidRDefault="0017531E">
            <w:pPr>
              <w:widowControl w:val="0"/>
              <w:spacing w:after="120"/>
              <w:jc w:val="both"/>
              <w:rPr>
                <w:rFonts w:cs="Times New Roman"/>
                <w:b/>
                <w:bCs/>
                <w:noProof/>
                <w:color w:val="1F497D" w:themeColor="text2"/>
                <w:sz w:val="20"/>
              </w:rPr>
            </w:pPr>
            <w:r>
              <w:rPr>
                <w:rFonts w:cs="Times New Roman"/>
                <w:b/>
                <w:bCs/>
                <w:noProof/>
                <w:color w:val="1F497D" w:themeColor="text2"/>
                <w:sz w:val="20"/>
              </w:rPr>
              <w:t>Figure 14: Environmental compliance assurance</w:t>
            </w:r>
          </w:p>
        </w:tc>
      </w:tr>
      <w:tr w:rsidR="00794EA4">
        <w:trPr>
          <w:trHeight w:val="2914"/>
        </w:trPr>
        <w:tc>
          <w:tcPr>
            <w:tcW w:w="4904" w:type="dxa"/>
          </w:tcPr>
          <w:p w:rsidR="00794EA4" w:rsidRDefault="0017531E">
            <w:pPr>
              <w:widowControl w:val="0"/>
              <w:jc w:val="both"/>
              <w:rPr>
                <w:rFonts w:cs="Times New Roman"/>
                <w:noProof/>
                <w:sz w:val="20"/>
              </w:rPr>
            </w:pPr>
            <w:r>
              <w:rPr>
                <w:rFonts w:cs="Times New Roman"/>
                <w:noProof/>
                <w:sz w:val="20"/>
                <w:lang w:eastAsia="en-GB"/>
              </w:rPr>
              <w:drawing>
                <wp:inline distT="0" distB="0" distL="0" distR="0" wp14:anchorId="2B9C5636" wp14:editId="27A419BB">
                  <wp:extent cx="2977117" cy="1997259"/>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graphic-compliance-assurance-v1.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977117" cy="1997259"/>
                          </a:xfrm>
                          <a:prstGeom prst="rect">
                            <a:avLst/>
                          </a:prstGeom>
                        </pic:spPr>
                      </pic:pic>
                    </a:graphicData>
                  </a:graphic>
                </wp:inline>
              </w:drawing>
            </w:r>
          </w:p>
        </w:tc>
      </w:tr>
    </w:tbl>
    <w:p w:rsidR="00794EA4" w:rsidRDefault="0017531E">
      <w:pPr>
        <w:widowControl w:val="0"/>
        <w:spacing w:before="240" w:after="120" w:line="240" w:lineRule="auto"/>
        <w:jc w:val="both"/>
        <w:rPr>
          <w:rFonts w:cs="Times New Roman"/>
          <w:noProof/>
          <w:sz w:val="20"/>
        </w:rPr>
      </w:pPr>
      <w:r>
        <w:rPr>
          <w:rFonts w:cs="Times New Roman"/>
          <w:noProof/>
          <w:sz w:val="20"/>
        </w:rPr>
        <w:t xml:space="preserve">Best practice has moved towards a risk-based approach at strategic and </w:t>
      </w:r>
      <w:r>
        <w:rPr>
          <w:rFonts w:cs="Times New Roman"/>
          <w:noProof/>
          <w:sz w:val="20"/>
        </w:rPr>
        <w:t>operational levels in which the best mix of compliance monitoring, promotion and enforcement is directed at the most serious problems. Best practice also recognises the need for coordination and cooperation between different authorities to ensure consisten</w:t>
      </w:r>
      <w:r>
        <w:rPr>
          <w:rFonts w:cs="Times New Roman"/>
          <w:noProof/>
          <w:sz w:val="20"/>
        </w:rPr>
        <w:t>cy, avoid duplication of work and reduce administrative burden. Active participation in established pan-European networks of inspectors, police, prosecutors and judges, such as</w:t>
      </w:r>
      <w:r>
        <w:rPr>
          <w:rFonts w:cs="Times New Roman"/>
          <w:i/>
          <w:noProof/>
          <w:sz w:val="20"/>
        </w:rPr>
        <w:t xml:space="preserve"> IMPEL</w:t>
      </w:r>
      <w:r>
        <w:rPr>
          <w:rFonts w:cs="Times New Roman"/>
          <w:i/>
          <w:noProof/>
          <w:sz w:val="20"/>
          <w:vertAlign w:val="superscript"/>
        </w:rPr>
        <w:footnoteReference w:id="121"/>
      </w:r>
      <w:r>
        <w:rPr>
          <w:rFonts w:cs="Times New Roman"/>
          <w:i/>
          <w:noProof/>
          <w:sz w:val="20"/>
        </w:rPr>
        <w:t>, EUFJE</w:t>
      </w:r>
      <w:r>
        <w:rPr>
          <w:rFonts w:cs="Times New Roman"/>
          <w:i/>
          <w:noProof/>
          <w:sz w:val="20"/>
          <w:vertAlign w:val="superscript"/>
        </w:rPr>
        <w:footnoteReference w:id="122"/>
      </w:r>
      <w:r>
        <w:rPr>
          <w:rFonts w:cs="Times New Roman"/>
          <w:i/>
          <w:noProof/>
          <w:sz w:val="20"/>
        </w:rPr>
        <w:t>, ENPE</w:t>
      </w:r>
      <w:r>
        <w:rPr>
          <w:rFonts w:cs="Times New Roman"/>
          <w:i/>
          <w:noProof/>
          <w:sz w:val="20"/>
          <w:vertAlign w:val="superscript"/>
        </w:rPr>
        <w:footnoteReference w:id="123"/>
      </w:r>
      <w:r>
        <w:rPr>
          <w:rFonts w:cs="Times New Roman"/>
          <w:i/>
          <w:noProof/>
          <w:sz w:val="20"/>
        </w:rPr>
        <w:t xml:space="preserve"> and EnviCrimeNet</w:t>
      </w:r>
      <w:r>
        <w:rPr>
          <w:rFonts w:cs="Times New Roman"/>
          <w:i/>
          <w:noProof/>
          <w:sz w:val="20"/>
          <w:vertAlign w:val="superscript"/>
        </w:rPr>
        <w:footnoteReference w:id="124"/>
      </w:r>
      <w:r>
        <w:rPr>
          <w:rFonts w:cs="Times New Roman"/>
          <w:noProof/>
          <w:sz w:val="20"/>
        </w:rPr>
        <w:t>, is a valuable tool for sharing experie</w:t>
      </w:r>
      <w:r>
        <w:rPr>
          <w:rFonts w:cs="Times New Roman"/>
          <w:noProof/>
          <w:sz w:val="20"/>
        </w:rPr>
        <w:t>nce and good practices.</w:t>
      </w:r>
    </w:p>
    <w:p w:rsidR="00794EA4" w:rsidRDefault="0017531E">
      <w:pPr>
        <w:widowControl w:val="0"/>
        <w:spacing w:after="120" w:line="240" w:lineRule="auto"/>
        <w:jc w:val="both"/>
        <w:rPr>
          <w:rFonts w:cs="Times New Roman"/>
          <w:noProof/>
          <w:sz w:val="20"/>
        </w:rPr>
      </w:pPr>
      <w:r>
        <w:rPr>
          <w:rFonts w:cs="Times New Roman"/>
          <w:noProof/>
          <w:sz w:val="20"/>
        </w:rPr>
        <w:t>Currently, there exist a number of sectoral obligations on inspections and the EU directive on environmental liability (ELD)</w:t>
      </w:r>
      <w:r>
        <w:rPr>
          <w:rFonts w:cs="Times New Roman"/>
          <w:noProof/>
          <w:sz w:val="20"/>
          <w:vertAlign w:val="superscript"/>
        </w:rPr>
        <w:footnoteReference w:id="125"/>
      </w:r>
      <w:r>
        <w:rPr>
          <w:rFonts w:cs="Times New Roman"/>
          <w:noProof/>
          <w:sz w:val="20"/>
        </w:rPr>
        <w:t xml:space="preserve"> provides a means of ensuring that the "polluter-pays principle" is applied when there are accidents and in</w:t>
      </w:r>
      <w:r>
        <w:rPr>
          <w:rFonts w:cs="Times New Roman"/>
          <w:noProof/>
          <w:sz w:val="20"/>
        </w:rPr>
        <w:t>cidents that harm the environment. There is also publicly available information giving insights into existing strengths and weaknesses in each Member State.</w:t>
      </w:r>
    </w:p>
    <w:p w:rsidR="00794EA4" w:rsidRDefault="0017531E">
      <w:pPr>
        <w:widowControl w:val="0"/>
        <w:spacing w:after="120" w:line="240" w:lineRule="auto"/>
        <w:jc w:val="both"/>
        <w:rPr>
          <w:rFonts w:cs="Times New Roman"/>
          <w:noProof/>
          <w:sz w:val="20"/>
        </w:rPr>
      </w:pPr>
      <w:r>
        <w:rPr>
          <w:rFonts w:cs="Times New Roman"/>
          <w:noProof/>
          <w:sz w:val="20"/>
        </w:rPr>
        <w:t>For each Member State, the following were therefore reviewed: use of risk-based compliance assuranc</w:t>
      </w:r>
      <w:r>
        <w:rPr>
          <w:rFonts w:cs="Times New Roman"/>
          <w:noProof/>
          <w:sz w:val="20"/>
        </w:rPr>
        <w:t>e; coordination and co-operation between authorities and participation in pan-European networks; and key aspects of implementation of the ELD based on the Commission's recently published implementation report and REFIT evaluation</w:t>
      </w:r>
      <w:r>
        <w:rPr>
          <w:rFonts w:cs="Times New Roman"/>
          <w:noProof/>
          <w:sz w:val="20"/>
          <w:vertAlign w:val="superscript"/>
        </w:rPr>
        <w:footnoteReference w:id="126"/>
      </w:r>
      <w:r>
        <w:rPr>
          <w:rFonts w:cs="Times New Roman"/>
          <w:noProof/>
          <w:sz w:val="20"/>
        </w:rPr>
        <w:t>.</w:t>
      </w:r>
    </w:p>
    <w:p w:rsidR="00794EA4" w:rsidRDefault="0017531E">
      <w:pPr>
        <w:widowControl w:val="0"/>
        <w:spacing w:after="0" w:line="240" w:lineRule="auto"/>
        <w:jc w:val="both"/>
        <w:rPr>
          <w:rFonts w:cs="Times New Roman"/>
          <w:noProof/>
          <w:color w:val="000000" w:themeColor="text1"/>
          <w:sz w:val="20"/>
        </w:rPr>
      </w:pPr>
      <w:r>
        <w:rPr>
          <w:rFonts w:cs="Times New Roman"/>
          <w:noProof/>
          <w:color w:val="000000" w:themeColor="text1"/>
          <w:sz w:val="20"/>
        </w:rPr>
        <w:t>Spain has taken some sig</w:t>
      </w:r>
      <w:r>
        <w:rPr>
          <w:rFonts w:cs="Times New Roman"/>
          <w:noProof/>
          <w:color w:val="000000" w:themeColor="text1"/>
          <w:sz w:val="20"/>
        </w:rPr>
        <w:t>nificant steps to underpin risk-based compliance assurance:</w:t>
      </w:r>
    </w:p>
    <w:p w:rsidR="00794EA4" w:rsidRDefault="0017531E">
      <w:pPr>
        <w:widowControl w:val="0"/>
        <w:numPr>
          <w:ilvl w:val="0"/>
          <w:numId w:val="28"/>
        </w:numPr>
        <w:spacing w:after="0" w:line="240" w:lineRule="auto"/>
        <w:contextualSpacing/>
        <w:jc w:val="both"/>
        <w:rPr>
          <w:rFonts w:cs="Times New Roman"/>
          <w:noProof/>
          <w:color w:val="000000" w:themeColor="text1"/>
          <w:sz w:val="20"/>
        </w:rPr>
      </w:pPr>
      <w:r>
        <w:rPr>
          <w:rFonts w:cs="Times New Roman"/>
          <w:noProof/>
          <w:color w:val="000000" w:themeColor="text1"/>
          <w:sz w:val="20"/>
        </w:rPr>
        <w:t>in 2008, on the initiative of the Spanish Autonomous Communities, the Environmental Inspection Network was established (Red de Inspección Ambiental - REDIA) with the aim of improving cooperation a</w:t>
      </w:r>
      <w:r>
        <w:rPr>
          <w:rFonts w:cs="Times New Roman"/>
          <w:noProof/>
          <w:color w:val="000000" w:themeColor="text1"/>
          <w:sz w:val="20"/>
        </w:rPr>
        <w:t>nd achieving greater consistency of inspection work across the country through production of guidelines and common standards and training facilitation</w:t>
      </w:r>
      <w:r>
        <w:rPr>
          <w:rFonts w:cs="Times New Roman"/>
          <w:noProof/>
          <w:color w:val="000000" w:themeColor="text1"/>
          <w:sz w:val="20"/>
          <w:vertAlign w:val="superscript"/>
        </w:rPr>
        <w:footnoteReference w:id="127"/>
      </w:r>
      <w:r>
        <w:rPr>
          <w:rFonts w:cs="Times New Roman"/>
          <w:noProof/>
          <w:color w:val="000000" w:themeColor="text1"/>
          <w:sz w:val="20"/>
        </w:rPr>
        <w:t xml:space="preserve">. </w:t>
      </w:r>
    </w:p>
    <w:p w:rsidR="00794EA4" w:rsidRDefault="0017531E">
      <w:pPr>
        <w:widowControl w:val="0"/>
        <w:numPr>
          <w:ilvl w:val="0"/>
          <w:numId w:val="28"/>
        </w:numPr>
        <w:spacing w:after="0" w:line="240" w:lineRule="auto"/>
        <w:contextualSpacing/>
        <w:jc w:val="both"/>
        <w:rPr>
          <w:rFonts w:cs="Times New Roman"/>
          <w:noProof/>
          <w:color w:val="000000" w:themeColor="text1"/>
          <w:sz w:val="20"/>
        </w:rPr>
      </w:pPr>
      <w:r>
        <w:rPr>
          <w:rFonts w:cs="Times New Roman"/>
          <w:noProof/>
          <w:color w:val="000000" w:themeColor="text1"/>
          <w:sz w:val="20"/>
        </w:rPr>
        <w:t xml:space="preserve">recognising the need for professional specialisation to effectively tackle environmental crime, Spain </w:t>
      </w:r>
      <w:r>
        <w:rPr>
          <w:rFonts w:cs="Times New Roman"/>
          <w:noProof/>
          <w:color w:val="000000" w:themeColor="text1"/>
          <w:sz w:val="20"/>
        </w:rPr>
        <w:t xml:space="preserve">has created a police unit (SEPRONA) to combat environmental crime as well as a specialised Environmental Prosecution Authority which has already impressive successes in investigation and prosecution of organised environmental crime. It publishes an annual </w:t>
      </w:r>
      <w:r>
        <w:rPr>
          <w:rFonts w:cs="Times New Roman"/>
          <w:noProof/>
          <w:color w:val="000000" w:themeColor="text1"/>
          <w:sz w:val="20"/>
        </w:rPr>
        <w:t>report on its activities, setting out the key issues investigated during the year as well as providing statistics.</w:t>
      </w:r>
    </w:p>
    <w:p w:rsidR="00794EA4" w:rsidRDefault="0017531E">
      <w:pPr>
        <w:widowControl w:val="0"/>
        <w:numPr>
          <w:ilvl w:val="0"/>
          <w:numId w:val="28"/>
        </w:numPr>
        <w:spacing w:after="0" w:line="240" w:lineRule="auto"/>
        <w:contextualSpacing/>
        <w:jc w:val="both"/>
        <w:rPr>
          <w:rFonts w:cs="Times New Roman"/>
          <w:noProof/>
          <w:color w:val="000000" w:themeColor="text1"/>
          <w:sz w:val="20"/>
        </w:rPr>
      </w:pPr>
      <w:r>
        <w:rPr>
          <w:rFonts w:cs="Times New Roman"/>
          <w:noProof/>
          <w:color w:val="000000" w:themeColor="text1"/>
          <w:sz w:val="20"/>
        </w:rPr>
        <w:t>a LIFE+ funded project to address a problem of poisoning of rare birds of prey through illegal use of poisons</w:t>
      </w:r>
      <w:r>
        <w:rPr>
          <w:rFonts w:cs="Times New Roman"/>
          <w:noProof/>
          <w:color w:val="000000" w:themeColor="text1"/>
          <w:sz w:val="20"/>
          <w:vertAlign w:val="superscript"/>
        </w:rPr>
        <w:footnoteReference w:id="128"/>
      </w:r>
      <w:r>
        <w:rPr>
          <w:rFonts w:cs="Times New Roman"/>
          <w:noProof/>
          <w:color w:val="000000" w:themeColor="text1"/>
          <w:sz w:val="20"/>
        </w:rPr>
        <w:t xml:space="preserve"> illustrates the use of risk-ba</w:t>
      </w:r>
      <w:r>
        <w:rPr>
          <w:rFonts w:cs="Times New Roman"/>
          <w:noProof/>
          <w:color w:val="000000" w:themeColor="text1"/>
          <w:sz w:val="20"/>
        </w:rPr>
        <w:t>sed compliance assurance, with compliance promotion, compliance monitoring and enforcement all combined in an overall strategy</w:t>
      </w:r>
      <w:r>
        <w:rPr>
          <w:rFonts w:cs="Times New Roman"/>
          <w:noProof/>
          <w:color w:val="000000" w:themeColor="text1"/>
          <w:sz w:val="20"/>
          <w:vertAlign w:val="superscript"/>
        </w:rPr>
        <w:footnoteReference w:id="129"/>
      </w:r>
      <w:r>
        <w:rPr>
          <w:rFonts w:cs="Times New Roman"/>
          <w:noProof/>
          <w:color w:val="000000" w:themeColor="text1"/>
          <w:sz w:val="20"/>
        </w:rPr>
        <w:t>.</w:t>
      </w:r>
    </w:p>
    <w:p w:rsidR="00794EA4" w:rsidRDefault="0017531E">
      <w:pPr>
        <w:widowControl w:val="0"/>
        <w:spacing w:before="120" w:after="120" w:line="240" w:lineRule="auto"/>
        <w:jc w:val="both"/>
        <w:rPr>
          <w:rFonts w:cs="Times New Roman"/>
          <w:noProof/>
          <w:sz w:val="20"/>
        </w:rPr>
      </w:pPr>
      <w:r>
        <w:rPr>
          <w:rFonts w:cs="Times New Roman"/>
          <w:noProof/>
          <w:sz w:val="20"/>
        </w:rPr>
        <w:t xml:space="preserve">However, there are significant differences between regions in terms of available resources and the used tools and instruments, </w:t>
      </w:r>
      <w:r>
        <w:rPr>
          <w:rFonts w:cs="Times New Roman"/>
          <w:noProof/>
          <w:sz w:val="20"/>
        </w:rPr>
        <w:t>such as inspection plans, inspections reports and performance monitoring</w:t>
      </w:r>
      <w:r>
        <w:rPr>
          <w:rFonts w:cs="Times New Roman"/>
          <w:noProof/>
          <w:sz w:val="20"/>
          <w:vertAlign w:val="superscript"/>
        </w:rPr>
        <w:footnoteReference w:id="130"/>
      </w:r>
      <w:r>
        <w:rPr>
          <w:rFonts w:cs="Times New Roman"/>
          <w:noProof/>
          <w:sz w:val="20"/>
        </w:rPr>
        <w:t>.</w:t>
      </w:r>
    </w:p>
    <w:p w:rsidR="00794EA4" w:rsidRDefault="0017531E">
      <w:pPr>
        <w:widowControl w:val="0"/>
        <w:spacing w:after="120" w:line="240" w:lineRule="auto"/>
        <w:jc w:val="both"/>
        <w:rPr>
          <w:rFonts w:cs="Times New Roman"/>
          <w:noProof/>
          <w:sz w:val="20"/>
        </w:rPr>
      </w:pPr>
      <w:r>
        <w:rPr>
          <w:rFonts w:cs="Times New Roman"/>
          <w:noProof/>
          <w:sz w:val="20"/>
        </w:rPr>
        <w:t>Up-to-date information is lacking in relation to the following:</w:t>
      </w:r>
    </w:p>
    <w:p w:rsidR="00794EA4" w:rsidRDefault="0017531E">
      <w:pPr>
        <w:widowControl w:val="0"/>
        <w:numPr>
          <w:ilvl w:val="0"/>
          <w:numId w:val="29"/>
        </w:numPr>
        <w:spacing w:after="0" w:line="240" w:lineRule="auto"/>
        <w:contextualSpacing/>
        <w:jc w:val="both"/>
        <w:rPr>
          <w:rFonts w:cs="Times New Roman"/>
          <w:noProof/>
          <w:sz w:val="20"/>
        </w:rPr>
      </w:pPr>
      <w:r>
        <w:rPr>
          <w:rFonts w:cs="Times New Roman"/>
          <w:noProof/>
          <w:sz w:val="20"/>
        </w:rPr>
        <w:t>data-collection arrangements to track the use and effectiveness of different compliance assurance interventions;</w:t>
      </w:r>
    </w:p>
    <w:p w:rsidR="00794EA4" w:rsidRDefault="0017531E">
      <w:pPr>
        <w:widowControl w:val="0"/>
        <w:numPr>
          <w:ilvl w:val="0"/>
          <w:numId w:val="29"/>
        </w:numPr>
        <w:spacing w:after="240" w:line="240" w:lineRule="auto"/>
        <w:contextualSpacing/>
        <w:jc w:val="both"/>
        <w:rPr>
          <w:rFonts w:cs="Times New Roman"/>
          <w:noProof/>
          <w:sz w:val="20"/>
        </w:rPr>
      </w:pPr>
      <w:r>
        <w:rPr>
          <w:rFonts w:cs="Times New Roman"/>
          <w:noProof/>
          <w:sz w:val="20"/>
        </w:rPr>
        <w:t xml:space="preserve">the </w:t>
      </w:r>
      <w:r>
        <w:rPr>
          <w:rFonts w:cs="Times New Roman"/>
          <w:noProof/>
          <w:sz w:val="20"/>
        </w:rPr>
        <w:t>extent to which risk-based methods are used to direct compliance assurance both at the strategic level and in specific problem-areas highlighted elsewhere in this Country Report, i.e. the threats to protected habitat types and species, air quality problems</w:t>
      </w:r>
      <w:r>
        <w:rPr>
          <w:rFonts w:cs="Times New Roman"/>
          <w:noProof/>
          <w:sz w:val="20"/>
        </w:rPr>
        <w:t>, the pressures on water quality from diffuse and point water pollution and the problem of over-abstraction of water</w:t>
      </w:r>
      <w:r>
        <w:rPr>
          <w:rFonts w:cs="Times New Roman"/>
          <w:noProof/>
          <w:color w:val="000000" w:themeColor="text1"/>
          <w:sz w:val="20"/>
          <w:vertAlign w:val="superscript"/>
        </w:rPr>
        <w:footnoteReference w:id="131"/>
      </w:r>
      <w:r>
        <w:rPr>
          <w:rFonts w:cs="Times New Roman"/>
          <w:noProof/>
          <w:sz w:val="20"/>
        </w:rPr>
        <w:t>.</w:t>
      </w:r>
    </w:p>
    <w:p w:rsidR="00794EA4" w:rsidRDefault="0017531E">
      <w:pPr>
        <w:widowControl w:val="0"/>
        <w:spacing w:before="360" w:after="360" w:line="240" w:lineRule="auto"/>
        <w:jc w:val="both"/>
        <w:rPr>
          <w:rFonts w:cs="Times New Roman"/>
          <w:noProof/>
          <w:sz w:val="20"/>
        </w:rPr>
      </w:pPr>
      <w:r>
        <w:rPr>
          <w:rFonts w:cs="Times New Roman"/>
          <w:noProof/>
          <w:sz w:val="20"/>
        </w:rPr>
        <w:t xml:space="preserve">Spanish regional inspection authorities and the Spanish Environmental Prosecution Authority actively contribute to the work of IMPEL and </w:t>
      </w:r>
      <w:r>
        <w:rPr>
          <w:rFonts w:cs="Times New Roman"/>
          <w:noProof/>
          <w:sz w:val="20"/>
        </w:rPr>
        <w:t>ENPE.</w:t>
      </w:r>
    </w:p>
    <w:p w:rsidR="00794EA4" w:rsidRDefault="0017531E">
      <w:pPr>
        <w:widowControl w:val="0"/>
        <w:spacing w:after="240" w:line="240" w:lineRule="auto"/>
        <w:jc w:val="both"/>
        <w:rPr>
          <w:rFonts w:cs="Times New Roman"/>
          <w:noProof/>
          <w:sz w:val="20"/>
        </w:rPr>
      </w:pPr>
      <w:r>
        <w:rPr>
          <w:rFonts w:cs="Times New Roman"/>
          <w:noProof/>
          <w:sz w:val="20"/>
        </w:rPr>
        <w:t>The Aznalcóllar accident in 1998 sensitized Spain to the importance of environmental liability. For the period 2007-2013, it reported eleven confirmed and one pending case of environmental damage under the Environmental Liability Directive. To ensure</w:t>
      </w:r>
      <w:r>
        <w:rPr>
          <w:rFonts w:cs="Times New Roman"/>
          <w:noProof/>
          <w:sz w:val="20"/>
        </w:rPr>
        <w:t xml:space="preserve"> an effective implementation of the Directive, it established a Technical Commission on the Prevention and Remediation of Environmental Damage for facilitate cooperation between the central Government and the Autonomous Communities. The Technical Commissio</w:t>
      </w:r>
      <w:r>
        <w:rPr>
          <w:rFonts w:cs="Times New Roman"/>
          <w:noProof/>
          <w:sz w:val="20"/>
        </w:rPr>
        <w:t>n has undertaken work through sub-groups on environmental liability supply models, technical advice and analysis, sectorial tools for environmental risk assessment, and the priority calendar for phasing in gradually mandatory financial security. The mandat</w:t>
      </w:r>
      <w:r>
        <w:rPr>
          <w:rFonts w:cs="Times New Roman"/>
          <w:noProof/>
          <w:sz w:val="20"/>
        </w:rPr>
        <w:t>ory financial security is backed up with cost-free electronic support tools aimed at helping operators to better calculate their risks. Spain also has an insurance pool (</w:t>
      </w:r>
      <w:r>
        <w:rPr>
          <w:rFonts w:cs="Times New Roman"/>
          <w:i/>
          <w:noProof/>
          <w:sz w:val="20"/>
        </w:rPr>
        <w:t>Pool Español de Riesgos Medioambientales</w:t>
      </w:r>
      <w:r>
        <w:rPr>
          <w:rFonts w:cs="Times New Roman"/>
          <w:noProof/>
          <w:sz w:val="20"/>
        </w:rPr>
        <w:t>), which works closely with both government an</w:t>
      </w:r>
      <w:r>
        <w:rPr>
          <w:rFonts w:cs="Times New Roman"/>
          <w:noProof/>
          <w:sz w:val="20"/>
        </w:rPr>
        <w:t>d industry.</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spacing w:after="360"/>
        <w:rPr>
          <w:noProof/>
        </w:rPr>
      </w:pPr>
      <w:r>
        <w:rPr>
          <w:noProof/>
        </w:rPr>
        <w:t>Improve transparency on organisation and functioning of compliance assurance system and on how significant risks are addressed.</w:t>
      </w:r>
    </w:p>
    <w:p w:rsidR="00794EA4" w:rsidRDefault="0017531E">
      <w:pPr>
        <w:widowControl w:val="0"/>
        <w:spacing w:before="240" w:after="120" w:line="240" w:lineRule="auto"/>
        <w:jc w:val="both"/>
        <w:outlineLvl w:val="2"/>
        <w:rPr>
          <w:rFonts w:cs="Times New Roman"/>
          <w:b/>
          <w:noProof/>
          <w:color w:val="1F497D" w:themeColor="text2"/>
        </w:rPr>
      </w:pPr>
      <w:bookmarkStart w:id="58" w:name="_Toc454463575"/>
      <w:r>
        <w:rPr>
          <w:rFonts w:cs="Times New Roman"/>
          <w:b/>
          <w:noProof/>
          <w:color w:val="1F497D" w:themeColor="text2"/>
        </w:rPr>
        <w:t>Public participation and access to justice</w:t>
      </w:r>
      <w:bookmarkEnd w:id="58"/>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 xml:space="preserve">The Aarhus Convention, related EU legislation on public </w:t>
      </w:r>
      <w:r>
        <w:rPr>
          <w:rFonts w:cs="Times New Roman"/>
          <w:noProof/>
          <w:color w:val="FFFFFF" w:themeColor="background1"/>
          <w:sz w:val="20"/>
        </w:rPr>
        <w:t xml:space="preserve">participation and environmental impact assessment, and the case-law of the Court of Justice require that citizens and their associations should be able to participate in decision-making on projects and plans and should enjoy effective environmental access </w:t>
      </w:r>
      <w:r>
        <w:rPr>
          <w:rFonts w:cs="Times New Roman"/>
          <w:noProof/>
          <w:color w:val="FFFFFF" w:themeColor="background1"/>
          <w:sz w:val="20"/>
        </w:rPr>
        <w:t>to justice.</w:t>
      </w:r>
    </w:p>
    <w:p w:rsidR="00794EA4" w:rsidRDefault="0017531E">
      <w:pPr>
        <w:widowControl w:val="0"/>
        <w:spacing w:before="240" w:after="120" w:line="240" w:lineRule="auto"/>
        <w:jc w:val="both"/>
        <w:rPr>
          <w:rFonts w:cs="Times New Roman"/>
          <w:noProof/>
          <w:sz w:val="20"/>
        </w:rPr>
      </w:pPr>
      <w:r>
        <w:rPr>
          <w:rFonts w:cs="Times New Roman"/>
          <w:noProof/>
          <w:color w:val="000000" w:themeColor="text1"/>
          <w:sz w:val="20"/>
        </w:rPr>
        <w:t>Citizens can more effectively protect the environment if they can rely on the three "pillars" of the</w:t>
      </w:r>
      <w:r>
        <w:rPr>
          <w:rFonts w:cs="Times New Roman"/>
          <w:noProof/>
          <w:sz w:val="20"/>
        </w:rPr>
        <w:t xml:space="preserve"> Convention on Access to Information, Public Participation in Decision-making and Access to Justice in Environmental Matters ("the</w:t>
      </w:r>
      <w:r>
        <w:rPr>
          <w:rFonts w:cs="Times New Roman"/>
          <w:b/>
          <w:noProof/>
          <w:sz w:val="20"/>
        </w:rPr>
        <w:t xml:space="preserve"> </w:t>
      </w:r>
      <w:r>
        <w:rPr>
          <w:rFonts w:cs="Times New Roman"/>
          <w:noProof/>
          <w:color w:val="000000" w:themeColor="text1"/>
          <w:sz w:val="20"/>
        </w:rPr>
        <w:t>Aarhus Conven</w:t>
      </w:r>
      <w:r>
        <w:rPr>
          <w:rFonts w:cs="Times New Roman"/>
          <w:noProof/>
          <w:color w:val="000000" w:themeColor="text1"/>
          <w:sz w:val="20"/>
        </w:rPr>
        <w:t xml:space="preserve">tion"). </w:t>
      </w:r>
      <w:r>
        <w:rPr>
          <w:rFonts w:cs="Times New Roman"/>
          <w:noProof/>
          <w:sz w:val="20"/>
        </w:rPr>
        <w:t xml:space="preserve">Public participation in the administrative decision making process is an important element to ensure that the authority takes its decision on the best possible basis. The Commission intends to examine compliance with mandatory public participation </w:t>
      </w:r>
      <w:r>
        <w:rPr>
          <w:rFonts w:cs="Times New Roman"/>
          <w:noProof/>
          <w:sz w:val="20"/>
        </w:rPr>
        <w:t>requirements more systematically at a later stage.</w:t>
      </w:r>
    </w:p>
    <w:p w:rsidR="00794EA4" w:rsidRDefault="0017531E">
      <w:pPr>
        <w:widowControl w:val="0"/>
        <w:spacing w:after="120" w:line="240" w:lineRule="auto"/>
        <w:jc w:val="both"/>
        <w:rPr>
          <w:rFonts w:cs="Times New Roman"/>
          <w:noProof/>
          <w:sz w:val="20"/>
        </w:rPr>
      </w:pPr>
      <w:r>
        <w:rPr>
          <w:rFonts w:cs="Times New Roman"/>
          <w:noProof/>
          <w:sz w:val="20"/>
        </w:rPr>
        <w:t>Access to justice in environmental matters is a set of guarantees that allows citizens and their associations to challenge acts or omissions of the public administration before a court. It is a tool for de</w:t>
      </w:r>
      <w:r>
        <w:rPr>
          <w:rFonts w:cs="Times New Roman"/>
          <w:noProof/>
          <w:sz w:val="20"/>
        </w:rPr>
        <w:t>centralised implementation of EU environmental law.</w:t>
      </w:r>
    </w:p>
    <w:p w:rsidR="00794EA4" w:rsidRDefault="0017531E">
      <w:pPr>
        <w:widowControl w:val="0"/>
        <w:spacing w:after="120" w:line="240" w:lineRule="auto"/>
        <w:jc w:val="both"/>
        <w:rPr>
          <w:rFonts w:cs="Times New Roman"/>
          <w:noProof/>
          <w:sz w:val="20"/>
        </w:rPr>
      </w:pPr>
      <w:r>
        <w:rPr>
          <w:rFonts w:cs="Times New Roman"/>
          <w:noProof/>
          <w:sz w:val="20"/>
        </w:rPr>
        <w:t>For each Member State, two crucial elements for effective access to justice have been systematically reviewed: the legal standing for the public, including NGOs and the extent to which prohibitive costs r</w:t>
      </w:r>
      <w:r>
        <w:rPr>
          <w:rFonts w:cs="Times New Roman"/>
          <w:noProof/>
          <w:sz w:val="20"/>
        </w:rPr>
        <w:t>epresent a barrier.</w:t>
      </w:r>
    </w:p>
    <w:p w:rsidR="00794EA4" w:rsidRDefault="0017531E">
      <w:pPr>
        <w:widowControl w:val="0"/>
        <w:spacing w:after="240" w:line="240" w:lineRule="auto"/>
        <w:jc w:val="both"/>
        <w:rPr>
          <w:rFonts w:cs="Times New Roman"/>
          <w:noProof/>
          <w:sz w:val="20"/>
        </w:rPr>
      </w:pPr>
      <w:r>
        <w:rPr>
          <w:rFonts w:cs="Times New Roman"/>
          <w:noProof/>
          <w:sz w:val="20"/>
        </w:rPr>
        <w:t>The Spanish legal system grants the public the possibility to bring environmental cases to the courts. However, in case of omissions and inactivity on behalf of the public administration, the public seems to have difficulties in obtaini</w:t>
      </w:r>
      <w:r>
        <w:rPr>
          <w:rFonts w:cs="Times New Roman"/>
          <w:noProof/>
          <w:sz w:val="20"/>
        </w:rPr>
        <w:t>ng legal standing to challenge the situation. Furthermore, bringing administrative cases to the courts seems to be expensive. The expected cost may prevent the public to bring cases to the court. The existing legal assistance program does not seem to be su</w:t>
      </w:r>
      <w:r>
        <w:rPr>
          <w:rFonts w:cs="Times New Roman"/>
          <w:noProof/>
          <w:sz w:val="20"/>
        </w:rPr>
        <w:t>fficient to compensate for the expensive costs</w:t>
      </w:r>
      <w:r>
        <w:rPr>
          <w:rFonts w:cs="Times New Roman"/>
          <w:noProof/>
          <w:sz w:val="20"/>
          <w:vertAlign w:val="superscript"/>
        </w:rPr>
        <w:footnoteReference w:id="132"/>
      </w:r>
      <w:r>
        <w:rPr>
          <w:rFonts w:cs="Times New Roman"/>
          <w:noProof/>
          <w:sz w:val="20"/>
        </w:rPr>
        <w:t>.</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spacing w:after="360"/>
        <w:rPr>
          <w:noProof/>
        </w:rPr>
      </w:pPr>
      <w:bookmarkStart w:id="59" w:name="_Toc439678165"/>
      <w:r>
        <w:rPr>
          <w:noProof/>
        </w:rPr>
        <w:t>Take the necessary measures to ensure that the costs of legal challenges involving EU environmental law are not prohibitively expensive, and in line with the requirements of EU law as well a</w:t>
      </w:r>
      <w:r>
        <w:rPr>
          <w:noProof/>
        </w:rPr>
        <w:t>s the Aarhus Convention.</w:t>
      </w:r>
    </w:p>
    <w:p w:rsidR="00794EA4" w:rsidRDefault="0017531E">
      <w:pPr>
        <w:widowControl w:val="0"/>
        <w:spacing w:before="240" w:after="240" w:line="240" w:lineRule="auto"/>
        <w:outlineLvl w:val="1"/>
        <w:rPr>
          <w:rFonts w:cs="Times New Roman"/>
          <w:b/>
          <w:noProof/>
          <w:color w:val="1F497D" w:themeColor="text2"/>
          <w:sz w:val="24"/>
          <w:szCs w:val="24"/>
        </w:rPr>
      </w:pPr>
      <w:bookmarkStart w:id="60" w:name="_Toc454463576"/>
      <w:bookmarkStart w:id="61" w:name="_Toc469492832"/>
      <w:r>
        <w:rPr>
          <w:rFonts w:cs="Times New Roman"/>
          <w:b/>
          <w:noProof/>
          <w:color w:val="1F497D" w:themeColor="text2"/>
          <w:sz w:val="24"/>
          <w:szCs w:val="24"/>
        </w:rPr>
        <w:t>Access to Information, knowledge and evidence</w:t>
      </w:r>
      <w:bookmarkEnd w:id="60"/>
      <w:bookmarkEnd w:id="61"/>
    </w:p>
    <w:p w:rsidR="00794EA4" w:rsidRDefault="0017531E">
      <w:pPr>
        <w:widowControl w:val="0"/>
        <w:shd w:val="clear" w:color="auto" w:fill="4F81BD" w:themeFill="accent1"/>
        <w:spacing w:after="120" w:line="240" w:lineRule="auto"/>
        <w:jc w:val="both"/>
        <w:rPr>
          <w:rFonts w:cs="Times New Roman"/>
          <w:noProof/>
          <w:color w:val="FFFFFF" w:themeColor="background1"/>
          <w:sz w:val="20"/>
        </w:rPr>
      </w:pPr>
      <w:r>
        <w:rPr>
          <w:rFonts w:cs="Times New Roman"/>
          <w:noProof/>
          <w:color w:val="FFFFFF" w:themeColor="background1"/>
          <w:sz w:val="20"/>
        </w:rPr>
        <w:t>The Aarhus Convention and related EU legislation on access to information and the sharing of spatial data require that the public has access to clear information on the environment, inc</w:t>
      </w:r>
      <w:r>
        <w:rPr>
          <w:rFonts w:cs="Times New Roman"/>
          <w:noProof/>
          <w:color w:val="FFFFFF" w:themeColor="background1"/>
          <w:sz w:val="20"/>
        </w:rPr>
        <w:t>luding on how Union environmental law is being implemented.</w:t>
      </w:r>
    </w:p>
    <w:p w:rsidR="00794EA4" w:rsidRDefault="0017531E">
      <w:pPr>
        <w:widowControl w:val="0"/>
        <w:spacing w:before="240" w:after="120" w:line="240" w:lineRule="auto"/>
        <w:jc w:val="both"/>
        <w:rPr>
          <w:rFonts w:cs="Times New Roman"/>
          <w:noProof/>
          <w:sz w:val="20"/>
        </w:rPr>
      </w:pPr>
      <w:r>
        <w:rPr>
          <w:rFonts w:cs="Times New Roman"/>
          <w:noProof/>
          <w:sz w:val="20"/>
        </w:rPr>
        <w:t xml:space="preserve">It is of crucial importance to public authorities, the public and business that environmental information is shared in an efficient and effective way. This covers reporting by businesses and </w:t>
      </w:r>
      <w:r>
        <w:rPr>
          <w:rFonts w:cs="Times New Roman"/>
          <w:noProof/>
          <w:sz w:val="20"/>
        </w:rPr>
        <w:t>public authorities and active dissemination to the public, increasingly through electronic means.</w:t>
      </w:r>
    </w:p>
    <w:p w:rsidR="00794EA4" w:rsidRDefault="0017531E">
      <w:pPr>
        <w:widowControl w:val="0"/>
        <w:spacing w:after="120" w:line="240" w:lineRule="auto"/>
        <w:jc w:val="both"/>
        <w:rPr>
          <w:rFonts w:cs="Times New Roman"/>
          <w:noProof/>
          <w:sz w:val="20"/>
        </w:rPr>
      </w:pPr>
      <w:r>
        <w:rPr>
          <w:rFonts w:cs="Times New Roman"/>
          <w:noProof/>
          <w:sz w:val="20"/>
        </w:rPr>
        <w:t>The Aarhus Convention</w:t>
      </w:r>
      <w:r>
        <w:rPr>
          <w:rFonts w:cs="Times New Roman"/>
          <w:noProof/>
          <w:sz w:val="20"/>
          <w:vertAlign w:val="superscript"/>
        </w:rPr>
        <w:footnoteReference w:id="133"/>
      </w:r>
      <w:r>
        <w:rPr>
          <w:rFonts w:cs="Times New Roman"/>
          <w:noProof/>
          <w:sz w:val="20"/>
        </w:rPr>
        <w:t>, the Access to Environmental Information Directive</w:t>
      </w:r>
      <w:r>
        <w:rPr>
          <w:rFonts w:cs="Times New Roman"/>
          <w:noProof/>
          <w:sz w:val="20"/>
          <w:vertAlign w:val="superscript"/>
        </w:rPr>
        <w:footnoteReference w:id="134"/>
      </w:r>
      <w:r>
        <w:rPr>
          <w:rFonts w:cs="Times New Roman"/>
          <w:noProof/>
          <w:sz w:val="20"/>
        </w:rPr>
        <w:t xml:space="preserve"> and the INSPIRE Directive</w:t>
      </w:r>
      <w:r>
        <w:rPr>
          <w:rFonts w:cs="Times New Roman"/>
          <w:noProof/>
          <w:sz w:val="20"/>
          <w:vertAlign w:val="superscript"/>
        </w:rPr>
        <w:footnoteReference w:id="135"/>
      </w:r>
      <w:r>
        <w:rPr>
          <w:rFonts w:cs="Times New Roman"/>
          <w:noProof/>
          <w:sz w:val="20"/>
        </w:rPr>
        <w:t xml:space="preserve"> together create a legal foundation for the sharing of en</w:t>
      </w:r>
      <w:r>
        <w:rPr>
          <w:rFonts w:cs="Times New Roman"/>
          <w:noProof/>
          <w:sz w:val="20"/>
        </w:rPr>
        <w:t>vironmental information between public authorities and with the public. They also represent the green part of the ongoing EU e-Government Action Plan</w:t>
      </w:r>
      <w:r>
        <w:rPr>
          <w:rFonts w:cs="Times New Roman"/>
          <w:noProof/>
          <w:sz w:val="20"/>
          <w:vertAlign w:val="superscript"/>
        </w:rPr>
        <w:footnoteReference w:id="136"/>
      </w:r>
      <w:r>
        <w:rPr>
          <w:rFonts w:cs="Times New Roman"/>
          <w:noProof/>
          <w:sz w:val="20"/>
        </w:rPr>
        <w:t>. The first two instruments create obligations to provide information to the public, both on request and a</w:t>
      </w:r>
      <w:r>
        <w:rPr>
          <w:rFonts w:cs="Times New Roman"/>
          <w:noProof/>
          <w:sz w:val="20"/>
        </w:rPr>
        <w:t>ctively. The INSPIRE Directive is a pioneering instrument for electronic data-sharing between public authorities who can vary in their data-sharing policies, e.g. on whether access to data is for free. The INSPIRE Directive sets up a geoportal which indica</w:t>
      </w:r>
      <w:r>
        <w:rPr>
          <w:rFonts w:cs="Times New Roman"/>
          <w:noProof/>
          <w:sz w:val="20"/>
        </w:rPr>
        <w:t xml:space="preserve">tes the level of shared spatial data in each Member State – i.e. data related to specific locations, such as air quality monitoring data. Amongst other benefits it facilitates the public authorities' reporting obligations. </w:t>
      </w:r>
    </w:p>
    <w:p w:rsidR="00794EA4" w:rsidRDefault="0017531E">
      <w:pPr>
        <w:widowControl w:val="0"/>
        <w:spacing w:after="120" w:line="240" w:lineRule="auto"/>
        <w:jc w:val="both"/>
        <w:rPr>
          <w:rFonts w:cs="Times New Roman"/>
          <w:noProof/>
          <w:sz w:val="20"/>
        </w:rPr>
      </w:pPr>
      <w:r>
        <w:rPr>
          <w:rFonts w:cs="Times New Roman"/>
          <w:noProof/>
          <w:sz w:val="20"/>
        </w:rPr>
        <w:t>For each Member State, the acces</w:t>
      </w:r>
      <w:r>
        <w:rPr>
          <w:rFonts w:cs="Times New Roman"/>
          <w:noProof/>
          <w:sz w:val="20"/>
        </w:rPr>
        <w:t>sibility of environmental data (based on what the INSPIRE Directive envisages) as well as data-sharing policies ('open data') have been systematically reviewed</w:t>
      </w:r>
      <w:r>
        <w:rPr>
          <w:rFonts w:cs="Times New Roman"/>
          <w:noProof/>
          <w:sz w:val="20"/>
          <w:vertAlign w:val="superscript"/>
        </w:rPr>
        <w:footnoteReference w:id="137"/>
      </w:r>
      <w:r>
        <w:rPr>
          <w:rFonts w:cs="Times New Roman"/>
          <w:noProof/>
          <w:sz w:val="20"/>
        </w:rPr>
        <w:t>.</w:t>
      </w:r>
    </w:p>
    <w:bookmarkEnd w:id="59"/>
    <w:p w:rsidR="00794EA4" w:rsidRDefault="0017531E">
      <w:pPr>
        <w:widowControl w:val="0"/>
        <w:spacing w:after="120" w:line="240" w:lineRule="auto"/>
        <w:jc w:val="both"/>
        <w:rPr>
          <w:rFonts w:cs="Times New Roman"/>
          <w:noProof/>
          <w:sz w:val="20"/>
        </w:rPr>
      </w:pPr>
      <w:r>
        <w:rPr>
          <w:rFonts w:cs="Times New Roman"/>
          <w:noProof/>
          <w:sz w:val="20"/>
        </w:rPr>
        <w:t>Spain's performance on the implementation of the INSPIRE Directive as enabling framework to ac</w:t>
      </w:r>
      <w:r>
        <w:rPr>
          <w:rFonts w:cs="Times New Roman"/>
          <w:noProof/>
          <w:sz w:val="20"/>
        </w:rPr>
        <w:t>tively disseminate environmental information to the public is good. Spain has indicated in the 3-yearly INSPIRE implementation report</w:t>
      </w:r>
      <w:r>
        <w:rPr>
          <w:rFonts w:cs="Times New Roman"/>
          <w:noProof/>
          <w:sz w:val="20"/>
          <w:vertAlign w:val="superscript"/>
        </w:rPr>
        <w:footnoteReference w:id="138"/>
      </w:r>
      <w:r>
        <w:rPr>
          <w:rFonts w:cs="Times New Roman"/>
          <w:noProof/>
          <w:sz w:val="20"/>
        </w:rPr>
        <w:t xml:space="preserve"> that the necessary data-sharing policies allowing access and use of spatial data by national administrations, other Membe</w:t>
      </w:r>
      <w:r>
        <w:rPr>
          <w:rFonts w:cs="Times New Roman"/>
          <w:noProof/>
          <w:sz w:val="20"/>
        </w:rPr>
        <w:t xml:space="preserve">r States' administrations and EU institutions without procedural obstacles are available and implemented. In Spain, sharing of information between public bodies is well defined by law. In case of environmental information, data is made available under Law </w:t>
      </w:r>
      <w:r>
        <w:rPr>
          <w:rFonts w:cs="Times New Roman"/>
          <w:noProof/>
          <w:sz w:val="20"/>
        </w:rPr>
        <w:t>27/2006 of 18 July</w:t>
      </w:r>
      <w:r>
        <w:rPr>
          <w:rFonts w:cs="Times New Roman"/>
          <w:noProof/>
          <w:sz w:val="20"/>
          <w:vertAlign w:val="superscript"/>
        </w:rPr>
        <w:footnoteReference w:id="139"/>
      </w:r>
      <w:r>
        <w:rPr>
          <w:rFonts w:cs="Times New Roman"/>
          <w:noProof/>
          <w:sz w:val="20"/>
        </w:rPr>
        <w:t>, which incorporates Directives 2003/4/EC</w:t>
      </w:r>
      <w:r>
        <w:rPr>
          <w:rFonts w:cs="Times New Roman"/>
          <w:noProof/>
          <w:sz w:val="20"/>
          <w:vertAlign w:val="superscript"/>
        </w:rPr>
        <w:footnoteReference w:id="140"/>
      </w:r>
      <w:r>
        <w:rPr>
          <w:rFonts w:cs="Times New Roman"/>
          <w:noProof/>
          <w:sz w:val="20"/>
        </w:rPr>
        <w:t xml:space="preserve"> and 2003/35/EC</w:t>
      </w:r>
      <w:r>
        <w:rPr>
          <w:rFonts w:cs="Times New Roman"/>
          <w:noProof/>
          <w:sz w:val="20"/>
          <w:vertAlign w:val="superscript"/>
        </w:rPr>
        <w:footnoteReference w:id="141"/>
      </w:r>
      <w:r>
        <w:rPr>
          <w:rFonts w:cs="Times New Roman"/>
          <w:noProof/>
          <w:sz w:val="20"/>
        </w:rPr>
        <w:t>. More than 30% of the Spanish administrations have already released and published their spatial data as open data.</w:t>
      </w:r>
    </w:p>
    <w:p w:rsidR="00794EA4" w:rsidRDefault="0017531E">
      <w:pPr>
        <w:widowControl w:val="0"/>
        <w:spacing w:after="240" w:line="240" w:lineRule="auto"/>
        <w:jc w:val="both"/>
        <w:rPr>
          <w:rFonts w:cstheme="minorHAnsi"/>
          <w:noProof/>
          <w:szCs w:val="26"/>
        </w:rPr>
      </w:pPr>
      <w:r>
        <w:rPr>
          <w:rFonts w:cs="Times New Roman"/>
          <w:noProof/>
          <w:sz w:val="20"/>
        </w:rPr>
        <w:t>Assessments of monitoring reports</w:t>
      </w:r>
      <w:r>
        <w:rPr>
          <w:rFonts w:cs="Times New Roman"/>
          <w:noProof/>
          <w:sz w:val="20"/>
          <w:vertAlign w:val="superscript"/>
        </w:rPr>
        <w:footnoteReference w:id="142"/>
      </w:r>
      <w:r>
        <w:rPr>
          <w:rFonts w:cs="Times New Roman"/>
          <w:noProof/>
          <w:sz w:val="20"/>
        </w:rPr>
        <w:t xml:space="preserve"> issued by Spain and the spat</w:t>
      </w:r>
      <w:r>
        <w:rPr>
          <w:rFonts w:cs="Times New Roman"/>
          <w:noProof/>
          <w:sz w:val="20"/>
        </w:rPr>
        <w:t>ial information that Spain has published on the INSPIRE geoportal</w:t>
      </w:r>
      <w:r>
        <w:rPr>
          <w:rFonts w:cs="Times New Roman"/>
          <w:noProof/>
          <w:sz w:val="20"/>
          <w:vertAlign w:val="superscript"/>
        </w:rPr>
        <w:footnoteReference w:id="143"/>
      </w:r>
      <w:r>
        <w:rPr>
          <w:rFonts w:cs="Times New Roman"/>
          <w:noProof/>
          <w:sz w:val="20"/>
        </w:rPr>
        <w:t xml:space="preserve"> indicate that not all spatial information needed for the evaluation and implementation of EU environmental law has been made available or is accessible. The larger part of this missing spat</w:t>
      </w:r>
      <w:r>
        <w:rPr>
          <w:rFonts w:cs="Times New Roman"/>
          <w:noProof/>
          <w:sz w:val="20"/>
        </w:rPr>
        <w:t>ial information consists of the environmental data required to be made available under the existing reporting and monitoring regulations of EU environmental law, though some elements are available.</w:t>
      </w:r>
    </w:p>
    <w:p w:rsidR="00794EA4" w:rsidRDefault="0017531E">
      <w:pPr>
        <w:widowControl w:val="0"/>
        <w:spacing w:after="120" w:line="240" w:lineRule="auto"/>
        <w:jc w:val="both"/>
        <w:rPr>
          <w:rFonts w:cstheme="minorHAnsi"/>
          <w:noProof/>
          <w:color w:val="1F497D" w:themeColor="text2"/>
          <w:szCs w:val="26"/>
        </w:rPr>
      </w:pPr>
      <w:r>
        <w:rPr>
          <w:rFonts w:cstheme="minorHAnsi"/>
          <w:noProof/>
          <w:color w:val="1F497D" w:themeColor="text2"/>
          <w:szCs w:val="26"/>
        </w:rPr>
        <w:t>Suggested action</w:t>
      </w:r>
    </w:p>
    <w:p w:rsidR="00794EA4" w:rsidRDefault="0017531E">
      <w:pPr>
        <w:pStyle w:val="NoSpacing"/>
        <w:rPr>
          <w:noProof/>
        </w:rPr>
      </w:pPr>
      <w:r>
        <w:rPr>
          <w:noProof/>
        </w:rPr>
        <w:t>Identify and document all spatial data se</w:t>
      </w:r>
      <w:r>
        <w:rPr>
          <w:noProof/>
        </w:rPr>
        <w:t>ts required for the implementation of environmental law, and make the data and documentation at least accessible 'as is' to other public authorities and the public through the digital services foreseen in the INSPIRE Directive.</w:t>
      </w:r>
    </w:p>
    <w:sectPr w:rsidR="00794EA4">
      <w:headerReference w:type="even" r:id="rId115"/>
      <w:headerReference w:type="default" r:id="rId116"/>
      <w:footerReference w:type="even" r:id="rId117"/>
      <w:footerReference w:type="default" r:id="rId118"/>
      <w:headerReference w:type="first" r:id="rId119"/>
      <w:footerReference w:type="first" r:id="rId120"/>
      <w:type w:val="continuous"/>
      <w:pgSz w:w="11906" w:h="16838" w:code="9"/>
      <w:pgMar w:top="1440" w:right="1080" w:bottom="1440" w:left="1080" w:header="709" w:footer="709" w:gutter="0"/>
      <w:cols w:num="2" w:space="35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EA4" w:rsidRDefault="0017531E">
      <w:pPr>
        <w:spacing w:after="0" w:line="240" w:lineRule="auto"/>
      </w:pPr>
      <w:r>
        <w:separator/>
      </w:r>
    </w:p>
  </w:endnote>
  <w:endnote w:type="continuationSeparator" w:id="0">
    <w:p w:rsidR="00794EA4" w:rsidRDefault="001753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1E" w:rsidRPr="0017531E" w:rsidRDefault="0017531E" w:rsidP="0017531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1E" w:rsidRPr="0017531E" w:rsidRDefault="0017531E" w:rsidP="0017531E">
    <w:pPr>
      <w:pStyle w:val="FooterCoverPage"/>
      <w:rPr>
        <w:rFonts w:ascii="Arial" w:hAnsi="Arial" w:cs="Arial"/>
        <w:b/>
        <w:sz w:val="48"/>
      </w:rPr>
    </w:pPr>
    <w:r w:rsidRPr="0017531E">
      <w:rPr>
        <w:rFonts w:ascii="Arial" w:hAnsi="Arial" w:cs="Arial"/>
        <w:b/>
        <w:sz w:val="48"/>
      </w:rPr>
      <w:t>EN</w:t>
    </w:r>
    <w:r w:rsidRPr="0017531E">
      <w:rPr>
        <w:rFonts w:ascii="Arial" w:hAnsi="Arial" w:cs="Arial"/>
        <w:b/>
        <w:sz w:val="48"/>
      </w:rPr>
      <w:tab/>
    </w:r>
    <w:r w:rsidRPr="0017531E">
      <w:rPr>
        <w:rFonts w:ascii="Arial" w:hAnsi="Arial" w:cs="Arial"/>
        <w:b/>
        <w:sz w:val="48"/>
      </w:rPr>
      <w:tab/>
    </w:r>
    <w:fldSimple w:instr=" DOCVARIABLE &quot;LW_Confidence&quot; \* MERGEFORMAT ">
      <w:r>
        <w:t xml:space="preserve"> </w:t>
      </w:r>
    </w:fldSimple>
    <w:r w:rsidRPr="0017531E">
      <w:tab/>
    </w:r>
    <w:r w:rsidRPr="0017531E">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2016 – Spain</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1E" w:rsidRPr="0017531E" w:rsidRDefault="0017531E" w:rsidP="0017531E">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 xml:space="preserve">Environmental </w:t>
    </w:r>
    <w:r>
      <w:t>Implementation Report – Spain</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2016 – Spain</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Environmental Implementation Report – Spain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17531E">
    <w:pPr>
      <w:pStyle w:val="Footer"/>
      <w:jc w:val="center"/>
    </w:pPr>
    <w:r>
      <w:t xml:space="preserve">Environmental Implementation Report </w:t>
    </w:r>
    <w:r>
      <w:t>– Spain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EA4" w:rsidRDefault="0017531E">
      <w:pPr>
        <w:spacing w:after="0" w:line="240" w:lineRule="auto"/>
      </w:pPr>
      <w:r>
        <w:separator/>
      </w:r>
    </w:p>
  </w:footnote>
  <w:footnote w:type="continuationSeparator" w:id="0">
    <w:p w:rsidR="00794EA4" w:rsidRDefault="0017531E">
      <w:pPr>
        <w:spacing w:after="0" w:line="240" w:lineRule="auto"/>
      </w:pPr>
      <w:r>
        <w:continuationSeparator/>
      </w:r>
    </w:p>
  </w:footnote>
  <w:footnote w:id="1">
    <w:p w:rsidR="00794EA4" w:rsidRDefault="0017531E">
      <w:pPr>
        <w:pStyle w:val="FootnoteText"/>
        <w:ind w:left="60" w:hanging="60"/>
        <w:rPr>
          <w:sz w:val="16"/>
          <w:szCs w:val="16"/>
        </w:rPr>
      </w:pPr>
      <w:r>
        <w:rPr>
          <w:rStyle w:val="FootnoteReference"/>
          <w:sz w:val="16"/>
          <w:szCs w:val="16"/>
        </w:rPr>
        <w:footnoteRef/>
      </w:r>
      <w:r>
        <w:rPr>
          <w:sz w:val="16"/>
          <w:szCs w:val="16"/>
        </w:rPr>
        <w:t xml:space="preserve"> </w:t>
      </w:r>
      <w:r>
        <w:rPr>
          <w:rFonts w:asciiTheme="minorHAnsi" w:hAnsiTheme="minorHAnsi"/>
          <w:sz w:val="16"/>
          <w:szCs w:val="16"/>
        </w:rPr>
        <w:t>Communication "Delivering the benefits of EU environmental policies through a regular Environmental Implementation Review" (</w:t>
      </w:r>
      <w:hyperlink r:id="rId1" w:history="1">
        <w:r>
          <w:rPr>
            <w:rStyle w:val="Hyperlink"/>
            <w:rFonts w:asciiTheme="minorHAnsi" w:hAnsiTheme="minorHAnsi"/>
            <w:sz w:val="16"/>
            <w:szCs w:val="16"/>
          </w:rPr>
          <w:t>COM/2016/ 316 final</w:t>
        </w:r>
      </w:hyperlink>
      <w:r>
        <w:rPr>
          <w:rFonts w:asciiTheme="minorHAnsi" w:hAnsiTheme="minorHAnsi"/>
          <w:sz w:val="16"/>
          <w:szCs w:val="16"/>
        </w:rPr>
        <w:t>).</w:t>
      </w:r>
    </w:p>
  </w:footnote>
  <w:footnote w:id="2">
    <w:p w:rsidR="00794EA4" w:rsidRDefault="0017531E">
      <w:pPr>
        <w:pStyle w:val="FootnoteText"/>
        <w:widowControl w:val="0"/>
        <w:ind w:left="60" w:hanging="60"/>
        <w:mirrorIndents/>
        <w:rPr>
          <w:sz w:val="16"/>
          <w:szCs w:val="16"/>
        </w:rPr>
      </w:pPr>
      <w:r>
        <w:rPr>
          <w:rStyle w:val="FootnoteReference"/>
          <w:sz w:val="16"/>
          <w:szCs w:val="16"/>
        </w:rPr>
        <w:footnoteRef/>
      </w:r>
      <w:r>
        <w:rPr>
          <w:sz w:val="16"/>
          <w:szCs w:val="16"/>
        </w:rPr>
        <w:t xml:space="preserve"> Decision No. 1386/2013/EU of 20 November 2013 on a General Union Environmental Action Programme to 2020 "</w:t>
      </w:r>
      <w:hyperlink r:id="rId2" w:history="1">
        <w:r>
          <w:rPr>
            <w:rStyle w:val="Hyperlink"/>
            <w:sz w:val="16"/>
            <w:szCs w:val="16"/>
          </w:rPr>
          <w:t>Living well, within the limits of our planet</w:t>
        </w:r>
      </w:hyperlink>
      <w:r>
        <w:rPr>
          <w:sz w:val="16"/>
          <w:szCs w:val="16"/>
        </w:rPr>
        <w:t>".</w:t>
      </w:r>
    </w:p>
  </w:footnote>
  <w:footnote w:id="3">
    <w:p w:rsidR="00794EA4" w:rsidRDefault="0017531E">
      <w:pPr>
        <w:pStyle w:val="FootnoteText"/>
        <w:widowControl w:val="0"/>
        <w:tabs>
          <w:tab w:val="left" w:pos="142"/>
        </w:tabs>
        <w:ind w:left="60" w:hanging="60"/>
        <w:mirrorIndents/>
        <w:rPr>
          <w:sz w:val="16"/>
          <w:szCs w:val="16"/>
        </w:rPr>
      </w:pPr>
      <w:r>
        <w:rPr>
          <w:rStyle w:val="FootnoteReference"/>
          <w:sz w:val="16"/>
          <w:szCs w:val="16"/>
        </w:rPr>
        <w:footnoteRef/>
      </w:r>
      <w:r>
        <w:rPr>
          <w:sz w:val="16"/>
          <w:szCs w:val="16"/>
        </w:rPr>
        <w:t xml:space="preserve"> United Nations, 2015. </w:t>
      </w:r>
      <w:hyperlink r:id="rId3" w:history="1">
        <w:r>
          <w:rPr>
            <w:rStyle w:val="Hyperlink"/>
            <w:sz w:val="16"/>
            <w:szCs w:val="16"/>
          </w:rPr>
          <w:t>The Sustainable Development Goals</w:t>
        </w:r>
      </w:hyperlink>
      <w:r>
        <w:rPr>
          <w:sz w:val="16"/>
          <w:szCs w:val="16"/>
        </w:rPr>
        <w:t xml:space="preserve"> </w:t>
      </w:r>
    </w:p>
  </w:footnote>
  <w:footnote w:id="4">
    <w:p w:rsidR="00794EA4" w:rsidRDefault="0017531E">
      <w:pPr>
        <w:pStyle w:val="FootnoteText"/>
        <w:ind w:left="60" w:hanging="60"/>
        <w:rPr>
          <w:sz w:val="16"/>
          <w:szCs w:val="16"/>
        </w:rPr>
      </w:pPr>
      <w:r>
        <w:rPr>
          <w:rStyle w:val="FootnoteReference"/>
          <w:sz w:val="16"/>
          <w:szCs w:val="16"/>
        </w:rPr>
        <w:footnoteRef/>
      </w:r>
      <w:r>
        <w:rPr>
          <w:sz w:val="16"/>
          <w:szCs w:val="16"/>
        </w:rPr>
        <w:t xml:space="preserve"> This EIR report do</w:t>
      </w:r>
      <w:r>
        <w:rPr>
          <w:sz w:val="16"/>
          <w:szCs w:val="16"/>
        </w:rPr>
        <w:t>es not cover climate change, chemicals and energy.</w:t>
      </w:r>
    </w:p>
  </w:footnote>
  <w:footnote w:id="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Commission, 2015. </w:t>
      </w:r>
      <w:hyperlink r:id="rId4" w:history="1">
        <w:r>
          <w:rPr>
            <w:rStyle w:val="Hyperlink"/>
            <w:sz w:val="16"/>
            <w:szCs w:val="16"/>
          </w:rPr>
          <w:t>Proposed Circular Economy Package</w:t>
        </w:r>
      </w:hyperlink>
      <w:r>
        <w:rPr>
          <w:sz w:val="16"/>
          <w:szCs w:val="16"/>
        </w:rPr>
        <w:t xml:space="preserve"> </w:t>
      </w:r>
    </w:p>
  </w:footnote>
  <w:footnote w:id="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Resource productivity is defined as the ratio between gross domestic</w:t>
      </w:r>
      <w:r>
        <w:rPr>
          <w:sz w:val="16"/>
          <w:szCs w:val="16"/>
        </w:rPr>
        <w:t xml:space="preserve"> product (GDP) and domestic material consumption (DMC).</w:t>
      </w:r>
    </w:p>
  </w:footnote>
  <w:footnote w:id="7">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Eurostat, </w:t>
      </w:r>
      <w:hyperlink r:id="rId5" w:history="1">
        <w:r>
          <w:rPr>
            <w:rStyle w:val="Hyperlink"/>
            <w:sz w:val="16"/>
            <w:szCs w:val="16"/>
          </w:rPr>
          <w:t>Resource productivity,</w:t>
        </w:r>
      </w:hyperlink>
      <w:r>
        <w:rPr>
          <w:sz w:val="16"/>
          <w:szCs w:val="16"/>
        </w:rPr>
        <w:t xml:space="preserve"> accessed July 2016.</w:t>
      </w:r>
    </w:p>
  </w:footnote>
  <w:footnote w:id="8">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Eurostat, </w:t>
      </w:r>
      <w:hyperlink r:id="rId6" w:history="1">
        <w:r>
          <w:rPr>
            <w:rStyle w:val="Hyperlink"/>
            <w:rFonts w:cstheme="minorHAnsi"/>
            <w:sz w:val="16"/>
            <w:szCs w:val="16"/>
          </w:rPr>
          <w:t>Resource productivity</w:t>
        </w:r>
      </w:hyperlink>
      <w:r>
        <w:rPr>
          <w:rFonts w:cstheme="minorHAnsi"/>
          <w:sz w:val="16"/>
          <w:szCs w:val="16"/>
        </w:rPr>
        <w:t>,</w:t>
      </w:r>
      <w:r>
        <w:rPr>
          <w:rStyle w:val="Hyperlink"/>
          <w:rFonts w:cstheme="minorHAnsi"/>
          <w:sz w:val="16"/>
          <w:szCs w:val="16"/>
        </w:rPr>
        <w:t xml:space="preserve"> </w:t>
      </w:r>
      <w:r>
        <w:rPr>
          <w:rStyle w:val="Hyperlink"/>
          <w:rFonts w:cstheme="minorHAnsi"/>
          <w:color w:val="auto"/>
          <w:sz w:val="16"/>
          <w:szCs w:val="16"/>
          <w:u w:val="none"/>
        </w:rPr>
        <w:t>accessed October 2016</w:t>
      </w:r>
    </w:p>
  </w:footnote>
  <w:footnote w:id="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sz w:val="16"/>
          <w:szCs w:val="16"/>
          <w:lang w:eastAsia="en-GB"/>
        </w:rPr>
        <w:t>COM(2014) 446 final: Communication Green Employment Initiative: Tapping into the job creation potential of the green economy.</w:t>
      </w:r>
    </w:p>
  </w:footnote>
  <w:footnote w:id="1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7" w:history="1">
        <w:r>
          <w:rPr>
            <w:rStyle w:val="Hyperlink"/>
            <w:sz w:val="16"/>
            <w:szCs w:val="16"/>
          </w:rPr>
          <w:t>http://ec.europa.eu/environment/enveco/studies.htm</w:t>
        </w:r>
      </w:hyperlink>
    </w:p>
  </w:footnote>
  <w:footnote w:id="1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"Green jobs in a sustainable economy" (OSE &amp; Biodiversity Foundation, 2010); "Green Jobs for a sustainable development. A case study of Sp</w:t>
      </w:r>
      <w:r>
        <w:rPr>
          <w:sz w:val="16"/>
          <w:szCs w:val="16"/>
        </w:rPr>
        <w:t>ain", (Sustainlabour/ILO &amp; Biodiversity Foundation, 2012); and "</w:t>
      </w:r>
      <w:hyperlink r:id="rId8" w:history="1">
        <w:r>
          <w:rPr>
            <w:rStyle w:val="Hyperlink"/>
            <w:sz w:val="16"/>
            <w:szCs w:val="16"/>
          </w:rPr>
          <w:t>Green Jobs: concept and trends</w:t>
        </w:r>
      </w:hyperlink>
      <w:r>
        <w:rPr>
          <w:sz w:val="16"/>
          <w:szCs w:val="16"/>
        </w:rPr>
        <w:t xml:space="preserve">" (MAGRAMA, 2013). </w:t>
      </w:r>
    </w:p>
  </w:footnote>
  <w:footnote w:id="1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RPA, 2015. </w:t>
      </w:r>
      <w:hyperlink r:id="rId9" w:history="1">
        <w:r>
          <w:rPr>
            <w:rStyle w:val="Hyperlink"/>
            <w:bCs/>
            <w:sz w:val="16"/>
            <w:szCs w:val="16"/>
          </w:rPr>
          <w:t>Assessing the Potential Cost Savings and Resource Savings of Investments in 4 SME sectors</w:t>
        </w:r>
      </w:hyperlink>
      <w:r>
        <w:rPr>
          <w:bCs/>
          <w:sz w:val="16"/>
          <w:szCs w:val="16"/>
        </w:rPr>
        <w:t>, study for the European Commission.</w:t>
      </w:r>
    </w:p>
  </w:footnote>
  <w:footnote w:id="13">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Communication COM(2011) 571. </w:t>
      </w:r>
      <w:hyperlink r:id="rId10" w:history="1">
        <w:r>
          <w:rPr>
            <w:rStyle w:val="Hyperlink"/>
            <w:sz w:val="16"/>
            <w:szCs w:val="16"/>
          </w:rPr>
          <w:t>The Resource Efficiency Roadmap</w:t>
        </w:r>
      </w:hyperlink>
      <w:r>
        <w:rPr>
          <w:sz w:val="16"/>
          <w:szCs w:val="16"/>
        </w:rPr>
        <w:t xml:space="preserve"> is part of the Resource Efficiency Flagship of the Europe 2020 Strategy.</w:t>
      </w:r>
    </w:p>
  </w:footnote>
  <w:footnote w:id="14">
    <w:p w:rsidR="00794EA4" w:rsidRDefault="0017531E">
      <w:pPr>
        <w:pStyle w:val="FootnoteText"/>
        <w:ind w:left="60" w:hanging="60"/>
        <w:rPr>
          <w:sz w:val="16"/>
          <w:szCs w:val="16"/>
        </w:rPr>
      </w:pPr>
      <w:r>
        <w:rPr>
          <w:rStyle w:val="FootnoteReference"/>
          <w:sz w:val="16"/>
          <w:szCs w:val="16"/>
        </w:rPr>
        <w:footnoteRef/>
      </w:r>
      <w:r>
        <w:rPr>
          <w:sz w:val="16"/>
          <w:szCs w:val="16"/>
        </w:rPr>
        <w:t xml:space="preserve"> E</w:t>
      </w:r>
      <w:r>
        <w:rPr>
          <w:rFonts w:asciiTheme="minorHAnsi" w:hAnsiTheme="minorHAnsi" w:cstheme="minorHAnsi"/>
          <w:sz w:val="16"/>
          <w:szCs w:val="16"/>
        </w:rPr>
        <w:t xml:space="preserve">uropean Commission, 2015. </w:t>
      </w:r>
      <w:hyperlink r:id="rId11" w:history="1">
        <w:r>
          <w:rPr>
            <w:rStyle w:val="Hyperlink"/>
            <w:rFonts w:asciiTheme="minorHAnsi" w:hAnsiTheme="minorHAnsi" w:cstheme="minorHAnsi"/>
            <w:sz w:val="16"/>
            <w:szCs w:val="16"/>
          </w:rPr>
          <w:t>Flash 426 Eurobarometer</w:t>
        </w:r>
      </w:hyperlink>
      <w:r>
        <w:rPr>
          <w:rFonts w:asciiTheme="minorHAnsi" w:hAnsiTheme="minorHAnsi" w:cstheme="minorHAnsi"/>
          <w:sz w:val="16"/>
          <w:szCs w:val="16"/>
        </w:rPr>
        <w:t xml:space="preserve"> "SMEs, resource efficiency and green markets</w:t>
      </w:r>
    </w:p>
  </w:footnote>
  <w:footnote w:id="1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Ecologic Institute, IEEP, BIO by Deloitte, 2015. </w:t>
      </w:r>
      <w:hyperlink r:id="rId12" w:history="1">
        <w:r>
          <w:rPr>
            <w:rStyle w:val="Hyperlink"/>
            <w:sz w:val="16"/>
            <w:szCs w:val="16"/>
          </w:rPr>
          <w:t>A framework for Member States to support business in improving its resource efficiency</w:t>
        </w:r>
      </w:hyperlink>
      <w:r>
        <w:rPr>
          <w:sz w:val="16"/>
          <w:szCs w:val="16"/>
        </w:rPr>
        <w:t>. Study for the European Commission.</w:t>
      </w:r>
    </w:p>
  </w:footnote>
  <w:footnote w:id="1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13" w:history="1">
        <w:r>
          <w:rPr>
            <w:rStyle w:val="Hyperlink"/>
            <w:sz w:val="16"/>
            <w:szCs w:val="16"/>
          </w:rPr>
          <w:t>Eco-innovation Observatory</w:t>
        </w:r>
      </w:hyperlink>
      <w:r>
        <w:rPr>
          <w:sz w:val="16"/>
          <w:szCs w:val="16"/>
        </w:rPr>
        <w:t xml:space="preserve">: Eco-Innovation </w:t>
      </w:r>
      <w:r>
        <w:rPr>
          <w:sz w:val="16"/>
          <w:szCs w:val="16"/>
        </w:rPr>
        <w:t>scoreboard 2015.</w:t>
      </w:r>
    </w:p>
  </w:footnote>
  <w:footnote w:id="17">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See </w:t>
      </w:r>
      <w:hyperlink r:id="rId14" w:history="1">
        <w:r>
          <w:rPr>
            <w:rStyle w:val="Hyperlink"/>
            <w:sz w:val="16"/>
            <w:szCs w:val="16"/>
          </w:rPr>
          <w:t>Country Specific Recommendations for Spain</w:t>
        </w:r>
      </w:hyperlink>
      <w:r>
        <w:rPr>
          <w:sz w:val="16"/>
          <w:szCs w:val="16"/>
        </w:rPr>
        <w:t xml:space="preserve"> in the framework of the European Semester 2016.</w:t>
      </w:r>
    </w:p>
  </w:footnote>
  <w:footnote w:id="18">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Waste Management Plans/Waste Prevention Programmes</w:t>
      </w:r>
    </w:p>
  </w:footnote>
  <w:footnote w:id="1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Municip</w:t>
      </w:r>
      <w:r>
        <w:rPr>
          <w:sz w:val="16"/>
          <w:szCs w:val="16"/>
        </w:rPr>
        <w:t>al waste consists of waste collected by or on behalf of municipal authorities, or directly by the private sector (business or private non-profit institutions) not on behalf of municipalities.</w:t>
      </w:r>
    </w:p>
  </w:footnote>
  <w:footnote w:id="20">
    <w:p w:rsidR="00794EA4" w:rsidRDefault="0017531E">
      <w:pPr>
        <w:pStyle w:val="FootnoteText"/>
        <w:ind w:left="60" w:hanging="60"/>
        <w:rPr>
          <w:sz w:val="16"/>
          <w:szCs w:val="16"/>
        </w:rPr>
      </w:pPr>
      <w:r>
        <w:rPr>
          <w:rStyle w:val="FootnoteReference"/>
          <w:sz w:val="16"/>
          <w:szCs w:val="16"/>
        </w:rPr>
        <w:footnoteRef/>
      </w:r>
      <w:r>
        <w:rPr>
          <w:sz w:val="16"/>
          <w:szCs w:val="16"/>
        </w:rPr>
        <w:t xml:space="preserve"> Eurostat, </w:t>
      </w:r>
      <w:hyperlink r:id="rId15" w:history="1">
        <w:r>
          <w:rPr>
            <w:rStyle w:val="Hyperlink"/>
            <w:sz w:val="16"/>
            <w:szCs w:val="16"/>
          </w:rPr>
          <w:t>Municipal waste and treatment, by type of treatment method,</w:t>
        </w:r>
      </w:hyperlink>
      <w:r>
        <w:rPr>
          <w:sz w:val="16"/>
          <w:szCs w:val="16"/>
        </w:rPr>
        <w:t xml:space="preserve"> accessed October 2016</w:t>
      </w:r>
    </w:p>
  </w:footnote>
  <w:footnote w:id="2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Member States may choose a different method than the one used by ESTAT (and referred to in this report) to calcul</w:t>
      </w:r>
      <w:r>
        <w:rPr>
          <w:sz w:val="16"/>
          <w:szCs w:val="16"/>
        </w:rPr>
        <w:t>ate their recycling rates and track compliance with the 2020 target of 50% recycling of municipal waste.</w:t>
      </w:r>
    </w:p>
  </w:footnote>
  <w:footnote w:id="22">
    <w:p w:rsidR="00794EA4" w:rsidRDefault="0017531E">
      <w:pPr>
        <w:pStyle w:val="FootnoteText"/>
        <w:ind w:left="60" w:hanging="60"/>
        <w:rPr>
          <w:sz w:val="16"/>
          <w:szCs w:val="16"/>
        </w:rPr>
      </w:pPr>
      <w:r>
        <w:rPr>
          <w:rStyle w:val="FootnoteReference"/>
          <w:sz w:val="16"/>
          <w:szCs w:val="16"/>
        </w:rPr>
        <w:footnoteRef/>
      </w:r>
      <w:r>
        <w:rPr>
          <w:sz w:val="16"/>
          <w:szCs w:val="16"/>
        </w:rPr>
        <w:t xml:space="preserve"> Eurostat, </w:t>
      </w:r>
      <w:hyperlink r:id="rId16" w:history="1">
        <w:r>
          <w:rPr>
            <w:rStyle w:val="Hyperlink"/>
            <w:sz w:val="16"/>
            <w:szCs w:val="16"/>
          </w:rPr>
          <w:t>Recycling rate of municip</w:t>
        </w:r>
        <w:r>
          <w:rPr>
            <w:rStyle w:val="Hyperlink"/>
            <w:sz w:val="16"/>
            <w:szCs w:val="16"/>
          </w:rPr>
          <w:t>al waste</w:t>
        </w:r>
      </w:hyperlink>
      <w:r>
        <w:rPr>
          <w:sz w:val="16"/>
          <w:szCs w:val="16"/>
        </w:rPr>
        <w:t xml:space="preserve">, accessed </w:t>
      </w:r>
      <w:r>
        <w:rPr>
          <w:rStyle w:val="Hyperlink"/>
          <w:rFonts w:cstheme="minorHAnsi"/>
          <w:color w:val="auto"/>
          <w:sz w:val="16"/>
          <w:szCs w:val="16"/>
          <w:u w:val="none"/>
        </w:rPr>
        <w:t>October 2016</w:t>
      </w:r>
    </w:p>
  </w:footnote>
  <w:footnote w:id="23">
    <w:p w:rsidR="00794EA4" w:rsidRDefault="0017531E">
      <w:pPr>
        <w:widowControl w:val="0"/>
        <w:autoSpaceDE w:val="0"/>
        <w:autoSpaceDN w:val="0"/>
        <w:adjustRightInd w:val="0"/>
        <w:spacing w:after="0" w:line="240" w:lineRule="auto"/>
        <w:ind w:left="60" w:hanging="60"/>
        <w:rPr>
          <w:bCs/>
          <w:sz w:val="16"/>
          <w:szCs w:val="16"/>
          <w:lang w:val="es-ES"/>
        </w:rPr>
      </w:pPr>
      <w:r>
        <w:rPr>
          <w:rStyle w:val="FootnoteReference"/>
          <w:sz w:val="16"/>
          <w:szCs w:val="16"/>
        </w:rPr>
        <w:footnoteRef/>
      </w:r>
      <w:r>
        <w:rPr>
          <w:sz w:val="16"/>
          <w:szCs w:val="16"/>
        </w:rPr>
        <w:t xml:space="preserve"> European Commission, 2016. </w:t>
      </w:r>
      <w:hyperlink r:id="rId17" w:history="1">
        <w:r>
          <w:rPr>
            <w:rStyle w:val="Hyperlink"/>
            <w:bCs/>
            <w:sz w:val="16"/>
            <w:szCs w:val="16"/>
            <w:lang w:val="en"/>
          </w:rPr>
          <w:t>Support to Implementation</w:t>
        </w:r>
        <w:r>
          <w:rPr>
            <w:rStyle w:val="Hyperlink"/>
            <w:b/>
            <w:bCs/>
            <w:sz w:val="16"/>
            <w:szCs w:val="16"/>
            <w:lang w:val="en"/>
          </w:rPr>
          <w:t xml:space="preserve"> – </w:t>
        </w:r>
        <w:r>
          <w:rPr>
            <w:rStyle w:val="Hyperlink"/>
            <w:bCs/>
            <w:sz w:val="16"/>
            <w:szCs w:val="16"/>
            <w:lang w:val="en"/>
          </w:rPr>
          <w:t>Th</w:t>
        </w:r>
        <w:r>
          <w:rPr>
            <w:rStyle w:val="Hyperlink"/>
            <w:bCs/>
            <w:sz w:val="16"/>
            <w:szCs w:val="16"/>
            <w:lang w:val="en"/>
          </w:rPr>
          <w:t>e</w:t>
        </w:r>
        <w:r>
          <w:rPr>
            <w:rStyle w:val="Hyperlink"/>
            <w:b/>
            <w:bCs/>
            <w:sz w:val="16"/>
            <w:szCs w:val="16"/>
            <w:lang w:val="en"/>
          </w:rPr>
          <w:t xml:space="preserve"> </w:t>
        </w:r>
        <w:r>
          <w:rPr>
            <w:rStyle w:val="Hyperlink"/>
            <w:bCs/>
            <w:sz w:val="16"/>
            <w:szCs w:val="16"/>
            <w:lang w:val="en"/>
          </w:rPr>
          <w:t>Commission helps 8 Member States to improve their municipal waste management</w:t>
        </w:r>
      </w:hyperlink>
      <w:hyperlink r:id="rId18" w:history="1">
        <w:r>
          <w:rPr>
            <w:rStyle w:val="Hyperlink"/>
            <w:bCs/>
            <w:sz w:val="16"/>
            <w:szCs w:val="16"/>
          </w:rPr>
          <w:t xml:space="preserve">. </w:t>
        </w:r>
        <w:r>
          <w:rPr>
            <w:rStyle w:val="Hyperlink"/>
            <w:bCs/>
            <w:sz w:val="16"/>
            <w:szCs w:val="16"/>
            <w:lang w:val="es-ES"/>
          </w:rPr>
          <w:t>Fact sheet for Spain</w:t>
        </w:r>
      </w:hyperlink>
      <w:r>
        <w:rPr>
          <w:bCs/>
          <w:sz w:val="16"/>
          <w:szCs w:val="16"/>
          <w:lang w:val="es-ES"/>
        </w:rPr>
        <w:t>.</w:t>
      </w:r>
    </w:p>
  </w:footnote>
  <w:footnote w:id="24">
    <w:p w:rsidR="00794EA4" w:rsidRDefault="0017531E">
      <w:pPr>
        <w:pStyle w:val="FootnoteText"/>
        <w:widowControl w:val="0"/>
        <w:ind w:left="60" w:hanging="60"/>
        <w:rPr>
          <w:sz w:val="16"/>
          <w:szCs w:val="16"/>
          <w:lang w:val="es-ES"/>
        </w:rPr>
      </w:pPr>
      <w:r>
        <w:rPr>
          <w:rStyle w:val="FootnoteReference"/>
          <w:sz w:val="16"/>
          <w:szCs w:val="16"/>
        </w:rPr>
        <w:footnoteRef/>
      </w:r>
      <w:r>
        <w:rPr>
          <w:sz w:val="16"/>
          <w:szCs w:val="16"/>
          <w:lang w:val="es-ES"/>
        </w:rPr>
        <w:t xml:space="preserve"> Plan Estatal Marco de Gestión de Residuos (PEMAR) 2016-2022.</w:t>
      </w:r>
    </w:p>
  </w:footnote>
  <w:footnote w:id="2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Bio Intelligence service, 2011. </w:t>
      </w:r>
      <w:hyperlink r:id="rId19" w:history="1">
        <w:r>
          <w:rPr>
            <w:rStyle w:val="Hyperlink"/>
            <w:sz w:val="16"/>
            <w:szCs w:val="16"/>
          </w:rPr>
          <w:t>Implementing EU Waste legislation for Green Growth</w:t>
        </w:r>
      </w:hyperlink>
      <w:r>
        <w:rPr>
          <w:sz w:val="16"/>
          <w:szCs w:val="16"/>
        </w:rPr>
        <w:t>, study for European Commission. The breakdown per country on job creation</w:t>
      </w:r>
      <w:r>
        <w:rPr>
          <w:sz w:val="16"/>
          <w:szCs w:val="16"/>
        </w:rPr>
        <w:t xml:space="preserve"> was made by the consultant on Commission demand but was not included in the published document.</w:t>
      </w:r>
    </w:p>
  </w:footnote>
  <w:footnote w:id="26">
    <w:p w:rsidR="00794EA4" w:rsidRDefault="0017531E">
      <w:pPr>
        <w:pStyle w:val="FootnoteText"/>
        <w:widowControl w:val="0"/>
        <w:ind w:left="60" w:hanging="60"/>
        <w:rPr>
          <w:sz w:val="16"/>
          <w:szCs w:val="16"/>
          <w:lang w:val="en"/>
        </w:rPr>
      </w:pPr>
      <w:r>
        <w:rPr>
          <w:rStyle w:val="FootnoteReference"/>
          <w:sz w:val="16"/>
          <w:szCs w:val="16"/>
        </w:rPr>
        <w:footnoteRef/>
      </w:r>
      <w:r>
        <w:rPr>
          <w:sz w:val="16"/>
          <w:szCs w:val="16"/>
        </w:rPr>
        <w:t xml:space="preserve"> Sites of Community Importance (SCIs) are designated pursuant to the Habitats Directive whereas Special Areas of Protection (SPAs) are designated pursuant to </w:t>
      </w:r>
      <w:r>
        <w:rPr>
          <w:sz w:val="16"/>
          <w:szCs w:val="16"/>
        </w:rPr>
        <w:t xml:space="preserve">the Birds Directive; figures of coverage do not add up due to the fact that some SCIs and SPAs overlap. Special Areas of Conservation (SACs) </w:t>
      </w:r>
      <w:r>
        <w:rPr>
          <w:sz w:val="16"/>
          <w:szCs w:val="16"/>
          <w:lang w:val="en"/>
        </w:rPr>
        <w:t>means a SCI designated by the Member States.</w:t>
      </w:r>
    </w:p>
  </w:footnote>
  <w:footnote w:id="27">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For each Member State, the Commission assesses whether the species a</w:t>
      </w:r>
      <w:r>
        <w:rPr>
          <w:sz w:val="16"/>
          <w:szCs w:val="16"/>
        </w:rPr>
        <w:t>nd habitat types on Annexes I and II of the Habitats Directive, are sufficiently represented by the sites designated to date. This is expressed as a percentage of species and habitats for which further areas need to be designated in order to complete the n</w:t>
      </w:r>
      <w:r>
        <w:rPr>
          <w:sz w:val="16"/>
          <w:szCs w:val="16"/>
        </w:rPr>
        <w:t xml:space="preserve">etwork in that country. </w:t>
      </w:r>
      <w:hyperlink r:id="rId20" w:history="1">
        <w:r>
          <w:rPr>
            <w:rStyle w:val="Hyperlink"/>
            <w:sz w:val="16"/>
            <w:szCs w:val="16"/>
          </w:rPr>
          <w:t>The current data</w:t>
        </w:r>
      </w:hyperlink>
      <w:r>
        <w:rPr>
          <w:sz w:val="16"/>
          <w:szCs w:val="16"/>
        </w:rPr>
        <w:t>, which were assessed in 2014-2015, reflect the situation up until December 2013.</w:t>
      </w:r>
    </w:p>
  </w:footnote>
  <w:footnote w:id="28">
    <w:p w:rsidR="00794EA4" w:rsidRDefault="0017531E">
      <w:pPr>
        <w:pStyle w:val="FootnoteText"/>
        <w:ind w:left="60" w:hanging="60"/>
      </w:pPr>
      <w:r>
        <w:rPr>
          <w:rStyle w:val="FootnoteReference"/>
        </w:rPr>
        <w:footnoteRef/>
      </w:r>
      <w:r>
        <w:t xml:space="preserve"> </w:t>
      </w:r>
      <w:r>
        <w:rPr>
          <w:sz w:val="16"/>
          <w:szCs w:val="16"/>
        </w:rPr>
        <w:t>The percentages in Figure 5 refer to</w:t>
      </w:r>
      <w:r>
        <w:rPr>
          <w:sz w:val="16"/>
          <w:szCs w:val="16"/>
        </w:rPr>
        <w:t xml:space="preserve"> percentages of the total number of assessments (one assessment covering 1 species or 1 habitat in a given biographical region with the Member State); if a habitat type or a species occurs in more than 1 Biogeographic region within a given Member State, th</w:t>
      </w:r>
      <w:r>
        <w:rPr>
          <w:sz w:val="16"/>
          <w:szCs w:val="16"/>
        </w:rPr>
        <w:t>ere will be as many individual assessments as there are Biogeographic regions with an occurrence of that species or habitat in this Member State.</w:t>
      </w:r>
    </w:p>
  </w:footnote>
  <w:footnote w:id="2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Commission, internal assessment.</w:t>
      </w:r>
    </w:p>
  </w:footnote>
  <w:footnote w:id="3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Source: Information provided by the Spanish authorities in the f</w:t>
      </w:r>
      <w:r>
        <w:rPr>
          <w:sz w:val="16"/>
          <w:szCs w:val="16"/>
        </w:rPr>
        <w:t>ramework of the ongoing infringement case 2015/2003, and information in the Natura 2000 database provided by Spain.</w:t>
      </w:r>
    </w:p>
  </w:footnote>
  <w:footnote w:id="3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rFonts w:asciiTheme="minorHAnsi" w:hAnsiTheme="minorHAnsi" w:cstheme="minorHAnsi"/>
          <w:iCs/>
          <w:sz w:val="16"/>
          <w:szCs w:val="16"/>
        </w:rPr>
        <w:t xml:space="preserve">These figures show the percentage of biogeographical assessments in each category of conservation status for habitats and species </w:t>
      </w:r>
      <w:r>
        <w:rPr>
          <w:sz w:val="16"/>
          <w:szCs w:val="16"/>
        </w:rPr>
        <w:t>(one ass</w:t>
      </w:r>
      <w:r>
        <w:rPr>
          <w:sz w:val="16"/>
          <w:szCs w:val="16"/>
        </w:rPr>
        <w:t>essment covering 1 species or 1 habitat in a given biographical region with the Member State)</w:t>
      </w:r>
      <w:r>
        <w:rPr>
          <w:rFonts w:asciiTheme="minorHAnsi" w:hAnsiTheme="minorHAnsi" w:cstheme="minorHAnsi"/>
          <w:iCs/>
          <w:sz w:val="16"/>
          <w:szCs w:val="16"/>
        </w:rPr>
        <w:t>, respectively.</w:t>
      </w:r>
      <w:r>
        <w:rPr>
          <w:rFonts w:asciiTheme="minorHAnsi" w:hAnsiTheme="minorHAnsi"/>
          <w:sz w:val="16"/>
          <w:szCs w:val="16"/>
        </w:rPr>
        <w:t xml:space="preserve"> </w:t>
      </w:r>
      <w:r>
        <w:rPr>
          <w:sz w:val="16"/>
          <w:szCs w:val="16"/>
        </w:rPr>
        <w:t xml:space="preserve"> The information is based on Article 17 of the Habitats Directive reporting - </w:t>
      </w:r>
      <w:hyperlink r:id="rId21" w:history="1">
        <w:r>
          <w:rPr>
            <w:rStyle w:val="Hyperlink"/>
            <w:sz w:val="16"/>
            <w:szCs w:val="16"/>
          </w:rPr>
          <w:t>national summary of Spain</w:t>
        </w:r>
      </w:hyperlink>
    </w:p>
  </w:footnote>
  <w:footnote w:id="3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Conservation status is assessed using a standard methodology as being either ‘favourable’, ‘unfavourable-inadequate’ and ‘unfavourable-bad’, based on four parameters as defined in Article 1 of the </w:t>
      </w:r>
      <w:r>
        <w:rPr>
          <w:sz w:val="16"/>
          <w:szCs w:val="16"/>
        </w:rPr>
        <w:t xml:space="preserve">Habitats Directive. </w:t>
      </w:r>
    </w:p>
  </w:footnote>
  <w:footnote w:id="33">
    <w:p w:rsidR="00794EA4" w:rsidRDefault="0017531E">
      <w:pPr>
        <w:widowControl w:val="0"/>
        <w:spacing w:after="0" w:line="240" w:lineRule="auto"/>
        <w:ind w:left="60" w:hanging="60"/>
        <w:rPr>
          <w:sz w:val="16"/>
          <w:szCs w:val="16"/>
        </w:rPr>
      </w:pPr>
      <w:r>
        <w:rPr>
          <w:rStyle w:val="FootnoteReference"/>
          <w:sz w:val="16"/>
          <w:szCs w:val="16"/>
        </w:rPr>
        <w:footnoteRef/>
      </w:r>
      <w:r>
        <w:rPr>
          <w:sz w:val="16"/>
          <w:szCs w:val="16"/>
        </w:rPr>
        <w:t xml:space="preserve"> The core of the ‘Article 17’ report is the assessment of conservation status of the habitats and species targeted by the Habitats Directive.</w:t>
      </w:r>
    </w:p>
  </w:footnote>
  <w:footnote w:id="34">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rStyle w:val="Emphasis"/>
          <w:color w:val="auto"/>
          <w:sz w:val="16"/>
          <w:szCs w:val="16"/>
        </w:rPr>
        <w:t>Please note that a direct comparison between 2007 and 2013 data is complicated by the fact</w:t>
      </w:r>
      <w:r>
        <w:rPr>
          <w:rStyle w:val="Emphasis"/>
          <w:color w:val="auto"/>
          <w:sz w:val="16"/>
          <w:szCs w:val="16"/>
        </w:rPr>
        <w:t xml:space="preserve"> that Bulgaria and Romania were not covered by the 2007 reporting cycle, that the ‘unknown’ assessments have strongly diminished particularly for species, and that some reported changes are not genuine as they result from improved data / monitoring methods</w:t>
      </w:r>
      <w:r>
        <w:rPr>
          <w:rStyle w:val="Emphasis"/>
          <w:color w:val="auto"/>
          <w:sz w:val="16"/>
          <w:szCs w:val="16"/>
        </w:rPr>
        <w:t>.</w:t>
      </w:r>
    </w:p>
  </w:footnote>
  <w:footnote w:id="3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State of Nature report</w:t>
      </w:r>
    </w:p>
  </w:footnote>
  <w:footnote w:id="3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Article 12 of the Birds Directive reporting - </w:t>
      </w:r>
      <w:hyperlink r:id="rId22" w:history="1">
        <w:r>
          <w:rPr>
            <w:rStyle w:val="Hyperlink"/>
            <w:sz w:val="16"/>
            <w:szCs w:val="16"/>
          </w:rPr>
          <w:t>national summary of Spain</w:t>
        </w:r>
      </w:hyperlink>
    </w:p>
  </w:footnote>
  <w:footnote w:id="37">
    <w:p w:rsidR="00794EA4" w:rsidRDefault="0017531E">
      <w:pPr>
        <w:pStyle w:val="FootnoteText"/>
        <w:widowControl w:val="0"/>
        <w:ind w:left="60" w:hanging="60"/>
        <w:rPr>
          <w:sz w:val="16"/>
          <w:szCs w:val="16"/>
          <w:lang w:val="es-ES"/>
        </w:rPr>
      </w:pPr>
      <w:r>
        <w:rPr>
          <w:rStyle w:val="FootnoteReference"/>
          <w:sz w:val="16"/>
          <w:szCs w:val="16"/>
        </w:rPr>
        <w:footnoteRef/>
      </w:r>
      <w:r>
        <w:rPr>
          <w:sz w:val="16"/>
          <w:szCs w:val="16"/>
          <w:lang w:val="es-ES"/>
        </w:rPr>
        <w:t xml:space="preserve"> </w:t>
      </w:r>
      <w:hyperlink r:id="rId23" w:history="1">
        <w:r>
          <w:rPr>
            <w:rStyle w:val="Hyperlink"/>
            <w:sz w:val="16"/>
            <w:szCs w:val="16"/>
            <w:lang w:val="es-ES"/>
          </w:rPr>
          <w:t>Evaluación del grado de inclusión de las prioridades del MAP para la Red Natura 2000 en los programas de desarrollo rural 2014-2020 de España</w:t>
        </w:r>
      </w:hyperlink>
      <w:r>
        <w:rPr>
          <w:sz w:val="16"/>
          <w:szCs w:val="16"/>
          <w:lang w:val="es-ES"/>
        </w:rPr>
        <w:t xml:space="preserve">. </w:t>
      </w:r>
    </w:p>
  </w:footnote>
  <w:footnote w:id="38">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Source: </w:t>
      </w:r>
      <w:hyperlink r:id="rId24" w:history="1">
        <w:r>
          <w:rPr>
            <w:rStyle w:val="Hyperlink"/>
            <w:sz w:val="16"/>
            <w:szCs w:val="16"/>
          </w:rPr>
          <w:t>Spanish Natura 2000 Priority Action Framework (PAF)</w:t>
        </w:r>
      </w:hyperlink>
      <w:r>
        <w:rPr>
          <w:sz w:val="16"/>
          <w:szCs w:val="16"/>
        </w:rPr>
        <w:t xml:space="preserve">. </w:t>
      </w:r>
    </w:p>
  </w:footnote>
  <w:footnote w:id="39">
    <w:p w:rsidR="00794EA4" w:rsidRDefault="0017531E">
      <w:pPr>
        <w:pStyle w:val="FootnoteText"/>
        <w:widowControl w:val="0"/>
        <w:ind w:left="60" w:hanging="60"/>
        <w:rPr>
          <w:sz w:val="16"/>
          <w:szCs w:val="16"/>
          <w:lang w:val="es-ES"/>
        </w:rPr>
      </w:pPr>
      <w:r>
        <w:rPr>
          <w:rStyle w:val="FootnoteReference"/>
          <w:sz w:val="16"/>
          <w:szCs w:val="16"/>
        </w:rPr>
        <w:footnoteRef/>
      </w:r>
      <w:r>
        <w:rPr>
          <w:sz w:val="16"/>
          <w:szCs w:val="16"/>
          <w:lang w:val="es-ES"/>
        </w:rPr>
        <w:t xml:space="preserve"> Ley 33/2015 por la que se modifica la Ley 42/2007.</w:t>
      </w:r>
    </w:p>
  </w:footnote>
  <w:footnote w:id="4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To</w:t>
      </w:r>
      <w:r>
        <w:rPr>
          <w:sz w:val="16"/>
          <w:szCs w:val="16"/>
        </w:rPr>
        <w:t>urism accounts 11% of GDP and 12% of employment in Spain, and it is a key sector in certain regions.</w:t>
      </w:r>
    </w:p>
  </w:footnote>
  <w:footnote w:id="41">
    <w:p w:rsidR="00794EA4" w:rsidRDefault="0017531E">
      <w:pPr>
        <w:pStyle w:val="FootnoteText"/>
        <w:widowControl w:val="0"/>
        <w:ind w:left="60" w:hanging="60"/>
        <w:rPr>
          <w:sz w:val="16"/>
          <w:szCs w:val="16"/>
          <w:lang w:val="es-ES"/>
        </w:rPr>
      </w:pPr>
      <w:r>
        <w:rPr>
          <w:rStyle w:val="FootnoteReference"/>
          <w:sz w:val="16"/>
          <w:szCs w:val="16"/>
        </w:rPr>
        <w:footnoteRef/>
      </w:r>
      <w:r>
        <w:rPr>
          <w:sz w:val="16"/>
          <w:szCs w:val="16"/>
          <w:lang w:val="es-ES"/>
        </w:rPr>
        <w:t xml:space="preserve"> Real Decreto 416/2014, de 6 de junio, por el que se aprueba el Plan sectorial de turismo de naturaleza y biodiversidad 2014-2020.</w:t>
      </w:r>
    </w:p>
  </w:footnote>
  <w:footnote w:id="4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Ecosystem services ar</w:t>
      </w:r>
      <w:r>
        <w:rPr>
          <w:sz w:val="16"/>
          <w:szCs w:val="16"/>
        </w:rPr>
        <w:t>e benefits provided by nature such as food, clean water and pollination on which human society depends.</w:t>
      </w:r>
    </w:p>
  </w:footnote>
  <w:footnote w:id="43">
    <w:p w:rsidR="00794EA4" w:rsidRDefault="0017531E">
      <w:pPr>
        <w:pStyle w:val="FootnoteText"/>
      </w:pPr>
      <w:r>
        <w:rPr>
          <w:rStyle w:val="FootnoteReference"/>
        </w:rPr>
        <w:footnoteRef/>
      </w:r>
      <w:r>
        <w:t xml:space="preserve"> </w:t>
      </w:r>
      <w:hyperlink r:id="rId25" w:history="1">
        <w:r>
          <w:rPr>
            <w:rStyle w:val="Hyperlink"/>
            <w:sz w:val="16"/>
            <w:szCs w:val="16"/>
          </w:rPr>
          <w:t>http://www.ecomilenio.es</w:t>
        </w:r>
      </w:hyperlink>
    </w:p>
  </w:footnote>
  <w:footnote w:id="44">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Union, Green Infrastructure — Enhancing Europe’s Natural Capital, </w:t>
      </w:r>
      <w:hyperlink r:id="rId26" w:history="1">
        <w:r>
          <w:rPr>
            <w:rStyle w:val="Hyperlink"/>
            <w:sz w:val="16"/>
            <w:szCs w:val="16"/>
          </w:rPr>
          <w:t>COM/2013/0249</w:t>
        </w:r>
      </w:hyperlink>
    </w:p>
  </w:footnote>
  <w:footnote w:id="4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Law 33/2015 of 21 September, amending Law 42/2007.</w:t>
      </w:r>
    </w:p>
  </w:footnote>
  <w:footnote w:id="4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Environment Agency, Land cover 2012 and changes country analysis [forthcoming]</w:t>
      </w:r>
    </w:p>
  </w:footnote>
  <w:footnote w:id="47">
    <w:p w:rsidR="00794EA4" w:rsidRDefault="0017531E">
      <w:pPr>
        <w:pStyle w:val="FootnoteText"/>
        <w:ind w:left="60" w:hanging="60"/>
        <w:rPr>
          <w:rFonts w:asciiTheme="minorHAnsi" w:hAnsiTheme="minorHAnsi"/>
          <w:sz w:val="16"/>
          <w:szCs w:val="16"/>
        </w:rPr>
      </w:pPr>
      <w:r>
        <w:rPr>
          <w:rStyle w:val="FootnoteReference"/>
          <w:rFonts w:asciiTheme="minorHAnsi" w:hAnsiTheme="minorHAnsi"/>
          <w:sz w:val="16"/>
          <w:szCs w:val="16"/>
        </w:rPr>
        <w:footnoteRef/>
      </w:r>
      <w:r>
        <w:rPr>
          <w:rFonts w:asciiTheme="minorHAnsi" w:hAnsiTheme="minorHAnsi"/>
          <w:sz w:val="16"/>
          <w:szCs w:val="16"/>
        </w:rPr>
        <w:t xml:space="preserve"> European Environment Agency </w:t>
      </w:r>
      <w:hyperlink r:id="rId27" w:history="1">
        <w:r>
          <w:rPr>
            <w:rStyle w:val="Hyperlink"/>
            <w:rFonts w:asciiTheme="minorHAnsi" w:hAnsiTheme="minorHAnsi"/>
            <w:sz w:val="16"/>
            <w:szCs w:val="16"/>
          </w:rPr>
          <w:t>Draft results of CORINE Land Cover (CLC) inventory 2012</w:t>
        </w:r>
      </w:hyperlink>
      <w:r>
        <w:rPr>
          <w:rStyle w:val="Hyperlink"/>
          <w:rFonts w:asciiTheme="minorHAnsi" w:hAnsiTheme="minorHAnsi"/>
          <w:sz w:val="16"/>
          <w:szCs w:val="16"/>
        </w:rPr>
        <w:t xml:space="preserve">; </w:t>
      </w:r>
      <w:r>
        <w:rPr>
          <w:rFonts w:asciiTheme="minorHAnsi" w:hAnsiTheme="minorHAnsi"/>
          <w:sz w:val="16"/>
          <w:szCs w:val="16"/>
        </w:rPr>
        <w:t>mean annual land take 2006-12 as a % of 2006 artificial land.</w:t>
      </w:r>
    </w:p>
  </w:footnote>
  <w:footnote w:id="48">
    <w:p w:rsidR="00794EA4" w:rsidRDefault="0017531E">
      <w:pPr>
        <w:pStyle w:val="FootnoteText"/>
        <w:ind w:left="60" w:hanging="60"/>
        <w:rPr>
          <w:sz w:val="16"/>
          <w:szCs w:val="16"/>
        </w:rPr>
      </w:pPr>
      <w:r>
        <w:rPr>
          <w:rStyle w:val="FootnoteReference"/>
          <w:sz w:val="16"/>
          <w:szCs w:val="16"/>
        </w:rPr>
        <w:footnoteRef/>
      </w:r>
      <w:r>
        <w:rPr>
          <w:sz w:val="16"/>
          <w:szCs w:val="16"/>
        </w:rPr>
        <w:t xml:space="preserve"> OECD </w:t>
      </w:r>
      <w:hyperlink r:id="rId28" w:history="1">
        <w:r>
          <w:rPr>
            <w:rStyle w:val="Hyperlink"/>
            <w:sz w:val="16"/>
            <w:szCs w:val="16"/>
          </w:rPr>
          <w:t>Environmental Performance Review: Spain 2015</w:t>
        </w:r>
      </w:hyperlink>
    </w:p>
  </w:footnote>
  <w:footnote w:id="4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Eurostat,</w:t>
      </w:r>
      <w:hyperlink r:id="rId29" w:history="1">
        <w:r>
          <w:rPr>
            <w:rStyle w:val="Hyperlink"/>
            <w:sz w:val="16"/>
            <w:szCs w:val="16"/>
          </w:rPr>
          <w:t xml:space="preserve"> Soil water erosion rate</w:t>
        </w:r>
      </w:hyperlink>
      <w:r>
        <w:rPr>
          <w:sz w:val="16"/>
          <w:szCs w:val="16"/>
        </w:rPr>
        <w:t>, Figure 2, accessed November 2016</w:t>
      </w:r>
    </w:p>
  </w:footnote>
  <w:footnote w:id="5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Union, </w:t>
      </w:r>
      <w:hyperlink r:id="rId30" w:history="1">
        <w:r>
          <w:rPr>
            <w:rStyle w:val="Hyperlink"/>
            <w:sz w:val="16"/>
            <w:szCs w:val="16"/>
          </w:rPr>
          <w:t>Marine Strategy Framework Directive 2008/56/EC</w:t>
        </w:r>
      </w:hyperlink>
      <w:r>
        <w:rPr>
          <w:sz w:val="16"/>
          <w:szCs w:val="16"/>
        </w:rPr>
        <w:t xml:space="preserve"> </w:t>
      </w:r>
    </w:p>
  </w:footnote>
  <w:footnote w:id="5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The MSFD defines Good Envir</w:t>
      </w:r>
      <w:r>
        <w:rPr>
          <w:sz w:val="16"/>
          <w:szCs w:val="16"/>
        </w:rPr>
        <w:t>onmental Status (GES) in Article 3 as: “The environmental status of marine waters where these provide ecologically diverse and dynamic oceans and seas which are clean, healthy and productive”</w:t>
      </w:r>
    </w:p>
  </w:footnote>
  <w:footnote w:id="52">
    <w:p w:rsidR="00794EA4" w:rsidRDefault="0017531E">
      <w:pPr>
        <w:pStyle w:val="FootnoteText"/>
        <w:widowControl w:val="0"/>
        <w:ind w:left="60" w:hanging="60"/>
        <w:rPr>
          <w:sz w:val="16"/>
          <w:szCs w:val="16"/>
          <w:lang w:val="en-US"/>
        </w:rPr>
      </w:pPr>
      <w:r>
        <w:rPr>
          <w:rStyle w:val="FootnoteReference"/>
          <w:sz w:val="16"/>
          <w:szCs w:val="16"/>
        </w:rPr>
        <w:footnoteRef/>
      </w:r>
      <w:r>
        <w:rPr>
          <w:sz w:val="16"/>
          <w:szCs w:val="16"/>
        </w:rPr>
        <w:t xml:space="preserve"> Commission Staff Working Document Accompanying the Commission </w:t>
      </w:r>
      <w:r>
        <w:rPr>
          <w:sz w:val="16"/>
          <w:szCs w:val="16"/>
        </w:rPr>
        <w:t>Report on "The first phase of implementation of the Marine Strategy Framework Directive (2008/56/EC) - The European Commission's assessment and guidance" (SWD(21014) 049 final and COM(2014)097 final)</w:t>
      </w:r>
    </w:p>
  </w:footnote>
  <w:footnote w:id="53">
    <w:p w:rsidR="00794EA4" w:rsidRDefault="0017531E">
      <w:pPr>
        <w:pStyle w:val="FootnoteText"/>
        <w:widowControl w:val="0"/>
        <w:ind w:left="60" w:hanging="60"/>
        <w:rPr>
          <w:sz w:val="16"/>
          <w:szCs w:val="16"/>
          <w:lang w:val="en-US"/>
        </w:rPr>
      </w:pPr>
      <w:r>
        <w:rPr>
          <w:rStyle w:val="FootnoteReference"/>
          <w:sz w:val="16"/>
          <w:szCs w:val="16"/>
        </w:rPr>
        <w:footnoteRef/>
      </w:r>
      <w:r>
        <w:rPr>
          <w:sz w:val="16"/>
          <w:szCs w:val="16"/>
        </w:rPr>
        <w:t xml:space="preserve"> Commission Staff Working Document Accompanying the Com</w:t>
      </w:r>
      <w:r>
        <w:rPr>
          <w:sz w:val="16"/>
          <w:szCs w:val="16"/>
        </w:rPr>
        <w:t>mission Report assessing Member States' monitoring programmes under the Marine Strategy Framework Directive (COM(2017)3 and SWD(2017)1 final)</w:t>
      </w:r>
    </w:p>
  </w:footnote>
  <w:footnote w:id="54">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2012 Data provided by the European Environmental Agency – Not published</w:t>
      </w:r>
    </w:p>
  </w:footnote>
  <w:footnote w:id="5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Report from the Commission "The first </w:t>
      </w:r>
      <w:r>
        <w:rPr>
          <w:sz w:val="16"/>
          <w:szCs w:val="16"/>
        </w:rPr>
        <w:t xml:space="preserve">phase of implementation of the Marine Strategy Framework Directive (2008/56/EC) - The European Commission's assessment and guidance" </w:t>
      </w:r>
      <w:hyperlink r:id="rId31" w:history="1">
        <w:r>
          <w:rPr>
            <w:rStyle w:val="Hyperlink"/>
            <w:sz w:val="16"/>
            <w:szCs w:val="16"/>
          </w:rPr>
          <w:t>COM(2014)097</w:t>
        </w:r>
      </w:hyperlink>
      <w:r>
        <w:rPr>
          <w:sz w:val="16"/>
          <w:szCs w:val="16"/>
        </w:rPr>
        <w:t xml:space="preserve"> &amp;.</w:t>
      </w:r>
      <w:r>
        <w:rPr>
          <w:rFonts w:asciiTheme="minorHAnsi" w:eastAsiaTheme="minorHAnsi" w:hAnsiTheme="minorHAnsi" w:cstheme="minorHAnsi"/>
          <w:sz w:val="16"/>
          <w:szCs w:val="16"/>
        </w:rPr>
        <w:t xml:space="preserve"> </w:t>
      </w:r>
      <w:r>
        <w:rPr>
          <w:sz w:val="16"/>
          <w:szCs w:val="16"/>
        </w:rPr>
        <w:t>Commission Staff Working Document Accompanying the Commission Report assessing Member State</w:t>
      </w:r>
      <w:r>
        <w:rPr>
          <w:sz w:val="16"/>
          <w:szCs w:val="16"/>
        </w:rPr>
        <w:t>s' monitoring programmes under the Marine Strategy Framework Directive (COM(2017)3 and SWD(2017)1 final)</w:t>
      </w:r>
    </w:p>
  </w:footnote>
  <w:footnote w:id="5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Commission, 2016. </w:t>
      </w:r>
      <w:hyperlink r:id="rId32" w:history="1">
        <w:r>
          <w:rPr>
            <w:rStyle w:val="Hyperlink"/>
            <w:sz w:val="16"/>
            <w:szCs w:val="16"/>
          </w:rPr>
          <w:t>Air Quality Standards</w:t>
        </w:r>
      </w:hyperlink>
    </w:p>
  </w:footnote>
  <w:footnote w:id="57">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See </w:t>
      </w:r>
      <w:hyperlink r:id="rId33" w:history="1">
        <w:r>
          <w:rPr>
            <w:rStyle w:val="Hyperlink"/>
            <w:sz w:val="16"/>
            <w:szCs w:val="16"/>
          </w:rPr>
          <w:t>EIONET Central Data Repository</w:t>
        </w:r>
      </w:hyperlink>
      <w:r>
        <w:rPr>
          <w:sz w:val="16"/>
          <w:szCs w:val="16"/>
        </w:rPr>
        <w:t xml:space="preserve"> and </w:t>
      </w:r>
      <w:hyperlink r:id="rId34" w:history="1">
        <w:r>
          <w:rPr>
            <w:rStyle w:val="Hyperlink"/>
            <w:sz w:val="16"/>
            <w:szCs w:val="16"/>
          </w:rPr>
          <w:t>Air pollutant emissions data viewer (NEC Directive)</w:t>
        </w:r>
      </w:hyperlink>
    </w:p>
  </w:footnote>
  <w:footnote w:id="58">
    <w:p w:rsidR="00794EA4" w:rsidRDefault="0017531E">
      <w:pPr>
        <w:pStyle w:val="FootnoteText"/>
        <w:widowControl w:val="0"/>
        <w:ind w:left="170" w:hanging="170"/>
        <w:rPr>
          <w:sz w:val="16"/>
          <w:szCs w:val="16"/>
        </w:rPr>
      </w:pPr>
      <w:r>
        <w:rPr>
          <w:rStyle w:val="FootnoteReference"/>
          <w:sz w:val="16"/>
          <w:szCs w:val="16"/>
        </w:rPr>
        <w:footnoteRef/>
      </w:r>
      <w:r>
        <w:rPr>
          <w:sz w:val="16"/>
          <w:szCs w:val="16"/>
        </w:rPr>
        <w:t xml:space="preserve"> </w:t>
      </w:r>
      <w:r>
        <w:rPr>
          <w:rFonts w:asciiTheme="minorHAnsi" w:hAnsiTheme="minorHAnsi"/>
          <w:sz w:val="16"/>
          <w:szCs w:val="16"/>
        </w:rPr>
        <w:t>The current national emission ceilings</w:t>
      </w:r>
      <w:r>
        <w:rPr>
          <w:rFonts w:asciiTheme="minorHAnsi" w:hAnsiTheme="minorHAnsi"/>
          <w:sz w:val="16"/>
          <w:szCs w:val="16"/>
        </w:rPr>
        <w:t xml:space="preserve"> apply since 2010 (</w:t>
      </w:r>
      <w:hyperlink r:id="rId35" w:history="1">
        <w:r>
          <w:rPr>
            <w:rStyle w:val="Hyperlink"/>
            <w:rFonts w:asciiTheme="minorHAnsi" w:hAnsiTheme="minorHAnsi"/>
            <w:sz w:val="16"/>
            <w:szCs w:val="16"/>
          </w:rPr>
          <w:t>Directive 2001/81/EC</w:t>
        </w:r>
      </w:hyperlink>
      <w:r>
        <w:rPr>
          <w:rFonts w:asciiTheme="minorHAnsi" w:hAnsiTheme="minorHAnsi"/>
          <w:sz w:val="16"/>
          <w:szCs w:val="16"/>
        </w:rPr>
        <w:t xml:space="preserve">); revised ceilings for 2020 and 2030 have been set by </w:t>
      </w:r>
      <w:hyperlink r:id="rId36" w:history="1">
        <w:r>
          <w:rPr>
            <w:rStyle w:val="Hyperlink"/>
            <w:rFonts w:asciiTheme="minorHAnsi" w:hAnsiTheme="minorHAnsi"/>
            <w:sz w:val="16"/>
            <w:szCs w:val="16"/>
          </w:rPr>
          <w:t>Directive (EU) 2016/2284</w:t>
        </w:r>
      </w:hyperlink>
      <w:r>
        <w:rPr>
          <w:rFonts w:asciiTheme="minorHAnsi" w:hAnsiTheme="minorHAnsi"/>
          <w:sz w:val="16"/>
          <w:szCs w:val="16"/>
        </w:rPr>
        <w:t xml:space="preserve"> on the reduction of national emissions of certain atmospheric pollutants, amending Directive 2003/35/EC and repealing Directive 2001/81/EC.</w:t>
      </w:r>
    </w:p>
  </w:footnote>
  <w:footnote w:id="5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sz w:val="16"/>
          <w:szCs w:val="16"/>
          <w:lang w:eastAsia="en-GB"/>
        </w:rPr>
        <w:t xml:space="preserve">European Environment Agency, 2016. </w:t>
      </w:r>
      <w:hyperlink r:id="rId37" w:history="1">
        <w:r>
          <w:rPr>
            <w:rStyle w:val="Hyperlink"/>
            <w:sz w:val="16"/>
            <w:szCs w:val="16"/>
            <w:lang w:eastAsia="en-GB"/>
          </w:rPr>
          <w:t>Air Quality in Europe – 2016 Report</w:t>
        </w:r>
      </w:hyperlink>
      <w:r>
        <w:rPr>
          <w:sz w:val="16"/>
          <w:szCs w:val="16"/>
          <w:lang w:eastAsia="en-GB"/>
        </w:rPr>
        <w:t>. (Table 10.2, please see details in this report as regards the underpinning    methodology)</w:t>
      </w:r>
    </w:p>
  </w:footnote>
  <w:footnote w:id="6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sz w:val="16"/>
          <w:szCs w:val="16"/>
          <w:lang w:eastAsia="en-GB"/>
        </w:rPr>
        <w:t xml:space="preserve">Based on European Environment Agency, 2016. </w:t>
      </w:r>
      <w:hyperlink r:id="rId38" w:history="1">
        <w:r>
          <w:rPr>
            <w:rStyle w:val="Hyperlink"/>
            <w:sz w:val="16"/>
            <w:szCs w:val="16"/>
            <w:lang w:eastAsia="en-GB"/>
          </w:rPr>
          <w:t>Air Quality in Europe – 2016 Report</w:t>
        </w:r>
      </w:hyperlink>
      <w:r>
        <w:rPr>
          <w:sz w:val="16"/>
          <w:szCs w:val="16"/>
          <w:lang w:eastAsia="en-GB"/>
        </w:rPr>
        <w:t>. (Figures 4.1, 5.1 and 6.1)</w:t>
      </w:r>
    </w:p>
  </w:footnote>
  <w:footnote w:id="6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NOx is emitted during fuel combustion e.g. from industrial facilities and the road transport sector. NOx is a group</w:t>
      </w:r>
      <w:r>
        <w:rPr>
          <w:sz w:val="16"/>
          <w:szCs w:val="16"/>
        </w:rPr>
        <w:t xml:space="preserve"> of gases comprising nitrogen monoxide (NO) and nitrogen dioxide (NO2).</w:t>
      </w:r>
    </w:p>
  </w:footnote>
  <w:footnote w:id="6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Particulate matter (PM) is a mixture of aerosol particles (solid and liquid) covering a wide range of sizes and chemical compositions. PM10 (PM2.5) refers to particles with a diamete</w:t>
      </w:r>
      <w:r>
        <w:rPr>
          <w:sz w:val="16"/>
          <w:szCs w:val="16"/>
        </w:rPr>
        <w:t>r of 10 (2.5) micrometres or less. PM is emitted from many anthropogenic sources, including combustion.</w:t>
      </w:r>
    </w:p>
  </w:footnote>
  <w:footnote w:id="63">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Low level ozone is produced by photochemical action on pollution and it is also a greenhouse gas.</w:t>
      </w:r>
    </w:p>
  </w:footnote>
  <w:footnote w:id="64">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See </w:t>
      </w:r>
      <w:hyperlink r:id="rId39" w:history="1">
        <w:r>
          <w:rPr>
            <w:rStyle w:val="Hyperlink"/>
            <w:sz w:val="16"/>
            <w:szCs w:val="16"/>
          </w:rPr>
          <w:t>The EEA/Eionet Air Quality Portal</w:t>
        </w:r>
      </w:hyperlink>
      <w:r>
        <w:rPr>
          <w:sz w:val="16"/>
          <w:szCs w:val="16"/>
        </w:rPr>
        <w:t xml:space="preserve"> and the related Central Data Repository</w:t>
      </w:r>
    </w:p>
  </w:footnote>
  <w:footnote w:id="6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These figures are based on the </w:t>
      </w:r>
      <w:hyperlink r:id="rId40" w:history="1">
        <w:r>
          <w:rPr>
            <w:rStyle w:val="Hyperlink"/>
            <w:sz w:val="16"/>
            <w:szCs w:val="16"/>
          </w:rPr>
          <w:t>Impact Assessment</w:t>
        </w:r>
      </w:hyperlink>
      <w:r>
        <w:rPr>
          <w:sz w:val="16"/>
          <w:szCs w:val="16"/>
        </w:rPr>
        <w:t xml:space="preserve"> for the European Commission Integr</w:t>
      </w:r>
      <w:r>
        <w:rPr>
          <w:sz w:val="16"/>
          <w:szCs w:val="16"/>
        </w:rPr>
        <w:t>ated Clean Air Package (2013).</w:t>
      </w:r>
    </w:p>
  </w:footnote>
  <w:footnote w:id="66">
    <w:p w:rsidR="00794EA4" w:rsidRDefault="0017531E">
      <w:pPr>
        <w:pStyle w:val="FootnoteText"/>
        <w:ind w:left="60" w:hanging="60"/>
        <w:rPr>
          <w:sz w:val="16"/>
          <w:szCs w:val="16"/>
        </w:rPr>
      </w:pPr>
      <w:r>
        <w:rPr>
          <w:rStyle w:val="FootnoteReference"/>
        </w:rPr>
        <w:footnoteRef/>
      </w:r>
      <w:r>
        <w:t xml:space="preserve"> </w:t>
      </w:r>
      <w:r>
        <w:rPr>
          <w:sz w:val="16"/>
          <w:szCs w:val="16"/>
        </w:rPr>
        <w:t>Under the provisions of the revised National Emission Ceilings Directive, Member States now may apply for emission inventory adjustments. Pending evaluation of any adjustment application, Member States should keep emissions</w:t>
      </w:r>
      <w:r>
        <w:rPr>
          <w:sz w:val="16"/>
          <w:szCs w:val="16"/>
        </w:rPr>
        <w:t xml:space="preserve"> under close control with a view to further reductions.</w:t>
      </w:r>
    </w:p>
  </w:footnote>
  <w:footnote w:id="67">
    <w:p w:rsidR="00794EA4" w:rsidRDefault="0017531E">
      <w:pPr>
        <w:pStyle w:val="FootnoteText"/>
        <w:ind w:left="60" w:hanging="60"/>
      </w:pPr>
      <w:r>
        <w:rPr>
          <w:rStyle w:val="FootnoteReference"/>
        </w:rPr>
        <w:footnoteRef/>
      </w:r>
      <w:r>
        <w:t xml:space="preserve"> </w:t>
      </w:r>
      <w:r>
        <w:rPr>
          <w:sz w:val="16"/>
          <w:szCs w:val="16"/>
        </w:rPr>
        <w:t>Ibid.</w:t>
      </w:r>
    </w:p>
  </w:footnote>
  <w:footnote w:id="68">
    <w:p w:rsidR="00794EA4" w:rsidRDefault="0017531E">
      <w:pPr>
        <w:pStyle w:val="FootnoteText"/>
        <w:ind w:left="60" w:hanging="60"/>
        <w:rPr>
          <w:sz w:val="16"/>
          <w:szCs w:val="16"/>
        </w:rPr>
      </w:pPr>
      <w:r>
        <w:rPr>
          <w:rStyle w:val="FootnoteReference"/>
          <w:sz w:val="16"/>
          <w:szCs w:val="16"/>
        </w:rPr>
        <w:footnoteRef/>
      </w:r>
      <w:r>
        <w:rPr>
          <w:sz w:val="16"/>
          <w:szCs w:val="16"/>
        </w:rPr>
        <w:t xml:space="preserve"> WHO/JRC, 2011, Burden of disease from environmental noise, Fritschi, L., Brown, A.L., Kim, R., Schwela, D., Kephalopoulos, S. (eds), </w:t>
      </w:r>
      <w:hyperlink r:id="rId41" w:history="1">
        <w:r>
          <w:rPr>
            <w:rStyle w:val="Hyperlink"/>
            <w:sz w:val="16"/>
            <w:szCs w:val="16"/>
          </w:rPr>
          <w:t>World Health Organization, Regional Office for Europe</w:t>
        </w:r>
      </w:hyperlink>
      <w:r>
        <w:rPr>
          <w:sz w:val="16"/>
          <w:szCs w:val="16"/>
        </w:rPr>
        <w:t>, Copenhagen, Denmark</w:t>
      </w:r>
    </w:p>
  </w:footnote>
  <w:footnote w:id="6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The Noise Directiv</w:t>
      </w:r>
      <w:r>
        <w:rPr>
          <w:sz w:val="16"/>
          <w:szCs w:val="16"/>
        </w:rPr>
        <w:t xml:space="preserve">e requires Member States to prepare and publish, every 5 years, noise maps and noise management action plans for agglomerations with more than 100,000 inhabitants, and for major roads, railways and airports. </w:t>
      </w:r>
    </w:p>
  </w:footnote>
  <w:footnote w:id="70">
    <w:p w:rsidR="00794EA4" w:rsidRDefault="0017531E">
      <w:pPr>
        <w:pStyle w:val="FootnoteText"/>
        <w:widowControl w:val="0"/>
        <w:ind w:left="60" w:hanging="60"/>
        <w:rPr>
          <w:sz w:val="16"/>
          <w:szCs w:val="16"/>
          <w:lang w:val="en"/>
        </w:rPr>
      </w:pPr>
      <w:r>
        <w:rPr>
          <w:rStyle w:val="FootnoteReference"/>
          <w:sz w:val="16"/>
          <w:szCs w:val="16"/>
        </w:rPr>
        <w:footnoteRef/>
      </w:r>
      <w:r>
        <w:rPr>
          <w:sz w:val="16"/>
          <w:szCs w:val="16"/>
          <w:lang w:val="en"/>
        </w:rPr>
        <w:t xml:space="preserve"> </w:t>
      </w:r>
      <w:r>
        <w:rPr>
          <w:rFonts w:asciiTheme="minorHAnsi" w:hAnsiTheme="minorHAnsi"/>
          <w:sz w:val="16"/>
          <w:szCs w:val="16"/>
        </w:rPr>
        <w:t xml:space="preserve">This includes the </w:t>
      </w:r>
      <w:hyperlink r:id="rId42" w:history="1">
        <w:r>
          <w:rPr>
            <w:rStyle w:val="Hyperlink"/>
            <w:rFonts w:asciiTheme="minorHAnsi" w:hAnsiTheme="minorHAnsi"/>
            <w:sz w:val="16"/>
            <w:szCs w:val="16"/>
          </w:rPr>
          <w:t>Bathing Waters Directive (2006/7/EC);</w:t>
        </w:r>
      </w:hyperlink>
      <w:r>
        <w:rPr>
          <w:rFonts w:asciiTheme="minorHAnsi" w:hAnsiTheme="minorHAnsi"/>
          <w:sz w:val="16"/>
          <w:szCs w:val="16"/>
        </w:rPr>
        <w:t xml:space="preserve"> the </w:t>
      </w:r>
      <w:hyperlink r:id="rId43" w:history="1">
        <w:r>
          <w:rPr>
            <w:rStyle w:val="Hyperlink"/>
            <w:rFonts w:asciiTheme="minorHAnsi" w:hAnsiTheme="minorHAnsi"/>
            <w:sz w:val="16"/>
            <w:szCs w:val="16"/>
          </w:rPr>
          <w:t>Urban Waste Water Treatment Directive (91/271/EEC)</w:t>
        </w:r>
      </w:hyperlink>
      <w:r>
        <w:rPr>
          <w:rFonts w:asciiTheme="minorHAnsi" w:hAnsiTheme="minorHAnsi"/>
          <w:sz w:val="16"/>
          <w:szCs w:val="16"/>
        </w:rPr>
        <w:t xml:space="preserve"> co</w:t>
      </w:r>
      <w:r>
        <w:rPr>
          <w:rFonts w:asciiTheme="minorHAnsi" w:hAnsiTheme="minorHAnsi"/>
          <w:sz w:val="16"/>
          <w:szCs w:val="16"/>
        </w:rPr>
        <w:t xml:space="preserve">ncerning discharges of municipal and some industrial waste waters; the </w:t>
      </w:r>
      <w:hyperlink r:id="rId44" w:history="1">
        <w:r>
          <w:rPr>
            <w:rStyle w:val="Hyperlink"/>
            <w:rFonts w:asciiTheme="minorHAnsi" w:hAnsiTheme="minorHAnsi"/>
            <w:sz w:val="16"/>
            <w:szCs w:val="16"/>
          </w:rPr>
          <w:t>Drinking Water Directive (98/83/EC)</w:t>
        </w:r>
      </w:hyperlink>
      <w:r>
        <w:rPr>
          <w:rFonts w:asciiTheme="minorHAnsi" w:hAnsiTheme="minorHAnsi"/>
          <w:sz w:val="16"/>
          <w:szCs w:val="16"/>
        </w:rPr>
        <w:t xml:space="preserve"> concerning potable water quality; the </w:t>
      </w:r>
      <w:hyperlink r:id="rId45" w:history="1">
        <w:r>
          <w:rPr>
            <w:rStyle w:val="Hyperlink"/>
            <w:rFonts w:asciiTheme="minorHAnsi" w:hAnsiTheme="minorHAnsi"/>
            <w:sz w:val="16"/>
            <w:szCs w:val="16"/>
          </w:rPr>
          <w:t>Water Framework Directive (2000/60/EC)</w:t>
        </w:r>
      </w:hyperlink>
      <w:r>
        <w:rPr>
          <w:rFonts w:asciiTheme="minorHAnsi" w:hAnsiTheme="minorHAnsi"/>
          <w:sz w:val="16"/>
          <w:szCs w:val="16"/>
        </w:rPr>
        <w:t xml:space="preserve"> concerning water resources management; the </w:t>
      </w:r>
      <w:hyperlink r:id="rId46" w:history="1">
        <w:r>
          <w:rPr>
            <w:rStyle w:val="Hyperlink"/>
            <w:rFonts w:asciiTheme="minorHAnsi" w:hAnsiTheme="minorHAnsi"/>
            <w:sz w:val="16"/>
            <w:szCs w:val="16"/>
          </w:rPr>
          <w:t>Nitrates Di</w:t>
        </w:r>
        <w:r>
          <w:rPr>
            <w:rStyle w:val="Hyperlink"/>
            <w:rFonts w:asciiTheme="minorHAnsi" w:hAnsiTheme="minorHAnsi"/>
            <w:sz w:val="16"/>
            <w:szCs w:val="16"/>
          </w:rPr>
          <w:t>rective (91/676/EEC)</w:t>
        </w:r>
      </w:hyperlink>
      <w:r>
        <w:rPr>
          <w:rFonts w:asciiTheme="minorHAnsi" w:hAnsiTheme="minorHAnsi"/>
          <w:sz w:val="16"/>
          <w:szCs w:val="16"/>
        </w:rPr>
        <w:t xml:space="preserve"> and the </w:t>
      </w:r>
      <w:hyperlink r:id="rId47" w:history="1">
        <w:r>
          <w:rPr>
            <w:rStyle w:val="Hyperlink"/>
            <w:rFonts w:asciiTheme="minorHAnsi" w:hAnsiTheme="minorHAnsi"/>
            <w:sz w:val="16"/>
            <w:szCs w:val="16"/>
          </w:rPr>
          <w:t>Floods Directive (2007/60/EC)</w:t>
        </w:r>
      </w:hyperlink>
    </w:p>
  </w:footnote>
  <w:footnote w:id="7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Good ecological status is defined in the Water Framework Directive referring to the quality of the biological c</w:t>
      </w:r>
      <w:r>
        <w:rPr>
          <w:sz w:val="16"/>
          <w:szCs w:val="16"/>
        </w:rPr>
        <w:t>ommunity, the hydrological characteristics and the chemical characteristics.</w:t>
      </w:r>
    </w:p>
  </w:footnote>
  <w:footnote w:id="7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sz w:val="16"/>
          <w:szCs w:val="16"/>
          <w:lang w:val="en"/>
        </w:rPr>
        <w:t>Good chemical status is defined</w:t>
      </w:r>
      <w:r>
        <w:rPr>
          <w:sz w:val="16"/>
          <w:szCs w:val="16"/>
        </w:rPr>
        <w:t xml:space="preserve"> in the Water Framework Directive</w:t>
      </w:r>
      <w:r>
        <w:rPr>
          <w:sz w:val="16"/>
          <w:szCs w:val="16"/>
          <w:lang w:val="en"/>
        </w:rPr>
        <w:t xml:space="preserve"> referring to compliance with all the quality standards established for chemical substances at European level.</w:t>
      </w:r>
    </w:p>
  </w:footnote>
  <w:footnote w:id="73">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sz w:val="16"/>
          <w:szCs w:val="16"/>
        </w:rPr>
        <w:t>For groundwater, a precautionary approach has been taken that comprises a prohibition on direct discharges to groundwater, and a requirement to monitor groundwater bodies.</w:t>
      </w:r>
    </w:p>
  </w:footnote>
  <w:footnote w:id="74">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Diffuse pollution comes from widespread activities with no one discrete source.</w:t>
      </w:r>
    </w:p>
  </w:footnote>
  <w:footnote w:id="7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sz w:val="16"/>
          <w:szCs w:val="16"/>
        </w:rPr>
        <w:t>Many European river basins and waters have been altered by human activities, such as land drainage, flood protection and building of dams to create reservoirs.</w:t>
      </w:r>
    </w:p>
  </w:footnote>
  <w:footnote w:id="7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More information on the implementation status of the WFD can be found </w:t>
      </w:r>
      <w:hyperlink r:id="rId48" w:history="1">
        <w:r>
          <w:rPr>
            <w:rStyle w:val="Hyperlink"/>
            <w:sz w:val="16"/>
            <w:szCs w:val="16"/>
          </w:rPr>
          <w:t>here</w:t>
        </w:r>
      </w:hyperlink>
      <w:r>
        <w:rPr>
          <w:sz w:val="16"/>
          <w:szCs w:val="16"/>
        </w:rPr>
        <w:t xml:space="preserve">. </w:t>
      </w:r>
    </w:p>
  </w:footnote>
  <w:footnote w:id="77">
    <w:p w:rsidR="00794EA4" w:rsidRDefault="0017531E">
      <w:pPr>
        <w:pStyle w:val="FootnoteText"/>
        <w:ind w:left="60" w:hanging="60"/>
        <w:rPr>
          <w:sz w:val="16"/>
          <w:szCs w:val="16"/>
        </w:rPr>
      </w:pPr>
      <w:r>
        <w:rPr>
          <w:rStyle w:val="FootnoteReference"/>
          <w:sz w:val="16"/>
          <w:szCs w:val="16"/>
        </w:rPr>
        <w:footnoteRef/>
      </w:r>
      <w:r>
        <w:rPr>
          <w:sz w:val="16"/>
          <w:szCs w:val="16"/>
        </w:rPr>
        <w:t xml:space="preserve"> 17 out of 25, with the exception of the RBMP for Catalonia inner waters and the seven RBMPs for the Canary Islands.</w:t>
      </w:r>
    </w:p>
  </w:footnote>
  <w:footnote w:id="78">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49" w:history="1">
        <w:r>
          <w:rPr>
            <w:rStyle w:val="Hyperlink"/>
            <w:rFonts w:asciiTheme="minorHAnsi" w:hAnsiTheme="minorHAnsi"/>
            <w:sz w:val="16"/>
            <w:szCs w:val="16"/>
          </w:rPr>
          <w:t>Commission's Synthesis Report on the Quality of Drinking Water in the Union</w:t>
        </w:r>
      </w:hyperlink>
      <w:r>
        <w:rPr>
          <w:rFonts w:asciiTheme="minorHAnsi" w:hAnsiTheme="minorHAnsi"/>
          <w:sz w:val="16"/>
          <w:szCs w:val="16"/>
        </w:rPr>
        <w:t xml:space="preserve"> examining Member States' reports for the 2011-2013 period, foreseen under Article 13(5) of Directi</w:t>
      </w:r>
      <w:r>
        <w:rPr>
          <w:rFonts w:asciiTheme="minorHAnsi" w:hAnsiTheme="minorHAnsi"/>
          <w:sz w:val="16"/>
          <w:szCs w:val="16"/>
        </w:rPr>
        <w:t>ve 98/83/EC; COM(2016)666.</w:t>
      </w:r>
    </w:p>
  </w:footnote>
  <w:footnote w:id="7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Bathing Water quality in 2015, EEA Report No 9/2016, p.26.</w:t>
      </w:r>
    </w:p>
  </w:footnote>
  <w:footnote w:id="8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Environment Agency, </w:t>
      </w:r>
      <w:hyperlink r:id="rId50" w:history="1">
        <w:r>
          <w:rPr>
            <w:rStyle w:val="Hyperlink"/>
            <w:sz w:val="16"/>
            <w:szCs w:val="16"/>
          </w:rPr>
          <w:t>State of bathing water</w:t>
        </w:r>
      </w:hyperlink>
      <w:r>
        <w:rPr>
          <w:sz w:val="16"/>
          <w:szCs w:val="16"/>
        </w:rPr>
        <w:t>, 2016</w:t>
      </w:r>
    </w:p>
  </w:footnote>
  <w:footnote w:id="81">
    <w:p w:rsidR="00794EA4" w:rsidRDefault="0017531E">
      <w:pPr>
        <w:widowControl w:val="0"/>
        <w:spacing w:after="0" w:line="240" w:lineRule="auto"/>
        <w:ind w:left="60" w:hanging="60"/>
        <w:rPr>
          <w:color w:val="1F497D"/>
          <w:sz w:val="16"/>
          <w:szCs w:val="16"/>
        </w:rPr>
      </w:pPr>
      <w:r>
        <w:rPr>
          <w:rStyle w:val="FootnoteReference"/>
          <w:sz w:val="16"/>
          <w:szCs w:val="16"/>
        </w:rPr>
        <w:footnoteRef/>
      </w:r>
      <w:r>
        <w:rPr>
          <w:sz w:val="16"/>
          <w:szCs w:val="16"/>
        </w:rPr>
        <w:t xml:space="preserve"> European Commission, 2016</w:t>
      </w:r>
      <w:hyperlink r:id="rId51" w:history="1">
        <w:r>
          <w:rPr>
            <w:rStyle w:val="Hyperlink"/>
            <w:sz w:val="16"/>
            <w:szCs w:val="16"/>
          </w:rPr>
          <w:t>. Urban waste water, 8th implementation reports</w:t>
        </w:r>
      </w:hyperlink>
      <w:r>
        <w:rPr>
          <w:sz w:val="16"/>
          <w:szCs w:val="16"/>
        </w:rPr>
        <w:t xml:space="preserve"> </w:t>
      </w:r>
    </w:p>
  </w:footnote>
  <w:footnote w:id="8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r>
        <w:rPr>
          <w:rStyle w:val="Hyperlink"/>
          <w:sz w:val="16"/>
          <w:szCs w:val="16"/>
        </w:rPr>
        <w:t>European Commission, 2016.</w:t>
      </w:r>
      <w:r>
        <w:rPr>
          <w:sz w:val="16"/>
          <w:szCs w:val="16"/>
        </w:rPr>
        <w:t xml:space="preserve"> </w:t>
      </w:r>
      <w:hyperlink r:id="rId52" w:history="1">
        <w:r>
          <w:rPr>
            <w:rStyle w:val="Hyperlink"/>
            <w:sz w:val="16"/>
            <w:szCs w:val="16"/>
          </w:rPr>
          <w:t>EU Resource Efficiency Scoreboard 2015</w:t>
        </w:r>
      </w:hyperlink>
    </w:p>
  </w:footnote>
  <w:footnote w:id="83">
    <w:p w:rsidR="00794EA4" w:rsidRDefault="0017531E">
      <w:pPr>
        <w:pStyle w:val="FootnoteText"/>
        <w:ind w:left="60" w:hanging="60"/>
        <w:rPr>
          <w:sz w:val="16"/>
          <w:szCs w:val="16"/>
        </w:rPr>
      </w:pPr>
      <w:r>
        <w:rPr>
          <w:rStyle w:val="FootnoteReference"/>
          <w:sz w:val="16"/>
          <w:szCs w:val="16"/>
        </w:rPr>
        <w:footnoteRef/>
      </w:r>
      <w:r>
        <w:rPr>
          <w:sz w:val="16"/>
          <w:szCs w:val="16"/>
        </w:rPr>
        <w:t xml:space="preserve"> Study "Potential for Growth and Job Creation through the Protect</w:t>
      </w:r>
      <w:r>
        <w:rPr>
          <w:sz w:val="16"/>
          <w:szCs w:val="16"/>
        </w:rPr>
        <w:t>ion of Water Resources". DG ENV 2015.</w:t>
      </w:r>
    </w:p>
  </w:footnote>
  <w:footnote w:id="84">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RPA, 2014. Study on Economic and Social Benefits of Environmental Protection and Resource Efficiency Related to the European Semester. Study for the European Commission, </w:t>
      </w:r>
      <w:hyperlink r:id="rId53" w:history="1">
        <w:r>
          <w:rPr>
            <w:rStyle w:val="Hyperlink"/>
            <w:sz w:val="16"/>
            <w:szCs w:val="16"/>
          </w:rPr>
          <w:t>Annex 1: Country fiches</w:t>
        </w:r>
      </w:hyperlink>
    </w:p>
  </w:footnote>
  <w:footnote w:id="8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Environment Agency, </w:t>
      </w:r>
      <w:hyperlink r:id="rId54" w:history="1">
        <w:r>
          <w:rPr>
            <w:rStyle w:val="Hyperlink"/>
            <w:sz w:val="16"/>
            <w:szCs w:val="16"/>
          </w:rPr>
          <w:t>Urban environment</w:t>
        </w:r>
      </w:hyperlink>
    </w:p>
  </w:footnote>
  <w:footnote w:id="86">
    <w:p w:rsidR="00794EA4" w:rsidRDefault="0017531E">
      <w:pPr>
        <w:pStyle w:val="FootnoteText"/>
        <w:ind w:left="60" w:hanging="6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hyperlink r:id="rId55" w:history="1">
        <w:r>
          <w:rPr>
            <w:rStyle w:val="Hyperlink"/>
            <w:rFonts w:asciiTheme="minorHAnsi" w:hAnsiTheme="minorHAnsi"/>
            <w:sz w:val="16"/>
            <w:szCs w:val="16"/>
          </w:rPr>
          <w:t>http://urbanagen</w:t>
        </w:r>
        <w:r>
          <w:rPr>
            <w:rStyle w:val="Hyperlink"/>
            <w:rFonts w:asciiTheme="minorHAnsi" w:hAnsiTheme="minorHAnsi"/>
            <w:sz w:val="16"/>
            <w:szCs w:val="16"/>
          </w:rPr>
          <w:t>daforthe.eu/</w:t>
        </w:r>
      </w:hyperlink>
    </w:p>
  </w:footnote>
  <w:footnote w:id="87">
    <w:p w:rsidR="00794EA4" w:rsidRDefault="0017531E">
      <w:pPr>
        <w:pStyle w:val="FootnoteText"/>
        <w:widowControl w:val="0"/>
        <w:ind w:left="60" w:hanging="60"/>
        <w:rPr>
          <w:rFonts w:asciiTheme="minorHAnsi" w:hAnsiTheme="minorHAnsi"/>
          <w:sz w:val="16"/>
          <w:szCs w:val="16"/>
          <w:vertAlign w:val="superscript"/>
        </w:rPr>
      </w:pPr>
      <w:r>
        <w:rPr>
          <w:rStyle w:val="FootnoteReference"/>
          <w:rFonts w:asciiTheme="minorHAnsi" w:hAnsiTheme="minorHAnsi"/>
          <w:sz w:val="16"/>
          <w:szCs w:val="16"/>
        </w:rPr>
        <w:footnoteRef/>
      </w:r>
      <w:r>
        <w:rPr>
          <w:rFonts w:asciiTheme="minorHAnsi" w:hAnsiTheme="minorHAnsi"/>
          <w:sz w:val="16"/>
          <w:szCs w:val="16"/>
          <w:vertAlign w:val="superscript"/>
        </w:rPr>
        <w:t xml:space="preserve"> </w:t>
      </w:r>
      <w:r>
        <w:rPr>
          <w:rFonts w:asciiTheme="minorHAnsi" w:hAnsiTheme="minorHAnsi"/>
          <w:sz w:val="16"/>
          <w:szCs w:val="16"/>
        </w:rPr>
        <w:t xml:space="preserve">The Commission is developing an </w:t>
      </w:r>
      <w:hyperlink r:id="rId56" w:history="1">
        <w:r>
          <w:rPr>
            <w:rStyle w:val="Hyperlink"/>
            <w:rFonts w:asciiTheme="minorHAnsi" w:hAnsiTheme="minorHAnsi"/>
            <w:sz w:val="16"/>
            <w:szCs w:val="16"/>
          </w:rPr>
          <w:t>Urban Benchmarking and Monitoring ('UBaM') tool</w:t>
        </w:r>
      </w:hyperlink>
      <w:r>
        <w:rPr>
          <w:rFonts w:asciiTheme="minorHAnsi" w:hAnsiTheme="minorHAnsi"/>
          <w:sz w:val="16"/>
          <w:szCs w:val="16"/>
        </w:rPr>
        <w:t xml:space="preserve"> to be launched in 2017. Best practices emerge and these will be better disseminated via the app featuring the UBaM tool, and increasingly via e.g. EUROCITIES, ICLEI, CEMR, Committee of the Regions, Covenant of Mayors and others.</w:t>
      </w:r>
    </w:p>
  </w:footnote>
  <w:footnote w:id="88">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Commission, </w:t>
      </w:r>
      <w:hyperlink r:id="rId57" w:history="1">
        <w:r>
          <w:rPr>
            <w:rStyle w:val="Hyperlink"/>
            <w:sz w:val="16"/>
            <w:szCs w:val="16"/>
          </w:rPr>
          <w:t>Green Capital</w:t>
        </w:r>
      </w:hyperlink>
      <w:r>
        <w:rPr>
          <w:sz w:val="16"/>
          <w:szCs w:val="16"/>
        </w:rPr>
        <w:t xml:space="preserve"> </w:t>
      </w:r>
    </w:p>
  </w:footnote>
  <w:footnote w:id="8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Commission, 2015.  </w:t>
      </w:r>
      <w:hyperlink r:id="rId58" w:history="1">
        <w:r>
          <w:rPr>
            <w:rStyle w:val="Hyperlink"/>
            <w:sz w:val="16"/>
            <w:szCs w:val="16"/>
          </w:rPr>
          <w:t>M</w:t>
        </w:r>
        <w:r>
          <w:rPr>
            <w:rStyle w:val="Hyperlink"/>
            <w:sz w:val="16"/>
            <w:szCs w:val="16"/>
          </w:rPr>
          <w:t>ollet del Vallès wins inaugural European Green Leaf 2015</w:t>
        </w:r>
      </w:hyperlink>
      <w:r>
        <w:rPr>
          <w:sz w:val="16"/>
          <w:szCs w:val="16"/>
        </w:rPr>
        <w:t xml:space="preserve"> </w:t>
      </w:r>
    </w:p>
  </w:footnote>
  <w:footnote w:id="90">
    <w:p w:rsidR="00794EA4" w:rsidRDefault="0017531E">
      <w:pPr>
        <w:pStyle w:val="FootnoteText"/>
        <w:ind w:left="60" w:hanging="60"/>
        <w:rPr>
          <w:sz w:val="16"/>
          <w:szCs w:val="16"/>
        </w:rPr>
      </w:pPr>
      <w:r>
        <w:rPr>
          <w:rStyle w:val="FootnoteReference"/>
          <w:sz w:val="16"/>
          <w:szCs w:val="16"/>
        </w:rPr>
        <w:footnoteRef/>
      </w:r>
      <w:r>
        <w:rPr>
          <w:sz w:val="16"/>
          <w:szCs w:val="16"/>
        </w:rPr>
        <w:t xml:space="preserve"> Under the national ERDF OP Sustainable Growth 2014-2020, the EDUSI (</w:t>
      </w:r>
      <w:r>
        <w:rPr>
          <w:i/>
          <w:sz w:val="16"/>
          <w:szCs w:val="16"/>
        </w:rPr>
        <w:t>Estrategias de Desarrollo Urbano Sostenible e Integrado</w:t>
      </w:r>
      <w:r>
        <w:rPr>
          <w:sz w:val="16"/>
          <w:szCs w:val="16"/>
        </w:rPr>
        <w:t>)</w:t>
      </w:r>
    </w:p>
  </w:footnote>
  <w:footnote w:id="9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INRIX, 2015. </w:t>
      </w:r>
      <w:hyperlink r:id="rId59" w:history="1">
        <w:r>
          <w:rPr>
            <w:rStyle w:val="Hyperlink"/>
            <w:sz w:val="16"/>
            <w:szCs w:val="16"/>
          </w:rPr>
          <w:t>Key Findings: INRIX 2015 Traffic Scoreboard</w:t>
        </w:r>
      </w:hyperlink>
      <w:r>
        <w:rPr>
          <w:sz w:val="16"/>
          <w:szCs w:val="16"/>
        </w:rPr>
        <w:t xml:space="preserve"> </w:t>
      </w:r>
    </w:p>
  </w:footnote>
  <w:footnote w:id="92">
    <w:p w:rsidR="00794EA4" w:rsidRDefault="0017531E">
      <w:pPr>
        <w:pStyle w:val="FootnoteText"/>
        <w:ind w:left="60" w:hanging="60"/>
        <w:rPr>
          <w:sz w:val="16"/>
          <w:szCs w:val="16"/>
        </w:rPr>
      </w:pPr>
      <w:r>
        <w:rPr>
          <w:rStyle w:val="FootnoteReference"/>
          <w:sz w:val="16"/>
          <w:szCs w:val="16"/>
        </w:rPr>
        <w:footnoteRef/>
      </w:r>
      <w:r>
        <w:rPr>
          <w:sz w:val="16"/>
          <w:szCs w:val="16"/>
        </w:rPr>
        <w:t xml:space="preserve"> See </w:t>
      </w:r>
      <w:hyperlink r:id="rId60" w:history="1">
        <w:r>
          <w:rPr>
            <w:rStyle w:val="Hyperlink"/>
            <w:sz w:val="16"/>
            <w:szCs w:val="16"/>
          </w:rPr>
          <w:t>http://www.dgt.es/es/prensa/notas-de-prensa/2016/201604</w:t>
        </w:r>
        <w:r>
          <w:rPr>
            <w:rStyle w:val="Hyperlink"/>
            <w:sz w:val="16"/>
            <w:szCs w:val="16"/>
          </w:rPr>
          <w:t>14-dgt-clasifica-parque-vehiculos-funcion-potencial-contaminante.shtml</w:t>
        </w:r>
      </w:hyperlink>
      <w:r>
        <w:rPr>
          <w:sz w:val="16"/>
          <w:szCs w:val="16"/>
        </w:rPr>
        <w:t xml:space="preserve">. </w:t>
      </w:r>
    </w:p>
  </w:footnote>
  <w:footnote w:id="93">
    <w:p w:rsidR="00794EA4" w:rsidRDefault="0017531E">
      <w:pPr>
        <w:pStyle w:val="FootnoteText"/>
        <w:ind w:left="60" w:hanging="60"/>
        <w:rPr>
          <w:sz w:val="16"/>
          <w:szCs w:val="16"/>
          <w:lang w:val="fr-BE"/>
        </w:rPr>
      </w:pPr>
      <w:r>
        <w:rPr>
          <w:rStyle w:val="FootnoteReference"/>
          <w:sz w:val="16"/>
          <w:szCs w:val="16"/>
        </w:rPr>
        <w:footnoteRef/>
      </w:r>
      <w:r>
        <w:rPr>
          <w:sz w:val="16"/>
          <w:szCs w:val="16"/>
          <w:lang w:val="fr-BE"/>
        </w:rPr>
        <w:t xml:space="preserve"> Eurostat, </w:t>
      </w:r>
      <w:hyperlink r:id="rId61" w:history="1">
        <w:r>
          <w:rPr>
            <w:rStyle w:val="Hyperlink"/>
            <w:sz w:val="16"/>
            <w:szCs w:val="16"/>
            <w:lang w:val="fr-BE"/>
          </w:rPr>
          <w:t>Environmental tax revenues</w:t>
        </w:r>
      </w:hyperlink>
      <w:r>
        <w:rPr>
          <w:sz w:val="16"/>
          <w:szCs w:val="16"/>
          <w:lang w:val="fr-BE"/>
        </w:rPr>
        <w:t>, accessed October 2016</w:t>
      </w:r>
    </w:p>
  </w:footnote>
  <w:footnote w:id="94">
    <w:p w:rsidR="00794EA4" w:rsidRDefault="0017531E">
      <w:pPr>
        <w:pStyle w:val="FootnoteText"/>
        <w:ind w:left="60" w:hanging="60"/>
        <w:rPr>
          <w:sz w:val="16"/>
          <w:szCs w:val="16"/>
        </w:rPr>
      </w:pPr>
      <w:r>
        <w:rPr>
          <w:rStyle w:val="FootnoteReference"/>
          <w:sz w:val="16"/>
          <w:szCs w:val="16"/>
        </w:rPr>
        <w:footnoteRef/>
      </w:r>
      <w:r>
        <w:rPr>
          <w:sz w:val="16"/>
          <w:szCs w:val="16"/>
        </w:rPr>
        <w:t xml:space="preserve"> Eunomia Research and Consulting, IEEP, Aarhus University, ENT, 2016. </w:t>
      </w:r>
      <w:hyperlink r:id="rId62" w:history="1">
        <w:r>
          <w:rPr>
            <w:rStyle w:val="Hyperlink"/>
            <w:sz w:val="16"/>
            <w:szCs w:val="16"/>
          </w:rPr>
          <w:t>Study on Assessing the Environmental Fiscal Reform Potential for the EU28</w:t>
        </w:r>
      </w:hyperlink>
      <w:r>
        <w:rPr>
          <w:sz w:val="16"/>
          <w:szCs w:val="16"/>
        </w:rPr>
        <w:t>. N.B. National governments are responsible for setting</w:t>
      </w:r>
      <w:r>
        <w:rPr>
          <w:sz w:val="16"/>
          <w:szCs w:val="16"/>
        </w:rPr>
        <w:t xml:space="preserve"> tax rates within the EU Single Market rules and this report is not suggesting concrete changes as to the level of environmental taxation. It merely presents the findings of the 2016 study by Eunomia </w:t>
      </w:r>
      <w:r>
        <w:rPr>
          <w:i/>
          <w:iCs/>
          <w:sz w:val="16"/>
          <w:szCs w:val="16"/>
        </w:rPr>
        <w:t>et al</w:t>
      </w:r>
      <w:r>
        <w:rPr>
          <w:sz w:val="16"/>
          <w:szCs w:val="16"/>
        </w:rPr>
        <w:t xml:space="preserve"> on the potential benefits various environmental ta</w:t>
      </w:r>
      <w:r>
        <w:rPr>
          <w:sz w:val="16"/>
          <w:szCs w:val="16"/>
        </w:rPr>
        <w:t>xes could bring. It is then for the national authorities to assess this study and their concrete impacts in the national context. A first step in this respect, already done by a number of Member States, is to set up expert groups to assess these and make s</w:t>
      </w:r>
      <w:r>
        <w:rPr>
          <w:sz w:val="16"/>
          <w:szCs w:val="16"/>
        </w:rPr>
        <w:t>pecific proposals.</w:t>
      </w:r>
    </w:p>
  </w:footnote>
  <w:footnote w:id="95">
    <w:p w:rsidR="00794EA4" w:rsidRDefault="0017531E">
      <w:pPr>
        <w:pStyle w:val="FootnoteText"/>
        <w:ind w:left="60" w:hanging="60"/>
        <w:rPr>
          <w:sz w:val="16"/>
          <w:szCs w:val="16"/>
        </w:rPr>
      </w:pPr>
      <w:r>
        <w:rPr>
          <w:rStyle w:val="FootnoteReference"/>
          <w:sz w:val="16"/>
          <w:szCs w:val="16"/>
        </w:rPr>
        <w:footnoteRef/>
      </w:r>
      <w:r>
        <w:rPr>
          <w:sz w:val="16"/>
          <w:szCs w:val="16"/>
        </w:rPr>
        <w:t xml:space="preserve"> The good practice scenario means benchmarking to a successful taxation practice in another Member State.</w:t>
      </w:r>
    </w:p>
  </w:footnote>
  <w:footnote w:id="9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2020 Milestone on phasing out EHS in the Roadmap to a Resource Efficient Europe (COM(2011) 571 final).</w:t>
      </w:r>
    </w:p>
  </w:footnote>
  <w:footnote w:id="97">
    <w:p w:rsidR="00794EA4" w:rsidRDefault="0017531E">
      <w:pPr>
        <w:pStyle w:val="FootnoteText"/>
        <w:ind w:left="60" w:hanging="60"/>
        <w:rPr>
          <w:sz w:val="16"/>
          <w:szCs w:val="16"/>
        </w:rPr>
      </w:pPr>
      <w:r>
        <w:rPr>
          <w:rStyle w:val="FootnoteReference"/>
          <w:sz w:val="16"/>
          <w:szCs w:val="16"/>
        </w:rPr>
        <w:footnoteRef/>
      </w:r>
      <w:r>
        <w:rPr>
          <w:sz w:val="16"/>
          <w:szCs w:val="16"/>
        </w:rPr>
        <w:t xml:space="preserve"> </w:t>
      </w:r>
      <w:hyperlink r:id="rId63" w:history="1">
        <w:r>
          <w:rPr>
            <w:rStyle w:val="Hyperlink"/>
            <w:sz w:val="16"/>
            <w:szCs w:val="16"/>
          </w:rPr>
          <w:t>http://www.oecd.org/site/tadffss/publication/</w:t>
        </w:r>
      </w:hyperlink>
    </w:p>
  </w:footnote>
  <w:footnote w:id="98">
    <w:p w:rsidR="00794EA4" w:rsidRPr="0017531E" w:rsidRDefault="0017531E">
      <w:pPr>
        <w:pStyle w:val="FootnoteText"/>
        <w:ind w:left="60" w:hanging="60"/>
        <w:rPr>
          <w:sz w:val="16"/>
          <w:szCs w:val="16"/>
          <w:lang w:val="fr-BE"/>
        </w:rPr>
      </w:pPr>
      <w:r>
        <w:rPr>
          <w:rStyle w:val="FootnoteReference"/>
          <w:sz w:val="16"/>
          <w:szCs w:val="16"/>
        </w:rPr>
        <w:footnoteRef/>
      </w:r>
      <w:r w:rsidRPr="0017531E">
        <w:rPr>
          <w:sz w:val="16"/>
          <w:szCs w:val="16"/>
          <w:lang w:val="fr-BE"/>
        </w:rPr>
        <w:t xml:space="preserve"> European Environment Agency 2016, </w:t>
      </w:r>
      <w:hyperlink r:id="rId64" w:history="1">
        <w:r w:rsidRPr="0017531E">
          <w:rPr>
            <w:rStyle w:val="Hyperlink"/>
            <w:sz w:val="16"/>
            <w:szCs w:val="16"/>
            <w:lang w:val="fr-BE"/>
          </w:rPr>
          <w:t>Environmental taxation and E</w:t>
        </w:r>
        <w:r w:rsidRPr="0017531E">
          <w:rPr>
            <w:rStyle w:val="Hyperlink"/>
            <w:sz w:val="16"/>
            <w:szCs w:val="16"/>
            <w:lang w:val="fr-BE"/>
          </w:rPr>
          <w:t>U environmental policies</w:t>
        </w:r>
      </w:hyperlink>
      <w:r w:rsidRPr="0017531E">
        <w:rPr>
          <w:sz w:val="16"/>
          <w:szCs w:val="16"/>
          <w:lang w:val="fr-BE"/>
        </w:rPr>
        <w:t>, Table 4.3, p.24.</w:t>
      </w:r>
    </w:p>
  </w:footnote>
  <w:footnote w:id="99">
    <w:p w:rsidR="00794EA4" w:rsidRPr="0017531E" w:rsidRDefault="0017531E">
      <w:pPr>
        <w:pStyle w:val="FootnoteText"/>
        <w:ind w:left="60" w:hanging="60"/>
        <w:rPr>
          <w:sz w:val="16"/>
          <w:szCs w:val="16"/>
          <w:lang w:val="fr-BE"/>
        </w:rPr>
      </w:pPr>
      <w:r>
        <w:rPr>
          <w:rStyle w:val="FootnoteReference"/>
          <w:sz w:val="16"/>
          <w:szCs w:val="16"/>
        </w:rPr>
        <w:footnoteRef/>
      </w:r>
      <w:r w:rsidRPr="0017531E">
        <w:rPr>
          <w:sz w:val="16"/>
          <w:szCs w:val="16"/>
          <w:lang w:val="fr-BE"/>
        </w:rPr>
        <w:t xml:space="preserve"> European Commission, 2015. </w:t>
      </w:r>
      <w:hyperlink r:id="rId65" w:history="1">
        <w:r w:rsidRPr="0017531E">
          <w:rPr>
            <w:rStyle w:val="Hyperlink"/>
            <w:sz w:val="16"/>
            <w:szCs w:val="16"/>
            <w:lang w:val="fr-BE"/>
          </w:rPr>
          <w:t>Public procurement</w:t>
        </w:r>
      </w:hyperlink>
    </w:p>
  </w:footnote>
  <w:footnote w:id="10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In the Communication “Public procurement</w:t>
      </w:r>
      <w:r>
        <w:rPr>
          <w:sz w:val="16"/>
          <w:szCs w:val="16"/>
        </w:rPr>
        <w:t xml:space="preserve"> for a bett</w:t>
      </w:r>
      <w:r>
        <w:rPr>
          <w:sz w:val="16"/>
          <w:szCs w:val="16"/>
          <w:lang w:val="en"/>
        </w:rPr>
        <w:t xml:space="preserve">er environment” </w:t>
      </w:r>
      <w:hyperlink r:id="rId66" w:history="1">
        <w:r>
          <w:rPr>
            <w:rStyle w:val="Hyperlink"/>
            <w:sz w:val="16"/>
            <w:szCs w:val="16"/>
            <w:lang w:val="en"/>
          </w:rPr>
          <w:t>(COM (2008)400)</w:t>
        </w:r>
      </w:hyperlink>
      <w:r>
        <w:rPr>
          <w:sz w:val="16"/>
          <w:szCs w:val="16"/>
          <w:lang w:val="en"/>
        </w:rPr>
        <w:t xml:space="preserve"> the Commission recommended the creation of a process for set</w:t>
      </w:r>
      <w:r>
        <w:rPr>
          <w:sz w:val="16"/>
          <w:szCs w:val="16"/>
          <w:lang w:val="en"/>
        </w:rPr>
        <w:t>ting common GPP criteria. The basic concept of GPP relies on having clear, verifiable, justifiable and ambitious environmental criteria for products and services, based on a life-cycle approach and scientific evidence base.</w:t>
      </w:r>
    </w:p>
  </w:footnote>
  <w:footnote w:id="10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Commission Staff Working Docum</w:t>
      </w:r>
      <w:r>
        <w:rPr>
          <w:sz w:val="16"/>
          <w:szCs w:val="16"/>
        </w:rPr>
        <w:t>ent: Country Report Spain 2016 in the framework of the European Semester (SWD(2016) 78 final, of 26.2.2016.</w:t>
      </w:r>
    </w:p>
  </w:footnote>
  <w:footnote w:id="10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State Official Journal (BOE) of </w:t>
      </w:r>
      <w:hyperlink r:id="rId67" w:history="1">
        <w:r>
          <w:rPr>
            <w:rStyle w:val="Hyperlink"/>
            <w:sz w:val="16"/>
            <w:szCs w:val="16"/>
          </w:rPr>
          <w:t>31.01.2008:</w:t>
        </w:r>
      </w:hyperlink>
      <w:r>
        <w:rPr>
          <w:sz w:val="16"/>
          <w:szCs w:val="16"/>
        </w:rPr>
        <w:t xml:space="preserve"> </w:t>
      </w:r>
    </w:p>
  </w:footnote>
  <w:footnote w:id="103">
    <w:p w:rsidR="00794EA4" w:rsidRPr="0017531E" w:rsidRDefault="0017531E">
      <w:pPr>
        <w:pStyle w:val="FootnoteText"/>
        <w:widowControl w:val="0"/>
        <w:ind w:left="60" w:hanging="60"/>
        <w:rPr>
          <w:sz w:val="16"/>
          <w:szCs w:val="16"/>
          <w:lang w:val="fr-BE"/>
        </w:rPr>
      </w:pPr>
      <w:r>
        <w:rPr>
          <w:rStyle w:val="FootnoteReference"/>
          <w:sz w:val="16"/>
          <w:szCs w:val="16"/>
        </w:rPr>
        <w:footnoteRef/>
      </w:r>
      <w:r w:rsidRPr="0017531E">
        <w:rPr>
          <w:sz w:val="16"/>
          <w:szCs w:val="16"/>
          <w:lang w:val="fr-BE"/>
        </w:rPr>
        <w:t xml:space="preserve"> European Commission, 20</w:t>
      </w:r>
      <w:r w:rsidRPr="0017531E">
        <w:rPr>
          <w:sz w:val="16"/>
          <w:szCs w:val="16"/>
          <w:lang w:val="fr-BE"/>
        </w:rPr>
        <w:t xml:space="preserve">15 </w:t>
      </w:r>
      <w:hyperlink r:id="rId68" w:history="1">
        <w:r w:rsidRPr="0017531E">
          <w:rPr>
            <w:rStyle w:val="Hyperlink"/>
            <w:sz w:val="16"/>
            <w:szCs w:val="16"/>
            <w:lang w:val="fr-BE"/>
          </w:rPr>
          <w:t>Documentation on National GPP Action Plans</w:t>
        </w:r>
      </w:hyperlink>
    </w:p>
  </w:footnote>
  <w:footnote w:id="104">
    <w:p w:rsidR="00794EA4" w:rsidRPr="0017531E" w:rsidRDefault="0017531E">
      <w:pPr>
        <w:pStyle w:val="FootnoteText"/>
        <w:widowControl w:val="0"/>
        <w:ind w:left="60" w:hanging="60"/>
        <w:rPr>
          <w:sz w:val="16"/>
          <w:szCs w:val="16"/>
          <w:lang w:val="fr-BE"/>
        </w:rPr>
      </w:pPr>
      <w:r>
        <w:rPr>
          <w:rStyle w:val="FootnoteReference"/>
          <w:sz w:val="16"/>
          <w:szCs w:val="16"/>
        </w:rPr>
        <w:footnoteRef/>
      </w:r>
      <w:r w:rsidRPr="0017531E">
        <w:rPr>
          <w:sz w:val="16"/>
          <w:szCs w:val="16"/>
          <w:lang w:val="fr-BE"/>
        </w:rPr>
        <w:t xml:space="preserve"> European Commission, 2015 </w:t>
      </w:r>
      <w:hyperlink r:id="rId69" w:history="1">
        <w:r w:rsidRPr="0017531E">
          <w:rPr>
            <w:rStyle w:val="Hyperlink"/>
            <w:sz w:val="16"/>
            <w:szCs w:val="16"/>
            <w:lang w:val="fr-BE"/>
          </w:rPr>
          <w:t xml:space="preserve">Documentation on National GPP Action </w:t>
        </w:r>
        <w:r w:rsidRPr="0017531E">
          <w:rPr>
            <w:rStyle w:val="Hyperlink"/>
            <w:sz w:val="16"/>
            <w:szCs w:val="16"/>
            <w:lang w:val="fr-BE"/>
          </w:rPr>
          <w:t>Plans</w:t>
        </w:r>
      </w:hyperlink>
    </w:p>
  </w:footnote>
  <w:footnote w:id="105">
    <w:p w:rsidR="00794EA4" w:rsidRDefault="0017531E">
      <w:pPr>
        <w:pStyle w:val="FootnoteText"/>
        <w:ind w:left="60" w:hanging="60"/>
        <w:rPr>
          <w:sz w:val="16"/>
          <w:szCs w:val="16"/>
        </w:rPr>
      </w:pPr>
      <w:r>
        <w:rPr>
          <w:rStyle w:val="FootnoteReference"/>
          <w:sz w:val="16"/>
          <w:szCs w:val="16"/>
        </w:rPr>
        <w:footnoteRef/>
      </w:r>
      <w:r>
        <w:rPr>
          <w:sz w:val="16"/>
          <w:szCs w:val="16"/>
        </w:rPr>
        <w:t xml:space="preserve"> ESIF comprises five funds – the European Regional Development Funds (ERDF), the Cohesion Fund (CF), the European Social Fund (ESF), the European Agricultural Fund for Rural Development (EAFRD), and the European Maritime and Fisheries Fund (EMFF). T</w:t>
      </w:r>
      <w:r>
        <w:rPr>
          <w:sz w:val="16"/>
          <w:szCs w:val="16"/>
        </w:rPr>
        <w:t>he ERDF, the CF and the ESF together form the Cohesion Policy funds.</w:t>
      </w:r>
    </w:p>
  </w:footnote>
  <w:footnote w:id="106">
    <w:p w:rsidR="00794EA4" w:rsidRDefault="0017531E">
      <w:pPr>
        <w:pStyle w:val="FootnoteText"/>
        <w:ind w:left="60" w:hanging="60"/>
        <w:rPr>
          <w:sz w:val="16"/>
          <w:szCs w:val="16"/>
        </w:rPr>
      </w:pPr>
      <w:r>
        <w:rPr>
          <w:rStyle w:val="FootnoteReference"/>
          <w:sz w:val="16"/>
          <w:szCs w:val="16"/>
        </w:rPr>
        <w:footnoteRef/>
      </w:r>
      <w:r>
        <w:rPr>
          <w:sz w:val="16"/>
          <w:szCs w:val="16"/>
        </w:rPr>
        <w:t xml:space="preserve"> European Investment Bank, 2016 </w:t>
      </w:r>
      <w:hyperlink r:id="rId70" w:history="1">
        <w:r>
          <w:rPr>
            <w:rStyle w:val="Hyperlink"/>
            <w:sz w:val="16"/>
            <w:szCs w:val="16"/>
          </w:rPr>
          <w:t>European Fund for Strategic Investments</w:t>
        </w:r>
      </w:hyperlink>
    </w:p>
  </w:footnote>
  <w:footnote w:id="107">
    <w:p w:rsidR="00794EA4" w:rsidRDefault="0017531E">
      <w:pPr>
        <w:pStyle w:val="FootnoteText"/>
        <w:ind w:left="60" w:hanging="60"/>
        <w:rPr>
          <w:sz w:val="16"/>
          <w:szCs w:val="16"/>
        </w:rPr>
      </w:pPr>
      <w:r>
        <w:rPr>
          <w:rStyle w:val="FootnoteReference"/>
          <w:sz w:val="16"/>
          <w:szCs w:val="16"/>
        </w:rPr>
        <w:footnoteRef/>
      </w:r>
      <w:r>
        <w:rPr>
          <w:sz w:val="16"/>
          <w:szCs w:val="16"/>
        </w:rPr>
        <w:t xml:space="preserve"> In absolute terms, Spain was the main beneficiary until the period 2000</w:t>
      </w:r>
      <w:r>
        <w:rPr>
          <w:sz w:val="16"/>
          <w:szCs w:val="16"/>
        </w:rPr>
        <w:t>-2006; the second in 2007-2013 and the third in 2014-2020.</w:t>
      </w:r>
    </w:p>
  </w:footnote>
  <w:footnote w:id="108">
    <w:p w:rsidR="00794EA4" w:rsidRDefault="0017531E">
      <w:pPr>
        <w:pStyle w:val="FootnoteText"/>
        <w:ind w:left="60" w:hanging="60"/>
        <w:rPr>
          <w:sz w:val="16"/>
          <w:szCs w:val="16"/>
        </w:rPr>
      </w:pPr>
      <w:r>
        <w:rPr>
          <w:rStyle w:val="FootnoteReference"/>
          <w:sz w:val="16"/>
          <w:szCs w:val="16"/>
        </w:rPr>
        <w:footnoteRef/>
      </w:r>
      <w:r>
        <w:rPr>
          <w:sz w:val="16"/>
          <w:szCs w:val="16"/>
        </w:rPr>
        <w:t xml:space="preserve"> Final data for the period 2007-2013 will only be available at the end of 2017.</w:t>
      </w:r>
    </w:p>
  </w:footnote>
  <w:footnote w:id="109">
    <w:p w:rsidR="00794EA4" w:rsidRDefault="0017531E">
      <w:pPr>
        <w:pStyle w:val="FootnoteText"/>
        <w:ind w:left="60" w:hanging="60"/>
        <w:rPr>
          <w:sz w:val="16"/>
          <w:szCs w:val="16"/>
        </w:rPr>
      </w:pPr>
      <w:r>
        <w:rPr>
          <w:rStyle w:val="FootnoteReference"/>
          <w:sz w:val="16"/>
          <w:szCs w:val="16"/>
        </w:rPr>
        <w:footnoteRef/>
      </w:r>
      <w:r>
        <w:rPr>
          <w:sz w:val="16"/>
          <w:szCs w:val="16"/>
        </w:rPr>
        <w:t xml:space="preserve"> Current prices, November 2011. These figures do not include the results of the MFF mid-term review.</w:t>
      </w:r>
    </w:p>
  </w:footnote>
  <w:footnote w:id="110">
    <w:p w:rsidR="00794EA4" w:rsidRDefault="0017531E">
      <w:pPr>
        <w:pStyle w:val="FootnoteText"/>
        <w:ind w:left="60" w:hanging="60"/>
        <w:rPr>
          <w:sz w:val="16"/>
          <w:szCs w:val="16"/>
        </w:rPr>
      </w:pPr>
      <w:r>
        <w:rPr>
          <w:rStyle w:val="FootnoteReference"/>
          <w:sz w:val="16"/>
          <w:szCs w:val="16"/>
        </w:rPr>
        <w:footnoteRef/>
      </w:r>
      <w:r>
        <w:rPr>
          <w:sz w:val="16"/>
          <w:szCs w:val="16"/>
        </w:rPr>
        <w:t xml:space="preserve"> European Commission, </w:t>
      </w:r>
      <w:hyperlink r:id="rId71" w:history="1">
        <w:r>
          <w:rPr>
            <w:rStyle w:val="Hyperlink"/>
            <w:sz w:val="16"/>
            <w:szCs w:val="16"/>
          </w:rPr>
          <w:t>European Structural and Investment Funds Data By Country</w:t>
        </w:r>
      </w:hyperlink>
    </w:p>
  </w:footnote>
  <w:footnote w:id="111">
    <w:p w:rsidR="00794EA4" w:rsidRDefault="0017531E">
      <w:pPr>
        <w:widowControl w:val="0"/>
        <w:spacing w:after="0" w:line="240" w:lineRule="auto"/>
        <w:ind w:left="60" w:hanging="60"/>
        <w:rPr>
          <w:b/>
          <w:sz w:val="16"/>
          <w:szCs w:val="16"/>
        </w:rPr>
      </w:pPr>
      <w:r>
        <w:rPr>
          <w:rStyle w:val="FootnoteReference"/>
          <w:sz w:val="16"/>
          <w:szCs w:val="16"/>
        </w:rPr>
        <w:footnoteRef/>
      </w:r>
      <w:r>
        <w:rPr>
          <w:sz w:val="16"/>
          <w:szCs w:val="16"/>
        </w:rPr>
        <w:t xml:space="preserve"> The Commission has work ongoing to improve the country-specific knowledge about quality and functioning of the admi</w:t>
      </w:r>
      <w:r>
        <w:rPr>
          <w:sz w:val="16"/>
          <w:szCs w:val="16"/>
        </w:rPr>
        <w:t>nistrative systems of Member States.</w:t>
      </w:r>
    </w:p>
  </w:footnote>
  <w:footnote w:id="11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Charron N., 2013. </w:t>
      </w:r>
      <w:hyperlink r:id="rId72" w:history="1">
        <w:r>
          <w:rPr>
            <w:rStyle w:val="Hyperlink"/>
            <w:sz w:val="16"/>
            <w:szCs w:val="16"/>
          </w:rPr>
          <w:t>European Quality of Government Index (EQI)</w:t>
        </w:r>
      </w:hyperlink>
    </w:p>
  </w:footnote>
  <w:footnote w:id="113">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World Bank - </w:t>
      </w:r>
      <w:hyperlink r:id="rId73" w:anchor="countryReports" w:history="1">
        <w:r>
          <w:rPr>
            <w:rStyle w:val="Hyperlink"/>
            <w:sz w:val="16"/>
            <w:szCs w:val="16"/>
          </w:rPr>
          <w:t>Worldwide Governance Indicators 2015</w:t>
        </w:r>
      </w:hyperlink>
      <w:r>
        <w:rPr>
          <w:sz w:val="16"/>
          <w:szCs w:val="16"/>
        </w:rPr>
        <w:t xml:space="preserve"> </w:t>
      </w:r>
    </w:p>
  </w:footnote>
  <w:footnote w:id="114">
    <w:p w:rsidR="00794EA4" w:rsidRDefault="0017531E">
      <w:pPr>
        <w:pStyle w:val="FootnoteText"/>
        <w:ind w:left="60" w:hanging="60"/>
        <w:rPr>
          <w:sz w:val="16"/>
          <w:szCs w:val="16"/>
        </w:rPr>
      </w:pPr>
      <w:r>
        <w:rPr>
          <w:rStyle w:val="FootnoteReference"/>
          <w:sz w:val="16"/>
          <w:szCs w:val="16"/>
        </w:rPr>
        <w:footnoteRef/>
      </w:r>
      <w:r>
        <w:rPr>
          <w:sz w:val="16"/>
          <w:szCs w:val="16"/>
        </w:rPr>
        <w:t xml:space="preserve"> OECD </w:t>
      </w:r>
      <w:hyperlink r:id="rId74" w:history="1">
        <w:r>
          <w:rPr>
            <w:rStyle w:val="Hyperlink"/>
            <w:sz w:val="16"/>
            <w:szCs w:val="16"/>
          </w:rPr>
          <w:t>Environmental Performance Review: Spain 2015</w:t>
        </w:r>
      </w:hyperlink>
    </w:p>
  </w:footnote>
  <w:footnote w:id="11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Such as the Sese</w:t>
      </w:r>
      <w:r>
        <w:rPr>
          <w:sz w:val="16"/>
          <w:szCs w:val="16"/>
        </w:rPr>
        <w:t>ña waste tyres dump site in the province of Toledo, near Madrid, that eventually caught fire in May 2016.</w:t>
      </w:r>
    </w:p>
  </w:footnote>
  <w:footnote w:id="11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Article 11 of the TFEU provides that "Environmental protection requirements must be integrated into the definition and implementation of the Union's</w:t>
      </w:r>
      <w:r>
        <w:rPr>
          <w:sz w:val="16"/>
          <w:szCs w:val="16"/>
        </w:rPr>
        <w:t xml:space="preserve"> policies and activities, in particular with a view to promoting sustainable development."</w:t>
      </w:r>
    </w:p>
  </w:footnote>
  <w:footnote w:id="117">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The transposition of Directive 2014/52/EU is due in May 2017.</w:t>
      </w:r>
    </w:p>
  </w:footnote>
  <w:footnote w:id="118">
    <w:p w:rsidR="00794EA4" w:rsidRDefault="0017531E">
      <w:pPr>
        <w:pStyle w:val="FootnoteText"/>
        <w:ind w:left="60" w:hanging="60"/>
        <w:rPr>
          <w:sz w:val="16"/>
          <w:szCs w:val="16"/>
        </w:rPr>
      </w:pPr>
      <w:r>
        <w:rPr>
          <w:rStyle w:val="FootnoteReference"/>
          <w:sz w:val="16"/>
          <w:szCs w:val="16"/>
        </w:rPr>
        <w:footnoteRef/>
      </w:r>
      <w:r>
        <w:rPr>
          <w:sz w:val="16"/>
          <w:szCs w:val="16"/>
        </w:rPr>
        <w:t xml:space="preserve"> European Commission, 2016. Commission notice — </w:t>
      </w:r>
      <w:hyperlink r:id="rId75" w:history="1">
        <w:r>
          <w:rPr>
            <w:rStyle w:val="Hyperlink"/>
            <w:rFonts w:asciiTheme="minorHAnsi" w:hAnsiTheme="minorHAnsi"/>
            <w:sz w:val="16"/>
            <w:szCs w:val="16"/>
          </w:rPr>
          <w:t>Commission guidance document on streamlining environmental assessments conducted under Article 2(3) of the Environmental Impact Assessment Directive</w:t>
        </w:r>
      </w:hyperlink>
      <w:r>
        <w:rPr>
          <w:sz w:val="16"/>
          <w:szCs w:val="16"/>
        </w:rPr>
        <w:t xml:space="preserve"> (Directive 2011/92/EU of the European Parliament and of the Council, as am</w:t>
      </w:r>
      <w:r>
        <w:rPr>
          <w:sz w:val="16"/>
          <w:szCs w:val="16"/>
        </w:rPr>
        <w:t>ended by Directive 2014/52/EU).</w:t>
      </w:r>
    </w:p>
  </w:footnote>
  <w:footnote w:id="11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Law 21/2013, of 9 December 2013, on environmental impact assessments.</w:t>
      </w:r>
    </w:p>
  </w:footnote>
  <w:footnote w:id="12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Union, </w:t>
      </w:r>
      <w:hyperlink r:id="rId76" w:history="1">
        <w:r>
          <w:rPr>
            <w:rStyle w:val="Hyperlink"/>
            <w:sz w:val="16"/>
            <w:szCs w:val="16"/>
          </w:rPr>
          <w:t>Environmental Crime Directive 2008/99/EC</w:t>
        </w:r>
      </w:hyperlink>
    </w:p>
  </w:footnote>
  <w:footnote w:id="12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77" w:history="1">
        <w:r>
          <w:rPr>
            <w:rStyle w:val="Hyperlink"/>
            <w:sz w:val="16"/>
            <w:szCs w:val="16"/>
          </w:rPr>
          <w:t>European Union Network for the Implementation and Enforcement of Environmental Law</w:t>
        </w:r>
      </w:hyperlink>
    </w:p>
  </w:footnote>
  <w:footnote w:id="12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78" w:history="1">
        <w:r>
          <w:rPr>
            <w:rStyle w:val="Hyperlink"/>
            <w:sz w:val="16"/>
            <w:szCs w:val="16"/>
          </w:rPr>
          <w:t>European Union Forum of judges for</w:t>
        </w:r>
        <w:r>
          <w:rPr>
            <w:rStyle w:val="Hyperlink"/>
            <w:sz w:val="16"/>
            <w:szCs w:val="16"/>
          </w:rPr>
          <w:t xml:space="preserve"> the environment</w:t>
        </w:r>
      </w:hyperlink>
    </w:p>
  </w:footnote>
  <w:footnote w:id="123">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79" w:history="1">
        <w:r>
          <w:rPr>
            <w:rStyle w:val="Hyperlink"/>
            <w:sz w:val="16"/>
            <w:szCs w:val="16"/>
          </w:rPr>
          <w:t>The European Network of Prosecutors for the Environment</w:t>
        </w:r>
      </w:hyperlink>
    </w:p>
  </w:footnote>
  <w:footnote w:id="124">
    <w:p w:rsidR="00794EA4" w:rsidRDefault="0017531E">
      <w:pPr>
        <w:pStyle w:val="FootnoteText"/>
        <w:widowControl w:val="0"/>
        <w:ind w:left="60" w:hanging="60"/>
        <w:rPr>
          <w:sz w:val="16"/>
          <w:szCs w:val="16"/>
          <w:lang w:val="fr-BE"/>
        </w:rPr>
      </w:pPr>
      <w:r>
        <w:rPr>
          <w:rStyle w:val="FootnoteReference"/>
          <w:sz w:val="16"/>
          <w:szCs w:val="16"/>
        </w:rPr>
        <w:footnoteRef/>
      </w:r>
      <w:r>
        <w:rPr>
          <w:sz w:val="16"/>
          <w:szCs w:val="16"/>
          <w:lang w:val="fr-BE"/>
        </w:rPr>
        <w:t xml:space="preserve"> </w:t>
      </w:r>
      <w:hyperlink r:id="rId80" w:history="1">
        <w:r>
          <w:rPr>
            <w:rStyle w:val="Hyperlink"/>
            <w:sz w:val="16"/>
            <w:szCs w:val="16"/>
            <w:lang w:val="fr-BE"/>
          </w:rPr>
          <w:t>EnviCrimeNet</w:t>
        </w:r>
      </w:hyperlink>
    </w:p>
  </w:footnote>
  <w:footnote w:id="125">
    <w:p w:rsidR="00794EA4" w:rsidRPr="0017531E" w:rsidRDefault="0017531E">
      <w:pPr>
        <w:pStyle w:val="FootnoteText"/>
        <w:widowControl w:val="0"/>
        <w:ind w:left="60" w:hanging="60"/>
        <w:rPr>
          <w:sz w:val="16"/>
          <w:szCs w:val="16"/>
          <w:lang w:val="fr-BE"/>
        </w:rPr>
      </w:pPr>
      <w:r>
        <w:rPr>
          <w:rStyle w:val="FootnoteReference"/>
          <w:sz w:val="16"/>
          <w:szCs w:val="16"/>
        </w:rPr>
        <w:footnoteRef/>
      </w:r>
      <w:r w:rsidRPr="0017531E">
        <w:rPr>
          <w:sz w:val="16"/>
          <w:szCs w:val="16"/>
          <w:lang w:val="fr-BE"/>
        </w:rPr>
        <w:t xml:space="preserve"> European Union, </w:t>
      </w:r>
      <w:hyperlink r:id="rId81" w:history="1">
        <w:r w:rsidRPr="0017531E">
          <w:rPr>
            <w:rStyle w:val="Hyperlink"/>
            <w:sz w:val="16"/>
            <w:szCs w:val="16"/>
            <w:lang w:val="fr-BE"/>
          </w:rPr>
          <w:t>Environmental Liability Directive 2004/35/CE</w:t>
        </w:r>
      </w:hyperlink>
      <w:r w:rsidRPr="0017531E">
        <w:rPr>
          <w:sz w:val="16"/>
          <w:szCs w:val="16"/>
          <w:lang w:val="fr-BE"/>
        </w:rPr>
        <w:t>, p.56</w:t>
      </w:r>
    </w:p>
  </w:footnote>
  <w:footnote w:id="12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82" w:history="1">
        <w:r>
          <w:rPr>
            <w:rStyle w:val="Hyperlink"/>
            <w:sz w:val="16"/>
            <w:szCs w:val="16"/>
          </w:rPr>
          <w:t>COM(2016)204 final</w:t>
        </w:r>
      </w:hyperlink>
      <w:r>
        <w:rPr>
          <w:sz w:val="16"/>
          <w:szCs w:val="16"/>
        </w:rPr>
        <w:t xml:space="preserve"> and </w:t>
      </w:r>
      <w:hyperlink r:id="rId83" w:history="1">
        <w:r>
          <w:rPr>
            <w:rStyle w:val="Hyperlink"/>
            <w:sz w:val="16"/>
            <w:szCs w:val="16"/>
          </w:rPr>
          <w:t>COM(2016)121 final</w:t>
        </w:r>
      </w:hyperlink>
      <w:r>
        <w:rPr>
          <w:sz w:val="16"/>
          <w:szCs w:val="16"/>
        </w:rPr>
        <w:t xml:space="preserve"> of 14.4.2016. This highlighted the need for better evidence on how the directive is used in practice; for tools to support its implementation, such as guidance, training and ELD registers; and for finan</w:t>
      </w:r>
      <w:r>
        <w:rPr>
          <w:sz w:val="16"/>
          <w:szCs w:val="16"/>
        </w:rPr>
        <w:t>cial security to be available in case events or incidents generate remediation costs.</w:t>
      </w:r>
    </w:p>
  </w:footnote>
  <w:footnote w:id="127">
    <w:p w:rsidR="00794EA4" w:rsidRDefault="0017531E">
      <w:pPr>
        <w:pStyle w:val="FootnoteText"/>
        <w:widowControl w:val="0"/>
        <w:ind w:left="60" w:hanging="60"/>
        <w:rPr>
          <w:sz w:val="16"/>
          <w:szCs w:val="16"/>
        </w:rPr>
      </w:pPr>
      <w:r>
        <w:rPr>
          <w:rStyle w:val="FootnoteReference"/>
          <w:sz w:val="16"/>
          <w:szCs w:val="16"/>
        </w:rPr>
        <w:footnoteRef/>
      </w:r>
      <w:hyperlink r:id="rId84" w:history="1">
        <w:r>
          <w:rPr>
            <w:rStyle w:val="Hyperlink"/>
            <w:sz w:val="16"/>
            <w:szCs w:val="16"/>
          </w:rPr>
          <w:t>http://www.magrama.gob.es/en/cali</w:t>
        </w:r>
        <w:r>
          <w:rPr>
            <w:rStyle w:val="Hyperlink"/>
            <w:sz w:val="16"/>
            <w:szCs w:val="16"/>
          </w:rPr>
          <w:t>dad-y-evaluacion-ambiental/temas/medio-ambiente-industrial/inspeccion-ambiental/redia/</w:t>
        </w:r>
      </w:hyperlink>
      <w:r>
        <w:rPr>
          <w:sz w:val="16"/>
          <w:szCs w:val="16"/>
        </w:rPr>
        <w:t xml:space="preserve">. </w:t>
      </w:r>
    </w:p>
  </w:footnote>
  <w:footnote w:id="128">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According to a study prepared for the Commission, Spain belongs to the Member States where poisoning is widespread and has at least a moderate conservation impact on</w:t>
      </w:r>
      <w:r>
        <w:rPr>
          <w:sz w:val="16"/>
          <w:szCs w:val="16"/>
        </w:rPr>
        <w:t xml:space="preserve"> bird species (Bio Intelligence 2011 Report, p. 22). </w:t>
      </w:r>
    </w:p>
  </w:footnote>
  <w:footnote w:id="12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The VENENO project team has, inter alia, drawn up the Action Plan for Eradication of the Illegal Use of Poison in the Countryside (Plan de Acción para la erradicación del uso ilegal de veneno en el Me</w:t>
      </w:r>
      <w:r>
        <w:rPr>
          <w:sz w:val="16"/>
          <w:szCs w:val="16"/>
        </w:rPr>
        <w:t>dio Natural) and four procedural protocols (for dealing with cases of poisoning in wildlife rescue centres and toxicology laboratories; for law enforcement officials in charge of collecting presumably poisoned fauna or bait and the preliminary investigatio</w:t>
      </w:r>
      <w:r>
        <w:rPr>
          <w:sz w:val="16"/>
          <w:szCs w:val="16"/>
        </w:rPr>
        <w:t>n; general legal protocol for administrative action and liaison with criminal proceedings deriving from the use of poisoned bait in the countryside; and a protocol for law enforcement officials in charge of surveillance and preventive action) recognising t</w:t>
      </w:r>
      <w:r>
        <w:rPr>
          <w:sz w:val="16"/>
          <w:szCs w:val="16"/>
        </w:rPr>
        <w:t>hat enforcement work involves a chain that extends from surveillance through to the choice and application of remedies and sanctions. It should be noted that the project related work led to cases being brought court and that it provided assistance in poiso</w:t>
      </w:r>
      <w:r>
        <w:rPr>
          <w:sz w:val="16"/>
          <w:szCs w:val="16"/>
        </w:rPr>
        <w:t xml:space="preserve">n-related cases in criminal and administrative proceedings with impressive outcomes. See for details at: </w:t>
      </w:r>
      <w:hyperlink r:id="rId85" w:history="1">
        <w:r>
          <w:rPr>
            <w:rStyle w:val="Hyperlink"/>
            <w:sz w:val="16"/>
            <w:szCs w:val="16"/>
          </w:rPr>
          <w:t>http://www.venenono.org/?page_id=289</w:t>
        </w:r>
      </w:hyperlink>
      <w:r>
        <w:rPr>
          <w:sz w:val="16"/>
          <w:szCs w:val="16"/>
        </w:rPr>
        <w:t xml:space="preserve">. </w:t>
      </w:r>
    </w:p>
  </w:footnote>
  <w:footnote w:id="130">
    <w:p w:rsidR="00794EA4" w:rsidRDefault="0017531E">
      <w:pPr>
        <w:pStyle w:val="FootnoteText"/>
        <w:widowControl w:val="0"/>
        <w:ind w:left="60" w:hanging="60"/>
        <w:rPr>
          <w:sz w:val="16"/>
          <w:szCs w:val="16"/>
        </w:rPr>
      </w:pPr>
      <w:r>
        <w:rPr>
          <w:rStyle w:val="FootnoteReference"/>
          <w:sz w:val="16"/>
          <w:szCs w:val="16"/>
        </w:rPr>
        <w:footnoteRef/>
      </w:r>
      <w:r>
        <w:rPr>
          <w:sz w:val="16"/>
          <w:szCs w:val="16"/>
        </w:rPr>
        <w:t>Mazur, E. (2011), 'Environmental Enforcement in Decentrali</w:t>
      </w:r>
      <w:r>
        <w:rPr>
          <w:sz w:val="16"/>
          <w:szCs w:val="16"/>
        </w:rPr>
        <w:t>sed Governance Systems: Toward a Nationwide Level Playing Field', OECD Environment Working Papers No 34, p. 20 and 27; Impact Assessment study into possible options for revising recommendation 2001/331/EC providing for minimum criteria for environmental in</w:t>
      </w:r>
      <w:r>
        <w:rPr>
          <w:sz w:val="16"/>
          <w:szCs w:val="16"/>
        </w:rPr>
        <w:t>spections (RMCEI), p. 198f. (see pp. 203-205).</w:t>
      </w:r>
    </w:p>
  </w:footnote>
  <w:footnote w:id="13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Illegal water abstraction represents in Spain a major threat particularly at times of drought. While Drought Management Plans curtail irrigation to ensure that priority needs are met, farmers resort to illeg</w:t>
      </w:r>
      <w:r>
        <w:rPr>
          <w:sz w:val="16"/>
          <w:szCs w:val="16"/>
        </w:rPr>
        <w:t xml:space="preserve">al groundwater abstractions to protect their crop against drought. See EEA Report No 1/2012. Towards efficient use of water resources in Europe, p. 15. </w:t>
      </w:r>
      <w:r>
        <w:rPr>
          <w:color w:val="000000" w:themeColor="text1"/>
          <w:sz w:val="16"/>
          <w:szCs w:val="16"/>
        </w:rPr>
        <w:t>The checklists used by cross-compliance inspectors in Spain indicate the actual volume of water abstract</w:t>
      </w:r>
      <w:r>
        <w:rPr>
          <w:color w:val="000000" w:themeColor="text1"/>
          <w:sz w:val="16"/>
          <w:szCs w:val="16"/>
        </w:rPr>
        <w:t>ed is currently not checked against permits</w:t>
      </w:r>
      <w:r>
        <w:rPr>
          <w:sz w:val="16"/>
          <w:szCs w:val="16"/>
        </w:rPr>
        <w:t xml:space="preserve"> </w:t>
      </w:r>
      <w:r>
        <w:rPr>
          <w:color w:val="000000" w:themeColor="text1"/>
          <w:sz w:val="16"/>
          <w:szCs w:val="16"/>
        </w:rPr>
        <w:t xml:space="preserve">undermining the effectiveness of compliance assurance, see </w:t>
      </w:r>
      <w:r>
        <w:rPr>
          <w:sz w:val="16"/>
          <w:szCs w:val="16"/>
        </w:rPr>
        <w:t xml:space="preserve">European Court of Auditors, Special report 2014/04, Integration of water policy objectives with the CAP: a partial success, p. 31. </w:t>
      </w:r>
    </w:p>
  </w:footnote>
  <w:footnote w:id="13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See </w:t>
      </w:r>
      <w:hyperlink r:id="rId86" w:history="1">
        <w:r>
          <w:rPr>
            <w:rStyle w:val="Hyperlink"/>
            <w:sz w:val="16"/>
            <w:szCs w:val="16"/>
          </w:rPr>
          <w:t>study on access to justice in environmental matters in 2012/2013</w:t>
        </w:r>
      </w:hyperlink>
    </w:p>
  </w:footnote>
  <w:footnote w:id="133">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Union, </w:t>
      </w:r>
      <w:hyperlink r:id="rId87" w:history="1">
        <w:r>
          <w:rPr>
            <w:rStyle w:val="Hyperlink"/>
            <w:sz w:val="16"/>
            <w:szCs w:val="16"/>
          </w:rPr>
          <w:t>Directive 2003/4/</w:t>
        </w:r>
        <w:r>
          <w:rPr>
            <w:rStyle w:val="Hyperlink"/>
            <w:sz w:val="16"/>
            <w:szCs w:val="16"/>
          </w:rPr>
          <w:t>EC on public access to environmental information</w:t>
        </w:r>
      </w:hyperlink>
    </w:p>
  </w:footnote>
  <w:footnote w:id="134">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Union, </w:t>
      </w:r>
      <w:hyperlink r:id="rId88" w:history="1">
        <w:r>
          <w:rPr>
            <w:rStyle w:val="Hyperlink"/>
            <w:sz w:val="16"/>
            <w:szCs w:val="16"/>
          </w:rPr>
          <w:t xml:space="preserve">INSPIRE </w:t>
        </w:r>
        <w:r>
          <w:rPr>
            <w:rStyle w:val="Hyperlink"/>
            <w:sz w:val="16"/>
            <w:szCs w:val="16"/>
            <w:lang w:val="en"/>
          </w:rPr>
          <w:t>Directive 2007/2/EC</w:t>
        </w:r>
      </w:hyperlink>
    </w:p>
  </w:footnote>
  <w:footnote w:id="135">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Commission, 2016. </w:t>
      </w:r>
      <w:hyperlink r:id="rId89" w:history="1">
        <w:r>
          <w:rPr>
            <w:rStyle w:val="Hyperlink"/>
            <w:sz w:val="16"/>
            <w:szCs w:val="16"/>
          </w:rPr>
          <w:t>INSPIRE Directive</w:t>
        </w:r>
      </w:hyperlink>
      <w:r>
        <w:rPr>
          <w:sz w:val="16"/>
          <w:szCs w:val="16"/>
        </w:rPr>
        <w:t xml:space="preserve"> </w:t>
      </w:r>
    </w:p>
  </w:footnote>
  <w:footnote w:id="136">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Union, EU eGovernment Action Plan 2016-2020 Accelerating the digital transformation of government </w:t>
      </w:r>
      <w:hyperlink r:id="rId90" w:history="1">
        <w:r>
          <w:rPr>
            <w:rStyle w:val="Hyperlink"/>
            <w:sz w:val="16"/>
            <w:szCs w:val="16"/>
          </w:rPr>
          <w:t>COM(2016) 179</w:t>
        </w:r>
      </w:hyperlink>
      <w:r>
        <w:rPr>
          <w:sz w:val="16"/>
          <w:szCs w:val="16"/>
        </w:rPr>
        <w:t xml:space="preserve"> final</w:t>
      </w:r>
    </w:p>
  </w:footnote>
  <w:footnote w:id="137">
    <w:p w:rsidR="00794EA4" w:rsidRDefault="0017531E">
      <w:pPr>
        <w:pStyle w:val="FootnoteText"/>
        <w:ind w:left="60" w:hanging="60"/>
        <w:rPr>
          <w:sz w:val="16"/>
          <w:szCs w:val="16"/>
        </w:rPr>
      </w:pPr>
      <w:r>
        <w:rPr>
          <w:rStyle w:val="FootnoteReference"/>
          <w:sz w:val="16"/>
          <w:szCs w:val="16"/>
        </w:rPr>
        <w:footnoteRef/>
      </w:r>
      <w:r>
        <w:rPr>
          <w:sz w:val="16"/>
          <w:szCs w:val="16"/>
        </w:rPr>
        <w:t xml:space="preserve"> Upon request by the Commission, most Member States provided an INSPIRE Action Plan addressing implementation issues. These plans are currently being assessed by the C</w:t>
      </w:r>
      <w:r>
        <w:rPr>
          <w:sz w:val="16"/>
          <w:szCs w:val="16"/>
        </w:rPr>
        <w:t xml:space="preserve">ommission. </w:t>
      </w:r>
    </w:p>
  </w:footnote>
  <w:footnote w:id="138">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Commission, </w:t>
      </w:r>
      <w:hyperlink r:id="rId91" w:history="1">
        <w:r>
          <w:rPr>
            <w:rStyle w:val="Hyperlink"/>
            <w:sz w:val="16"/>
            <w:szCs w:val="16"/>
          </w:rPr>
          <w:t>INSPIRE reports</w:t>
        </w:r>
      </w:hyperlink>
    </w:p>
  </w:footnote>
  <w:footnote w:id="139">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92" w:history="1">
        <w:r>
          <w:rPr>
            <w:rStyle w:val="Hyperlink"/>
            <w:sz w:val="16"/>
            <w:szCs w:val="16"/>
          </w:rPr>
          <w:t>https://www.boe.es/buscar/doc.php?id=BOE-A-2006-13010</w:t>
        </w:r>
      </w:hyperlink>
      <w:r>
        <w:rPr>
          <w:sz w:val="16"/>
          <w:szCs w:val="16"/>
        </w:rPr>
        <w:t xml:space="preserve"> </w:t>
      </w:r>
    </w:p>
  </w:footnote>
  <w:footnote w:id="140">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European Un</w:t>
      </w:r>
      <w:r>
        <w:rPr>
          <w:sz w:val="16"/>
          <w:szCs w:val="16"/>
        </w:rPr>
        <w:t xml:space="preserve">ion, </w:t>
      </w:r>
      <w:hyperlink r:id="rId93" w:history="1">
        <w:r>
          <w:rPr>
            <w:rStyle w:val="Hyperlink"/>
            <w:sz w:val="16"/>
            <w:szCs w:val="16"/>
          </w:rPr>
          <w:t>Directive 2003/4/EC on public access to environmental information</w:t>
        </w:r>
      </w:hyperlink>
    </w:p>
  </w:footnote>
  <w:footnote w:id="141">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94" w:history="1">
        <w:r>
          <w:rPr>
            <w:rStyle w:val="Hyperlink"/>
            <w:sz w:val="16"/>
            <w:szCs w:val="16"/>
          </w:rPr>
          <w:t>Directive 200</w:t>
        </w:r>
        <w:r>
          <w:rPr>
            <w:rStyle w:val="Hyperlink"/>
            <w:sz w:val="16"/>
            <w:szCs w:val="16"/>
          </w:rPr>
          <w:t>3/35/EC</w:t>
        </w:r>
      </w:hyperlink>
      <w:r>
        <w:rPr>
          <w:sz w:val="16"/>
          <w:szCs w:val="16"/>
        </w:rPr>
        <w:t xml:space="preserve"> </w:t>
      </w:r>
    </w:p>
  </w:footnote>
  <w:footnote w:id="142">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95" w:history="1">
        <w:r>
          <w:rPr>
            <w:rStyle w:val="Hyperlink"/>
            <w:rFonts w:asciiTheme="minorHAnsi" w:hAnsiTheme="minorHAnsi"/>
            <w:sz w:val="16"/>
            <w:szCs w:val="16"/>
          </w:rPr>
          <w:t>Inspire indicator trends</w:t>
        </w:r>
      </w:hyperlink>
    </w:p>
  </w:footnote>
  <w:footnote w:id="143">
    <w:p w:rsidR="00794EA4" w:rsidRDefault="0017531E">
      <w:pPr>
        <w:pStyle w:val="FootnoteText"/>
        <w:widowControl w:val="0"/>
        <w:ind w:left="60" w:hanging="60"/>
        <w:rPr>
          <w:sz w:val="16"/>
          <w:szCs w:val="16"/>
        </w:rPr>
      </w:pPr>
      <w:r>
        <w:rPr>
          <w:rStyle w:val="FootnoteReference"/>
          <w:sz w:val="16"/>
          <w:szCs w:val="16"/>
        </w:rPr>
        <w:footnoteRef/>
      </w:r>
      <w:r>
        <w:rPr>
          <w:sz w:val="16"/>
          <w:szCs w:val="16"/>
        </w:rPr>
        <w:t xml:space="preserve"> </w:t>
      </w:r>
      <w:hyperlink r:id="rId96" w:history="1">
        <w:r>
          <w:rPr>
            <w:rStyle w:val="Hyperlink"/>
            <w:sz w:val="16"/>
            <w:szCs w:val="16"/>
          </w:rPr>
          <w:t xml:space="preserve">Inspire Resources Summary </w:t>
        </w:r>
        <w:r>
          <w:rPr>
            <w:rStyle w:val="Hyperlink"/>
            <w:sz w:val="16"/>
            <w:szCs w:val="16"/>
          </w:rPr>
          <w:t>Report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1E" w:rsidRPr="0017531E" w:rsidRDefault="0017531E" w:rsidP="0017531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5</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6</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9</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1E" w:rsidRPr="0017531E" w:rsidRDefault="0017531E" w:rsidP="0017531E">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10</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17</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sdt>
            <w:sdtPr>
              <w:rPr>
                <w:rFonts w:cstheme="minorHAnsi"/>
                <w:b/>
                <w:bCs/>
                <w:color w:val="1F497D" w:themeColor="text2"/>
              </w:rPr>
              <w:id w:val="-2014445530"/>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22</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31E" w:rsidRPr="0017531E" w:rsidRDefault="0017531E" w:rsidP="0017531E">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23</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sdt>
            <w:sdtPr>
              <w:rPr>
                <w:rFonts w:cstheme="minorHAnsi"/>
                <w:b/>
                <w:bCs/>
                <w:color w:val="1F497D" w:themeColor="text2"/>
              </w:rPr>
              <w:id w:val="-110521663"/>
              <w:docPartObj>
                <w:docPartGallery w:val="Watermarks"/>
                <w:docPartUnique/>
              </w:docPartObj>
            </w:sdtPr>
            <w:sdtEndPr/>
            <w:sdtContent>
              <w:r>
                <w:rPr>
                  <w:rFonts w:cstheme="minorHAnsi"/>
                  <w:b/>
                  <w:bCs/>
                  <w:noProof/>
                  <w:color w:val="1F497D" w:themeColor="text2"/>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12.4pt;height:247.45pt;rotation:315;z-index:-2516382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i</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09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27</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28</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32</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8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3</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2</w:t>
          </w:r>
          <w:r>
            <w:rPr>
              <w:rFonts w:cstheme="minorHAnsi"/>
              <w:b/>
              <w:bCs/>
              <w:color w:val="1F497D" w:themeColor="text2"/>
              <w:sz w:val="28"/>
            </w:rPr>
            <w:fldChar w:fldCharType="end"/>
          </w:r>
        </w:p>
      </w:tc>
    </w:tr>
  </w:tbl>
  <w:p w:rsidR="00794EA4" w:rsidRDefault="00794E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EA4" w:rsidRDefault="00794EA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794EA4">
      <w:tc>
        <w:tcPr>
          <w:tcW w:w="0" w:type="auto"/>
          <w:tcBorders>
            <w:top w:val="nil"/>
            <w:left w:val="nil"/>
            <w:bottom w:val="nil"/>
            <w:right w:val="single" w:sz="6" w:space="0" w:color="000000" w:themeColor="text1"/>
          </w:tcBorders>
          <w:hideMark/>
        </w:tcPr>
        <w:p w:rsidR="00794EA4" w:rsidRDefault="0017531E">
          <w:pPr>
            <w:pStyle w:val="Header"/>
            <w:spacing w:line="276" w:lineRule="auto"/>
            <w:jc w:val="right"/>
            <w:rPr>
              <w:rFonts w:cstheme="minorHAnsi"/>
              <w:b/>
              <w:bCs/>
              <w:color w:val="1F497D" w:themeColor="text2"/>
            </w:rPr>
          </w:pPr>
          <w:r>
            <w:rPr>
              <w:rFonts w:cstheme="minorHAnsi"/>
              <w:b/>
              <w:bCs/>
              <w:color w:val="1F497D" w:themeColor="text2"/>
            </w:rPr>
            <w:t>Spain</w:t>
          </w:r>
        </w:p>
      </w:tc>
      <w:tc>
        <w:tcPr>
          <w:tcW w:w="1152" w:type="dxa"/>
          <w:tcBorders>
            <w:top w:val="nil"/>
            <w:left w:val="single" w:sz="6" w:space="0" w:color="000000" w:themeColor="text1"/>
            <w:bottom w:val="nil"/>
            <w:right w:val="nil"/>
          </w:tcBorders>
          <w:hideMark/>
        </w:tcPr>
        <w:p w:rsidR="00794EA4" w:rsidRDefault="0017531E">
          <w:pPr>
            <w:pStyle w:val="Header"/>
            <w:spacing w:line="276" w:lineRule="auto"/>
            <w:rPr>
              <w:rFonts w:cstheme="minorHAnsi"/>
              <w:b/>
              <w:bCs/>
              <w:color w:val="1F497D" w:themeColor="text2"/>
            </w:rPr>
          </w:pPr>
          <w:r>
            <w:rPr>
              <w:rFonts w:cstheme="minorHAnsi"/>
              <w:b/>
              <w:bCs/>
              <w:color w:val="1F497D" w:themeColor="text2"/>
              <w:sz w:val="28"/>
            </w:rPr>
            <w:fldChar w:fldCharType="begin"/>
          </w:r>
          <w:r>
            <w:rPr>
              <w:rFonts w:cstheme="minorHAnsi"/>
              <w:b/>
              <w:bCs/>
              <w:color w:val="1F497D" w:themeColor="text2"/>
              <w:sz w:val="28"/>
            </w:rPr>
            <w:instrText xml:space="preserve"> PAGE   \* MERGEFORMAT </w:instrText>
          </w:r>
          <w:r>
            <w:rPr>
              <w:rFonts w:cstheme="minorHAnsi"/>
              <w:b/>
              <w:bCs/>
              <w:color w:val="1F497D" w:themeColor="text2"/>
              <w:sz w:val="28"/>
            </w:rPr>
            <w:fldChar w:fldCharType="separate"/>
          </w:r>
          <w:r>
            <w:rPr>
              <w:rFonts w:cstheme="minorHAnsi"/>
              <w:b/>
              <w:bCs/>
              <w:noProof/>
              <w:color w:val="1F497D" w:themeColor="text2"/>
              <w:sz w:val="28"/>
            </w:rPr>
            <w:t>4</w:t>
          </w:r>
          <w:r>
            <w:rPr>
              <w:rFonts w:cstheme="minorHAnsi"/>
              <w:b/>
              <w:bCs/>
              <w:color w:val="1F497D" w:themeColor="text2"/>
              <w:sz w:val="28"/>
            </w:rPr>
            <w:fldChar w:fldCharType="end"/>
          </w:r>
        </w:p>
      </w:tc>
    </w:tr>
  </w:tbl>
  <w:p w:rsidR="00794EA4" w:rsidRDefault="00794EA4">
    <w:pPr>
      <w:pStyle w:val="Header"/>
      <w:rPr>
        <w:color w:val="1F497D" w:themeColor="text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10"/>
      <w:gridCol w:w="1152"/>
    </w:tblGrid>
    <w:tr w:rsidR="00794EA4">
      <w:tc>
        <w:tcPr>
          <w:tcW w:w="0" w:type="auto"/>
          <w:tcBorders>
            <w:top w:val="nil"/>
            <w:left w:val="nil"/>
            <w:bottom w:val="nil"/>
            <w:right w:val="single" w:sz="6" w:space="0" w:color="000000" w:themeColor="text1"/>
          </w:tcBorders>
        </w:tcPr>
        <w:p w:rsidR="00794EA4" w:rsidRDefault="00794EA4">
          <w:pPr>
            <w:pStyle w:val="Header"/>
            <w:spacing w:line="276" w:lineRule="auto"/>
            <w:jc w:val="right"/>
            <w:rPr>
              <w:rFonts w:cstheme="minorHAnsi"/>
              <w:b/>
              <w:bCs/>
              <w:color w:val="1F497D" w:themeColor="text2"/>
            </w:rPr>
          </w:pPr>
        </w:p>
      </w:tc>
      <w:tc>
        <w:tcPr>
          <w:tcW w:w="1152" w:type="dxa"/>
          <w:tcBorders>
            <w:top w:val="nil"/>
            <w:left w:val="single" w:sz="6" w:space="0" w:color="000000" w:themeColor="text1"/>
            <w:bottom w:val="nil"/>
            <w:right w:val="nil"/>
          </w:tcBorders>
        </w:tcPr>
        <w:p w:rsidR="00794EA4" w:rsidRDefault="00794EA4">
          <w:pPr>
            <w:pStyle w:val="Header"/>
            <w:spacing w:line="276" w:lineRule="auto"/>
            <w:rPr>
              <w:rFonts w:cstheme="minorHAnsi"/>
              <w:b/>
              <w:bCs/>
              <w:color w:val="1F497D" w:themeColor="text2"/>
            </w:rPr>
          </w:pPr>
        </w:p>
      </w:tc>
    </w:tr>
  </w:tbl>
  <w:p w:rsidR="00794EA4" w:rsidRDefault="00794E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B34C7"/>
    <w:multiLevelType w:val="hybridMultilevel"/>
    <w:tmpl w:val="049E846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92E6943"/>
    <w:multiLevelType w:val="hybridMultilevel"/>
    <w:tmpl w:val="E1983B8E"/>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4">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5">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6">
    <w:nsid w:val="25CB14D9"/>
    <w:multiLevelType w:val="hybridMultilevel"/>
    <w:tmpl w:val="DF72ACB6"/>
    <w:lvl w:ilvl="0" w:tplc="4C86398E">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8">
    <w:nsid w:val="375D2424"/>
    <w:multiLevelType w:val="hybridMultilevel"/>
    <w:tmpl w:val="10784D0A"/>
    <w:lvl w:ilvl="0" w:tplc="C63C8856">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9F40B42"/>
    <w:multiLevelType w:val="hybridMultilevel"/>
    <w:tmpl w:val="1A06B5FE"/>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1">
    <w:nsid w:val="3FFB4227"/>
    <w:multiLevelType w:val="hybridMultilevel"/>
    <w:tmpl w:val="39805D56"/>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404025B9"/>
    <w:multiLevelType w:val="hybridMultilevel"/>
    <w:tmpl w:val="A18E44B6"/>
    <w:lvl w:ilvl="0" w:tplc="76C843FC">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17A383C"/>
    <w:multiLevelType w:val="hybridMultilevel"/>
    <w:tmpl w:val="2C844E1C"/>
    <w:lvl w:ilvl="0" w:tplc="E54659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4B92658"/>
    <w:multiLevelType w:val="hybridMultilevel"/>
    <w:tmpl w:val="5A18A4F0"/>
    <w:lvl w:ilvl="0" w:tplc="08090001">
      <w:start w:val="1"/>
      <w:numFmt w:val="bullet"/>
      <w:lvlText w:val=""/>
      <w:lvlJc w:val="left"/>
      <w:pPr>
        <w:ind w:left="360" w:hanging="360"/>
      </w:pPr>
      <w:rPr>
        <w:rFonts w:ascii="Symbol" w:hAnsi="Symbol" w:hint="default"/>
        <w:color w:val="auto"/>
      </w:rPr>
    </w:lvl>
    <w:lvl w:ilvl="1" w:tplc="EAAED620">
      <w:numFmt w:val="bullet"/>
      <w:lvlText w:val="-"/>
      <w:lvlJc w:val="left"/>
      <w:pPr>
        <w:ind w:left="1080" w:hanging="360"/>
      </w:pPr>
      <w:rPr>
        <w:rFonts w:ascii="Times New Roman" w:eastAsia="Calibr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5783D15"/>
    <w:multiLevelType w:val="hybridMultilevel"/>
    <w:tmpl w:val="6B64418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8AF1688"/>
    <w:multiLevelType w:val="hybridMultilevel"/>
    <w:tmpl w:val="881C1910"/>
    <w:lvl w:ilvl="0" w:tplc="D030827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9EF108E"/>
    <w:multiLevelType w:val="hybridMultilevel"/>
    <w:tmpl w:val="0ED6AB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0603580"/>
    <w:multiLevelType w:val="hybridMultilevel"/>
    <w:tmpl w:val="38F431C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4">
    <w:nsid w:val="5BC90AEA"/>
    <w:multiLevelType w:val="hybridMultilevel"/>
    <w:tmpl w:val="E08AA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DC34809"/>
    <w:multiLevelType w:val="hybridMultilevel"/>
    <w:tmpl w:val="5574B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F737FAC"/>
    <w:multiLevelType w:val="hybridMultilevel"/>
    <w:tmpl w:val="EAFEAC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8">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9">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0">
    <w:nsid w:val="68334613"/>
    <w:multiLevelType w:val="hybridMultilevel"/>
    <w:tmpl w:val="0E180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68FC6669"/>
    <w:multiLevelType w:val="hybridMultilevel"/>
    <w:tmpl w:val="0D12C840"/>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3">
    <w:nsid w:val="6FDB7EAF"/>
    <w:multiLevelType w:val="hybridMultilevel"/>
    <w:tmpl w:val="C0A0698A"/>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nsid w:val="773D42BA"/>
    <w:multiLevelType w:val="hybridMultilevel"/>
    <w:tmpl w:val="5C208C8A"/>
    <w:lvl w:ilvl="0" w:tplc="2ABCD1E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79BA1BE4"/>
    <w:multiLevelType w:val="hybridMultilevel"/>
    <w:tmpl w:val="73B8F8F8"/>
    <w:lvl w:ilvl="0" w:tplc="08090009">
      <w:start w:val="1"/>
      <w:numFmt w:val="bullet"/>
      <w:lvlText w:val=""/>
      <w:lvlJc w:val="left"/>
      <w:pPr>
        <w:ind w:left="360" w:hanging="360"/>
      </w:pPr>
      <w:rPr>
        <w:rFonts w:ascii="Wingdings" w:hAnsi="Wingdings" w:hint="default"/>
        <w:color w:val="auto"/>
      </w:rPr>
    </w:lvl>
    <w:lvl w:ilvl="1" w:tplc="EAAED620">
      <w:numFmt w:val="bullet"/>
      <w:lvlText w:val="-"/>
      <w:lvlJc w:val="left"/>
      <w:pPr>
        <w:ind w:left="1080" w:hanging="360"/>
      </w:pPr>
      <w:rPr>
        <w:rFonts w:ascii="Times New Roman" w:eastAsiaTheme="minorHAnsi"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7B2B7DE9"/>
    <w:multiLevelType w:val="multilevel"/>
    <w:tmpl w:val="6116F4A2"/>
    <w:styleLink w:val="List72"/>
    <w:lvl w:ilvl="0">
      <w:start w:val="1"/>
      <w:numFmt w:val="lowerLetter"/>
      <w:lvlText w:val="(%1)"/>
      <w:lvlJc w:val="left"/>
      <w:rPr>
        <w:b/>
        <w:bCs/>
        <w:position w:val="0"/>
      </w:rPr>
    </w:lvl>
    <w:lvl w:ilvl="1">
      <w:start w:val="1"/>
      <w:numFmt w:val="bullet"/>
      <w:lvlText w:val="o"/>
      <w:lvlJc w:val="left"/>
      <w:rPr>
        <w:b/>
        <w:bCs/>
        <w:position w:val="0"/>
      </w:rPr>
    </w:lvl>
    <w:lvl w:ilvl="2">
      <w:start w:val="1"/>
      <w:numFmt w:val="bullet"/>
      <w:lvlText w:val="▪"/>
      <w:lvlJc w:val="left"/>
      <w:rPr>
        <w:b/>
        <w:bCs/>
        <w:position w:val="0"/>
      </w:rPr>
    </w:lvl>
    <w:lvl w:ilvl="3">
      <w:start w:val="1"/>
      <w:numFmt w:val="bullet"/>
      <w:lvlText w:val="•"/>
      <w:lvlJc w:val="left"/>
      <w:rPr>
        <w:b/>
        <w:bCs/>
        <w:position w:val="0"/>
      </w:rPr>
    </w:lvl>
    <w:lvl w:ilvl="4">
      <w:start w:val="1"/>
      <w:numFmt w:val="bullet"/>
      <w:lvlText w:val="o"/>
      <w:lvlJc w:val="left"/>
      <w:rPr>
        <w:b/>
        <w:bCs/>
        <w:position w:val="0"/>
      </w:rPr>
    </w:lvl>
    <w:lvl w:ilvl="5">
      <w:start w:val="1"/>
      <w:numFmt w:val="bullet"/>
      <w:lvlText w:val="▪"/>
      <w:lvlJc w:val="left"/>
      <w:rPr>
        <w:b/>
        <w:bCs/>
        <w:position w:val="0"/>
      </w:rPr>
    </w:lvl>
    <w:lvl w:ilvl="6">
      <w:start w:val="1"/>
      <w:numFmt w:val="bullet"/>
      <w:lvlText w:val="•"/>
      <w:lvlJc w:val="left"/>
      <w:rPr>
        <w:b/>
        <w:bCs/>
        <w:position w:val="0"/>
      </w:rPr>
    </w:lvl>
    <w:lvl w:ilvl="7">
      <w:start w:val="1"/>
      <w:numFmt w:val="bullet"/>
      <w:lvlText w:val="o"/>
      <w:lvlJc w:val="left"/>
      <w:rPr>
        <w:b/>
        <w:bCs/>
        <w:position w:val="0"/>
      </w:rPr>
    </w:lvl>
    <w:lvl w:ilvl="8">
      <w:start w:val="1"/>
      <w:numFmt w:val="bullet"/>
      <w:lvlText w:val="▪"/>
      <w:lvlJc w:val="left"/>
      <w:rPr>
        <w:b/>
        <w:bCs/>
        <w:position w:val="0"/>
      </w:rPr>
    </w:lvl>
  </w:abstractNum>
  <w:num w:numId="1">
    <w:abstractNumId w:val="34"/>
  </w:num>
  <w:num w:numId="2">
    <w:abstractNumId w:val="17"/>
  </w:num>
  <w:num w:numId="3">
    <w:abstractNumId w:val="30"/>
  </w:num>
  <w:num w:numId="4">
    <w:abstractNumId w:val="24"/>
  </w:num>
  <w:num w:numId="5">
    <w:abstractNumId w:val="15"/>
  </w:num>
  <w:num w:numId="6">
    <w:abstractNumId w:val="11"/>
  </w:num>
  <w:num w:numId="7">
    <w:abstractNumId w:val="35"/>
  </w:num>
  <w:num w:numId="8">
    <w:abstractNumId w:val="23"/>
  </w:num>
  <w:num w:numId="9">
    <w:abstractNumId w:val="10"/>
  </w:num>
  <w:num w:numId="10">
    <w:abstractNumId w:val="7"/>
  </w:num>
  <w:num w:numId="11">
    <w:abstractNumId w:val="4"/>
  </w:num>
  <w:num w:numId="12">
    <w:abstractNumId w:val="3"/>
  </w:num>
  <w:num w:numId="13">
    <w:abstractNumId w:val="27"/>
  </w:num>
  <w:num w:numId="14">
    <w:abstractNumId w:val="29"/>
  </w:num>
  <w:num w:numId="15">
    <w:abstractNumId w:val="28"/>
  </w:num>
  <w:num w:numId="16">
    <w:abstractNumId w:val="32"/>
  </w:num>
  <w:num w:numId="17">
    <w:abstractNumId w:val="5"/>
  </w:num>
  <w:num w:numId="18">
    <w:abstractNumId w:val="14"/>
  </w:num>
  <w:num w:numId="19">
    <w:abstractNumId w:val="18"/>
  </w:num>
  <w:num w:numId="20">
    <w:abstractNumId w:val="16"/>
  </w:num>
  <w:num w:numId="21">
    <w:abstractNumId w:val="1"/>
  </w:num>
  <w:num w:numId="22">
    <w:abstractNumId w:val="19"/>
  </w:num>
  <w:num w:numId="23">
    <w:abstractNumId w:val="20"/>
  </w:num>
  <w:num w:numId="24">
    <w:abstractNumId w:val="8"/>
  </w:num>
  <w:num w:numId="25">
    <w:abstractNumId w:val="12"/>
  </w:num>
  <w:num w:numId="26">
    <w:abstractNumId w:val="21"/>
  </w:num>
  <w:num w:numId="27">
    <w:abstractNumId w:val="31"/>
  </w:num>
  <w:num w:numId="28">
    <w:abstractNumId w:val="0"/>
  </w:num>
  <w:num w:numId="29">
    <w:abstractNumId w:val="2"/>
  </w:num>
  <w:num w:numId="30">
    <w:abstractNumId w:val="37"/>
  </w:num>
  <w:num w:numId="31">
    <w:abstractNumId w:val="25"/>
  </w:num>
  <w:num w:numId="32">
    <w:abstractNumId w:val="26"/>
  </w:num>
  <w:num w:numId="33">
    <w:abstractNumId w:val="22"/>
  </w:num>
  <w:num w:numId="34">
    <w:abstractNumId w:val="9"/>
  </w:num>
  <w:num w:numId="35">
    <w:abstractNumId w:val="33"/>
  </w:num>
  <w:num w:numId="36">
    <w:abstractNumId w:val="36"/>
  </w:num>
  <w:num w:numId="37">
    <w:abstractNumId w:val="6"/>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EU RESTRICTED"/>
    <w:docVar w:name="LW_CORRIGENDUM" w:val="&lt;UNUSED&gt;"/>
    <w:docVar w:name="LW_COVERPAGE_GUID" w:val="D9F269B925714F0DB821646F272C9C03"/>
    <w:docVar w:name="LW_CROSSREFERENCE" w:val="{COM(2017) 63 final}_x000a_{SWD(2017) 33 - 41 final}_x000a_{SWD(2017) 43 - 60 final}"/>
    <w:docVar w:name="LW_DocType" w:val="NORMAL"/>
    <w:docVar w:name="LW_EMISSION" w:val="3.2.2017"/>
    <w:docVar w:name="LW_EMISSION_ISODATE" w:val="2017-02-03"/>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The EU Environmental Implementation Review: Common Challenges and how to combine efforts to deliver better results _x000b_"/>
    <w:docVar w:name="LW_PART_NBR" w:val="1"/>
    <w:docVar w:name="LW_PART_NBR_TOTAL" w:val="1"/>
    <w:docVar w:name="LW_REF.INST.NEW" w:val="SWD"/>
    <w:docVar w:name="LW_REF.INST.NEW_ADOPTED" w:val="final"/>
    <w:docVar w:name="LW_REF.INST.NEW_TEXT" w:val="(2017) 42"/>
    <w:docVar w:name="LW_REF.INTERNE" w:val="&lt;UNUSED&gt;"/>
    <w:docVar w:name="LW_SUPERTITRE" w:val="&lt;UNUSED&gt;"/>
    <w:docVar w:name="LW_TITRE.OBJ.CP" w:val="The EU Environmental Implementation Review_x000b_Country Report - SPAIN_x000b__x000b_"/>
    <w:docVar w:name="LW_TYPE.DOC.CP" w:val="COMMISSION STAFF WORKING DOCUMENT"/>
    <w:docVar w:name="LW_TYPEACTEPRINCIPAL.CP" w:val="Communication from the Commission to the European Parliament, the Council, the European Economic and Social Committee and the Committee of the Regions"/>
  </w:docVars>
  <w:rsids>
    <w:rsidRoot w:val="00794EA4"/>
    <w:rsid w:val="0017531E"/>
    <w:rsid w:val="00794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2">
    <w:name w:val="List 72"/>
    <w:basedOn w:val="NoList"/>
    <w:pPr>
      <w:numPr>
        <w:numId w:val="30"/>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List Number" w:uiPriority="0"/>
    <w:lsdException w:name="List Bullet 2" w:uiPriority="0"/>
    <w:lsdException w:name="List Bullet 3" w:uiPriority="0"/>
    <w:lsdException w:name="List Bullet 4" w:uiPriority="0"/>
    <w:lsdException w:name="List Number 2" w:uiPriority="0"/>
    <w:lsdException w:name="List Number 3" w:uiPriority="0"/>
    <w:lsdException w:name="List Number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style>
  <w:style w:type="paragraph" w:styleId="Heading1">
    <w:name w:val="heading 1"/>
    <w:basedOn w:val="Normal"/>
    <w:next w:val="Normal"/>
    <w:link w:val="Heading1Char"/>
    <w:autoRedefine/>
    <w:uiPriority w:val="9"/>
    <w:qFormat/>
    <w:pPr>
      <w:keepNext/>
      <w:keepLines/>
      <w:spacing w:after="0" w:line="240" w:lineRule="auto"/>
      <w:jc w:val="center"/>
      <w:outlineLvl w:val="0"/>
    </w:pPr>
    <w:rPr>
      <w:rFonts w:ascii="Calibri" w:eastAsia="Times New Roman" w:hAnsi="Calibri" w:cs="Times New Roman"/>
      <w:b/>
      <w:bCs/>
      <w:color w:val="1F497D"/>
      <w:sz w:val="32"/>
      <w:szCs w:val="28"/>
    </w:rPr>
  </w:style>
  <w:style w:type="paragraph" w:styleId="Heading2">
    <w:name w:val="heading 2"/>
    <w:basedOn w:val="Normal"/>
    <w:next w:val="Normal"/>
    <w:link w:val="Heading2Char"/>
    <w:uiPriority w:val="9"/>
    <w:unhideWhenUsed/>
    <w:qFormat/>
    <w:pPr>
      <w:spacing w:before="240" w:after="120" w:line="240" w:lineRule="auto"/>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uiPriority w:val="9"/>
    <w:unhideWhenUsed/>
    <w:qFormat/>
    <w:pPr>
      <w:spacing w:before="240" w:after="120" w:line="240" w:lineRule="auto"/>
      <w:jc w:val="both"/>
      <w:outlineLvl w:val="2"/>
    </w:pPr>
    <w:rPr>
      <w:rFonts w:ascii="Calibri" w:eastAsia="Calibri" w:hAnsi="Calibri" w:cs="Times New Roman"/>
      <w:b/>
      <w:color w:val="1F497D"/>
      <w:szCs w:val="20"/>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0"/>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40" w:lineRule="auto"/>
      <w:jc w:val="both"/>
      <w:outlineLvl w:val="4"/>
    </w:pPr>
    <w:rPr>
      <w:rFonts w:ascii="Cambria" w:eastAsia="Times New Roman" w:hAnsi="Cambria" w:cs="Times New Roman"/>
      <w:color w:val="243F60"/>
      <w:sz w:val="20"/>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40" w:lineRule="auto"/>
      <w:jc w:val="both"/>
      <w:outlineLvl w:val="5"/>
    </w:pPr>
    <w:rPr>
      <w:rFonts w:ascii="Cambria" w:eastAsia="Times New Roman" w:hAnsi="Cambria" w:cs="Times New Roman"/>
      <w:i/>
      <w:iCs/>
      <w:color w:val="243F60"/>
      <w:sz w:val="20"/>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40" w:lineRule="auto"/>
      <w:jc w:val="both"/>
      <w:outlineLvl w:val="6"/>
    </w:pPr>
    <w:rPr>
      <w:rFonts w:ascii="Cambria" w:eastAsia="Times New Roman" w:hAnsi="Cambria" w:cs="Times New Roman"/>
      <w:i/>
      <w:iCs/>
      <w:color w:val="404040"/>
      <w:sz w:val="2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color w:val="1F497D"/>
      <w:szCs w:val="20"/>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line="240" w:lineRule="auto"/>
      <w:jc w:val="both"/>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
    <w:basedOn w:val="Normal"/>
    <w:link w:val="ListParagraphChar"/>
    <w:uiPriority w:val="34"/>
    <w:qFormat/>
    <w:pPr>
      <w:spacing w:after="120" w:line="240" w:lineRule="auto"/>
      <w:ind w:left="720"/>
      <w:contextualSpacing/>
      <w:jc w:val="both"/>
    </w:pPr>
    <w:rPr>
      <w:rFonts w:ascii="Calibri" w:eastAsia="Calibri" w:hAnsi="Calibri" w:cs="Times New Roman"/>
      <w:sz w:val="20"/>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120" w:line="240" w:lineRule="auto"/>
      <w:jc w:val="both"/>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line="240" w:lineRule="auto"/>
    </w:pPr>
    <w:rPr>
      <w:rFonts w:ascii="Calibri" w:eastAsia="Calibri" w:hAnsi="Calibri" w:cs="Times New Roman"/>
      <w:sz w:val="18"/>
      <w:szCs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rPr>
      <w:rFonts w:ascii="Calibri" w:eastAsia="Calibri" w:hAnsi="Calibri" w:cs="Times New Roman"/>
      <w:sz w:val="18"/>
      <w:szCs w:val="20"/>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Hyperlink">
    <w:name w:val="Hyperlink"/>
    <w:uiPriority w:val="99"/>
    <w:unhideWhenUs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s-ES_tradnl"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line="240" w:lineRule="auto"/>
      <w:ind w:left="1077" w:right="720" w:hanging="595"/>
      <w:jc w:val="both"/>
    </w:pPr>
    <w:rPr>
      <w:rFonts w:ascii="Calibri" w:eastAsia="Times New Roman" w:hAnsi="Calibri" w:cs="Times New Roman"/>
      <w:noProof/>
      <w:sz w:val="20"/>
      <w:szCs w:val="20"/>
    </w:rPr>
  </w:style>
  <w:style w:type="paragraph" w:styleId="TOC1">
    <w:name w:val="toc 1"/>
    <w:basedOn w:val="Normal"/>
    <w:next w:val="Normal"/>
    <w:autoRedefine/>
    <w:uiPriority w:val="39"/>
    <w:qFormat/>
    <w:pPr>
      <w:widowControl w:val="0"/>
      <w:suppressLineNumbers/>
      <w:tabs>
        <w:tab w:val="right" w:leader="dot" w:pos="8640"/>
      </w:tabs>
      <w:spacing w:before="120" w:after="120" w:line="240" w:lineRule="auto"/>
      <w:ind w:left="482" w:right="720" w:hanging="482"/>
      <w:jc w:val="both"/>
    </w:pPr>
    <w:rPr>
      <w:rFonts w:ascii="Calibri" w:eastAsia="Times New Roman" w:hAnsi="Calibri" w:cs="Times New Roman"/>
      <w:caps/>
      <w:sz w:val="20"/>
      <w:szCs w:val="20"/>
    </w:rPr>
  </w:style>
  <w:style w:type="paragraph" w:styleId="TOC3">
    <w:name w:val="toc 3"/>
    <w:basedOn w:val="Normal"/>
    <w:next w:val="Normal"/>
    <w:uiPriority w:val="39"/>
    <w:qFormat/>
    <w:pPr>
      <w:tabs>
        <w:tab w:val="right" w:leader="dot" w:pos="8640"/>
      </w:tabs>
      <w:spacing w:before="60" w:after="60" w:line="240" w:lineRule="auto"/>
      <w:ind w:left="1916" w:right="720" w:hanging="839"/>
      <w:jc w:val="both"/>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line="240" w:lineRule="auto"/>
      <w:ind w:left="567" w:hanging="567"/>
    </w:pPr>
    <w:rPr>
      <w:rFonts w:ascii="Times New Roman" w:eastAsia="Times New Roman" w:hAnsi="Times New Roman" w:cs="Times New Roman"/>
      <w:sz w:val="24"/>
      <w:szCs w:val="20"/>
    </w:rPr>
  </w:style>
  <w:style w:type="paragraph" w:styleId="ListBullet">
    <w:name w:val="List Bullet"/>
    <w:basedOn w:val="Normal"/>
    <w:pPr>
      <w:numPr>
        <w:numId w:val="8"/>
      </w:numPr>
      <w:spacing w:after="240" w:line="240" w:lineRule="auto"/>
      <w:jc w:val="both"/>
    </w:pPr>
    <w:rPr>
      <w:rFonts w:ascii="Times New Roman" w:eastAsia="Times New Roman" w:hAnsi="Times New Roman" w:cs="Times New Roman"/>
      <w:sz w:val="24"/>
      <w:szCs w:val="20"/>
    </w:rPr>
  </w:style>
  <w:style w:type="paragraph" w:customStyle="1" w:styleId="ListBullet1">
    <w:name w:val="List Bullet 1"/>
    <w:basedOn w:val="Normal"/>
    <w:pPr>
      <w:numPr>
        <w:numId w:val="9"/>
      </w:numPr>
      <w:spacing w:after="240" w:line="240" w:lineRule="auto"/>
      <w:jc w:val="both"/>
    </w:pPr>
    <w:rPr>
      <w:rFonts w:ascii="Times New Roman" w:eastAsia="Times New Roman" w:hAnsi="Times New Roman" w:cs="Times New Roman"/>
      <w:sz w:val="24"/>
      <w:szCs w:val="20"/>
    </w:rPr>
  </w:style>
  <w:style w:type="paragraph" w:styleId="ListBullet2">
    <w:name w:val="List Bullet 2"/>
    <w:basedOn w:val="Normal"/>
    <w:pPr>
      <w:numPr>
        <w:numId w:val="10"/>
      </w:numPr>
      <w:spacing w:after="240" w:line="240" w:lineRule="auto"/>
      <w:jc w:val="both"/>
    </w:pPr>
    <w:rPr>
      <w:rFonts w:ascii="Times New Roman" w:eastAsia="Times New Roman" w:hAnsi="Times New Roman" w:cs="Times New Roman"/>
      <w:sz w:val="24"/>
      <w:szCs w:val="20"/>
    </w:rPr>
  </w:style>
  <w:style w:type="paragraph" w:styleId="ListBullet3">
    <w:name w:val="List Bullet 3"/>
    <w:basedOn w:val="Normal"/>
    <w:pPr>
      <w:numPr>
        <w:numId w:val="11"/>
      </w:numPr>
      <w:spacing w:after="240" w:line="240" w:lineRule="auto"/>
      <w:jc w:val="both"/>
    </w:pPr>
    <w:rPr>
      <w:rFonts w:ascii="Times New Roman" w:eastAsia="Times New Roman" w:hAnsi="Times New Roman" w:cs="Times New Roman"/>
      <w:sz w:val="24"/>
      <w:szCs w:val="20"/>
    </w:rPr>
  </w:style>
  <w:style w:type="paragraph" w:styleId="ListBullet4">
    <w:name w:val="List Bullet 4"/>
    <w:basedOn w:val="Normal"/>
    <w:pPr>
      <w:numPr>
        <w:numId w:val="12"/>
      </w:numPr>
      <w:spacing w:after="240" w:line="240" w:lineRule="auto"/>
      <w:jc w:val="both"/>
    </w:pPr>
    <w:rPr>
      <w:rFonts w:ascii="Times New Roman" w:eastAsia="Times New Roman" w:hAnsi="Times New Roman" w:cs="Times New Roman"/>
      <w:sz w:val="24"/>
      <w:szCs w:val="20"/>
    </w:rPr>
  </w:style>
  <w:style w:type="paragraph" w:customStyle="1" w:styleId="ListDash">
    <w:name w:val="List Dash"/>
    <w:basedOn w:val="Normal"/>
    <w:pPr>
      <w:numPr>
        <w:numId w:val="13"/>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Normal"/>
    <w:pPr>
      <w:numPr>
        <w:numId w:val="14"/>
      </w:numPr>
      <w:spacing w:after="240" w:line="240" w:lineRule="auto"/>
      <w:jc w:val="both"/>
    </w:pPr>
    <w:rPr>
      <w:rFonts w:ascii="Times New Roman" w:eastAsia="Times New Roman" w:hAnsi="Times New Roman" w:cs="Times New Roman"/>
      <w:sz w:val="24"/>
      <w:szCs w:val="20"/>
    </w:rPr>
  </w:style>
  <w:style w:type="paragraph" w:customStyle="1" w:styleId="ListDash2">
    <w:name w:val="List Dash 2"/>
    <w:basedOn w:val="Normal"/>
    <w:pPr>
      <w:numPr>
        <w:numId w:val="15"/>
      </w:numPr>
      <w:spacing w:after="240" w:line="240" w:lineRule="auto"/>
      <w:jc w:val="both"/>
    </w:pPr>
    <w:rPr>
      <w:rFonts w:ascii="Times New Roman" w:eastAsia="Times New Roman" w:hAnsi="Times New Roman" w:cs="Times New Roman"/>
      <w:sz w:val="24"/>
      <w:szCs w:val="20"/>
    </w:rPr>
  </w:style>
  <w:style w:type="paragraph" w:customStyle="1" w:styleId="ListDash3">
    <w:name w:val="List Dash 3"/>
    <w:basedOn w:val="Normal"/>
    <w:pPr>
      <w:numPr>
        <w:numId w:val="16"/>
      </w:numPr>
      <w:spacing w:after="240" w:line="240" w:lineRule="auto"/>
      <w:jc w:val="both"/>
    </w:pPr>
    <w:rPr>
      <w:rFonts w:ascii="Times New Roman" w:eastAsia="Times New Roman" w:hAnsi="Times New Roman" w:cs="Times New Roman"/>
      <w:sz w:val="24"/>
      <w:szCs w:val="20"/>
    </w:rPr>
  </w:style>
  <w:style w:type="paragraph" w:customStyle="1" w:styleId="ListDash4">
    <w:name w:val="List Dash 4"/>
    <w:basedOn w:val="Normal"/>
    <w:pPr>
      <w:numPr>
        <w:numId w:val="1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pPr>
      <w:numPr>
        <w:numId w:val="18"/>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Normal"/>
    <w:pPr>
      <w:numPr>
        <w:numId w:val="19"/>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Normal"/>
    <w:pPr>
      <w:numPr>
        <w:numId w:val="20"/>
      </w:numPr>
      <w:spacing w:after="240" w:line="240" w:lineRule="auto"/>
      <w:jc w:val="both"/>
    </w:pPr>
    <w:rPr>
      <w:rFonts w:ascii="Times New Roman" w:eastAsia="Times New Roman" w:hAnsi="Times New Roman" w:cs="Times New Roman"/>
      <w:sz w:val="24"/>
      <w:szCs w:val="20"/>
    </w:rPr>
  </w:style>
  <w:style w:type="paragraph" w:styleId="ListNumber3">
    <w:name w:val="List Number 3"/>
    <w:basedOn w:val="Normal"/>
    <w:pPr>
      <w:numPr>
        <w:numId w:val="21"/>
      </w:numPr>
      <w:spacing w:after="240" w:line="240" w:lineRule="auto"/>
      <w:jc w:val="both"/>
    </w:pPr>
    <w:rPr>
      <w:rFonts w:ascii="Times New Roman" w:eastAsia="Times New Roman" w:hAnsi="Times New Roman" w:cs="Times New Roman"/>
      <w:sz w:val="24"/>
      <w:szCs w:val="20"/>
    </w:rPr>
  </w:style>
  <w:style w:type="paragraph" w:styleId="ListNumber4">
    <w:name w:val="List Number 4"/>
    <w:basedOn w:val="Normal"/>
    <w:pPr>
      <w:numPr>
        <w:numId w:val="2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8"/>
      </w:numPr>
      <w:spacing w:after="240" w:line="240" w:lineRule="auto"/>
      <w:jc w:val="both"/>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9"/>
      </w:numPr>
      <w:spacing w:after="240" w:line="240" w:lineRule="auto"/>
      <w:jc w:val="both"/>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20"/>
      </w:numPr>
      <w:spacing w:after="240" w:line="240" w:lineRule="auto"/>
      <w:jc w:val="both"/>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21"/>
      </w:numPr>
      <w:spacing w:after="240" w:line="240" w:lineRule="auto"/>
      <w:jc w:val="both"/>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2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8"/>
      </w:numPr>
      <w:spacing w:after="240" w:line="240" w:lineRule="auto"/>
      <w:jc w:val="both"/>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9"/>
      </w:numPr>
      <w:spacing w:after="240" w:line="240" w:lineRule="auto"/>
      <w:jc w:val="both"/>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20"/>
      </w:numPr>
      <w:spacing w:after="240" w:line="240" w:lineRule="auto"/>
      <w:jc w:val="both"/>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21"/>
      </w:numPr>
      <w:spacing w:after="240" w:line="240" w:lineRule="auto"/>
      <w:jc w:val="both"/>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2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8"/>
      </w:numPr>
      <w:spacing w:after="240" w:line="240" w:lineRule="auto"/>
      <w:jc w:val="both"/>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9"/>
      </w:numPr>
      <w:spacing w:after="240" w:line="240" w:lineRule="auto"/>
      <w:jc w:val="both"/>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20"/>
      </w:numPr>
      <w:spacing w:after="240" w:line="240" w:lineRule="auto"/>
      <w:jc w:val="both"/>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21"/>
      </w:numPr>
      <w:spacing w:after="240" w:line="240" w:lineRule="auto"/>
      <w:jc w:val="both"/>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22"/>
      </w:numPr>
      <w:spacing w:after="240" w:line="240" w:lineRule="auto"/>
      <w:jc w:val="both"/>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line="240" w:lineRule="auto"/>
      <w:ind w:left="2880" w:right="720" w:hanging="964"/>
      <w:jc w:val="both"/>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uiPriority w:val="22"/>
    <w:qFormat/>
    <w:rPr>
      <w:color w:val="FFFFFF"/>
    </w:rPr>
  </w:style>
  <w:style w:type="paragraph" w:styleId="Caption">
    <w:name w:val="caption"/>
    <w:basedOn w:val="Normal"/>
    <w:next w:val="Normal"/>
    <w:uiPriority w:val="35"/>
    <w:unhideWhenUsed/>
    <w:qFormat/>
    <w:pPr>
      <w:spacing w:line="240" w:lineRule="auto"/>
      <w:jc w:val="both"/>
    </w:pPr>
    <w:rPr>
      <w:rFonts w:ascii="Calibri" w:eastAsia="Calibri" w:hAnsi="Calibri" w:cs="Times New Roman"/>
      <w:b/>
      <w:bCs/>
      <w:color w:val="4F81BD"/>
      <w:sz w:val="18"/>
      <w:szCs w:val="18"/>
    </w:rPr>
  </w:style>
  <w:style w:type="paragraph" w:styleId="NoSpacing">
    <w:name w:val="No Spacing"/>
    <w:uiPriority w:val="1"/>
    <w:qFormat/>
    <w:pPr>
      <w:numPr>
        <w:numId w:val="37"/>
      </w:numPr>
      <w:spacing w:after="0" w:line="240" w:lineRule="auto"/>
      <w:ind w:left="170" w:hanging="170"/>
      <w:jc w:val="both"/>
    </w:pPr>
    <w:rPr>
      <w:rFonts w:ascii="Calibri" w:eastAsia="Calibri" w:hAnsi="Calibri" w:cs="Times New Roman"/>
      <w:sz w:val="20"/>
    </w:rPr>
  </w:style>
  <w:style w:type="paragraph" w:styleId="Quote">
    <w:name w:val="Quote"/>
    <w:basedOn w:val="Normal"/>
    <w:next w:val="Normal"/>
    <w:link w:val="QuoteChar"/>
    <w:uiPriority w:val="29"/>
    <w:qFormat/>
    <w:pPr>
      <w:shd w:val="clear" w:color="auto" w:fill="4F81BD"/>
      <w:spacing w:before="240" w:after="120" w:line="240" w:lineRule="auto"/>
      <w:jc w:val="both"/>
    </w:pPr>
    <w:rPr>
      <w:rFonts w:ascii="Calibri" w:eastAsia="Calibri" w:hAnsi="Calibri" w:cs="Times New Roman"/>
      <w:sz w:val="20"/>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orpo">
    <w:name w:val="Corpo"/>
    <w:pPr>
      <w:pBdr>
        <w:top w:val="nil"/>
        <w:left w:val="nil"/>
        <w:bottom w:val="nil"/>
        <w:right w:val="nil"/>
        <w:between w:val="nil"/>
        <w:bar w:val="nil"/>
      </w:pBdr>
      <w:spacing w:line="240" w:lineRule="auto"/>
      <w:jc w:val="both"/>
    </w:pPr>
    <w:rPr>
      <w:rFonts w:ascii="Times New Roman" w:eastAsia="Times New Roman" w:hAnsi="Times New Roman" w:cs="Times New Roman"/>
      <w:color w:val="000000"/>
      <w:sz w:val="20"/>
      <w:szCs w:val="20"/>
      <w:u w:color="000000"/>
      <w:bdr w:val="nil"/>
      <w:lang w:eastAsia="en-GB"/>
    </w:rPr>
  </w:style>
  <w:style w:type="table" w:customStyle="1" w:styleId="TableGrid11">
    <w:name w:val="Table Grid1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2">
    <w:name w:val="List 72"/>
    <w:basedOn w:val="NoList"/>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071141">
      <w:bodyDiv w:val="1"/>
      <w:marLeft w:val="0"/>
      <w:marRight w:val="0"/>
      <w:marTop w:val="0"/>
      <w:marBottom w:val="0"/>
      <w:divBdr>
        <w:top w:val="none" w:sz="0" w:space="0" w:color="auto"/>
        <w:left w:val="none" w:sz="0" w:space="0" w:color="auto"/>
        <w:bottom w:val="none" w:sz="0" w:space="0" w:color="auto"/>
        <w:right w:val="none" w:sz="0" w:space="0" w:color="auto"/>
      </w:divBdr>
    </w:div>
    <w:div w:id="741753859">
      <w:bodyDiv w:val="1"/>
      <w:marLeft w:val="0"/>
      <w:marRight w:val="0"/>
      <w:marTop w:val="0"/>
      <w:marBottom w:val="0"/>
      <w:divBdr>
        <w:top w:val="none" w:sz="0" w:space="0" w:color="auto"/>
        <w:left w:val="none" w:sz="0" w:space="0" w:color="auto"/>
        <w:bottom w:val="none" w:sz="0" w:space="0" w:color="auto"/>
        <w:right w:val="none" w:sz="0" w:space="0" w:color="auto"/>
      </w:divBdr>
    </w:div>
    <w:div w:id="97649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43.xml"/><Relationship Id="rId21" Type="http://schemas.openxmlformats.org/officeDocument/2006/relationships/footer" Target="footer5.xml"/><Relationship Id="rId42" Type="http://schemas.openxmlformats.org/officeDocument/2006/relationships/image" Target="media/image2.png"/><Relationship Id="rId47" Type="http://schemas.openxmlformats.org/officeDocument/2006/relationships/header" Target="header16.xml"/><Relationship Id="rId63" Type="http://schemas.openxmlformats.org/officeDocument/2006/relationships/image" Target="media/image11.jpeg"/><Relationship Id="rId68" Type="http://schemas.openxmlformats.org/officeDocument/2006/relationships/footer" Target="footer23.xml"/><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footer" Target="footer42.xml"/><Relationship Id="rId16" Type="http://schemas.openxmlformats.org/officeDocument/2006/relationships/hyperlink" Target="mailto:ENV-EIR@ec.europa.eu" TargetMode="External"/><Relationship Id="rId107" Type="http://schemas.openxmlformats.org/officeDocument/2006/relationships/header" Target="header40.xml"/><Relationship Id="rId11" Type="http://schemas.openxmlformats.org/officeDocument/2006/relationships/header" Target="header2.xml"/><Relationship Id="rId32" Type="http://schemas.openxmlformats.org/officeDocument/2006/relationships/footer" Target="footer10.xml"/><Relationship Id="rId37" Type="http://schemas.openxmlformats.org/officeDocument/2006/relationships/header" Target="header14.xml"/><Relationship Id="rId53" Type="http://schemas.openxmlformats.org/officeDocument/2006/relationships/header" Target="header19.xml"/><Relationship Id="rId58" Type="http://schemas.openxmlformats.org/officeDocument/2006/relationships/footer" Target="footer21.xml"/><Relationship Id="rId74" Type="http://schemas.openxmlformats.org/officeDocument/2006/relationships/footer" Target="footer26.xml"/><Relationship Id="rId79" Type="http://schemas.openxmlformats.org/officeDocument/2006/relationships/image" Target="media/image15.png"/><Relationship Id="rId102" Type="http://schemas.openxmlformats.org/officeDocument/2006/relationships/header" Target="header38.xml"/><Relationship Id="rId5" Type="http://schemas.openxmlformats.org/officeDocument/2006/relationships/settings" Target="settings.xml"/><Relationship Id="rId61" Type="http://schemas.openxmlformats.org/officeDocument/2006/relationships/image" Target="media/image9.png"/><Relationship Id="rId82" Type="http://schemas.openxmlformats.org/officeDocument/2006/relationships/header" Target="header29.xml"/><Relationship Id="rId90" Type="http://schemas.openxmlformats.org/officeDocument/2006/relationships/footer" Target="footer32.xml"/><Relationship Id="rId95" Type="http://schemas.openxmlformats.org/officeDocument/2006/relationships/footer" Target="footer34.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image" Target="media/image3.png"/><Relationship Id="rId48" Type="http://schemas.openxmlformats.org/officeDocument/2006/relationships/header" Target="header17.xml"/><Relationship Id="rId56" Type="http://schemas.openxmlformats.org/officeDocument/2006/relationships/footer" Target="footer20.xml"/><Relationship Id="rId64" Type="http://schemas.openxmlformats.org/officeDocument/2006/relationships/image" Target="media/image12.jpeg"/><Relationship Id="rId69" Type="http://schemas.openxmlformats.org/officeDocument/2006/relationships/header" Target="header24.xml"/><Relationship Id="rId77" Type="http://schemas.openxmlformats.org/officeDocument/2006/relationships/image" Target="media/image13.png"/><Relationship Id="rId100" Type="http://schemas.openxmlformats.org/officeDocument/2006/relationships/image" Target="media/image18.png"/><Relationship Id="rId105" Type="http://schemas.openxmlformats.org/officeDocument/2006/relationships/header" Target="header39.xml"/><Relationship Id="rId113" Type="http://schemas.openxmlformats.org/officeDocument/2006/relationships/image" Target="media/image19.jpeg"/><Relationship Id="rId118" Type="http://schemas.openxmlformats.org/officeDocument/2006/relationships/footer" Target="footer44.xml"/><Relationship Id="rId8" Type="http://schemas.openxmlformats.org/officeDocument/2006/relationships/endnotes" Target="endnotes.xml"/><Relationship Id="rId51" Type="http://schemas.openxmlformats.org/officeDocument/2006/relationships/header" Target="header18.xml"/><Relationship Id="rId72" Type="http://schemas.openxmlformats.org/officeDocument/2006/relationships/header" Target="header26.xml"/><Relationship Id="rId80" Type="http://schemas.openxmlformats.org/officeDocument/2006/relationships/image" Target="media/image16.jpeg"/><Relationship Id="rId85" Type="http://schemas.openxmlformats.org/officeDocument/2006/relationships/header" Target="header30.xml"/><Relationship Id="rId93" Type="http://schemas.openxmlformats.org/officeDocument/2006/relationships/header" Target="header34.xml"/><Relationship Id="rId98" Type="http://schemas.openxmlformats.org/officeDocument/2006/relationships/footer" Target="footer36.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europa.eu" TargetMode="External"/><Relationship Id="rId25" Type="http://schemas.openxmlformats.org/officeDocument/2006/relationships/header" Target="header8.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image" Target="media/image6.jpeg"/><Relationship Id="rId59" Type="http://schemas.openxmlformats.org/officeDocument/2006/relationships/image" Target="media/image7.png"/><Relationship Id="rId67" Type="http://schemas.openxmlformats.org/officeDocument/2006/relationships/footer" Target="footer22.xml"/><Relationship Id="rId103" Type="http://schemas.openxmlformats.org/officeDocument/2006/relationships/footer" Target="footer37.xml"/><Relationship Id="rId108" Type="http://schemas.openxmlformats.org/officeDocument/2006/relationships/header" Target="header41.xml"/><Relationship Id="rId116" Type="http://schemas.openxmlformats.org/officeDocument/2006/relationships/header" Target="header44.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0.xml"/><Relationship Id="rId62" Type="http://schemas.openxmlformats.org/officeDocument/2006/relationships/image" Target="media/image10.jpeg"/><Relationship Id="rId70" Type="http://schemas.openxmlformats.org/officeDocument/2006/relationships/footer" Target="footer24.xml"/><Relationship Id="rId75" Type="http://schemas.openxmlformats.org/officeDocument/2006/relationships/header" Target="header27.xml"/><Relationship Id="rId83" Type="http://schemas.openxmlformats.org/officeDocument/2006/relationships/footer" Target="footer28.xml"/><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footer" Target="footer16.xml"/><Relationship Id="rId57" Type="http://schemas.openxmlformats.org/officeDocument/2006/relationships/header" Target="header21.xml"/><Relationship Id="rId106" Type="http://schemas.openxmlformats.org/officeDocument/2006/relationships/footer" Target="footer39.xml"/><Relationship Id="rId114" Type="http://schemas.openxmlformats.org/officeDocument/2006/relationships/image" Target="media/image20.jpeg"/><Relationship Id="rId119" Type="http://schemas.openxmlformats.org/officeDocument/2006/relationships/header" Target="header45.xml"/><Relationship Id="rId10" Type="http://schemas.openxmlformats.org/officeDocument/2006/relationships/header" Target="header1.xml"/><Relationship Id="rId31" Type="http://schemas.openxmlformats.org/officeDocument/2006/relationships/header" Target="header11.xml"/><Relationship Id="rId44" Type="http://schemas.openxmlformats.org/officeDocument/2006/relationships/image" Target="media/image4.png"/><Relationship Id="rId52" Type="http://schemas.openxmlformats.org/officeDocument/2006/relationships/footer" Target="footer18.xml"/><Relationship Id="rId60" Type="http://schemas.openxmlformats.org/officeDocument/2006/relationships/image" Target="media/image8.png"/><Relationship Id="rId65" Type="http://schemas.openxmlformats.org/officeDocument/2006/relationships/header" Target="header22.xml"/><Relationship Id="rId73" Type="http://schemas.openxmlformats.org/officeDocument/2006/relationships/footer" Target="footer25.xml"/><Relationship Id="rId78" Type="http://schemas.openxmlformats.org/officeDocument/2006/relationships/image" Target="media/image14.png"/><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header" Target="header35.xml"/><Relationship Id="rId99" Type="http://schemas.openxmlformats.org/officeDocument/2006/relationships/image" Target="media/image17.png"/><Relationship Id="rId101" Type="http://schemas.openxmlformats.org/officeDocument/2006/relationships/header" Target="header37.xm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4.xml"/><Relationship Id="rId109" Type="http://schemas.openxmlformats.org/officeDocument/2006/relationships/footer" Target="footer40.xml"/><Relationship Id="rId34" Type="http://schemas.openxmlformats.org/officeDocument/2006/relationships/header" Target="header12.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footer" Target="footer27.xml"/><Relationship Id="rId97" Type="http://schemas.openxmlformats.org/officeDocument/2006/relationships/header" Target="header36.xml"/><Relationship Id="rId104" Type="http://schemas.openxmlformats.org/officeDocument/2006/relationships/footer" Target="footer38.xml"/><Relationship Id="rId120" Type="http://schemas.openxmlformats.org/officeDocument/2006/relationships/footer" Target="footer45.xml"/><Relationship Id="rId7" Type="http://schemas.openxmlformats.org/officeDocument/2006/relationships/footnotes" Target="footnotes.xml"/><Relationship Id="rId71" Type="http://schemas.openxmlformats.org/officeDocument/2006/relationships/header" Target="header25.xml"/><Relationship Id="rId92" Type="http://schemas.openxmlformats.org/officeDocument/2006/relationships/footer" Target="footer33.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header" Target="header15.xml"/><Relationship Id="rId45" Type="http://schemas.openxmlformats.org/officeDocument/2006/relationships/image" Target="media/image5.png"/><Relationship Id="rId66" Type="http://schemas.openxmlformats.org/officeDocument/2006/relationships/header" Target="header23.xml"/><Relationship Id="rId87" Type="http://schemas.openxmlformats.org/officeDocument/2006/relationships/header" Target="header31.xml"/><Relationship Id="rId110" Type="http://schemas.openxmlformats.org/officeDocument/2006/relationships/footer" Target="footer41.xml"/><Relationship Id="rId115" Type="http://schemas.openxmlformats.org/officeDocument/2006/relationships/header" Target="header43.xm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nvironment/ecoap/scoreboard_en" TargetMode="External"/><Relationship Id="rId18" Type="http://schemas.openxmlformats.org/officeDocument/2006/relationships/hyperlink" Target="http://ec.europa.eu/environment/waste/framework/pdf/Waste%20Summary_ES.pdf" TargetMode="External"/><Relationship Id="rId26" Type="http://schemas.openxmlformats.org/officeDocument/2006/relationships/hyperlink" Target="http://eur-lex.europa.eu/legal-content/EN/TXT/?uri=CELEX:52013DC0249" TargetMode="External"/><Relationship Id="rId39" Type="http://schemas.openxmlformats.org/officeDocument/2006/relationships/hyperlink" Target="http://www.eionet.europa.eu/aqportal" TargetMode="External"/><Relationship Id="rId21" Type="http://schemas.openxmlformats.org/officeDocument/2006/relationships/hyperlink" Target="https://circabc.europa.eu/sd/a/76378708-70be-4389-9844-19efc272c175/ES_20140528.pdf" TargetMode="External"/><Relationship Id="rId34" Type="http://schemas.openxmlformats.org/officeDocument/2006/relationships/hyperlink" Target="http://www.eea.europa.eu/data-and-maps/data/data-viewers/emissions-nec-directive-viewer" TargetMode="External"/><Relationship Id="rId42" Type="http://schemas.openxmlformats.org/officeDocument/2006/relationships/hyperlink" Target="http://eur-lex.europa.eu/legal-content/EN/TXT/?qid=1481623908600&amp;uri=CELEX:32006L0007" TargetMode="External"/><Relationship Id="rId47" Type="http://schemas.openxmlformats.org/officeDocument/2006/relationships/hyperlink" Target="http://eur-lex.europa.eu/legal-content/EN/TXT/?uri=CELEX:32007L0060" TargetMode="External"/><Relationship Id="rId50" Type="http://schemas.openxmlformats.org/officeDocument/2006/relationships/hyperlink" Target="http://www.eea.europa.eu/themes/water/status-and-monitoring/state-of-bathing-water" TargetMode="External"/><Relationship Id="rId55" Type="http://schemas.openxmlformats.org/officeDocument/2006/relationships/hyperlink" Target="http://urbanagendaforthe.eu/" TargetMode="External"/><Relationship Id="rId63" Type="http://schemas.openxmlformats.org/officeDocument/2006/relationships/hyperlink" Target="http://www.oecd.org/site/tadffss/publication/" TargetMode="External"/><Relationship Id="rId68" Type="http://schemas.openxmlformats.org/officeDocument/2006/relationships/hyperlink" Target="http://ec.europa.eu/environment/gpp/action_plan_en.htm" TargetMode="External"/><Relationship Id="rId76" Type="http://schemas.openxmlformats.org/officeDocument/2006/relationships/hyperlink" Target="http://eur-lex.europa.eu/legal-content/EN/TXT/?uri=CELEX%3A32008L0099http://eur-lex.europa.eu/legal-content/EN/TXT/?uri=CELEX%3A32008L0099" TargetMode="External"/><Relationship Id="rId84" Type="http://schemas.openxmlformats.org/officeDocument/2006/relationships/hyperlink" Target="http://www.magrama.gob.es/en/calidad-y-evaluacion-ambiental/temas/medio-ambiente-industrial/inspeccion-ambiental/redia/" TargetMode="External"/><Relationship Id="rId89" Type="http://schemas.openxmlformats.org/officeDocument/2006/relationships/hyperlink" Target="http://inspire.ec.europa.eu" TargetMode="External"/><Relationship Id="rId7" Type="http://schemas.openxmlformats.org/officeDocument/2006/relationships/hyperlink" Target="http://ec.europa.eu/environment/enveco/studies.htm" TargetMode="External"/><Relationship Id="rId71" Type="http://schemas.openxmlformats.org/officeDocument/2006/relationships/hyperlink" Target="https://cohesiondata.ec.europa.eu/countries" TargetMode="External"/><Relationship Id="rId92" Type="http://schemas.openxmlformats.org/officeDocument/2006/relationships/hyperlink" Target="https://www.boe.es/buscar/doc.php?id=BOE-A-2006-13010" TargetMode="External"/><Relationship Id="rId2" Type="http://schemas.openxmlformats.org/officeDocument/2006/relationships/hyperlink" Target="http://ec.europa.eu/environment/action-programme/" TargetMode="External"/><Relationship Id="rId16" Type="http://schemas.openxmlformats.org/officeDocument/2006/relationships/hyperlink" Target="http://ec.europa.eu/eurostat/tgm/table.do?tab=table&amp;init=1&amp;language=en&amp;pcode=t2020_rt120&amp;plugin=1" TargetMode="External"/><Relationship Id="rId29" Type="http://schemas.openxmlformats.org/officeDocument/2006/relationships/hyperlink" Target="http://ec.europa.eu/eurostat/statistics-explained/index.php/Agri-environmental_indicator_-_soil_erosion" TargetMode="External"/><Relationship Id="rId11" Type="http://schemas.openxmlformats.org/officeDocument/2006/relationships/hyperlink" Target="https://data.europa.eu/euodp/en/data/dataset/S2088_426_ENG" TargetMode="External"/><Relationship Id="rId24" Type="http://schemas.openxmlformats.org/officeDocument/2006/relationships/hyperlink" Target="http://www.magrama.gob.es/es/biodiversidad/temas/espacios-protegidos/rn_cons_marco_acc_prio_formato_MAP_tcm7-265444.pdf" TargetMode="External"/><Relationship Id="rId32" Type="http://schemas.openxmlformats.org/officeDocument/2006/relationships/hyperlink" Target="http://ec.europa.eu/environment/air/quality/standards.htm" TargetMode="External"/><Relationship Id="rId37" Type="http://schemas.openxmlformats.org/officeDocument/2006/relationships/hyperlink" Target="http://www.eea.europa.eu/publications/air-quality-in-europe-2016" TargetMode="External"/><Relationship Id="rId40" Type="http://schemas.openxmlformats.org/officeDocument/2006/relationships/hyperlink" Target="http://ec.europa.eu/environment/archives/air/pdf/Impact_assessment_en.pdf" TargetMode="External"/><Relationship Id="rId45" Type="http://schemas.openxmlformats.org/officeDocument/2006/relationships/hyperlink" Target="http://eur-lex.europa.eu/legal-content/EN/TXT/?qid=1481624135097&amp;uri=CELEX:32000L0060" TargetMode="External"/><Relationship Id="rId53" Type="http://schemas.openxmlformats.org/officeDocument/2006/relationships/hyperlink" Target="http://ec.europa.eu/environment/integration/green_semester/pdf/RPA%20Final%20Report-annexes.pdf" TargetMode="External"/><Relationship Id="rId58" Type="http://schemas.openxmlformats.org/officeDocument/2006/relationships/hyperlink" Target="http://ec.europa.eu/environment/europeangreencapital/wp-content/uploads/2014/04/150609-Mollet-del-Valles-final.pdf" TargetMode="External"/><Relationship Id="rId66" Type="http://schemas.openxmlformats.org/officeDocument/2006/relationships/hyperlink" Target="http://eur-lex.europa.eu/legal-content/EN/TXT/?uri=CELEX:52008DC0400http://eur-lex.europa.eu/legal-content/EN/TXT/?uri=CELEX:52008DC0400" TargetMode="External"/><Relationship Id="rId74" Type="http://schemas.openxmlformats.org/officeDocument/2006/relationships/hyperlink" Target="http://www.oecd.org/env/country-reviews/EPR%20Assessment%20and%20recs%20ITALY%202013.pdf" TargetMode="External"/><Relationship Id="rId79" Type="http://schemas.openxmlformats.org/officeDocument/2006/relationships/hyperlink" Target="http://www.environmentalprosecutors.eu" TargetMode="External"/><Relationship Id="rId87" Type="http://schemas.openxmlformats.org/officeDocument/2006/relationships/hyperlink" Target="http://eur-lex.europa.eu/legal-content/GA/ALL/?uri=CELEX:32003L0004" TargetMode="External"/><Relationship Id="rId5" Type="http://schemas.openxmlformats.org/officeDocument/2006/relationships/hyperlink" Target="http://ec.europa.eu/eurostat/web/products-datasets/-/tsdpc100" TargetMode="External"/><Relationship Id="rId61" Type="http://schemas.openxmlformats.org/officeDocument/2006/relationships/hyperlink" Target="http://ec.europa.eu/eurostat/tgm/table.do?tab=table&amp;init=1&amp;language=en&amp;pcode=t2020_rt320&amp;plugin=1http://ec.europa.eu/eurostat/en/web/products-datasets/-/T2020_RT320" TargetMode="External"/><Relationship Id="rId82" Type="http://schemas.openxmlformats.org/officeDocument/2006/relationships/hyperlink" Target="https://ec.europa.eu/transparency/regdoc/rep/1/2016/EN/1-2016-204-EN-F1-1.PDF" TargetMode="External"/><Relationship Id="rId90" Type="http://schemas.openxmlformats.org/officeDocument/2006/relationships/hyperlink" Target="https://ec.europa.eu/digital-single-market/en/news/communication-eu-egovernment-action-plan-2016-2020-accelerating-digital-transformation" TargetMode="External"/><Relationship Id="rId95" Type="http://schemas.openxmlformats.org/officeDocument/2006/relationships/hyperlink" Target="http://inspire.ec.europa.eu/portfolio/inspire-dashboard" TargetMode="External"/><Relationship Id="rId19" Type="http://schemas.openxmlformats.org/officeDocument/2006/relationships/hyperlink" Target="http://ec.europa.eu/environment/waste/studies/pdf/study%2012%20FINAL%20REPORT.pdf" TargetMode="External"/><Relationship Id="rId14" Type="http://schemas.openxmlformats.org/officeDocument/2006/relationships/hyperlink" Target="http://ec.europa.eu/europe2020/pdf/csr2016/csr2016_spain_en.pdf" TargetMode="External"/><Relationship Id="rId22" Type="http://schemas.openxmlformats.org/officeDocument/2006/relationships/hyperlink" Target="http://biodiversity.europa.eu/countries/eu_country_profiles/spain" TargetMode="External"/><Relationship Id="rId27" Type="http://schemas.openxmlformats.org/officeDocument/2006/relationships/hyperlink" Target="http://land.copernicus.eu/pan-european/corine-land-cover/lcc-2006-2012/view" TargetMode="External"/><Relationship Id="rId30" Type="http://schemas.openxmlformats.org/officeDocument/2006/relationships/hyperlink" Target="http://eur-lex.europa.eu/legal-content/EN/TXT/?uri=CELEX%3A32008L0056" TargetMode="External"/><Relationship Id="rId35" Type="http://schemas.openxmlformats.org/officeDocument/2006/relationships/hyperlink" Target="http://eur-lex.europa.eu/legal-content/EN/TXT/?uri=celex:32001L0081" TargetMode="External"/><Relationship Id="rId43" Type="http://schemas.openxmlformats.org/officeDocument/2006/relationships/hyperlink" Target="http://eur-lex.europa.eu/legal-content/EN/ALL/?uri=CELEX%3A31991L0271" TargetMode="External"/><Relationship Id="rId48" Type="http://schemas.openxmlformats.org/officeDocument/2006/relationships/hyperlink" Target="http://ec.europa.eu/environment/water/water-framework/impl_reports.htm" TargetMode="External"/><Relationship Id="rId56" Type="http://schemas.openxmlformats.org/officeDocument/2006/relationships/hyperlink" Target="http://ec.europa.eu/environment/urban/tool.htm" TargetMode="External"/><Relationship Id="rId64" Type="http://schemas.openxmlformats.org/officeDocument/2006/relationships/hyperlink" Target="http://www.eea.europa.eu/publications/environmental-taxation-and-eu-environmental-policies" TargetMode="External"/><Relationship Id="rId69" Type="http://schemas.openxmlformats.org/officeDocument/2006/relationships/hyperlink" Target="http://ec.europa.eu/environment/gpp/action_plan_en.htm" TargetMode="External"/><Relationship Id="rId77" Type="http://schemas.openxmlformats.org/officeDocument/2006/relationships/hyperlink" Target="http://www.impel.eu" TargetMode="External"/><Relationship Id="rId8" Type="http://schemas.openxmlformats.org/officeDocument/2006/relationships/hyperlink" Target="http://fundacion-biodiversidad.es/economia-empleo-verde" TargetMode="External"/><Relationship Id="rId51" Type="http://schemas.openxmlformats.org/officeDocument/2006/relationships/hyperlink" Target="http://ec.europa.eu/environment/water/water-urbanwaste/implementation/implementationreports_en.htm" TargetMode="External"/><Relationship Id="rId72" Type="http://schemas.openxmlformats.org/officeDocument/2006/relationships/hyperlink" Target="https://nicholascharron.wordpress.com/european-quality-of-government-index-eqi/" TargetMode="External"/><Relationship Id="rId80" Type="http://schemas.openxmlformats.org/officeDocument/2006/relationships/hyperlink" Target="http://envicrimenet.com/" TargetMode="External"/><Relationship Id="rId85" Type="http://schemas.openxmlformats.org/officeDocument/2006/relationships/hyperlink" Target="http://www.venenono.org/?page_id=289" TargetMode="External"/><Relationship Id="rId93" Type="http://schemas.openxmlformats.org/officeDocument/2006/relationships/hyperlink" Target="http://eur-lex.europa.eu/legal-content/GA/ALL/?uri=CELEX:32003L0004" TargetMode="External"/><Relationship Id="rId3" Type="http://schemas.openxmlformats.org/officeDocument/2006/relationships/hyperlink" Target="http://www.undp.org/content/undp/en/home/sdgoverview/post-2015-development-agenda.html" TargetMode="External"/><Relationship Id="rId12" Type="http://schemas.openxmlformats.org/officeDocument/2006/relationships/hyperlink" Target="http://ec.europa.eu/environment/enveco/resource_efficiency/pdf/business/RE_in_Business_Final_Report_111115.pdf" TargetMode="External"/><Relationship Id="rId17" Type="http://schemas.openxmlformats.org/officeDocument/2006/relationships/hyperlink" Target="http://ec.europa.eu/environment/waste/framework/support_implementation.htmhttp:/ec.europa.eu/environment/waste/framework/support_implementation.htm." TargetMode="External"/><Relationship Id="rId25" Type="http://schemas.openxmlformats.org/officeDocument/2006/relationships/hyperlink" Target="http://www.ecomilenio.es" TargetMode="External"/><Relationship Id="rId33" Type="http://schemas.openxmlformats.org/officeDocument/2006/relationships/hyperlink" Target="http://cdr.eionet.europa.eu/" TargetMode="External"/><Relationship Id="rId38" Type="http://schemas.openxmlformats.org/officeDocument/2006/relationships/hyperlink" Target="http://www.eea.europa.eu/publications/air-quality-in-europe-2016" TargetMode="External"/><Relationship Id="rId46" Type="http://schemas.openxmlformats.org/officeDocument/2006/relationships/hyperlink" Target="http://eur-lex.europa.eu/legal-content/EN/TXT/?uri=CELEX%3A31991L0676" TargetMode="External"/><Relationship Id="rId59" Type="http://schemas.openxmlformats.org/officeDocument/2006/relationships/hyperlink" Target="http://www.inrix.com/scorecard/key-findings-us/" TargetMode="External"/><Relationship Id="rId67" Type="http://schemas.openxmlformats.org/officeDocument/2006/relationships/hyperlink" Target="http://www.boe.es/boe/dias/2008/01/31/pdfs/A05706-05710.pdf" TargetMode="External"/><Relationship Id="rId20" Type="http://schemas.openxmlformats.org/officeDocument/2006/relationships/hyperlink" Target="http://ec.europa.eu/environment/nature/info/pubs/docs/nat2000newsl/nat37_en.pdf" TargetMode="External"/><Relationship Id="rId41" Type="http://schemas.openxmlformats.org/officeDocument/2006/relationships/hyperlink" Target="http://www.euro.who.int/en/media-centre/sections/press-releases/2011/03/new-evidence-from-who-on-health-effects-of-traffic-related-noise-in-europe" TargetMode="External"/><Relationship Id="rId54" Type="http://schemas.openxmlformats.org/officeDocument/2006/relationships/hyperlink" Target="http://www.eea.europa.eu/themes/urban" TargetMode="External"/><Relationship Id="rId62" Type="http://schemas.openxmlformats.org/officeDocument/2006/relationships/hyperlink" Target="http://ec.europa.eu/environment/integration/green_semester/pdf/Eunomia%20EFR%20Final%20Report%20MAIN%20REPORT.pdf" TargetMode="External"/><Relationship Id="rId70" Type="http://schemas.openxmlformats.org/officeDocument/2006/relationships/hyperlink" Target="http://www.eib.org/efsi/" TargetMode="External"/><Relationship Id="rId75" Type="http://schemas.openxmlformats.org/officeDocument/2006/relationships/hyperlink" Target="http://eur-lex.europa.eu/legal-content/EN/TXT/?uri=OJ:C:2016:273:TOC" TargetMode="External"/><Relationship Id="rId83" Type="http://schemas.openxmlformats.org/officeDocument/2006/relationships/hyperlink" Target="http://eur-lex.europa.eu/legal-content/EN/TXT/?uri=CELEX%3A52016SC0121" TargetMode="External"/><Relationship Id="rId88" Type="http://schemas.openxmlformats.org/officeDocument/2006/relationships/hyperlink" Target="http://eur-lex.europa.eu/LexUriServ/LexUriServ.do?uri=CELEX:32007L0002:EN:NOT" TargetMode="External"/><Relationship Id="rId91" Type="http://schemas.openxmlformats.org/officeDocument/2006/relationships/hyperlink" Target="http://inspire.ec.europa.eu/index.cfm/pageid/182" TargetMode="External"/><Relationship Id="rId96" Type="http://schemas.openxmlformats.org/officeDocument/2006/relationships/hyperlink" Target="http://inspire-geoportal.ec.europa.eu/resources/INSPIREResourcesReports/resourcesReport_2016-05-09/" TargetMode="External"/><Relationship Id="rId1" Type="http://schemas.openxmlformats.org/officeDocument/2006/relationships/hyperlink" Target="http://eur-lex.europa.eu/legal-content/EN/TXT/?uri=COM%3A2016%3A316%3AFIN" TargetMode="External"/><Relationship Id="rId6" Type="http://schemas.openxmlformats.org/officeDocument/2006/relationships/hyperlink" Target="http://ec.europa.eu/eurostat/tgm/table.do?tab=table&amp;init=1&amp;language=en&amp;pcode=tsdpc100&amp;plugin=1" TargetMode="External"/><Relationship Id="rId15" Type="http://schemas.openxmlformats.org/officeDocument/2006/relationships/hyperlink" Target="http://ec.europa.eu/eurostat/tgm/table.do?tab=table&amp;init=1&amp;plugin=1&amp;language=en&amp;pcode=tsdpc240" TargetMode="External"/><Relationship Id="rId23" Type="http://schemas.openxmlformats.org/officeDocument/2006/relationships/hyperlink" Target="http://prioridadrednatura2000.es/sites/default/files/informe_general_inclusion_map_en_pdr_v2.pdf" TargetMode="External"/><Relationship Id="rId28" Type="http://schemas.openxmlformats.org/officeDocument/2006/relationships/hyperlink" Target="http://www.oecd.org/env/country-reviews/EPR%20Assessment%20and%20recs%20ITALY%202013.pdf" TargetMode="External"/><Relationship Id="rId36" Type="http://schemas.openxmlformats.org/officeDocument/2006/relationships/hyperlink" Target="http://eur-lex.europa.eu/legal-content/EN/TXT/?uri=uriserv:OJ.L_.2016.344.01.0001.01.ENG&amp;toc=OJ:L:2016:344:TOC" TargetMode="External"/><Relationship Id="rId49" Type="http://schemas.openxmlformats.org/officeDocument/2006/relationships/hyperlink" Target="http://ec.europa.eu/environment/water/water-drink/reporting_en.html" TargetMode="External"/><Relationship Id="rId57" Type="http://schemas.openxmlformats.org/officeDocument/2006/relationships/hyperlink" Target="http://ec.europa.eu/environment/europeangreencapital/index_en.htm" TargetMode="External"/><Relationship Id="rId10" Type="http://schemas.openxmlformats.org/officeDocument/2006/relationships/hyperlink" Target="http://ec.europa.eu/environment/resource_efficiency/about/roadmap/index_en.htm" TargetMode="External"/><Relationship Id="rId31" Type="http://schemas.openxmlformats.org/officeDocument/2006/relationships/hyperlink" Target="http://www.google.be/url?sa=t&amp;rct=j&amp;q=&amp;esrc=s&amp;source=web&amp;cd=2&amp;cad=rja&amp;uact=8&amp;ved=0ahUKEwjQ_bj7lNLNAhWCuBoKHalfA7UQFggoMAE&amp;url=http%3A%2F%2Feur-lex.europa.eu%2Flegal-content%2FEN%2FTXT%2F%3Furi%3DCELEX%253A52014DC0097&amp;usg=AFQjCNG66xtE5YGCsI11GSavytVyxfrjtw" TargetMode="External"/><Relationship Id="rId44" Type="http://schemas.openxmlformats.org/officeDocument/2006/relationships/hyperlink" Target="http://eur-lex.europa.eu/legal-content/EN/TXT/?uri=CELEX%3A31998L0083" TargetMode="External"/><Relationship Id="rId52" Type="http://schemas.openxmlformats.org/officeDocument/2006/relationships/hyperlink" Target="http://ec.europa.eu/environment/resource_efficiency/targets_indicators/scoreboard/pdf/EU%20Resource%20Efficiency%20Scoreboard%202015.pdf" TargetMode="External"/><Relationship Id="rId60" Type="http://schemas.openxmlformats.org/officeDocument/2006/relationships/hyperlink" Target="http://www.dgt.es/es/prensa/notas-de-prensa/2016/20160414-dgt-clasifica-parque-vehiculos-funcion-potencial-contaminante.shtml" TargetMode="External"/><Relationship Id="rId65" Type="http://schemas.openxmlformats.org/officeDocument/2006/relationships/hyperlink" Target="http://ec.europa.eu/internal_market/scoreboard/performance_per_policy_area/public_procurement/index_en.htm" TargetMode="External"/><Relationship Id="rId73" Type="http://schemas.openxmlformats.org/officeDocument/2006/relationships/hyperlink" Target="http://info.worldbank.org/governance/wgi/index.aspx" TargetMode="External"/><Relationship Id="rId78" Type="http://schemas.openxmlformats.org/officeDocument/2006/relationships/hyperlink" Target="http://www.eufje.org" TargetMode="External"/><Relationship Id="rId81" Type="http://schemas.openxmlformats.org/officeDocument/2006/relationships/hyperlink" Target="http://eur-lex.europa.eu/legal-content/EN/TXT/?uri=CELEX%3A32004L0035" TargetMode="External"/><Relationship Id="rId86" Type="http://schemas.openxmlformats.org/officeDocument/2006/relationships/hyperlink" Target="http://ec.europa.eu/environment/aarhus/access_studies.htm" TargetMode="External"/><Relationship Id="rId94" Type="http://schemas.openxmlformats.org/officeDocument/2006/relationships/hyperlink" Target="http://eur-lex.europa.eu/legal-content/EN/TXT/?uri=CELEX%3A32003L0035" TargetMode="External"/><Relationship Id="rId4" Type="http://schemas.openxmlformats.org/officeDocument/2006/relationships/hyperlink" Target="http://europa.eu/rapid/press-release_IP-15-6203_en.htm" TargetMode="External"/><Relationship Id="rId9" Type="http://schemas.openxmlformats.org/officeDocument/2006/relationships/hyperlink" Target="http://ec.europa.eu/environment/integration/green_semester/pdf/SME%20Investments%20in%20Resource%20Efficienc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DF6B2-5B11-4FAC-918A-7E8ED2AC2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14855</Words>
  <Characters>84811</Characters>
  <Application>Microsoft Office Word</Application>
  <DocSecurity>0</DocSecurity>
  <Lines>2161</Lines>
  <Paragraphs>395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BARTH Carmen (SG)</cp:lastModifiedBy>
  <cp:revision>17</cp:revision>
  <cp:lastPrinted>2016-12-10T13:01:00Z</cp:lastPrinted>
  <dcterms:created xsi:type="dcterms:W3CDTF">2017-01-24T09:46:00Z</dcterms:created>
  <dcterms:modified xsi:type="dcterms:W3CDTF">2017-02-02T17:58:00Z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