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C54" w:rsidRDefault="00465787" w:rsidP="0046578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FD298CE557854F598D3FC5F4DC5E440A" style="width:450.75pt;height:498.75pt">
            <v:imagedata r:id="rId9" o:title=""/>
          </v:shape>
        </w:pict>
      </w:r>
    </w:p>
    <w:bookmarkEnd w:id="0"/>
    <w:p w:rsidR="00B71C54" w:rsidRDefault="00B71C54">
      <w:pPr>
        <w:rPr>
          <w:noProof/>
        </w:rPr>
        <w:sectPr w:rsidR="00B71C54" w:rsidSect="00465787">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B71C54" w:rsidRDefault="00B71C54">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465787">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B71C54" w:rsidRDefault="00B71C54">
      <w:pPr>
        <w:widowControl w:val="0"/>
        <w:tabs>
          <w:tab w:val="right" w:leader="dot" w:pos="8640"/>
        </w:tabs>
        <w:spacing w:before="120" w:after="120" w:line="240" w:lineRule="auto"/>
        <w:ind w:left="482" w:right="720" w:hanging="482"/>
        <w:rPr>
          <w:rFonts w:eastAsia="Times New Roman" w:cs="Times New Roman"/>
          <w:noProof/>
          <w:szCs w:val="20"/>
        </w:rPr>
      </w:pPr>
    </w:p>
    <w:p w:rsidR="00B71C54" w:rsidRDefault="00465787">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B71C54" w:rsidRDefault="00B71C54">
      <w:pPr>
        <w:widowControl w:val="0"/>
        <w:tabs>
          <w:tab w:val="right" w:leader="dot" w:pos="8640"/>
        </w:tabs>
        <w:spacing w:before="120" w:after="120" w:line="240" w:lineRule="auto"/>
        <w:ind w:left="482" w:right="720" w:hanging="482"/>
        <w:rPr>
          <w:rFonts w:eastAsia="Times New Roman" w:cs="Times New Roman"/>
          <w:noProof/>
          <w:szCs w:val="20"/>
        </w:rPr>
      </w:pPr>
    </w:p>
    <w:p w:rsidR="00B71C54" w:rsidRDefault="00465787">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 ©LIFE06 NAT/F/000143/Larrey Frédéric/Roger Thomas, p.13 – ©Igor Plotnikov/iStock, p.17 – ©LIFE10 ENV/FR/000211/Julie Bourges, p.20 – ©Denni</w:t>
      </w:r>
      <w:r>
        <w:rPr>
          <w:rFonts w:eastAsia="Times New Roman" w:cs="Times New Roman"/>
          <w:noProof/>
          <w:szCs w:val="20"/>
        </w:rPr>
        <w:t>s van de Water/iStock, p.26 – ©Livinus/iStock</w:t>
      </w:r>
    </w:p>
    <w:p w:rsidR="00B71C54" w:rsidRDefault="00465787">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B71C54" w:rsidRDefault="00B71C54">
      <w:pPr>
        <w:widowControl w:val="0"/>
        <w:tabs>
          <w:tab w:val="right" w:leader="dot" w:pos="8640"/>
        </w:tabs>
        <w:spacing w:before="120" w:after="120" w:line="240" w:lineRule="auto"/>
        <w:jc w:val="both"/>
        <w:rPr>
          <w:rFonts w:eastAsia="Times New Roman" w:cs="Times New Roman"/>
          <w:noProof/>
          <w:szCs w:val="20"/>
        </w:rPr>
      </w:pPr>
    </w:p>
    <w:p w:rsidR="00B71C54" w:rsidRDefault="00465787">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B71C54" w:rsidRDefault="00465787">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B71C54" w:rsidRDefault="00465787">
      <w:pPr>
        <w:widowControl w:val="0"/>
        <w:spacing w:before="240" w:after="240" w:line="240" w:lineRule="auto"/>
        <w:jc w:val="center"/>
        <w:rPr>
          <w:noProof/>
        </w:rPr>
      </w:pPr>
      <w:r>
        <w:rPr>
          <w:rFonts w:eastAsia="Times New Roman" w:cs="Times New Roman"/>
          <w:b/>
          <w:noProof/>
          <w:sz w:val="24"/>
          <w:szCs w:val="20"/>
        </w:rPr>
        <w:lastRenderedPageBreak/>
        <w:t>Table of Contents</w:t>
      </w:r>
      <w:bookmarkStart w:id="2" w:name="_Toc432510709"/>
      <w:bookmarkStart w:id="3" w:name="_Toc432521119"/>
      <w:bookmarkStart w:id="4" w:name="_Toc433296149"/>
      <w:bookmarkEnd w:id="2"/>
      <w:bookmarkEnd w:id="3"/>
      <w:r>
        <w:rPr>
          <w:rFonts w:eastAsiaTheme="minorEastAsia" w:cs="Times New Roman"/>
          <w:b/>
          <w:caps/>
          <w:noProof/>
          <w:sz w:val="24"/>
          <w:szCs w:val="20"/>
          <w:lang w:val="en-US" w:eastAsia="ja-JP"/>
        </w:rPr>
        <w:fldChar w:fldCharType="begin"/>
      </w:r>
      <w:r>
        <w:rPr>
          <w:rFonts w:eastAsiaTheme="minorEastAsia" w:cs="Times New Roman"/>
          <w:b/>
          <w:caps/>
          <w:noProof/>
          <w:sz w:val="24"/>
          <w:szCs w:val="20"/>
          <w:lang w:val="en-US" w:eastAsia="ja-JP"/>
        </w:rPr>
        <w:instrText xml:space="preserve"> TOC \o "1-2" \h \z \u </w:instrText>
      </w:r>
      <w:r>
        <w:rPr>
          <w:rFonts w:eastAsiaTheme="minorEastAsia" w:cs="Times New Roman"/>
          <w:b/>
          <w:caps/>
          <w:noProof/>
          <w:sz w:val="24"/>
          <w:szCs w:val="20"/>
          <w:lang w:val="en-US" w:eastAsia="ja-JP"/>
        </w:rPr>
        <w:fldChar w:fldCharType="separate"/>
      </w:r>
    </w:p>
    <w:p w:rsidR="00B71C54" w:rsidRDefault="00465787">
      <w:pPr>
        <w:pStyle w:val="TOC1"/>
        <w:rPr>
          <w:rFonts w:asciiTheme="minorHAnsi" w:eastAsiaTheme="minorEastAsia" w:hAnsiTheme="minorHAnsi" w:cstheme="minorBidi"/>
          <w:caps w:val="0"/>
          <w:noProof/>
          <w:sz w:val="22"/>
          <w:szCs w:val="22"/>
          <w:lang w:eastAsia="en-GB"/>
        </w:rPr>
      </w:pPr>
      <w:hyperlink w:anchor="_Toc472694746" w:history="1">
        <w:r>
          <w:rPr>
            <w:rStyle w:val="Hyperlink"/>
            <w:rFonts w:eastAsiaTheme="majorEastAsia" w:cstheme="majorBidi"/>
            <w:b/>
            <w:bCs/>
            <w:noProof/>
          </w:rPr>
          <w:t>Executive summary</w:t>
        </w:r>
        <w:r>
          <w:rPr>
            <w:noProof/>
            <w:webHidden/>
          </w:rPr>
          <w:tab/>
        </w:r>
        <w:r>
          <w:rPr>
            <w:noProof/>
            <w:webHidden/>
          </w:rPr>
          <w:fldChar w:fldCharType="begin"/>
        </w:r>
        <w:r>
          <w:rPr>
            <w:noProof/>
            <w:webHidden/>
          </w:rPr>
          <w:instrText xml:space="preserve"> PAGEREF _Toc472694746 \h </w:instrText>
        </w:r>
        <w:r>
          <w:rPr>
            <w:noProof/>
            <w:webHidden/>
          </w:rPr>
        </w:r>
        <w:r>
          <w:rPr>
            <w:noProof/>
            <w:webHidden/>
          </w:rPr>
          <w:fldChar w:fldCharType="separate"/>
        </w:r>
        <w:r>
          <w:rPr>
            <w:noProof/>
            <w:webHidden/>
          </w:rPr>
          <w:t>4</w:t>
        </w:r>
        <w:r>
          <w:rPr>
            <w:noProof/>
            <w:webHidden/>
          </w:rPr>
          <w:fldChar w:fldCharType="end"/>
        </w:r>
      </w:hyperlink>
    </w:p>
    <w:p w:rsidR="00B71C54" w:rsidRDefault="00465787">
      <w:pPr>
        <w:pStyle w:val="TOC1"/>
        <w:rPr>
          <w:rFonts w:asciiTheme="minorHAnsi" w:eastAsiaTheme="minorEastAsia" w:hAnsiTheme="minorHAnsi" w:cstheme="minorBidi"/>
          <w:caps w:val="0"/>
          <w:noProof/>
          <w:sz w:val="22"/>
          <w:szCs w:val="22"/>
          <w:lang w:eastAsia="en-GB"/>
        </w:rPr>
      </w:pPr>
      <w:hyperlink w:anchor="_Toc472694747" w:history="1">
        <w:r>
          <w:rPr>
            <w:rStyle w:val="Hyperlink"/>
            <w:rFonts w:eastAsiaTheme="majorEastAsia" w:cstheme="majorBidi"/>
            <w:b/>
            <w:bCs/>
            <w:noProof/>
          </w:rPr>
          <w:t>Part I: Thematic Areas</w:t>
        </w:r>
        <w:r>
          <w:rPr>
            <w:noProof/>
            <w:webHidden/>
          </w:rPr>
          <w:tab/>
        </w:r>
        <w:r>
          <w:rPr>
            <w:noProof/>
            <w:webHidden/>
          </w:rPr>
          <w:fldChar w:fldCharType="begin"/>
        </w:r>
        <w:r>
          <w:rPr>
            <w:noProof/>
            <w:webHidden/>
          </w:rPr>
          <w:instrText xml:space="preserve"> PAGEREF _Toc472694747 \h </w:instrText>
        </w:r>
        <w:r>
          <w:rPr>
            <w:noProof/>
            <w:webHidden/>
          </w:rPr>
        </w:r>
        <w:r>
          <w:rPr>
            <w:noProof/>
            <w:webHidden/>
          </w:rPr>
          <w:fldChar w:fldCharType="separate"/>
        </w:r>
        <w:r>
          <w:rPr>
            <w:noProof/>
            <w:webHidden/>
          </w:rPr>
          <w:t>5</w:t>
        </w:r>
        <w:r>
          <w:rPr>
            <w:noProof/>
            <w:webHidden/>
          </w:rPr>
          <w:fldChar w:fldCharType="end"/>
        </w:r>
      </w:hyperlink>
    </w:p>
    <w:p w:rsidR="00B71C54" w:rsidRDefault="00465787">
      <w:pPr>
        <w:pStyle w:val="TOC1"/>
        <w:rPr>
          <w:rFonts w:asciiTheme="minorHAnsi" w:eastAsiaTheme="minorEastAsia" w:hAnsiTheme="minorHAnsi" w:cstheme="minorBidi"/>
          <w:caps w:val="0"/>
          <w:noProof/>
          <w:sz w:val="22"/>
          <w:szCs w:val="22"/>
          <w:lang w:eastAsia="en-GB"/>
        </w:rPr>
      </w:pPr>
      <w:hyperlink w:anchor="_Toc472694748" w:history="1">
        <w:r>
          <w:rPr>
            <w:rStyle w:val="Hyperlink"/>
            <w:rFonts w:eastAsiaTheme="majorEastAsia" w:cstheme="majorBidi"/>
            <w:b/>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
            <w:bCs/>
            <w:noProof/>
          </w:rPr>
          <w:t>Tur</w:t>
        </w:r>
        <w:r>
          <w:rPr>
            <w:rStyle w:val="Hyperlink"/>
            <w:rFonts w:eastAsiaTheme="majorEastAsia" w:cstheme="majorBidi"/>
            <w:b/>
            <w:bCs/>
            <w:noProof/>
          </w:rPr>
          <w:t>ning the EU into a circular, resource-efficient, green and competitive low-carbon economy</w:t>
        </w:r>
        <w:r>
          <w:rPr>
            <w:noProof/>
            <w:webHidden/>
          </w:rPr>
          <w:tab/>
        </w:r>
        <w:r>
          <w:rPr>
            <w:noProof/>
            <w:webHidden/>
          </w:rPr>
          <w:fldChar w:fldCharType="begin"/>
        </w:r>
        <w:r>
          <w:rPr>
            <w:noProof/>
            <w:webHidden/>
          </w:rPr>
          <w:instrText xml:space="preserve"> PAGEREF _Toc472694748 \h </w:instrText>
        </w:r>
        <w:r>
          <w:rPr>
            <w:noProof/>
            <w:webHidden/>
          </w:rPr>
        </w:r>
        <w:r>
          <w:rPr>
            <w:noProof/>
            <w:webHidden/>
          </w:rPr>
          <w:fldChar w:fldCharType="separate"/>
        </w:r>
        <w:r>
          <w:rPr>
            <w:noProof/>
            <w:webHidden/>
          </w:rPr>
          <w:t>5</w:t>
        </w:r>
        <w:r>
          <w:rPr>
            <w:noProof/>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49" w:history="1">
        <w:r>
          <w:rPr>
            <w:rStyle w:val="Hyperlink"/>
            <w:b/>
          </w:rPr>
          <w:t>Developing a circular economy and impr</w:t>
        </w:r>
        <w:r>
          <w:rPr>
            <w:rStyle w:val="Hyperlink"/>
            <w:b/>
          </w:rPr>
          <w:t>oving resource efficiency</w:t>
        </w:r>
        <w:r>
          <w:rPr>
            <w:webHidden/>
          </w:rPr>
          <w:tab/>
        </w:r>
        <w:r>
          <w:rPr>
            <w:webHidden/>
          </w:rPr>
          <w:fldChar w:fldCharType="begin"/>
        </w:r>
        <w:r>
          <w:rPr>
            <w:webHidden/>
          </w:rPr>
          <w:instrText xml:space="preserve"> PAGEREF _Toc472694749 \h </w:instrText>
        </w:r>
        <w:r>
          <w:rPr>
            <w:webHidden/>
          </w:rPr>
        </w:r>
        <w:r>
          <w:rPr>
            <w:webHidden/>
          </w:rPr>
          <w:fldChar w:fldCharType="separate"/>
        </w:r>
        <w:r>
          <w:rPr>
            <w:webHidden/>
          </w:rPr>
          <w:t>5</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0" w:history="1">
        <w:r>
          <w:rPr>
            <w:rStyle w:val="Hyperlink"/>
            <w:b/>
            <w:lang w:eastAsia="en-GB"/>
          </w:rPr>
          <w:t>Waste management</w:t>
        </w:r>
        <w:r>
          <w:rPr>
            <w:webHidden/>
          </w:rPr>
          <w:tab/>
        </w:r>
        <w:r>
          <w:rPr>
            <w:webHidden/>
          </w:rPr>
          <w:fldChar w:fldCharType="begin"/>
        </w:r>
        <w:r>
          <w:rPr>
            <w:webHidden/>
          </w:rPr>
          <w:instrText xml:space="preserve"> PAGEREF _Toc472694750 \h </w:instrText>
        </w:r>
        <w:r>
          <w:rPr>
            <w:webHidden/>
          </w:rPr>
        </w:r>
        <w:r>
          <w:rPr>
            <w:webHidden/>
          </w:rPr>
          <w:fldChar w:fldCharType="separate"/>
        </w:r>
        <w:r>
          <w:rPr>
            <w:webHidden/>
          </w:rPr>
          <w:t>8</w:t>
        </w:r>
        <w:r>
          <w:rPr>
            <w:webHidden/>
          </w:rPr>
          <w:fldChar w:fldCharType="end"/>
        </w:r>
      </w:hyperlink>
    </w:p>
    <w:p w:rsidR="00B71C54" w:rsidRDefault="00465787">
      <w:pPr>
        <w:pStyle w:val="TOC1"/>
        <w:rPr>
          <w:rFonts w:asciiTheme="minorHAnsi" w:eastAsiaTheme="minorEastAsia" w:hAnsiTheme="minorHAnsi" w:cstheme="minorBidi"/>
          <w:caps w:val="0"/>
          <w:noProof/>
          <w:sz w:val="22"/>
          <w:szCs w:val="22"/>
          <w:lang w:eastAsia="en-GB"/>
        </w:rPr>
      </w:pPr>
      <w:hyperlink w:anchor="_Toc472694751" w:history="1">
        <w:r>
          <w:rPr>
            <w:rStyle w:val="Hyperlink"/>
            <w:rFonts w:cstheme="majorBidi"/>
            <w:b/>
            <w:bCs/>
            <w:noProof/>
          </w:rPr>
          <w:t>2.</w:t>
        </w:r>
        <w:r>
          <w:rPr>
            <w:rFonts w:asciiTheme="minorHAnsi" w:eastAsiaTheme="minorEastAsia" w:hAnsiTheme="minorHAnsi" w:cstheme="minorBidi"/>
            <w:caps w:val="0"/>
            <w:noProof/>
            <w:sz w:val="22"/>
            <w:szCs w:val="22"/>
            <w:lang w:eastAsia="en-GB"/>
          </w:rPr>
          <w:tab/>
        </w:r>
        <w:r>
          <w:rPr>
            <w:rStyle w:val="Hyperlink"/>
            <w:rFonts w:cstheme="majorBidi"/>
            <w:b/>
            <w:bCs/>
            <w:noProof/>
          </w:rPr>
          <w:t>Protecting, conserving and enhancing natural capital</w:t>
        </w:r>
        <w:r>
          <w:rPr>
            <w:noProof/>
            <w:webHidden/>
          </w:rPr>
          <w:tab/>
        </w:r>
        <w:r>
          <w:rPr>
            <w:noProof/>
            <w:webHidden/>
          </w:rPr>
          <w:fldChar w:fldCharType="begin"/>
        </w:r>
        <w:r>
          <w:rPr>
            <w:noProof/>
            <w:webHidden/>
          </w:rPr>
          <w:instrText xml:space="preserve"> PAGEREF _Toc472694751 \h </w:instrText>
        </w:r>
        <w:r>
          <w:rPr>
            <w:noProof/>
            <w:webHidden/>
          </w:rPr>
        </w:r>
        <w:r>
          <w:rPr>
            <w:noProof/>
            <w:webHidden/>
          </w:rPr>
          <w:fldChar w:fldCharType="separate"/>
        </w:r>
        <w:r>
          <w:rPr>
            <w:noProof/>
            <w:webHidden/>
          </w:rPr>
          <w:t>10</w:t>
        </w:r>
        <w:r>
          <w:rPr>
            <w:noProof/>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2" w:history="1">
        <w:r>
          <w:rPr>
            <w:rStyle w:val="Hyperlink"/>
            <w:b/>
            <w:lang w:eastAsia="en-GB"/>
          </w:rPr>
          <w:t>Nature and Biodiversity</w:t>
        </w:r>
        <w:r>
          <w:rPr>
            <w:webHidden/>
          </w:rPr>
          <w:tab/>
        </w:r>
        <w:r>
          <w:rPr>
            <w:webHidden/>
          </w:rPr>
          <w:fldChar w:fldCharType="begin"/>
        </w:r>
        <w:r>
          <w:rPr>
            <w:webHidden/>
          </w:rPr>
          <w:instrText xml:space="preserve"> PAGEREF _Toc472694752 \h </w:instrText>
        </w:r>
        <w:r>
          <w:rPr>
            <w:webHidden/>
          </w:rPr>
        </w:r>
        <w:r>
          <w:rPr>
            <w:webHidden/>
          </w:rPr>
          <w:fldChar w:fldCharType="separate"/>
        </w:r>
        <w:r>
          <w:rPr>
            <w:webHidden/>
          </w:rPr>
          <w:t>10</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3" w:history="1">
        <w:r>
          <w:rPr>
            <w:rStyle w:val="Hyperlink"/>
            <w:b/>
          </w:rPr>
          <w:t>Estimating Natural Capital</w:t>
        </w:r>
        <w:r>
          <w:rPr>
            <w:webHidden/>
          </w:rPr>
          <w:tab/>
        </w:r>
        <w:r>
          <w:rPr>
            <w:webHidden/>
          </w:rPr>
          <w:fldChar w:fldCharType="begin"/>
        </w:r>
        <w:r>
          <w:rPr>
            <w:webHidden/>
          </w:rPr>
          <w:instrText xml:space="preserve"> PAGEREF _Toc472694753 \h </w:instrText>
        </w:r>
        <w:r>
          <w:rPr>
            <w:webHidden/>
          </w:rPr>
        </w:r>
        <w:r>
          <w:rPr>
            <w:webHidden/>
          </w:rPr>
          <w:fldChar w:fldCharType="separate"/>
        </w:r>
        <w:r>
          <w:rPr>
            <w:webHidden/>
          </w:rPr>
          <w:t>12</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4" w:history="1">
        <w:r>
          <w:rPr>
            <w:rStyle w:val="Hyperlink"/>
            <w:b/>
          </w:rPr>
          <w:t>Green Infrastructure</w:t>
        </w:r>
        <w:r>
          <w:rPr>
            <w:webHidden/>
          </w:rPr>
          <w:tab/>
        </w:r>
        <w:r>
          <w:rPr>
            <w:webHidden/>
          </w:rPr>
          <w:fldChar w:fldCharType="begin"/>
        </w:r>
        <w:r>
          <w:rPr>
            <w:webHidden/>
          </w:rPr>
          <w:instrText xml:space="preserve"> PAGEREF _Toc472694754 \h </w:instrText>
        </w:r>
        <w:r>
          <w:rPr>
            <w:webHidden/>
          </w:rPr>
        </w:r>
        <w:r>
          <w:rPr>
            <w:webHidden/>
          </w:rPr>
          <w:fldChar w:fldCharType="separate"/>
        </w:r>
        <w:r>
          <w:rPr>
            <w:webHidden/>
          </w:rPr>
          <w:t>13</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5" w:history="1">
        <w:r>
          <w:rPr>
            <w:rStyle w:val="Hyperlink"/>
            <w:b/>
          </w:rPr>
          <w:t>Soil protection</w:t>
        </w:r>
        <w:r>
          <w:rPr>
            <w:webHidden/>
          </w:rPr>
          <w:tab/>
        </w:r>
        <w:r>
          <w:rPr>
            <w:webHidden/>
          </w:rPr>
          <w:fldChar w:fldCharType="begin"/>
        </w:r>
        <w:r>
          <w:rPr>
            <w:webHidden/>
          </w:rPr>
          <w:instrText xml:space="preserve"> PAGEREF _Toc472694755 \h </w:instrText>
        </w:r>
        <w:r>
          <w:rPr>
            <w:webHidden/>
          </w:rPr>
        </w:r>
        <w:r>
          <w:rPr>
            <w:webHidden/>
          </w:rPr>
          <w:fldChar w:fldCharType="separate"/>
        </w:r>
        <w:r>
          <w:rPr>
            <w:webHidden/>
          </w:rPr>
          <w:t>13</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6" w:history="1">
        <w:r>
          <w:rPr>
            <w:rStyle w:val="Hyperlink"/>
            <w:b/>
            <w:lang w:eastAsia="en-GB"/>
          </w:rPr>
          <w:t>Marine protection</w:t>
        </w:r>
        <w:r>
          <w:rPr>
            <w:webHidden/>
          </w:rPr>
          <w:tab/>
        </w:r>
        <w:r>
          <w:rPr>
            <w:webHidden/>
          </w:rPr>
          <w:fldChar w:fldCharType="begin"/>
        </w:r>
        <w:r>
          <w:rPr>
            <w:webHidden/>
          </w:rPr>
          <w:instrText xml:space="preserve"> PAGEREF _Toc472694756 \h </w:instrText>
        </w:r>
        <w:r>
          <w:rPr>
            <w:webHidden/>
          </w:rPr>
        </w:r>
        <w:r>
          <w:rPr>
            <w:webHidden/>
          </w:rPr>
          <w:fldChar w:fldCharType="separate"/>
        </w:r>
        <w:r>
          <w:rPr>
            <w:webHidden/>
          </w:rPr>
          <w:t>14</w:t>
        </w:r>
        <w:r>
          <w:rPr>
            <w:webHidden/>
          </w:rPr>
          <w:fldChar w:fldCharType="end"/>
        </w:r>
      </w:hyperlink>
    </w:p>
    <w:p w:rsidR="00B71C54" w:rsidRDefault="00465787">
      <w:pPr>
        <w:pStyle w:val="TOC1"/>
        <w:rPr>
          <w:rFonts w:asciiTheme="minorHAnsi" w:eastAsiaTheme="minorEastAsia" w:hAnsiTheme="minorHAnsi" w:cstheme="minorBidi"/>
          <w:caps w:val="0"/>
          <w:noProof/>
          <w:sz w:val="22"/>
          <w:szCs w:val="22"/>
          <w:lang w:eastAsia="en-GB"/>
        </w:rPr>
      </w:pPr>
      <w:hyperlink w:anchor="_Toc472694757" w:history="1">
        <w:r>
          <w:rPr>
            <w:rStyle w:val="Hyperlink"/>
            <w:rFonts w:eastAsiaTheme="majorEastAsia" w:cstheme="majorBidi"/>
            <w:b/>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
            <w:bCs/>
            <w:noProof/>
          </w:rPr>
          <w:t>Ensuring citizens' health and quality of life</w:t>
        </w:r>
        <w:r>
          <w:rPr>
            <w:noProof/>
            <w:webHidden/>
          </w:rPr>
          <w:tab/>
        </w:r>
        <w:r>
          <w:rPr>
            <w:noProof/>
            <w:webHidden/>
          </w:rPr>
          <w:fldChar w:fldCharType="begin"/>
        </w:r>
        <w:r>
          <w:rPr>
            <w:noProof/>
            <w:webHidden/>
          </w:rPr>
          <w:instrText xml:space="preserve"> PAGEREF _Toc472694757 \h </w:instrText>
        </w:r>
        <w:r>
          <w:rPr>
            <w:noProof/>
            <w:webHidden/>
          </w:rPr>
        </w:r>
        <w:r>
          <w:rPr>
            <w:noProof/>
            <w:webHidden/>
          </w:rPr>
          <w:fldChar w:fldCharType="separate"/>
        </w:r>
        <w:r>
          <w:rPr>
            <w:noProof/>
            <w:webHidden/>
          </w:rPr>
          <w:t>16</w:t>
        </w:r>
        <w:r>
          <w:rPr>
            <w:noProof/>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8" w:history="1">
        <w:r>
          <w:rPr>
            <w:rStyle w:val="Hyperlink"/>
          </w:rPr>
          <w:t>Air quality</w:t>
        </w:r>
        <w:r>
          <w:rPr>
            <w:webHidden/>
          </w:rPr>
          <w:tab/>
        </w:r>
        <w:r>
          <w:rPr>
            <w:webHidden/>
          </w:rPr>
          <w:fldChar w:fldCharType="begin"/>
        </w:r>
        <w:r>
          <w:rPr>
            <w:webHidden/>
          </w:rPr>
          <w:instrText xml:space="preserve"> PAGEREF _Toc472694758 \h </w:instrText>
        </w:r>
        <w:r>
          <w:rPr>
            <w:webHidden/>
          </w:rPr>
        </w:r>
        <w:r>
          <w:rPr>
            <w:webHidden/>
          </w:rPr>
          <w:fldChar w:fldCharType="separate"/>
        </w:r>
        <w:r>
          <w:rPr>
            <w:webHidden/>
          </w:rPr>
          <w:t>16</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59" w:history="1">
        <w:r>
          <w:rPr>
            <w:rStyle w:val="Hyperlink"/>
            <w:b/>
          </w:rPr>
          <w:t>Noise</w:t>
        </w:r>
        <w:r>
          <w:rPr>
            <w:webHidden/>
          </w:rPr>
          <w:tab/>
        </w:r>
        <w:r>
          <w:rPr>
            <w:webHidden/>
          </w:rPr>
          <w:fldChar w:fldCharType="begin"/>
        </w:r>
        <w:r>
          <w:rPr>
            <w:webHidden/>
          </w:rPr>
          <w:instrText xml:space="preserve"> PAGEREF _Toc472694759 \h </w:instrText>
        </w:r>
        <w:r>
          <w:rPr>
            <w:webHidden/>
          </w:rPr>
        </w:r>
        <w:r>
          <w:rPr>
            <w:webHidden/>
          </w:rPr>
          <w:fldChar w:fldCharType="separate"/>
        </w:r>
        <w:r>
          <w:rPr>
            <w:webHidden/>
          </w:rPr>
          <w:t>17</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60" w:history="1">
        <w:r>
          <w:rPr>
            <w:rStyle w:val="Hyperlink"/>
            <w:b/>
            <w:lang w:eastAsia="en-GB"/>
          </w:rPr>
          <w:t>Water quality and management</w:t>
        </w:r>
        <w:r>
          <w:rPr>
            <w:webHidden/>
          </w:rPr>
          <w:tab/>
        </w:r>
        <w:r>
          <w:rPr>
            <w:webHidden/>
          </w:rPr>
          <w:fldChar w:fldCharType="begin"/>
        </w:r>
        <w:r>
          <w:rPr>
            <w:webHidden/>
          </w:rPr>
          <w:instrText xml:space="preserve"> PAGEREF _Toc472694760 \h </w:instrText>
        </w:r>
        <w:r>
          <w:rPr>
            <w:webHidden/>
          </w:rPr>
        </w:r>
        <w:r>
          <w:rPr>
            <w:webHidden/>
          </w:rPr>
          <w:fldChar w:fldCharType="separate"/>
        </w:r>
        <w:r>
          <w:rPr>
            <w:webHidden/>
          </w:rPr>
          <w:t>17</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61" w:history="1">
        <w:r>
          <w:rPr>
            <w:rStyle w:val="Hyperlink"/>
            <w:b/>
            <w:lang w:eastAsia="en-GB"/>
          </w:rPr>
          <w:t>Enhancing the sustainability of cities</w:t>
        </w:r>
        <w:r>
          <w:rPr>
            <w:webHidden/>
          </w:rPr>
          <w:tab/>
        </w:r>
        <w:r>
          <w:rPr>
            <w:webHidden/>
          </w:rPr>
          <w:fldChar w:fldCharType="begin"/>
        </w:r>
        <w:r>
          <w:rPr>
            <w:webHidden/>
          </w:rPr>
          <w:instrText xml:space="preserve"> PAGEREF _Toc472694761 \h </w:instrText>
        </w:r>
        <w:r>
          <w:rPr>
            <w:webHidden/>
          </w:rPr>
        </w:r>
        <w:r>
          <w:rPr>
            <w:webHidden/>
          </w:rPr>
          <w:fldChar w:fldCharType="separate"/>
        </w:r>
        <w:r>
          <w:rPr>
            <w:webHidden/>
          </w:rPr>
          <w:t>19</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62" w:history="1">
        <w:r>
          <w:rPr>
            <w:rStyle w:val="Hyperlink"/>
            <w:b/>
            <w:lang w:eastAsia="en-GB"/>
          </w:rPr>
          <w:t>International agreements</w:t>
        </w:r>
        <w:r>
          <w:rPr>
            <w:webHidden/>
          </w:rPr>
          <w:tab/>
        </w:r>
        <w:r>
          <w:rPr>
            <w:webHidden/>
          </w:rPr>
          <w:fldChar w:fldCharType="begin"/>
        </w:r>
        <w:r>
          <w:rPr>
            <w:webHidden/>
          </w:rPr>
          <w:instrText xml:space="preserve"> PAGEREF _Toc472694762 \h </w:instrText>
        </w:r>
        <w:r>
          <w:rPr>
            <w:webHidden/>
          </w:rPr>
        </w:r>
        <w:r>
          <w:rPr>
            <w:webHidden/>
          </w:rPr>
          <w:fldChar w:fldCharType="separate"/>
        </w:r>
        <w:r>
          <w:rPr>
            <w:webHidden/>
          </w:rPr>
          <w:t>20</w:t>
        </w:r>
        <w:r>
          <w:rPr>
            <w:webHidden/>
          </w:rPr>
          <w:fldChar w:fldCharType="end"/>
        </w:r>
      </w:hyperlink>
    </w:p>
    <w:p w:rsidR="00B71C54" w:rsidRDefault="00465787">
      <w:pPr>
        <w:pStyle w:val="TOC1"/>
        <w:rPr>
          <w:rFonts w:asciiTheme="minorHAnsi" w:eastAsiaTheme="minorEastAsia" w:hAnsiTheme="minorHAnsi" w:cstheme="minorBidi"/>
          <w:caps w:val="0"/>
          <w:noProof/>
          <w:sz w:val="22"/>
          <w:szCs w:val="22"/>
          <w:lang w:eastAsia="en-GB"/>
        </w:rPr>
      </w:pPr>
      <w:hyperlink w:anchor="_Toc472694763" w:history="1">
        <w:r>
          <w:rPr>
            <w:rStyle w:val="Hyperlink"/>
            <w:rFonts w:eastAsiaTheme="majorEastAsia" w:cstheme="majorBidi"/>
            <w:b/>
            <w:bCs/>
            <w:noProof/>
          </w:rPr>
          <w:t>4. Market based instruments and investment</w:t>
        </w:r>
        <w:r>
          <w:rPr>
            <w:noProof/>
            <w:webHidden/>
          </w:rPr>
          <w:tab/>
        </w:r>
        <w:r>
          <w:rPr>
            <w:noProof/>
            <w:webHidden/>
          </w:rPr>
          <w:fldChar w:fldCharType="begin"/>
        </w:r>
        <w:r>
          <w:rPr>
            <w:noProof/>
            <w:webHidden/>
          </w:rPr>
          <w:instrText xml:space="preserve"> PAGEREF _Toc472694763 \h </w:instrText>
        </w:r>
        <w:r>
          <w:rPr>
            <w:noProof/>
            <w:webHidden/>
          </w:rPr>
        </w:r>
        <w:r>
          <w:rPr>
            <w:noProof/>
            <w:webHidden/>
          </w:rPr>
          <w:fldChar w:fldCharType="separate"/>
        </w:r>
        <w:r>
          <w:rPr>
            <w:noProof/>
            <w:webHidden/>
          </w:rPr>
          <w:t>22</w:t>
        </w:r>
        <w:r>
          <w:rPr>
            <w:noProof/>
            <w:webHidden/>
          </w:rPr>
          <w:fldChar w:fldCharType="end"/>
        </w:r>
      </w:hyperlink>
    </w:p>
    <w:p w:rsidR="00B71C54" w:rsidRDefault="00465787">
      <w:pPr>
        <w:pStyle w:val="TOC1"/>
        <w:rPr>
          <w:rFonts w:asciiTheme="minorHAnsi" w:eastAsiaTheme="minorEastAsia" w:hAnsiTheme="minorHAnsi" w:cstheme="minorBidi"/>
          <w:caps w:val="0"/>
          <w:noProof/>
          <w:sz w:val="22"/>
          <w:szCs w:val="22"/>
          <w:lang w:eastAsia="en-GB"/>
        </w:rPr>
      </w:pPr>
      <w:hyperlink w:anchor="_Toc472694764" w:history="1">
        <w:r>
          <w:rPr>
            <w:rStyle w:val="Hyperlink"/>
            <w:b/>
            <w:noProof/>
          </w:rPr>
          <w:t>Green taxation and</w:t>
        </w:r>
        <w:r>
          <w:rPr>
            <w:rStyle w:val="Hyperlink"/>
            <w:b/>
            <w:noProof/>
          </w:rPr>
          <w:t xml:space="preserve"> environmentally harmful subsidies</w:t>
        </w:r>
        <w:r>
          <w:rPr>
            <w:noProof/>
            <w:webHidden/>
          </w:rPr>
          <w:tab/>
        </w:r>
        <w:r>
          <w:rPr>
            <w:noProof/>
            <w:webHidden/>
          </w:rPr>
          <w:fldChar w:fldCharType="begin"/>
        </w:r>
        <w:r>
          <w:rPr>
            <w:noProof/>
            <w:webHidden/>
          </w:rPr>
          <w:instrText xml:space="preserve"> PAGEREF _Toc472694764 \h </w:instrText>
        </w:r>
        <w:r>
          <w:rPr>
            <w:noProof/>
            <w:webHidden/>
          </w:rPr>
        </w:r>
        <w:r>
          <w:rPr>
            <w:noProof/>
            <w:webHidden/>
          </w:rPr>
          <w:fldChar w:fldCharType="separate"/>
        </w:r>
        <w:r>
          <w:rPr>
            <w:noProof/>
            <w:webHidden/>
          </w:rPr>
          <w:t>22</w:t>
        </w:r>
        <w:r>
          <w:rPr>
            <w:noProof/>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65" w:history="1">
        <w:r>
          <w:rPr>
            <w:rStyle w:val="Hyperlink"/>
            <w:b/>
            <w:lang w:eastAsia="en-GB"/>
          </w:rPr>
          <w:t>Green Public Procurement</w:t>
        </w:r>
        <w:r>
          <w:rPr>
            <w:webHidden/>
          </w:rPr>
          <w:tab/>
        </w:r>
        <w:r>
          <w:rPr>
            <w:webHidden/>
          </w:rPr>
          <w:fldChar w:fldCharType="begin"/>
        </w:r>
        <w:r>
          <w:rPr>
            <w:webHidden/>
          </w:rPr>
          <w:instrText xml:space="preserve"> PAGEREF _Toc472694765 \h </w:instrText>
        </w:r>
        <w:r>
          <w:rPr>
            <w:webHidden/>
          </w:rPr>
        </w:r>
        <w:r>
          <w:rPr>
            <w:webHidden/>
          </w:rPr>
          <w:fldChar w:fldCharType="separate"/>
        </w:r>
        <w:r>
          <w:rPr>
            <w:webHidden/>
          </w:rPr>
          <w:t>23</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66" w:history="1">
        <w:r>
          <w:rPr>
            <w:rStyle w:val="Hyperlink"/>
            <w:b/>
            <w:lang w:eastAsia="en-GB"/>
          </w:rPr>
          <w:t>Investments: the contribution of EU funds</w:t>
        </w:r>
        <w:r>
          <w:rPr>
            <w:webHidden/>
          </w:rPr>
          <w:tab/>
        </w:r>
        <w:r>
          <w:rPr>
            <w:webHidden/>
          </w:rPr>
          <w:fldChar w:fldCharType="begin"/>
        </w:r>
        <w:r>
          <w:rPr>
            <w:webHidden/>
          </w:rPr>
          <w:instrText xml:space="preserve"> PAGEREF _Toc472694766 \h </w:instrText>
        </w:r>
        <w:r>
          <w:rPr>
            <w:webHidden/>
          </w:rPr>
        </w:r>
        <w:r>
          <w:rPr>
            <w:webHidden/>
          </w:rPr>
          <w:fldChar w:fldCharType="separate"/>
        </w:r>
        <w:r>
          <w:rPr>
            <w:webHidden/>
          </w:rPr>
          <w:t>23</w:t>
        </w:r>
        <w:r>
          <w:rPr>
            <w:webHidden/>
          </w:rPr>
          <w:fldChar w:fldCharType="end"/>
        </w:r>
      </w:hyperlink>
    </w:p>
    <w:p w:rsidR="00B71C54" w:rsidRDefault="00465787">
      <w:pPr>
        <w:pStyle w:val="TOC1"/>
        <w:rPr>
          <w:rFonts w:asciiTheme="minorHAnsi" w:eastAsiaTheme="minorEastAsia" w:hAnsiTheme="minorHAnsi" w:cstheme="minorBidi"/>
          <w:caps w:val="0"/>
          <w:noProof/>
          <w:sz w:val="22"/>
          <w:szCs w:val="22"/>
          <w:lang w:eastAsia="en-GB"/>
        </w:rPr>
      </w:pPr>
      <w:hyperlink w:anchor="_Toc472694767" w:history="1">
        <w:r>
          <w:rPr>
            <w:rStyle w:val="Hyperlink"/>
            <w:rFonts w:eastAsiaTheme="majorEastAsia" w:cstheme="majorBidi"/>
            <w:b/>
            <w:bCs/>
            <w:noProof/>
          </w:rPr>
          <w:t>5. Effective governance and knowledge</w:t>
        </w:r>
        <w:r>
          <w:rPr>
            <w:noProof/>
            <w:webHidden/>
          </w:rPr>
          <w:tab/>
        </w:r>
        <w:r>
          <w:rPr>
            <w:noProof/>
            <w:webHidden/>
          </w:rPr>
          <w:fldChar w:fldCharType="begin"/>
        </w:r>
        <w:r>
          <w:rPr>
            <w:noProof/>
            <w:webHidden/>
          </w:rPr>
          <w:instrText xml:space="preserve"> PAGEREF _Toc472694767 \h </w:instrText>
        </w:r>
        <w:r>
          <w:rPr>
            <w:noProof/>
            <w:webHidden/>
          </w:rPr>
        </w:r>
        <w:r>
          <w:rPr>
            <w:noProof/>
            <w:webHidden/>
          </w:rPr>
          <w:fldChar w:fldCharType="separate"/>
        </w:r>
        <w:r>
          <w:rPr>
            <w:noProof/>
            <w:webHidden/>
          </w:rPr>
          <w:t>26</w:t>
        </w:r>
        <w:r>
          <w:rPr>
            <w:noProof/>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68" w:history="1">
        <w:r>
          <w:rPr>
            <w:rStyle w:val="Hyperlink"/>
            <w:b/>
          </w:rPr>
          <w:t>Effective governance within central, regional and local government</w:t>
        </w:r>
        <w:r>
          <w:rPr>
            <w:webHidden/>
          </w:rPr>
          <w:tab/>
        </w:r>
        <w:r>
          <w:rPr>
            <w:webHidden/>
          </w:rPr>
          <w:fldChar w:fldCharType="begin"/>
        </w:r>
        <w:r>
          <w:rPr>
            <w:webHidden/>
          </w:rPr>
          <w:instrText xml:space="preserve"> PAGEREF _Toc472694768 \h </w:instrText>
        </w:r>
        <w:r>
          <w:rPr>
            <w:webHidden/>
          </w:rPr>
        </w:r>
        <w:r>
          <w:rPr>
            <w:webHidden/>
          </w:rPr>
          <w:fldChar w:fldCharType="separate"/>
        </w:r>
        <w:r>
          <w:rPr>
            <w:webHidden/>
          </w:rPr>
          <w:t>26</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69" w:history="1">
        <w:r>
          <w:rPr>
            <w:rStyle w:val="Hyperlink"/>
            <w:b/>
          </w:rPr>
          <w:t>Compliance assurance</w:t>
        </w:r>
        <w:r>
          <w:rPr>
            <w:webHidden/>
          </w:rPr>
          <w:tab/>
        </w:r>
        <w:r>
          <w:rPr>
            <w:webHidden/>
          </w:rPr>
          <w:fldChar w:fldCharType="begin"/>
        </w:r>
        <w:r>
          <w:rPr>
            <w:webHidden/>
          </w:rPr>
          <w:instrText xml:space="preserve"> PAGEREF _Toc472694769 \h </w:instrText>
        </w:r>
        <w:r>
          <w:rPr>
            <w:webHidden/>
          </w:rPr>
        </w:r>
        <w:r>
          <w:rPr>
            <w:webHidden/>
          </w:rPr>
          <w:fldChar w:fldCharType="separate"/>
        </w:r>
        <w:r>
          <w:rPr>
            <w:webHidden/>
          </w:rPr>
          <w:t>27</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70" w:history="1">
        <w:r>
          <w:rPr>
            <w:rStyle w:val="Hyperlink"/>
            <w:b/>
          </w:rPr>
          <w:t>Public participation and access to justice</w:t>
        </w:r>
        <w:r>
          <w:rPr>
            <w:webHidden/>
          </w:rPr>
          <w:tab/>
        </w:r>
        <w:r>
          <w:rPr>
            <w:webHidden/>
          </w:rPr>
          <w:fldChar w:fldCharType="begin"/>
        </w:r>
        <w:r>
          <w:rPr>
            <w:webHidden/>
          </w:rPr>
          <w:instrText xml:space="preserve"> PAGEREF _Toc472694770 \h </w:instrText>
        </w:r>
        <w:r>
          <w:rPr>
            <w:webHidden/>
          </w:rPr>
        </w:r>
        <w:r>
          <w:rPr>
            <w:webHidden/>
          </w:rPr>
          <w:fldChar w:fldCharType="separate"/>
        </w:r>
        <w:r>
          <w:rPr>
            <w:webHidden/>
          </w:rPr>
          <w:t>29</w:t>
        </w:r>
        <w:r>
          <w:rPr>
            <w:webHidden/>
          </w:rPr>
          <w:fldChar w:fldCharType="end"/>
        </w:r>
      </w:hyperlink>
    </w:p>
    <w:p w:rsidR="00B71C54" w:rsidRDefault="00465787">
      <w:pPr>
        <w:pStyle w:val="TOC2"/>
        <w:rPr>
          <w:rFonts w:asciiTheme="minorHAnsi" w:eastAsiaTheme="minorEastAsia" w:hAnsiTheme="minorHAnsi" w:cstheme="minorBidi"/>
          <w:sz w:val="22"/>
          <w:szCs w:val="22"/>
          <w:lang w:eastAsia="en-GB"/>
        </w:rPr>
      </w:pPr>
      <w:hyperlink w:anchor="_Toc472694771" w:history="1">
        <w:r>
          <w:rPr>
            <w:rStyle w:val="Hyperlink"/>
            <w:b/>
          </w:rPr>
          <w:t>Access to information and knowledge</w:t>
        </w:r>
        <w:r>
          <w:rPr>
            <w:webHidden/>
          </w:rPr>
          <w:tab/>
        </w:r>
        <w:r>
          <w:rPr>
            <w:webHidden/>
          </w:rPr>
          <w:fldChar w:fldCharType="begin"/>
        </w:r>
        <w:r>
          <w:rPr>
            <w:webHidden/>
          </w:rPr>
          <w:instrText xml:space="preserve"> PAGEREF _Toc472694771 \</w:instrText>
        </w:r>
        <w:r>
          <w:rPr>
            <w:webHidden/>
          </w:rPr>
          <w:instrText xml:space="preserve">h </w:instrText>
        </w:r>
        <w:r>
          <w:rPr>
            <w:webHidden/>
          </w:rPr>
        </w:r>
        <w:r>
          <w:rPr>
            <w:webHidden/>
          </w:rPr>
          <w:fldChar w:fldCharType="separate"/>
        </w:r>
        <w:r>
          <w:rPr>
            <w:webHidden/>
          </w:rPr>
          <w:t>29</w:t>
        </w:r>
        <w:r>
          <w:rPr>
            <w:webHidden/>
          </w:rPr>
          <w:fldChar w:fldCharType="end"/>
        </w:r>
      </w:hyperlink>
    </w:p>
    <w:p w:rsidR="00B71C54" w:rsidRDefault="00465787">
      <w:pPr>
        <w:widowControl w:val="0"/>
        <w:spacing w:before="240" w:after="240" w:line="240" w:lineRule="auto"/>
        <w:jc w:val="center"/>
        <w:rPr>
          <w:rFonts w:ascii="Times New Roman" w:eastAsia="Times New Roman" w:hAnsi="Times New Roman" w:cs="Times New Roman"/>
          <w:b/>
          <w:noProof/>
          <w:sz w:val="24"/>
          <w:szCs w:val="20"/>
        </w:rPr>
      </w:pPr>
      <w:r>
        <w:rPr>
          <w:rFonts w:eastAsiaTheme="minorEastAsia" w:cs="Times New Roman"/>
          <w:b/>
          <w:caps/>
          <w:noProof/>
          <w:sz w:val="24"/>
          <w:szCs w:val="20"/>
          <w:lang w:val="en-US" w:eastAsia="ja-JP"/>
        </w:rPr>
        <w:fldChar w:fldCharType="end"/>
      </w:r>
    </w:p>
    <w:p w:rsidR="00B71C54" w:rsidRDefault="00B71C54">
      <w:pPr>
        <w:widowControl w:val="0"/>
        <w:spacing w:after="0" w:line="240" w:lineRule="auto"/>
        <w:jc w:val="center"/>
        <w:outlineLvl w:val="0"/>
        <w:rPr>
          <w:rFonts w:eastAsiaTheme="majorEastAsia" w:cstheme="majorBidi"/>
          <w:b/>
          <w:bCs/>
          <w:noProof/>
          <w:color w:val="1F497D" w:themeColor="text2"/>
          <w:sz w:val="32"/>
          <w:szCs w:val="28"/>
        </w:rPr>
        <w:sectPr w:rsidR="00B71C54">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708" w:footer="708" w:gutter="0"/>
          <w:pgNumType w:start="2"/>
          <w:cols w:space="566"/>
          <w:titlePg/>
          <w:docGrid w:linePitch="360"/>
        </w:sectPr>
      </w:pPr>
    </w:p>
    <w:p w:rsidR="00B71C54" w:rsidRDefault="00465787">
      <w:pPr>
        <w:widowControl w:val="0"/>
        <w:spacing w:after="0" w:line="240" w:lineRule="auto"/>
        <w:jc w:val="center"/>
        <w:outlineLvl w:val="0"/>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lastRenderedPageBreak/>
        <w:br w:type="page"/>
      </w:r>
    </w:p>
    <w:p w:rsidR="00B71C54" w:rsidRDefault="00465787">
      <w:pPr>
        <w:widowControl w:val="0"/>
        <w:spacing w:line="240" w:lineRule="auto"/>
        <w:jc w:val="center"/>
        <w:outlineLvl w:val="0"/>
        <w:rPr>
          <w:rFonts w:eastAsiaTheme="majorEastAsia" w:cstheme="majorBidi"/>
          <w:b/>
          <w:bCs/>
          <w:noProof/>
          <w:color w:val="1F497D" w:themeColor="text2"/>
          <w:sz w:val="32"/>
          <w:szCs w:val="28"/>
        </w:rPr>
      </w:pPr>
      <w:bookmarkStart w:id="5" w:name="_Toc472694746"/>
      <w:r>
        <w:rPr>
          <w:rFonts w:eastAsiaTheme="majorEastAsia" w:cstheme="majorBidi"/>
          <w:b/>
          <w:bCs/>
          <w:noProof/>
          <w:color w:val="1F497D" w:themeColor="text2"/>
          <w:sz w:val="32"/>
          <w:szCs w:val="28"/>
        </w:rPr>
        <w:lastRenderedPageBreak/>
        <w:t>Executive summary</w:t>
      </w:r>
      <w:bookmarkEnd w:id="4"/>
      <w:bookmarkEnd w:id="5"/>
    </w:p>
    <w:p w:rsidR="00B71C54" w:rsidRDefault="00B71C54">
      <w:pPr>
        <w:widowControl w:val="0"/>
        <w:spacing w:after="240" w:line="240" w:lineRule="auto"/>
        <w:jc w:val="both"/>
        <w:rPr>
          <w:rFonts w:cstheme="minorHAnsi"/>
          <w:b/>
          <w:noProof/>
          <w:color w:val="1F497D" w:themeColor="text2"/>
        </w:rPr>
        <w:sectPr w:rsidR="00B71C54">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080" w:bottom="1440" w:left="1080" w:header="708" w:footer="708" w:gutter="0"/>
          <w:pgNumType w:start="3"/>
          <w:cols w:space="566"/>
          <w:docGrid w:linePitch="360"/>
        </w:sectPr>
      </w:pPr>
    </w:p>
    <w:p w:rsidR="00B71C54" w:rsidRDefault="00465787">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B71C54" w:rsidRDefault="00465787">
      <w:pPr>
        <w:widowControl w:val="0"/>
        <w:spacing w:after="120" w:line="240" w:lineRule="auto"/>
        <w:jc w:val="both"/>
        <w:rPr>
          <w:rFonts w:ascii="Calibri" w:eastAsia="Calibri" w:hAnsi="Calibri" w:cs="Times New Roman"/>
          <w:noProof/>
          <w:sz w:val="20"/>
        </w:rPr>
      </w:pPr>
      <w:r>
        <w:rPr>
          <w:rFonts w:ascii="Calibri" w:eastAsia="Calibri" w:hAnsi="Calibri" w:cs="Times New Roman"/>
          <w:noProof/>
          <w:sz w:val="20"/>
        </w:rPr>
        <w:t xml:space="preserve">In May 2016, the Commission launched the Environmental Implementation Review (EIR), a two-year </w:t>
      </w:r>
      <w:r>
        <w:rPr>
          <w:rFonts w:ascii="Calibri" w:eastAsia="Calibri" w:hAnsi="Calibri" w:cs="Times New Roman"/>
          <w:noProof/>
          <w:sz w:val="20"/>
        </w:rPr>
        <w:t>cycle of analysis, dialogue and collaboration to improve the implementation of existing EU environmental policy and legislation</w:t>
      </w:r>
      <w:r>
        <w:rPr>
          <w:rFonts w:ascii="Calibri" w:eastAsia="Calibri" w:hAnsi="Calibri" w:cs="Times New Roman"/>
          <w:noProof/>
          <w:sz w:val="20"/>
          <w:vertAlign w:val="superscript"/>
        </w:rPr>
        <w:footnoteReference w:id="1"/>
      </w:r>
      <w:r>
        <w:rPr>
          <w:rFonts w:ascii="Calibri" w:eastAsia="Calibri" w:hAnsi="Calibri" w:cs="Times New Roman"/>
          <w:noProof/>
          <w:sz w:val="20"/>
        </w:rPr>
        <w:t>. As a first step, the Commission drafted 28 reports describing the main challenges and opportunities on environmental implement</w:t>
      </w:r>
      <w:r>
        <w:rPr>
          <w:rFonts w:ascii="Calibri" w:eastAsia="Calibri" w:hAnsi="Calibri" w:cs="Times New Roman"/>
          <w:noProof/>
          <w:sz w:val="20"/>
        </w:rPr>
        <w:t xml:space="preserve">ation for each Member State. These reports are meant to stimulate a positive debate both on shared environmental challenges for the EU, as well as on the most effective ways to address the key implementation gaps. The reports rely on the detailed sectoral </w:t>
      </w:r>
      <w:r>
        <w:rPr>
          <w:rFonts w:ascii="Calibri" w:eastAsia="Calibri" w:hAnsi="Calibri" w:cs="Times New Roman"/>
          <w:noProof/>
          <w:sz w:val="20"/>
        </w:rPr>
        <w:t>implementation reports collected or issued by the Commission under specific environmental legislation as well as the 2015 State of the Environment Report and other reports by the European Environment Agency. These reports will not replace the specific inst</w:t>
      </w:r>
      <w:r>
        <w:rPr>
          <w:rFonts w:ascii="Calibri" w:eastAsia="Calibri" w:hAnsi="Calibri" w:cs="Times New Roman"/>
          <w:noProof/>
          <w:sz w:val="20"/>
        </w:rPr>
        <w:t xml:space="preserve">ruments to ensure compliance with the EU legal obligations. </w:t>
      </w:r>
    </w:p>
    <w:p w:rsidR="00B71C54" w:rsidRDefault="00465787">
      <w:pPr>
        <w:widowControl w:val="0"/>
        <w:spacing w:after="120" w:line="240" w:lineRule="auto"/>
        <w:jc w:val="both"/>
        <w:rPr>
          <w:rFonts w:ascii="Calibri" w:eastAsia="Calibri" w:hAnsi="Calibri" w:cs="Times New Roman"/>
          <w:noProof/>
          <w:sz w:val="20"/>
        </w:rPr>
      </w:pPr>
      <w:r>
        <w:rPr>
          <w:rFonts w:ascii="Calibri" w:eastAsia="Calibri" w:hAnsi="Calibri" w:cs="Times New Roman"/>
          <w:noProof/>
          <w:sz w:val="20"/>
        </w:rPr>
        <w:t>The reports will broadly follow the outline of the 7th Environmental Action Programme</w:t>
      </w:r>
      <w:r>
        <w:rPr>
          <w:rFonts w:ascii="Calibri" w:eastAsia="Calibri" w:hAnsi="Calibri" w:cs="Times New Roman"/>
          <w:noProof/>
          <w:sz w:val="20"/>
          <w:vertAlign w:val="superscript"/>
        </w:rPr>
        <w:footnoteReference w:id="2"/>
      </w:r>
      <w:r>
        <w:rPr>
          <w:rFonts w:ascii="Calibri" w:eastAsia="Calibri" w:hAnsi="Calibri" w:cs="Times New Roman"/>
          <w:noProof/>
          <w:sz w:val="20"/>
        </w:rPr>
        <w:t xml:space="preserve"> and refer to the 2030 Agenda for Sustainable development and related Sustainable Development Goals (SDGs)</w:t>
      </w:r>
      <w:r>
        <w:rPr>
          <w:rFonts w:ascii="Calibri" w:eastAsia="Calibri" w:hAnsi="Calibri" w:cs="Times New Roman"/>
          <w:noProof/>
          <w:sz w:val="20"/>
          <w:vertAlign w:val="superscript"/>
        </w:rPr>
        <w:footnoteReference w:id="3"/>
      </w:r>
      <w:r>
        <w:rPr>
          <w:rFonts w:ascii="Calibri" w:eastAsia="Calibri" w:hAnsi="Calibri" w:cs="Times New Roman"/>
          <w:noProof/>
          <w:sz w:val="20"/>
        </w:rPr>
        <w:t xml:space="preserve"> t</w:t>
      </w:r>
      <w:r>
        <w:rPr>
          <w:rFonts w:ascii="Calibri" w:eastAsia="Calibri" w:hAnsi="Calibri" w:cs="Times New Roman"/>
          <w:noProof/>
          <w:sz w:val="20"/>
        </w:rPr>
        <w:t>o the extent to which they reflect the existing obligations and policy objectives of EU environmental law</w:t>
      </w:r>
      <w:r>
        <w:rPr>
          <w:rFonts w:ascii="Calibri" w:eastAsia="Calibri" w:hAnsi="Calibri" w:cs="Times New Roman"/>
          <w:noProof/>
          <w:sz w:val="20"/>
          <w:vertAlign w:val="superscript"/>
        </w:rPr>
        <w:footnoteReference w:id="4"/>
      </w:r>
      <w:r>
        <w:rPr>
          <w:rFonts w:ascii="Calibri" w:eastAsia="Calibri" w:hAnsi="Calibri" w:cs="Times New Roman"/>
          <w:noProof/>
          <w:sz w:val="20"/>
        </w:rPr>
        <w:t xml:space="preserve">. </w:t>
      </w:r>
    </w:p>
    <w:p w:rsidR="00B71C54" w:rsidRDefault="00465787">
      <w:pPr>
        <w:widowControl w:val="0"/>
        <w:spacing w:after="120" w:line="240" w:lineRule="auto"/>
        <w:jc w:val="both"/>
        <w:rPr>
          <w:rFonts w:ascii="Calibri" w:eastAsia="Calibri" w:hAnsi="Calibri" w:cs="Times New Roman"/>
          <w:noProof/>
          <w:sz w:val="20"/>
        </w:rPr>
      </w:pPr>
      <w:r>
        <w:rPr>
          <w:rFonts w:ascii="Calibri" w:eastAsia="Calibri" w:hAnsi="Calibri" w:cs="Times New Roman"/>
          <w:noProof/>
          <w:sz w:val="20"/>
        </w:rPr>
        <w:t>The main challenges have been selected by taking into account factors such as the importance or the gravity of the environmental implementation iss</w:t>
      </w:r>
      <w:r>
        <w:rPr>
          <w:rFonts w:ascii="Calibri" w:eastAsia="Calibri" w:hAnsi="Calibri" w:cs="Times New Roman"/>
          <w:noProof/>
          <w:sz w:val="20"/>
        </w:rPr>
        <w:t>ue in the light of the impact on the quality of life of the citizens, the distance to target, and financial implications.</w:t>
      </w:r>
    </w:p>
    <w:p w:rsidR="00B71C54" w:rsidRDefault="00465787">
      <w:pPr>
        <w:widowControl w:val="0"/>
        <w:spacing w:after="120" w:line="240" w:lineRule="auto"/>
        <w:jc w:val="both"/>
        <w:rPr>
          <w:rFonts w:ascii="Calibri" w:eastAsia="Calibri" w:hAnsi="Calibri" w:cs="Times New Roman"/>
          <w:noProof/>
          <w:sz w:val="20"/>
        </w:rPr>
      </w:pPr>
      <w:r>
        <w:rPr>
          <w:rFonts w:ascii="Calibri" w:eastAsia="Calibri" w:hAnsi="Calibri" w:cs="Times New Roman"/>
          <w:noProof/>
          <w:sz w:val="20"/>
        </w:rPr>
        <w:t>The reports accompany the Communication "</w:t>
      </w:r>
      <w:r>
        <w:rPr>
          <w:rFonts w:ascii="Calibri" w:eastAsia="Calibri" w:hAnsi="Calibri" w:cs="Times New Roman"/>
          <w:i/>
          <w:noProof/>
          <w:sz w:val="20"/>
        </w:rPr>
        <w:t>The EU Environmental Implementation Review 2016: Common challenges and how to combine efforts</w:t>
      </w:r>
      <w:r>
        <w:rPr>
          <w:rFonts w:ascii="Calibri" w:eastAsia="Calibri" w:hAnsi="Calibri" w:cs="Times New Roman"/>
          <w:i/>
          <w:noProof/>
          <w:sz w:val="20"/>
        </w:rPr>
        <w:t xml:space="preserve"> to deliver better results</w:t>
      </w:r>
      <w:r>
        <w:rPr>
          <w:rFonts w:ascii="Calibri" w:eastAsia="Calibri" w:hAnsi="Calibri" w:cs="Times New Roman"/>
          <w:noProof/>
          <w:sz w:val="20"/>
        </w:rPr>
        <w:t>", which identifies challenges that are common to several Member States, provides preliminary conclusions on possible root causes of implementation gaps and proposes joint actions to deliver better results. It also groups in its A</w:t>
      </w:r>
      <w:r>
        <w:rPr>
          <w:rFonts w:ascii="Calibri" w:eastAsia="Calibri" w:hAnsi="Calibri" w:cs="Times New Roman"/>
          <w:noProof/>
          <w:sz w:val="20"/>
        </w:rPr>
        <w:t>nnex the actions proposed in each country report to improve implementation at national level.</w:t>
      </w:r>
    </w:p>
    <w:p w:rsidR="00B71C54" w:rsidRDefault="00465787">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B71C54" w:rsidRDefault="00465787">
      <w:pPr>
        <w:widowControl w:val="0"/>
        <w:spacing w:after="0" w:line="240" w:lineRule="auto"/>
        <w:jc w:val="both"/>
        <w:rPr>
          <w:rFonts w:cs="Times New Roman"/>
          <w:noProof/>
          <w:sz w:val="20"/>
        </w:rPr>
      </w:pPr>
      <w:r>
        <w:rPr>
          <w:rFonts w:cs="Times New Roman"/>
          <w:noProof/>
          <w:sz w:val="20"/>
        </w:rPr>
        <w:t>France is a politically centralised country which has delegated several environmental competences at regional and local level while keeping the assessment of environmental impact at national level. Recently (August 2015), the loi "NOTRe" (Act on the new te</w:t>
      </w:r>
      <w:r>
        <w:rPr>
          <w:rFonts w:cs="Times New Roman"/>
          <w:noProof/>
          <w:sz w:val="20"/>
        </w:rPr>
        <w:t xml:space="preserve">rritorial organisation of the French republic) has allocated more competences on sustainable development to regional level (waste, renewable energies, mobility, land-use planning…). </w:t>
      </w:r>
    </w:p>
    <w:p w:rsidR="00B71C54" w:rsidRDefault="00B71C54">
      <w:pPr>
        <w:widowControl w:val="0"/>
        <w:spacing w:after="0" w:line="240" w:lineRule="auto"/>
        <w:jc w:val="both"/>
        <w:rPr>
          <w:rFonts w:cstheme="minorHAnsi"/>
          <w:b/>
          <w:noProof/>
          <w:color w:val="1F497D" w:themeColor="text2"/>
        </w:rPr>
      </w:pPr>
    </w:p>
    <w:p w:rsidR="00B71C54" w:rsidRDefault="00465787">
      <w:pPr>
        <w:widowControl w:val="0"/>
        <w:spacing w:after="0" w:line="240" w:lineRule="auto"/>
        <w:jc w:val="both"/>
        <w:rPr>
          <w:rFonts w:cstheme="minorHAnsi"/>
          <w:b/>
          <w:noProof/>
          <w:color w:val="1F497D" w:themeColor="text2"/>
        </w:rPr>
      </w:pPr>
      <w:r>
        <w:rPr>
          <w:rFonts w:cstheme="minorHAnsi"/>
          <w:b/>
          <w:noProof/>
          <w:color w:val="1F497D" w:themeColor="text2"/>
        </w:rPr>
        <w:t>Main Challenges</w:t>
      </w:r>
    </w:p>
    <w:p w:rsidR="00B71C54" w:rsidRDefault="00465787">
      <w:pPr>
        <w:widowControl w:val="0"/>
        <w:spacing w:after="0" w:line="240" w:lineRule="auto"/>
        <w:jc w:val="both"/>
        <w:rPr>
          <w:rFonts w:cs="Times New Roman"/>
          <w:noProof/>
          <w:sz w:val="20"/>
        </w:rPr>
      </w:pPr>
      <w:r>
        <w:rPr>
          <w:rFonts w:cs="Times New Roman"/>
          <w:noProof/>
          <w:sz w:val="20"/>
        </w:rPr>
        <w:t xml:space="preserve">The three main challenges with regard to implementation </w:t>
      </w:r>
      <w:r>
        <w:rPr>
          <w:rFonts w:cs="Times New Roman"/>
          <w:noProof/>
          <w:sz w:val="20"/>
        </w:rPr>
        <w:t>of EU environmental policy and law in France are:</w:t>
      </w:r>
    </w:p>
    <w:p w:rsidR="00B71C54" w:rsidRDefault="00465787">
      <w:pPr>
        <w:widowControl w:val="0"/>
        <w:numPr>
          <w:ilvl w:val="0"/>
          <w:numId w:val="33"/>
        </w:numPr>
        <w:spacing w:after="0" w:line="240" w:lineRule="auto"/>
        <w:contextualSpacing/>
        <w:jc w:val="both"/>
        <w:rPr>
          <w:rFonts w:cs="Times New Roman"/>
          <w:noProof/>
          <w:sz w:val="20"/>
          <w:szCs w:val="20"/>
        </w:rPr>
      </w:pPr>
      <w:r>
        <w:rPr>
          <w:rFonts w:cs="Times New Roman"/>
          <w:noProof/>
          <w:sz w:val="20"/>
        </w:rPr>
        <w:t xml:space="preserve">Improving air quality by taking forward-looking, speedy and effective action to reach EU based air pollution limit values </w:t>
      </w:r>
    </w:p>
    <w:p w:rsidR="00B71C54" w:rsidRDefault="00465787">
      <w:pPr>
        <w:widowControl w:val="0"/>
        <w:numPr>
          <w:ilvl w:val="0"/>
          <w:numId w:val="33"/>
        </w:numPr>
        <w:spacing w:after="0" w:line="240" w:lineRule="auto"/>
        <w:contextualSpacing/>
        <w:jc w:val="both"/>
        <w:rPr>
          <w:rFonts w:cs="Times New Roman"/>
          <w:noProof/>
          <w:sz w:val="20"/>
          <w:szCs w:val="20"/>
        </w:rPr>
      </w:pPr>
      <w:r>
        <w:rPr>
          <w:rFonts w:cs="Times New Roman"/>
          <w:noProof/>
          <w:sz w:val="20"/>
          <w:szCs w:val="20"/>
        </w:rPr>
        <w:t>Implementing the necessary measures for improving the water quality, notably by red</w:t>
      </w:r>
      <w:r>
        <w:rPr>
          <w:rFonts w:cs="Times New Roman"/>
          <w:noProof/>
          <w:sz w:val="20"/>
          <w:szCs w:val="20"/>
        </w:rPr>
        <w:t xml:space="preserve">ucing the pollution by nitrates </w:t>
      </w:r>
    </w:p>
    <w:p w:rsidR="00B71C54" w:rsidRDefault="00465787">
      <w:pPr>
        <w:widowControl w:val="0"/>
        <w:numPr>
          <w:ilvl w:val="0"/>
          <w:numId w:val="33"/>
        </w:numPr>
        <w:spacing w:after="0" w:line="240" w:lineRule="auto"/>
        <w:contextualSpacing/>
        <w:jc w:val="both"/>
        <w:rPr>
          <w:rFonts w:cs="Times New Roman"/>
          <w:noProof/>
          <w:sz w:val="20"/>
          <w:szCs w:val="20"/>
        </w:rPr>
      </w:pPr>
      <w:r>
        <w:rPr>
          <w:rFonts w:cs="Times New Roman"/>
          <w:noProof/>
          <w:sz w:val="20"/>
          <w:szCs w:val="20"/>
        </w:rPr>
        <w:t>Effectively protecting biodiversity by ensuring the enforcement of the law to ensure the  protection of  habitats and species</w:t>
      </w:r>
    </w:p>
    <w:p w:rsidR="00B71C54" w:rsidRDefault="00B71C54">
      <w:pPr>
        <w:widowControl w:val="0"/>
        <w:spacing w:after="0" w:line="240" w:lineRule="auto"/>
        <w:ind w:left="360"/>
        <w:contextualSpacing/>
        <w:jc w:val="both"/>
        <w:rPr>
          <w:rFonts w:cs="Times New Roman"/>
          <w:noProof/>
          <w:sz w:val="20"/>
          <w:szCs w:val="20"/>
        </w:rPr>
      </w:pPr>
    </w:p>
    <w:p w:rsidR="00B71C54" w:rsidRDefault="00465787">
      <w:pPr>
        <w:widowControl w:val="0"/>
        <w:spacing w:after="0" w:line="240" w:lineRule="auto"/>
        <w:jc w:val="both"/>
        <w:rPr>
          <w:rFonts w:cs="Times New Roman"/>
          <w:noProof/>
          <w:sz w:val="20"/>
          <w:lang w:eastAsia="ja-JP"/>
        </w:rPr>
      </w:pPr>
      <w:r>
        <w:rPr>
          <w:rFonts w:cs="Calibri"/>
          <w:b/>
          <w:noProof/>
          <w:color w:val="1F497D"/>
        </w:rPr>
        <w:t>Main Opportunities</w:t>
      </w:r>
    </w:p>
    <w:p w:rsidR="00B71C54" w:rsidRDefault="00465787">
      <w:pPr>
        <w:widowControl w:val="0"/>
        <w:spacing w:after="0" w:line="240" w:lineRule="auto"/>
        <w:jc w:val="both"/>
        <w:rPr>
          <w:rFonts w:cs="Times New Roman"/>
          <w:noProof/>
          <w:sz w:val="20"/>
          <w:lang w:eastAsia="ja-JP"/>
        </w:rPr>
      </w:pPr>
      <w:r>
        <w:rPr>
          <w:rFonts w:cs="Times New Roman"/>
          <w:noProof/>
          <w:sz w:val="20"/>
        </w:rPr>
        <w:t xml:space="preserve">France </w:t>
      </w:r>
      <w:r>
        <w:rPr>
          <w:rFonts w:cs="Times New Roman"/>
          <w:noProof/>
          <w:sz w:val="20"/>
          <w:lang w:eastAsia="ja-JP"/>
        </w:rPr>
        <w:t>could perform better on topics where there is already a good knowledge</w:t>
      </w:r>
      <w:r>
        <w:rPr>
          <w:rFonts w:cs="Times New Roman"/>
          <w:noProof/>
          <w:sz w:val="20"/>
          <w:lang w:eastAsia="ja-JP"/>
        </w:rPr>
        <w:t xml:space="preserve"> base and good practices. This applies in particular to:</w:t>
      </w:r>
    </w:p>
    <w:p w:rsidR="00B71C54" w:rsidRDefault="00465787">
      <w:pPr>
        <w:widowControl w:val="0"/>
        <w:numPr>
          <w:ilvl w:val="0"/>
          <w:numId w:val="34"/>
        </w:numPr>
        <w:suppressAutoHyphens/>
        <w:overflowPunct w:val="0"/>
        <w:spacing w:after="0" w:line="240" w:lineRule="auto"/>
        <w:contextualSpacing/>
        <w:jc w:val="both"/>
        <w:rPr>
          <w:rFonts w:cs="Times New Roman"/>
          <w:noProof/>
          <w:sz w:val="20"/>
          <w:lang w:eastAsia="ja-JP"/>
        </w:rPr>
      </w:pPr>
      <w:r>
        <w:rPr>
          <w:rFonts w:cs="Times New Roman"/>
          <w:noProof/>
          <w:sz w:val="20"/>
          <w:lang w:eastAsia="ja-JP"/>
        </w:rPr>
        <w:t xml:space="preserve">Incentivising a shift from diesel fuel for motor vehicles, notably   through taxation  </w:t>
      </w:r>
    </w:p>
    <w:p w:rsidR="00B71C54" w:rsidRDefault="00465787">
      <w:pPr>
        <w:widowControl w:val="0"/>
        <w:numPr>
          <w:ilvl w:val="0"/>
          <w:numId w:val="34"/>
        </w:numPr>
        <w:suppressAutoHyphens/>
        <w:overflowPunct w:val="0"/>
        <w:spacing w:after="0" w:line="240" w:lineRule="auto"/>
        <w:contextualSpacing/>
        <w:jc w:val="both"/>
        <w:rPr>
          <w:rFonts w:cs="Times New Roman"/>
          <w:noProof/>
          <w:sz w:val="20"/>
          <w:lang w:eastAsia="ja-JP"/>
        </w:rPr>
      </w:pPr>
      <w:r>
        <w:rPr>
          <w:rFonts w:cs="Times New Roman"/>
          <w:noProof/>
          <w:sz w:val="20"/>
          <w:lang w:eastAsia="ja-JP"/>
        </w:rPr>
        <w:t>Achieving the  territorial coverage of its territory  with waste management plans</w:t>
      </w:r>
    </w:p>
    <w:p w:rsidR="00B71C54" w:rsidRDefault="00465787">
      <w:pPr>
        <w:widowControl w:val="0"/>
        <w:numPr>
          <w:ilvl w:val="0"/>
          <w:numId w:val="34"/>
        </w:numPr>
        <w:suppressAutoHyphens/>
        <w:overflowPunct w:val="0"/>
        <w:spacing w:after="0" w:line="240" w:lineRule="auto"/>
        <w:contextualSpacing/>
        <w:jc w:val="both"/>
        <w:rPr>
          <w:rFonts w:cs="Calibri"/>
          <w:b/>
          <w:noProof/>
          <w:color w:val="1F497D"/>
        </w:rPr>
      </w:pPr>
      <w:r>
        <w:rPr>
          <w:rFonts w:cs="Times New Roman"/>
          <w:noProof/>
          <w:sz w:val="20"/>
          <w:lang w:eastAsia="ja-JP"/>
        </w:rPr>
        <w:t xml:space="preserve">Reducing the percentage of incinerated and landfilled waste and  increasing re-use and recycling in order to create more business opportunities   </w:t>
      </w:r>
    </w:p>
    <w:p w:rsidR="00B71C54" w:rsidRDefault="00465787">
      <w:pPr>
        <w:widowControl w:val="0"/>
        <w:spacing w:after="0" w:line="240" w:lineRule="auto"/>
        <w:jc w:val="both"/>
        <w:rPr>
          <w:rFonts w:cstheme="minorHAnsi"/>
          <w:b/>
          <w:noProof/>
          <w:color w:val="1F497D" w:themeColor="text2"/>
        </w:rPr>
      </w:pPr>
      <w:r>
        <w:rPr>
          <w:rFonts w:cstheme="minorHAnsi"/>
          <w:b/>
          <w:noProof/>
          <w:color w:val="1F497D" w:themeColor="text2"/>
        </w:rPr>
        <w:br/>
        <w:t>Points of Excellence</w:t>
      </w:r>
    </w:p>
    <w:p w:rsidR="00B71C54" w:rsidRDefault="00465787">
      <w:pPr>
        <w:widowControl w:val="0"/>
        <w:spacing w:after="0" w:line="240" w:lineRule="auto"/>
        <w:jc w:val="both"/>
        <w:rPr>
          <w:rFonts w:cs="Times New Roman"/>
          <w:noProof/>
          <w:sz w:val="20"/>
        </w:rPr>
      </w:pPr>
      <w:r>
        <w:rPr>
          <w:rFonts w:cs="Times New Roman"/>
          <w:noProof/>
          <w:sz w:val="20"/>
        </w:rPr>
        <w:t>Where France is a leader on environmental implementation, innovative approaches could b</w:t>
      </w:r>
      <w:r>
        <w:rPr>
          <w:rFonts w:cs="Times New Roman"/>
          <w:noProof/>
          <w:sz w:val="20"/>
        </w:rPr>
        <w:t>e shared more widely with other countries. Good examples are:</w:t>
      </w:r>
    </w:p>
    <w:p w:rsidR="00B71C54" w:rsidRDefault="00465787">
      <w:pPr>
        <w:widowControl w:val="0"/>
        <w:numPr>
          <w:ilvl w:val="0"/>
          <w:numId w:val="35"/>
        </w:numPr>
        <w:spacing w:after="0" w:line="240" w:lineRule="auto"/>
        <w:contextualSpacing/>
        <w:jc w:val="both"/>
        <w:rPr>
          <w:rFonts w:cs="Times New Roman"/>
          <w:noProof/>
          <w:sz w:val="20"/>
          <w:lang w:eastAsia="ja-JP"/>
        </w:rPr>
      </w:pPr>
      <w:r>
        <w:rPr>
          <w:rFonts w:cs="Times New Roman"/>
          <w:noProof/>
          <w:sz w:val="20"/>
          <w:lang w:eastAsia="ja-JP"/>
        </w:rPr>
        <w:t>Good administrative capacity (e.g.  inspection bodies specially dedicated to environment protection, ICPE, ONCFS…) and an Environmental Authority involved in the assessment of plans and projects</w:t>
      </w:r>
      <w:r>
        <w:rPr>
          <w:rFonts w:cs="Times New Roman"/>
          <w:noProof/>
          <w:sz w:val="20"/>
          <w:lang w:eastAsia="ja-JP"/>
        </w:rPr>
        <w:t xml:space="preserve"> </w:t>
      </w:r>
    </w:p>
    <w:p w:rsidR="00B71C54" w:rsidRDefault="00465787">
      <w:pPr>
        <w:widowControl w:val="0"/>
        <w:numPr>
          <w:ilvl w:val="0"/>
          <w:numId w:val="35"/>
        </w:numPr>
        <w:spacing w:after="0" w:line="240" w:lineRule="auto"/>
        <w:jc w:val="both"/>
        <w:rPr>
          <w:rFonts w:cs="Times New Roman"/>
          <w:i/>
          <w:iCs/>
          <w:noProof/>
          <w:sz w:val="20"/>
          <w:lang w:val="en"/>
        </w:rPr>
      </w:pPr>
      <w:r>
        <w:rPr>
          <w:rFonts w:cs="Times New Roman"/>
          <w:noProof/>
          <w:sz w:val="20"/>
          <w:lang w:eastAsia="ja-JP"/>
        </w:rPr>
        <w:t>The Green and Blue belt network ("Trame Verte et Bleue") aiming at constituting a network of corridors and reservoirs of biodiversity.</w:t>
      </w:r>
    </w:p>
    <w:p w:rsidR="00B71C54" w:rsidRDefault="00465787">
      <w:pPr>
        <w:widowControl w:val="0"/>
        <w:numPr>
          <w:ilvl w:val="0"/>
          <w:numId w:val="35"/>
        </w:numPr>
        <w:spacing w:after="0" w:line="240" w:lineRule="auto"/>
        <w:jc w:val="both"/>
        <w:rPr>
          <w:rFonts w:cs="Times New Roman"/>
          <w:noProof/>
          <w:sz w:val="20"/>
          <w:lang w:eastAsia="ja-JP"/>
        </w:rPr>
      </w:pPr>
      <w:r>
        <w:rPr>
          <w:rFonts w:cs="Times New Roman"/>
          <w:iCs/>
          <w:noProof/>
          <w:sz w:val="20"/>
        </w:rPr>
        <w:t xml:space="preserve">Innovative and participative governance tools to protect biodiversity such as dedicated structures for Natura 2000 (a Steering Committee with local stakeholders and  a dedicated  management plan) and  </w:t>
      </w:r>
      <w:r>
        <w:rPr>
          <w:rFonts w:cs="Times New Roman"/>
          <w:iCs/>
          <w:noProof/>
          <w:sz w:val="20"/>
          <w:lang w:val="en"/>
        </w:rPr>
        <w:t>Regional Nature Park Policy</w:t>
      </w:r>
      <w:r>
        <w:rPr>
          <w:rFonts w:cs="Times New Roman"/>
          <w:iCs/>
          <w:noProof/>
          <w:sz w:val="20"/>
        </w:rPr>
        <w:t xml:space="preserve"> </w:t>
      </w:r>
      <w:r>
        <w:rPr>
          <w:rFonts w:cs="Times New Roman"/>
          <w:iCs/>
          <w:noProof/>
          <w:sz w:val="20"/>
          <w:lang w:val="en"/>
        </w:rPr>
        <w:t xml:space="preserve"> for protecting environment</w:t>
      </w:r>
      <w:r>
        <w:rPr>
          <w:rFonts w:cs="Times New Roman"/>
          <w:iCs/>
          <w:noProof/>
          <w:sz w:val="20"/>
          <w:lang w:val="en"/>
        </w:rPr>
        <w:t xml:space="preserve"> while ensuring a sustainable development of human activities  (Parcs Naturels Régionaux - PNR).</w:t>
      </w:r>
      <w:bookmarkStart w:id="6" w:name="_Toc433296150"/>
    </w:p>
    <w:p w:rsidR="00B71C54" w:rsidRDefault="00B71C54">
      <w:pPr>
        <w:widowControl w:val="0"/>
        <w:numPr>
          <w:ilvl w:val="0"/>
          <w:numId w:val="35"/>
        </w:numPr>
        <w:spacing w:after="0" w:line="240" w:lineRule="auto"/>
        <w:jc w:val="both"/>
        <w:rPr>
          <w:rFonts w:cs="Times New Roman"/>
          <w:noProof/>
          <w:sz w:val="20"/>
          <w:lang w:eastAsia="ja-JP"/>
        </w:rPr>
        <w:sectPr w:rsidR="00B71C54">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080" w:bottom="1440" w:left="1080" w:header="708" w:footer="708" w:gutter="0"/>
          <w:cols w:num="2" w:space="566"/>
          <w:docGrid w:linePitch="360"/>
        </w:sectPr>
      </w:pPr>
    </w:p>
    <w:p w:rsidR="00B71C54" w:rsidRDefault="00B71C54">
      <w:pPr>
        <w:widowControl w:val="0"/>
        <w:spacing w:after="0" w:line="240" w:lineRule="auto"/>
        <w:outlineLvl w:val="0"/>
        <w:rPr>
          <w:rFonts w:eastAsiaTheme="majorEastAsia" w:cstheme="majorBidi"/>
          <w:b/>
          <w:bCs/>
          <w:noProof/>
          <w:color w:val="1F497D" w:themeColor="text2"/>
          <w:sz w:val="32"/>
          <w:szCs w:val="28"/>
        </w:rPr>
        <w:sectPr w:rsidR="00B71C54">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1"/>
          <w:cols w:space="566"/>
          <w:docGrid w:linePitch="360"/>
        </w:sectPr>
      </w:pPr>
    </w:p>
    <w:p w:rsidR="00B71C54" w:rsidRDefault="00465787">
      <w:pPr>
        <w:widowControl w:val="0"/>
        <w:spacing w:after="0" w:line="240" w:lineRule="auto"/>
        <w:jc w:val="center"/>
        <w:outlineLvl w:val="0"/>
        <w:rPr>
          <w:rFonts w:eastAsiaTheme="majorEastAsia" w:cstheme="majorBidi"/>
          <w:b/>
          <w:bCs/>
          <w:noProof/>
          <w:color w:val="1F497D" w:themeColor="text2"/>
          <w:sz w:val="32"/>
          <w:szCs w:val="28"/>
        </w:rPr>
      </w:pPr>
      <w:bookmarkStart w:id="7" w:name="_Toc472694747"/>
      <w:r>
        <w:rPr>
          <w:rFonts w:eastAsiaTheme="majorEastAsia" w:cstheme="majorBidi"/>
          <w:b/>
          <w:bCs/>
          <w:noProof/>
          <w:color w:val="1F497D" w:themeColor="text2"/>
          <w:sz w:val="32"/>
          <w:szCs w:val="28"/>
        </w:rPr>
        <w:t>Part I: Thematic Areas</w:t>
      </w:r>
      <w:bookmarkEnd w:id="6"/>
      <w:bookmarkEnd w:id="7"/>
    </w:p>
    <w:p w:rsidR="00B71C54" w:rsidRDefault="00B71C54">
      <w:pPr>
        <w:widowControl w:val="0"/>
        <w:spacing w:after="0" w:line="240" w:lineRule="auto"/>
        <w:ind w:left="720"/>
        <w:outlineLvl w:val="0"/>
        <w:rPr>
          <w:rFonts w:eastAsiaTheme="majorEastAsia" w:cstheme="majorBidi"/>
          <w:b/>
          <w:bCs/>
          <w:noProof/>
          <w:color w:val="1F497D" w:themeColor="text2"/>
          <w:sz w:val="32"/>
          <w:szCs w:val="28"/>
        </w:rPr>
      </w:pPr>
      <w:bookmarkStart w:id="8" w:name="_Toc433296151"/>
    </w:p>
    <w:p w:rsidR="00B71C54" w:rsidRDefault="00465787">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sectPr w:rsidR="00B71C54">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566"/>
          <w:docGrid w:linePitch="360"/>
        </w:sectPr>
      </w:pPr>
      <w:bookmarkStart w:id="9" w:name="_Toc472694748"/>
      <w:r>
        <w:rPr>
          <w:rFonts w:eastAsiaTheme="majorEastAsia" w:cstheme="majorBidi"/>
          <w:b/>
          <w:bCs/>
          <w:noProof/>
          <w:color w:val="1F497D" w:themeColor="text2"/>
          <w:sz w:val="32"/>
          <w:szCs w:val="28"/>
        </w:rPr>
        <w:t xml:space="preserve">Turning the EU into a </w:t>
      </w:r>
      <w:r>
        <w:rPr>
          <w:rFonts w:eastAsiaTheme="majorEastAsia" w:cstheme="majorBidi"/>
          <w:b/>
          <w:bCs/>
          <w:noProof/>
          <w:color w:val="1F497D" w:themeColor="text2"/>
          <w:sz w:val="32"/>
          <w:szCs w:val="28"/>
        </w:rPr>
        <w:t>circular, resource-efficient, green and competitive low-carbon economy</w:t>
      </w:r>
      <w:bookmarkEnd w:id="8"/>
      <w:bookmarkEnd w:id="9"/>
    </w:p>
    <w:p w:rsidR="00B71C54" w:rsidRDefault="00B71C54">
      <w:pPr>
        <w:widowControl w:val="0"/>
        <w:spacing w:after="0" w:line="240" w:lineRule="auto"/>
        <w:ind w:left="360"/>
        <w:outlineLvl w:val="0"/>
        <w:rPr>
          <w:rFonts w:eastAsiaTheme="majorEastAsia" w:cstheme="majorBidi"/>
          <w:b/>
          <w:bCs/>
          <w:noProof/>
          <w:color w:val="1F497D" w:themeColor="text2"/>
          <w:sz w:val="32"/>
          <w:szCs w:val="28"/>
        </w:rPr>
      </w:pPr>
    </w:p>
    <w:p w:rsidR="00B71C54" w:rsidRDefault="00465787">
      <w:pPr>
        <w:widowControl w:val="0"/>
        <w:spacing w:after="120" w:line="240" w:lineRule="auto"/>
        <w:outlineLvl w:val="1"/>
        <w:rPr>
          <w:rFonts w:cs="Times New Roman"/>
          <w:b/>
          <w:noProof/>
          <w:color w:val="1F497D" w:themeColor="text2"/>
          <w:sz w:val="24"/>
          <w:szCs w:val="20"/>
        </w:rPr>
      </w:pPr>
      <w:bookmarkStart w:id="10" w:name="_Toc472694749"/>
      <w:r>
        <w:rPr>
          <w:rFonts w:cs="Times New Roman"/>
          <w:b/>
          <w:noProof/>
          <w:color w:val="1F497D" w:themeColor="text2"/>
          <w:sz w:val="24"/>
          <w:szCs w:val="20"/>
        </w:rPr>
        <w:t>Developing a circular economy and improving resource efficiency</w:t>
      </w:r>
      <w:bookmarkEnd w:id="10"/>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The 2015 Circular Economy Package emphasizes the need to move towards a lifecycle-driven ‘circular’ economy, with a </w:t>
      </w:r>
      <w:r>
        <w:rPr>
          <w:rFonts w:cs="Times New Roman"/>
          <w:noProof/>
          <w:color w:val="FFFFFF" w:themeColor="background1"/>
          <w:sz w:val="20"/>
        </w:rPr>
        <w:t>cascading use of resources and residual waste that is close to zero. This can be facilitated by the development of, and access to, innovative financial instruments and funding for eco-innovation.</w:t>
      </w:r>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SDG 8 invites countries to promote sustained, inclusive and </w:t>
      </w:r>
      <w:r>
        <w:rPr>
          <w:rFonts w:cs="Times New Roman"/>
          <w:noProof/>
          <w:color w:val="FFFFFF" w:themeColor="background1"/>
          <w:sz w:val="20"/>
        </w:rPr>
        <w:t>sustainable economic growth, full and productive employment and decent work for all. SDG 9 highlights the need to build resilient infrastructure, promote inclusive and sustainable industrialization and foster innovation. SDG 12 encourages countries to achi</w:t>
      </w:r>
      <w:r>
        <w:rPr>
          <w:rFonts w:cs="Times New Roman"/>
          <w:noProof/>
          <w:color w:val="FFFFFF" w:themeColor="background1"/>
          <w:sz w:val="20"/>
        </w:rPr>
        <w:t>eve the sustainable management and efficient use of natural resources by 2030.</w:t>
      </w:r>
    </w:p>
    <w:p w:rsidR="00B71C54" w:rsidRDefault="00465787">
      <w:pPr>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Measures towards a circular economy</w:t>
      </w:r>
    </w:p>
    <w:p w:rsidR="00B71C54" w:rsidRDefault="00465787">
      <w:pPr>
        <w:widowControl w:val="0"/>
        <w:spacing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make them more sustainable and competitive. This will stimulate investments and bring both short and long-term benefits for the economy, environment and citizens </w:t>
      </w:r>
      <w:r>
        <w:rPr>
          <w:rFonts w:cs="Times New Roman"/>
          <w:noProof/>
          <w:sz w:val="20"/>
        </w:rPr>
        <w:t xml:space="preserve">alike. </w:t>
      </w:r>
      <w:r>
        <w:rPr>
          <w:rFonts w:cs="Times New Roman"/>
          <w:noProof/>
          <w:sz w:val="20"/>
          <w:vertAlign w:val="superscript"/>
        </w:rPr>
        <w:footnoteReference w:id="5"/>
      </w:r>
    </w:p>
    <w:p w:rsidR="00B71C54" w:rsidRDefault="00465787">
      <w:pPr>
        <w:widowControl w:val="0"/>
        <w:spacing w:after="120" w:line="240" w:lineRule="auto"/>
        <w:jc w:val="both"/>
        <w:rPr>
          <w:rFonts w:cs="Times New Roman"/>
          <w:noProof/>
          <w:sz w:val="20"/>
        </w:rPr>
      </w:pPr>
      <w:r>
        <w:rPr>
          <w:rFonts w:cs="Times New Roman"/>
          <w:noProof/>
          <w:sz w:val="20"/>
        </w:rPr>
        <w:t>France is performing above the EU average in terms of resource productivity (how efficiently the economy uses material resources to produce wealth)</w:t>
      </w:r>
      <w:r>
        <w:rPr>
          <w:rFonts w:cs="Times New Roman"/>
          <w:noProof/>
          <w:sz w:val="20"/>
          <w:vertAlign w:val="superscript"/>
        </w:rPr>
        <w:footnoteReference w:id="6"/>
      </w:r>
      <w:r>
        <w:rPr>
          <w:rFonts w:cs="Times New Roman"/>
          <w:noProof/>
          <w:sz w:val="20"/>
        </w:rPr>
        <w:t>, with 2.8 EUR/kg (EU average is 2 EUR/kg)</w:t>
      </w:r>
      <w:r>
        <w:rPr>
          <w:rFonts w:cs="Times New Roman"/>
          <w:noProof/>
          <w:sz w:val="20"/>
          <w:vertAlign w:val="superscript"/>
        </w:rPr>
        <w:footnoteReference w:id="7"/>
      </w:r>
      <w:r>
        <w:rPr>
          <w:rFonts w:cs="Times New Roman"/>
          <w:noProof/>
          <w:sz w:val="20"/>
        </w:rPr>
        <w:t xml:space="preserve"> in 2015. As shown in Figure 1, France has had a modest </w:t>
      </w:r>
      <w:r>
        <w:rPr>
          <w:rFonts w:cs="Times New Roman"/>
          <w:noProof/>
          <w:sz w:val="20"/>
        </w:rPr>
        <w:t xml:space="preserve">but stable increase in resource productivity since 2007. </w:t>
      </w:r>
    </w:p>
    <w:p w:rsidR="00B71C54" w:rsidRDefault="00465787">
      <w:pPr>
        <w:widowControl w:val="0"/>
        <w:spacing w:after="120" w:line="240" w:lineRule="auto"/>
        <w:jc w:val="both"/>
        <w:rPr>
          <w:rFonts w:cs="Times New Roman"/>
          <w:noProof/>
          <w:sz w:val="20"/>
        </w:rPr>
      </w:pPr>
      <w:r>
        <w:rPr>
          <w:rFonts w:cs="Times New Roman"/>
          <w:noProof/>
          <w:sz w:val="20"/>
        </w:rPr>
        <w:t>The French central government has strongly supported the development of eco-industries, eco-innovation and the circular economy over the last decades, by deploying a number of policy initiatives and</w:t>
      </w:r>
      <w:r>
        <w:rPr>
          <w:rFonts w:cs="Times New Roman"/>
          <w:noProof/>
          <w:sz w:val="20"/>
        </w:rPr>
        <w:t xml:space="preserve"> programmes to support to eco-innovation and R&amp;D programmes, including circular economy.  These policy measures complement existing support schemes, including schemes that are not fully dedicated to eco-innovation but target innovation as a whole.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B71C54">
        <w:tc>
          <w:tcPr>
            <w:tcW w:w="4909" w:type="dxa"/>
          </w:tcPr>
          <w:p w:rsidR="00B71C54" w:rsidRDefault="00465787">
            <w:pPr>
              <w:widowControl w:val="0"/>
              <w:spacing w:after="120"/>
              <w:jc w:val="both"/>
              <w:rPr>
                <w:noProof/>
                <w:color w:val="1F497D" w:themeColor="text2"/>
              </w:rPr>
            </w:pPr>
            <w:r>
              <w:rPr>
                <w:b/>
                <w:bCs/>
                <w:noProof/>
                <w:color w:val="1F497D" w:themeColor="text2"/>
                <w:sz w:val="20"/>
              </w:rPr>
              <w:t>Figure 1</w:t>
            </w:r>
            <w:r>
              <w:rPr>
                <w:b/>
                <w:bCs/>
                <w:noProof/>
                <w:color w:val="1F497D" w:themeColor="text2"/>
                <w:sz w:val="20"/>
              </w:rPr>
              <w:t>: Resource productivity 2003-15</w:t>
            </w:r>
            <w:r>
              <w:rPr>
                <w:b/>
                <w:bCs/>
                <w:noProof/>
                <w:color w:val="1F497D" w:themeColor="text2"/>
                <w:sz w:val="20"/>
                <w:vertAlign w:val="superscript"/>
              </w:rPr>
              <w:footnoteReference w:id="8"/>
            </w:r>
          </w:p>
        </w:tc>
      </w:tr>
      <w:tr w:rsidR="00B71C54">
        <w:tc>
          <w:tcPr>
            <w:tcW w:w="4909" w:type="dxa"/>
          </w:tcPr>
          <w:p w:rsidR="00B71C54" w:rsidRDefault="00465787">
            <w:pPr>
              <w:widowControl w:val="0"/>
              <w:spacing w:after="120"/>
              <w:jc w:val="both"/>
              <w:rPr>
                <w:noProof/>
              </w:rPr>
            </w:pPr>
            <w:r>
              <w:rPr>
                <w:noProof/>
                <w:lang w:eastAsia="en-GB"/>
              </w:rPr>
              <w:drawing>
                <wp:inline distT="0" distB="0" distL="0" distR="0" wp14:anchorId="4400E826" wp14:editId="71D6BFDC">
                  <wp:extent cx="2998382" cy="19904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5982" cy="1995533"/>
                          </a:xfrm>
                          <a:prstGeom prst="rect">
                            <a:avLst/>
                          </a:prstGeom>
                          <a:noFill/>
                        </pic:spPr>
                      </pic:pic>
                    </a:graphicData>
                  </a:graphic>
                </wp:inline>
              </w:drawing>
            </w:r>
          </w:p>
        </w:tc>
      </w:tr>
    </w:tbl>
    <w:p w:rsidR="00B71C54" w:rsidRDefault="00465787">
      <w:pPr>
        <w:widowControl w:val="0"/>
        <w:spacing w:after="120" w:line="240" w:lineRule="auto"/>
        <w:jc w:val="both"/>
        <w:rPr>
          <w:rFonts w:cs="Times New Roman"/>
          <w:noProof/>
          <w:color w:val="00000A"/>
          <w:sz w:val="20"/>
        </w:rPr>
      </w:pPr>
      <w:r>
        <w:rPr>
          <w:rFonts w:cs="Times New Roman"/>
          <w:noProof/>
          <w:sz w:val="20"/>
        </w:rPr>
        <w:t xml:space="preserve">At the regional level, local authorities are also supporting eco-innovation and circular economy. </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 xml:space="preserve">France has recently launched interesting initiatives on circular economy such as: </w:t>
      </w:r>
    </w:p>
    <w:p w:rsidR="00B71C54" w:rsidRDefault="00465787">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eastAsia="Calibri" w:hAnsi="Calibri" w:cs="Times New Roman"/>
          <w:noProof/>
          <w:color w:val="000000" w:themeColor="text1"/>
          <w:kern w:val="1"/>
          <w:sz w:val="20"/>
        </w:rPr>
        <w:t xml:space="preserve">The “Investment for the Future” </w:t>
      </w:r>
      <w:r>
        <w:rPr>
          <w:rFonts w:ascii="Calibri" w:eastAsia="Calibri" w:hAnsi="Calibri" w:cs="Times New Roman"/>
          <w:noProof/>
          <w:color w:val="000000" w:themeColor="text1"/>
          <w:kern w:val="1"/>
          <w:sz w:val="20"/>
        </w:rPr>
        <w:t>Programme (PIA): one of the main priorities of the PIA is the energy and ecological transition. The PIA finances RDI programmes (including demonstrators), infrastructures and institutes as well as financial instruments (mainly equity and loans) for innovat</w:t>
      </w:r>
      <w:r>
        <w:rPr>
          <w:rFonts w:ascii="Calibri" w:eastAsia="Calibri" w:hAnsi="Calibri" w:cs="Times New Roman"/>
          <w:noProof/>
          <w:color w:val="000000" w:themeColor="text1"/>
          <w:kern w:val="1"/>
          <w:sz w:val="20"/>
        </w:rPr>
        <w:t>ive projects that target different eco-industry-related issues, with the objective of supporting companies’ growth. By 2015, the PIA had dedicated €2,850 million to clean energy and the circular economy (CGI, 2015). Half of the total amount of the second P</w:t>
      </w:r>
      <w:r>
        <w:rPr>
          <w:rFonts w:ascii="Calibri" w:eastAsia="Calibri" w:hAnsi="Calibri" w:cs="Times New Roman"/>
          <w:noProof/>
          <w:color w:val="000000" w:themeColor="text1"/>
          <w:kern w:val="1"/>
          <w:sz w:val="20"/>
        </w:rPr>
        <w:t>IA, which is currently active, is dedicated to various programs which consider eco-conditionality criteria.</w:t>
      </w:r>
    </w:p>
    <w:p w:rsidR="00B71C54" w:rsidRDefault="00465787">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eastAsia="Calibri" w:hAnsi="Calibri" w:cs="Times New Roman"/>
          <w:noProof/>
          <w:color w:val="000000" w:themeColor="text1"/>
          <w:kern w:val="1"/>
          <w:sz w:val="20"/>
        </w:rPr>
        <w:t>France has created a network of competitiveness clusters to promote public-private R&amp;I projects, through cooperation between public research, SMEs a</w:t>
      </w:r>
      <w:r>
        <w:rPr>
          <w:rFonts w:ascii="Calibri" w:eastAsia="Calibri" w:hAnsi="Calibri" w:cs="Times New Roman"/>
          <w:noProof/>
          <w:color w:val="000000" w:themeColor="text1"/>
          <w:kern w:val="1"/>
          <w:sz w:val="20"/>
        </w:rPr>
        <w:t>nd large firms, leaders of their sector, in order to disseminate in the society and the economy, in the short and medium term, innovative products addressing, in particular, eco-innovation issues. In 2010, new clusters were added, dedicated to eco-industri</w:t>
      </w:r>
      <w:r>
        <w:rPr>
          <w:rFonts w:ascii="Calibri" w:eastAsia="Calibri" w:hAnsi="Calibri" w:cs="Times New Roman"/>
          <w:noProof/>
          <w:color w:val="000000" w:themeColor="text1"/>
          <w:kern w:val="1"/>
          <w:sz w:val="20"/>
        </w:rPr>
        <w:t>es, all of them currently reaching maturity. At the time being, about half of those clusters are dealing with or focusing on efficient use of resources, sustainable city and mobility, renewable energy, green chemistry…</w:t>
      </w:r>
    </w:p>
    <w:p w:rsidR="00B71C54" w:rsidRDefault="00465787">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eastAsia="Calibri" w:hAnsi="Calibri" w:cs="Times New Roman"/>
          <w:noProof/>
          <w:color w:val="000000" w:themeColor="text1"/>
          <w:kern w:val="1"/>
          <w:sz w:val="20"/>
        </w:rPr>
        <w:t xml:space="preserve">Among other things, the PIA has also </w:t>
      </w:r>
      <w:r>
        <w:rPr>
          <w:rFonts w:ascii="Calibri" w:eastAsia="Calibri" w:hAnsi="Calibri" w:cs="Times New Roman"/>
          <w:noProof/>
          <w:color w:val="000000" w:themeColor="text1"/>
          <w:kern w:val="1"/>
          <w:sz w:val="20"/>
        </w:rPr>
        <w:t>supported the establishment of several Institutes for Energy Transition (ITE) and Institutes for Technological Research (IRT). They gather a limited number of (mostly large) companies and public laboratories on a specific subject related to eco-innovation:</w:t>
      </w:r>
      <w:r>
        <w:rPr>
          <w:rFonts w:ascii="Calibri" w:eastAsia="Calibri" w:hAnsi="Calibri" w:cs="Times New Roman"/>
          <w:noProof/>
          <w:color w:val="000000" w:themeColor="text1"/>
          <w:kern w:val="1"/>
          <w:sz w:val="20"/>
        </w:rPr>
        <w:t xml:space="preserve"> bio-sourced materials, eco-buildings, energy efficiency, eco-technologies and biomass-based plant chemistry. They complement competitiveness clusters as they target more long-term innovation.</w:t>
      </w:r>
    </w:p>
    <w:p w:rsidR="00B71C54" w:rsidRDefault="00465787">
      <w:pPr>
        <w:widowControl w:val="0"/>
        <w:numPr>
          <w:ilvl w:val="0"/>
          <w:numId w:val="32"/>
        </w:numPr>
        <w:suppressAutoHyphens/>
        <w:overflowPunct w:val="0"/>
        <w:spacing w:before="240" w:after="120" w:line="240" w:lineRule="auto"/>
        <w:contextualSpacing/>
        <w:jc w:val="both"/>
        <w:rPr>
          <w:rFonts w:ascii="Calibri" w:eastAsia="Calibri" w:hAnsi="Calibri" w:cs="Times New Roman"/>
          <w:noProof/>
          <w:color w:val="000000" w:themeColor="text1"/>
          <w:kern w:val="1"/>
          <w:sz w:val="20"/>
        </w:rPr>
      </w:pPr>
      <w:r>
        <w:rPr>
          <w:rFonts w:ascii="Calibri" w:eastAsia="Calibri" w:hAnsi="Calibri" w:cs="Times New Roman"/>
          <w:noProof/>
          <w:color w:val="000000" w:themeColor="text1"/>
          <w:kern w:val="1"/>
          <w:sz w:val="20"/>
        </w:rPr>
        <w:t>The New Industrial France (Nouvelle France Industrielle): in Ma</w:t>
      </w:r>
      <w:r>
        <w:rPr>
          <w:rFonts w:ascii="Calibri" w:eastAsia="Calibri" w:hAnsi="Calibri" w:cs="Times New Roman"/>
          <w:noProof/>
          <w:color w:val="000000" w:themeColor="text1"/>
          <w:kern w:val="1"/>
          <w:sz w:val="20"/>
        </w:rPr>
        <w:t>y 2015, the government announced nine “French Industrial Solutions”, which conformed to France’s industrial policy priorities. Among these, some focus on new resources (new bio-based and recycled materials for industrial productions), sustainable cities (s</w:t>
      </w:r>
      <w:r>
        <w:rPr>
          <w:rFonts w:ascii="Calibri" w:eastAsia="Calibri" w:hAnsi="Calibri" w:cs="Times New Roman"/>
          <w:noProof/>
          <w:color w:val="000000" w:themeColor="text1"/>
          <w:kern w:val="1"/>
          <w:sz w:val="20"/>
        </w:rPr>
        <w:t>mart grids, building renovation, circular economy), green mobility (including electric cars, cars consuming less than 2 l/100km, electric charging stations, life-long batteries), transport for the future (faster trains, ecological ships and hybrid planes),</w:t>
      </w:r>
      <w:r>
        <w:rPr>
          <w:rFonts w:ascii="Calibri" w:eastAsia="Calibri" w:hAnsi="Calibri" w:cs="Times New Roman"/>
          <w:noProof/>
          <w:color w:val="000000" w:themeColor="text1"/>
          <w:kern w:val="1"/>
          <w:sz w:val="20"/>
        </w:rPr>
        <w:t xml:space="preserve"> etc. (DGE, 2015).</w:t>
      </w:r>
    </w:p>
    <w:p w:rsidR="00B71C54" w:rsidRDefault="00465787">
      <w:pPr>
        <w:widowControl w:val="0"/>
        <w:numPr>
          <w:ilvl w:val="0"/>
          <w:numId w:val="32"/>
        </w:numPr>
        <w:suppressAutoHyphens/>
        <w:overflowPunct w:val="0"/>
        <w:spacing w:before="240" w:after="0" w:line="240" w:lineRule="auto"/>
        <w:contextualSpacing/>
        <w:jc w:val="both"/>
        <w:rPr>
          <w:rFonts w:ascii="Calibri" w:eastAsia="Calibri" w:hAnsi="Calibri" w:cs="Times New Roman"/>
          <w:noProof/>
          <w:color w:val="00000A"/>
          <w:kern w:val="1"/>
          <w:sz w:val="20"/>
        </w:rPr>
      </w:pPr>
      <w:r>
        <w:rPr>
          <w:rFonts w:ascii="Calibri" w:eastAsia="Calibri" w:hAnsi="Calibri" w:cs="Times New Roman"/>
          <w:noProof/>
          <w:color w:val="000000" w:themeColor="text1"/>
          <w:kern w:val="1"/>
          <w:sz w:val="20"/>
        </w:rPr>
        <w:t>The “Energy Transition for Green Growth” Act: in 2015, the French Parliament passed the “Energy Transition for Green Growth” Law (2015b). This Act set ambitious goals for cutting CO2 emissions, reducing energy consumption, improving mate</w:t>
      </w:r>
      <w:r>
        <w:rPr>
          <w:rFonts w:ascii="Calibri" w:eastAsia="Calibri" w:hAnsi="Calibri" w:cs="Times New Roman"/>
          <w:noProof/>
          <w:color w:val="000000" w:themeColor="text1"/>
          <w:kern w:val="1"/>
          <w:sz w:val="20"/>
        </w:rPr>
        <w:t>rial resources efficie</w:t>
      </w:r>
      <w:r>
        <w:rPr>
          <w:rFonts w:ascii="Calibri" w:eastAsia="Calibri" w:hAnsi="Calibri" w:cs="Times New Roman"/>
          <w:noProof/>
          <w:color w:val="000000" w:themeColor="text1"/>
          <w:kern w:val="1"/>
          <w:sz w:val="16"/>
          <w:szCs w:val="16"/>
        </w:rPr>
        <w:t>ncy</w:t>
      </w:r>
      <w:r>
        <w:rPr>
          <w:rFonts w:ascii="Calibri" w:eastAsia="Calibri" w:hAnsi="Calibri" w:cs="Times New Roman"/>
          <w:noProof/>
          <w:color w:val="000000" w:themeColor="text1"/>
          <w:kern w:val="1"/>
          <w:sz w:val="20"/>
        </w:rPr>
        <w:t xml:space="preserve"> reducing fossil energy consumption and increasing the use of renewable energy. It targets the following sectors: (eco) buildings, clean public and private transport, circular economy and renewable energies. It includes a mix of re</w:t>
      </w:r>
      <w:r>
        <w:rPr>
          <w:rFonts w:ascii="Calibri" w:eastAsia="Calibri" w:hAnsi="Calibri" w:cs="Times New Roman"/>
          <w:noProof/>
          <w:color w:val="000000" w:themeColor="text1"/>
          <w:kern w:val="1"/>
          <w:sz w:val="20"/>
        </w:rPr>
        <w:t>gulations, tax incentives (e.g. a tax break for energy-related improvements in households), support to RDI programmes and dedicated green financial instruments (e.g. green private equity funds). This Act does not only target companies, but also citizens (e</w:t>
      </w:r>
      <w:r>
        <w:rPr>
          <w:rFonts w:ascii="Calibri" w:eastAsia="Calibri" w:hAnsi="Calibri" w:cs="Times New Roman"/>
          <w:noProof/>
          <w:color w:val="000000" w:themeColor="text1"/>
          <w:kern w:val="1"/>
          <w:sz w:val="20"/>
        </w:rPr>
        <w:t xml:space="preserve">.g. tax break for retrofitting activities at individual level) and public bodies (support to the development of green public procurement). This Act also introduces the national low-carbon strategy which defines how to reduce greenhouse gas (GHG) emissions </w:t>
      </w:r>
      <w:r>
        <w:rPr>
          <w:rFonts w:ascii="Calibri" w:eastAsia="Calibri" w:hAnsi="Calibri" w:cs="Times New Roman"/>
          <w:noProof/>
          <w:color w:val="000000" w:themeColor="text1"/>
          <w:kern w:val="1"/>
          <w:sz w:val="20"/>
        </w:rPr>
        <w:t>at the national level. This strategy orchestrates the implementation of the transition towards a low-carbon economy.</w:t>
      </w:r>
    </w:p>
    <w:p w:rsidR="00B71C54" w:rsidRDefault="00465787">
      <w:pPr>
        <w:keepNext/>
        <w:widowControl w:val="0"/>
        <w:spacing w:before="200" w:after="0" w:line="240" w:lineRule="auto"/>
        <w:jc w:val="both"/>
        <w:outlineLvl w:val="2"/>
        <w:rPr>
          <w:rFonts w:eastAsiaTheme="majorEastAsia" w:cstheme="majorBidi"/>
          <w:b/>
          <w:bCs/>
          <w:noProof/>
          <w:color w:val="00000A"/>
        </w:rPr>
      </w:pPr>
      <w:bookmarkStart w:id="11" w:name="_Toc454460675"/>
      <w:r>
        <w:rPr>
          <w:rFonts w:eastAsiaTheme="majorEastAsia" w:cstheme="majorBidi"/>
          <w:b/>
          <w:bCs/>
          <w:noProof/>
          <w:color w:val="1F497D" w:themeColor="text2"/>
        </w:rPr>
        <w:t>SMEs and resource efficiency</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 xml:space="preserve">Since 2010, a group of clusters, focusing on environmental technologies, have supported the creation of innovative local networks of </w:t>
      </w:r>
      <w:r>
        <w:rPr>
          <w:rFonts w:cs="Times New Roman"/>
          <w:noProof/>
          <w:sz w:val="20"/>
        </w:rPr>
        <w:t>small and medium-sized enterprises (</w:t>
      </w:r>
      <w:r>
        <w:rPr>
          <w:rFonts w:cs="Times New Roman"/>
          <w:noProof/>
          <w:color w:val="00000A"/>
          <w:sz w:val="20"/>
        </w:rPr>
        <w:t>SMEs) and large companies based around different eco-innovation-related issues, such as</w:t>
      </w:r>
      <w:r>
        <w:rPr>
          <w:rFonts w:cs="Times New Roman"/>
          <w:noProof/>
          <w:color w:val="00000A"/>
          <w:sz w:val="20"/>
        </w:rPr>
        <w:t xml:space="preserve"> water management, waste management, energy efficiency, renewable energies, smart cities and smart transport. These clusters act as a major testbed for the emergence of eco-innovations, and help bring together public and private partners around common issu</w:t>
      </w:r>
      <w:r>
        <w:rPr>
          <w:rFonts w:cs="Times New Roman"/>
          <w:noProof/>
          <w:color w:val="00000A"/>
          <w:sz w:val="20"/>
        </w:rPr>
        <w:t>es. However, despite the fact that these sectors are structured around a small number of very large players, eco-innovation appears to come from a much broader range of both large and small firms. Indeed, large companies often rely on a strong network of S</w:t>
      </w:r>
      <w:r>
        <w:rPr>
          <w:rFonts w:cs="Times New Roman"/>
          <w:noProof/>
          <w:color w:val="00000A"/>
          <w:sz w:val="20"/>
        </w:rPr>
        <w:t xml:space="preserve">MEs as a source of innovation. These networks tend to be organised around national “competitiveness” clusters or regional clusters. </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In addition to water management and sanitation, waste management and environmental engineering, additional noteworthy innov</w:t>
      </w:r>
      <w:r>
        <w:rPr>
          <w:rFonts w:cs="Times New Roman"/>
          <w:noProof/>
          <w:color w:val="00000A"/>
          <w:sz w:val="20"/>
        </w:rPr>
        <w:t xml:space="preserve">ation trends include the following: </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The sector of low-impact buildings is also strong in France, and develops new solutions for low-impact building and retrofitting activities. The 2015 “Energy Transition for Green Growth” Act has set very ambitious objec</w:t>
      </w:r>
      <w:r>
        <w:rPr>
          <w:rFonts w:cs="Times New Roman"/>
          <w:noProof/>
          <w:color w:val="00000A"/>
          <w:sz w:val="20"/>
        </w:rPr>
        <w:t>tives in this area. In this context, the newly created RDI Institute for Energy Transition (INEF4 (Institut pour la transition énergétique)) is supporting open-innovation programmes in the field of eco-building and retrofitting activities and should suppor</w:t>
      </w:r>
      <w:r>
        <w:rPr>
          <w:rFonts w:cs="Times New Roman"/>
          <w:noProof/>
          <w:color w:val="00000A"/>
          <w:sz w:val="20"/>
        </w:rPr>
        <w:t>t the development of these eco-activities and eco-companies (INEF4, 2016).</w:t>
      </w:r>
    </w:p>
    <w:p w:rsidR="00B71C54" w:rsidRDefault="00465787">
      <w:pPr>
        <w:widowControl w:val="0"/>
        <w:spacing w:after="120" w:line="240" w:lineRule="auto"/>
        <w:jc w:val="both"/>
        <w:rPr>
          <w:rFonts w:cs="Times New Roman"/>
          <w:noProof/>
          <w:sz w:val="20"/>
        </w:rPr>
      </w:pPr>
      <w:r>
        <w:rPr>
          <w:rFonts w:cs="Times New Roman"/>
          <w:noProof/>
          <w:color w:val="00000A"/>
          <w:sz w:val="20"/>
        </w:rPr>
        <w:t>Equity investments in clean technologies show emerging new trends in France: between 2010 and 2015, investments have shifted from the renewable energy sector to the circular economy</w:t>
      </w:r>
      <w:r>
        <w:rPr>
          <w:rFonts w:cs="Times New Roman"/>
          <w:noProof/>
          <w:color w:val="00000A"/>
          <w:sz w:val="20"/>
        </w:rPr>
        <w:t xml:space="preserve"> (industrial biotechnologies, waste and industrial ecology, and water and biodiversity) and energy efficiency (AFIC (Association Francais des Investisseurs pour la Croissance), 2015).</w:t>
      </w:r>
    </w:p>
    <w:p w:rsidR="00B71C54" w:rsidRDefault="00465787">
      <w:pPr>
        <w:widowControl w:val="0"/>
        <w:spacing w:after="120" w:line="240" w:lineRule="auto"/>
        <w:jc w:val="both"/>
        <w:rPr>
          <w:rFonts w:cs="Times New Roman"/>
          <w:noProof/>
          <w:sz w:val="20"/>
        </w:rPr>
      </w:pPr>
      <w:r>
        <w:rPr>
          <w:rFonts w:cs="Times New Roman"/>
          <w:noProof/>
          <w:sz w:val="20"/>
        </w:rPr>
        <w:t xml:space="preserve">In 2012, France had 136,444 SMEs (excluding microenterprises) employing </w:t>
      </w:r>
      <w:r>
        <w:rPr>
          <w:rFonts w:cs="Times New Roman"/>
          <w:noProof/>
          <w:sz w:val="20"/>
        </w:rPr>
        <w:t>4.1 million persons and producing 23% of the total added value. In the Flash 426 Eurobarometer "SMEs, resource efficiency and green markets" it is shown that 49% of France's SMEs have invested  up to 5% of their annual turnover in their resource efficiency</w:t>
      </w:r>
      <w:r>
        <w:rPr>
          <w:rFonts w:cs="Times New Roman"/>
          <w:noProof/>
          <w:sz w:val="20"/>
        </w:rPr>
        <w:t xml:space="preserve"> actions (EU28 average 50% of SMEs), 34% of them are currently offering green products and services, 70% took measures to save energy (EU28 average 59%), 77% to minimise waste (EU28 average 60%), 67% to save water (EU28 average 44%), and 66% to save materi</w:t>
      </w:r>
      <w:r>
        <w:rPr>
          <w:rFonts w:cs="Times New Roman"/>
          <w:noProof/>
          <w:sz w:val="20"/>
        </w:rPr>
        <w:t>als (EU28 average 54%). From a circular economy perspective, 36% took measures to recycle by reusing material or waste within the company, 40% to design products that are easier to maintain, repair or reuse and 23% were able to sell their scrap material to</w:t>
      </w:r>
      <w:r>
        <w:rPr>
          <w:rFonts w:cs="Times New Roman"/>
          <w:noProof/>
          <w:sz w:val="20"/>
        </w:rPr>
        <w:t xml:space="preserve"> another company. </w:t>
      </w:r>
    </w:p>
    <w:p w:rsidR="00B71C54" w:rsidRDefault="00465787">
      <w:pPr>
        <w:widowControl w:val="0"/>
        <w:spacing w:after="120" w:line="240" w:lineRule="auto"/>
        <w:jc w:val="both"/>
        <w:rPr>
          <w:rFonts w:cs="Times New Roman"/>
          <w:noProof/>
          <w:sz w:val="20"/>
        </w:rPr>
      </w:pPr>
      <w:r>
        <w:rPr>
          <w:rFonts w:cs="Times New Roman"/>
          <w:noProof/>
          <w:sz w:val="20"/>
        </w:rPr>
        <w:t>According to the Flash 426 Eurobarometer, the resource efficiency actions undertaken allowed the reduction of production costs in 39% of France's SMEs.</w:t>
      </w:r>
    </w:p>
    <w:p w:rsidR="00B71C54" w:rsidRDefault="00465787">
      <w:pPr>
        <w:widowControl w:val="0"/>
        <w:spacing w:after="120" w:line="240" w:lineRule="auto"/>
        <w:jc w:val="both"/>
        <w:rPr>
          <w:rFonts w:eastAsia="Times New Roman" w:cs="Times New Roman"/>
          <w:noProof/>
          <w:sz w:val="20"/>
        </w:rPr>
      </w:pPr>
      <w:r>
        <w:rPr>
          <w:rFonts w:cs="Times New Roman"/>
          <w:noProof/>
          <w:sz w:val="20"/>
        </w:rPr>
        <w:t>The Flash Eurobarometer shows that 28% of the SMEs in France have one or more full ti</w:t>
      </w:r>
      <w:r>
        <w:rPr>
          <w:rFonts w:cs="Times New Roman"/>
          <w:noProof/>
          <w:sz w:val="20"/>
        </w:rPr>
        <w:t>me employee working in a green job</w:t>
      </w:r>
      <w:r>
        <w:rPr>
          <w:rFonts w:cs="Times New Roman"/>
          <w:noProof/>
          <w:sz w:val="20"/>
          <w:vertAlign w:val="superscript"/>
        </w:rPr>
        <w:footnoteReference w:id="9"/>
      </w:r>
      <w:r>
        <w:rPr>
          <w:rFonts w:cs="Times New Roman"/>
          <w:noProof/>
          <w:sz w:val="20"/>
        </w:rPr>
        <w:t xml:space="preserve"> at least some of the time.  France has an average number of 7,6</w:t>
      </w:r>
      <w:r>
        <w:rPr>
          <w:rFonts w:cs="Times New Roman"/>
          <w:noProof/>
          <w:sz w:val="20"/>
          <w:vertAlign w:val="superscript"/>
        </w:rPr>
        <w:footnoteReference w:id="10"/>
      </w:r>
      <w:r>
        <w:rPr>
          <w:rFonts w:cs="Times New Roman"/>
          <w:noProof/>
          <w:sz w:val="20"/>
        </w:rPr>
        <w:t xml:space="preserve"> full time green employees per SME. </w:t>
      </w:r>
    </w:p>
    <w:p w:rsidR="00B71C54" w:rsidRDefault="00465787">
      <w:pPr>
        <w:keepNext/>
        <w:widowControl w:val="0"/>
        <w:spacing w:before="200" w:after="0" w:line="240" w:lineRule="auto"/>
        <w:jc w:val="both"/>
        <w:outlineLvl w:val="2"/>
        <w:rPr>
          <w:rFonts w:eastAsiaTheme="majorEastAsia" w:cstheme="majorBidi"/>
          <w:b/>
          <w:bCs/>
          <w:noProof/>
          <w:color w:val="00000A"/>
        </w:rPr>
      </w:pPr>
      <w:r>
        <w:rPr>
          <w:rFonts w:eastAsia="Times New Roman" w:cstheme="majorBidi"/>
          <w:b/>
          <w:bCs/>
          <w:noProof/>
          <w:color w:val="1F497D" w:themeColor="text2"/>
        </w:rPr>
        <w:t>Eco-Innovation</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France is a major European player in the field of eco-innovation, and possesses a strong track record in</w:t>
      </w:r>
      <w:r>
        <w:rPr>
          <w:rFonts w:cs="Times New Roman"/>
          <w:noProof/>
          <w:color w:val="00000A"/>
          <w:sz w:val="20"/>
        </w:rPr>
        <w:t xml:space="preserve"> environmental regulation and support schemes – targeting both public and private actors (including individuals). This is illustrated by its strong ranking in the 2015 Eco-Innovation Scoreboard. France ranks seventh overall in the ranking of eco-innovative</w:t>
      </w:r>
      <w:r>
        <w:rPr>
          <w:rFonts w:cs="Times New Roman"/>
          <w:noProof/>
          <w:color w:val="00000A"/>
          <w:sz w:val="20"/>
        </w:rPr>
        <w:t xml:space="preserve"> countries (scoring 115, with 100 representing the European average) as shown in Figure 2. </w:t>
      </w:r>
    </w:p>
    <w:tbl>
      <w:tblPr>
        <w:tblW w:w="0" w:type="auto"/>
        <w:tblLayout w:type="fixed"/>
        <w:tblCellMar>
          <w:left w:w="118" w:type="dxa"/>
        </w:tblCellMar>
        <w:tblLook w:val="0000" w:firstRow="0" w:lastRow="0" w:firstColumn="0" w:lastColumn="0" w:noHBand="0" w:noVBand="0"/>
      </w:tblPr>
      <w:tblGrid>
        <w:gridCol w:w="4909"/>
      </w:tblGrid>
      <w:tr w:rsidR="00B71C54" w:rsidRPr="00465787">
        <w:tc>
          <w:tcPr>
            <w:tcW w:w="4909" w:type="dxa"/>
            <w:shd w:val="clear" w:color="auto" w:fill="FFFFFF"/>
          </w:tcPr>
          <w:p w:rsidR="00B71C54" w:rsidRDefault="00465787">
            <w:pPr>
              <w:widowControl w:val="0"/>
              <w:spacing w:after="0" w:line="240" w:lineRule="auto"/>
              <w:jc w:val="both"/>
              <w:rPr>
                <w:rFonts w:cs="Times New Roman"/>
                <w:noProof/>
                <w:sz w:val="20"/>
                <w:lang w:val="it-IT"/>
              </w:rPr>
            </w:pPr>
            <w:r>
              <w:rPr>
                <w:b/>
                <w:noProof/>
                <w:color w:val="1F497D" w:themeColor="text2"/>
                <w:sz w:val="20"/>
                <w:lang w:val="it-IT"/>
              </w:rPr>
              <w:t>Figure 2</w:t>
            </w:r>
            <w:r>
              <w:rPr>
                <w:b/>
                <w:noProof/>
                <w:color w:val="1F497D" w:themeColor="text2"/>
                <w:sz w:val="20"/>
                <w:szCs w:val="20"/>
                <w:lang w:val="it-IT"/>
              </w:rPr>
              <w:t xml:space="preserve">:  </w:t>
            </w:r>
            <w:r>
              <w:rPr>
                <w:b/>
                <w:noProof/>
                <w:color w:val="1F497D" w:themeColor="text2"/>
                <w:sz w:val="20"/>
                <w:szCs w:val="20"/>
                <w:lang w:val="it-IT" w:eastAsia="en-GB"/>
              </w:rPr>
              <w:t>Eco-Innovation Index</w:t>
            </w:r>
            <w:r>
              <w:rPr>
                <w:b/>
                <w:noProof/>
                <w:color w:val="1F497D" w:themeColor="text2"/>
                <w:sz w:val="20"/>
                <w:lang w:val="it-IT"/>
              </w:rPr>
              <w:t xml:space="preserve"> 2015 (EU=100)</w:t>
            </w:r>
            <w:r>
              <w:rPr>
                <w:b/>
                <w:noProof/>
                <w:color w:val="1F497D" w:themeColor="text2"/>
                <w:sz w:val="20"/>
                <w:vertAlign w:val="superscript"/>
                <w:lang w:val="it-IT"/>
              </w:rPr>
              <w:footnoteReference w:id="11"/>
            </w:r>
          </w:p>
        </w:tc>
      </w:tr>
      <w:tr w:rsidR="00B71C54">
        <w:tc>
          <w:tcPr>
            <w:tcW w:w="4909" w:type="dxa"/>
            <w:shd w:val="clear" w:color="auto" w:fill="FFFFFF"/>
          </w:tcPr>
          <w:p w:rsidR="00B71C54" w:rsidRDefault="00465787">
            <w:pPr>
              <w:widowControl w:val="0"/>
              <w:spacing w:after="0" w:line="240" w:lineRule="auto"/>
              <w:jc w:val="both"/>
              <w:rPr>
                <w:rFonts w:cs="Times New Roman"/>
                <w:noProof/>
                <w:sz w:val="20"/>
              </w:rPr>
            </w:pPr>
            <w:r>
              <w:rPr>
                <w:rFonts w:cs="Times New Roman"/>
                <w:noProof/>
                <w:sz w:val="20"/>
                <w:lang w:eastAsia="en-GB"/>
              </w:rPr>
              <w:drawing>
                <wp:inline distT="0" distB="0" distL="0" distR="0" wp14:anchorId="568B54C1" wp14:editId="3A3F574A">
                  <wp:extent cx="3034667" cy="4136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8889" cy="4141820"/>
                          </a:xfrm>
                          <a:prstGeom prst="rect">
                            <a:avLst/>
                          </a:prstGeom>
                          <a:noFill/>
                        </pic:spPr>
                      </pic:pic>
                    </a:graphicData>
                  </a:graphic>
                </wp:inline>
              </w:drawing>
            </w:r>
          </w:p>
        </w:tc>
      </w:tr>
    </w:tbl>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Compared to the 2013 Eco-IS results (a score of 108), France has gained ground. This can be interpreted as a reflection of the priority that is given to eco-innovation in France in terms of regulation, policy and support measures. However, France still fal</w:t>
      </w:r>
      <w:r>
        <w:rPr>
          <w:rFonts w:cs="Times New Roman"/>
          <w:noProof/>
          <w:color w:val="00000A"/>
          <w:sz w:val="20"/>
        </w:rPr>
        <w:t xml:space="preserve">ls considerably behind the top 3 EU-28 eco-innovative players, namely Denmark, Finland and Ireland, due to limited energy and water productivity and limited green early-stage investments. </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 xml:space="preserve">France benefits from a substantial regulatory and policy framework </w:t>
      </w:r>
      <w:r>
        <w:rPr>
          <w:rFonts w:cs="Times New Roman"/>
          <w:noProof/>
          <w:color w:val="00000A"/>
          <w:sz w:val="20"/>
        </w:rPr>
        <w:t>that supports and promotes eco-industries and eco-innovation. For instance, the 2015 “Energy Transition for Green Growth” Law complements existing support instruments (including RDI-support instruments) and regulations regarding environmental protection, i</w:t>
      </w:r>
      <w:r>
        <w:rPr>
          <w:rFonts w:cs="Times New Roman"/>
          <w:noProof/>
          <w:color w:val="00000A"/>
          <w:sz w:val="20"/>
        </w:rPr>
        <w:t xml:space="preserve">n order to i) accelerate the reduction of France’s energy needs and ii) increase the share of renewable energy in the national energy mix. This law specifically targets eco-innovation, with measures aimed at increasing innovative green public procurements </w:t>
      </w:r>
      <w:r>
        <w:rPr>
          <w:rFonts w:cs="Times New Roman"/>
          <w:noProof/>
          <w:color w:val="00000A"/>
          <w:sz w:val="20"/>
        </w:rPr>
        <w:t xml:space="preserve">and taking into account eco-innovation in different public policy areas (transport, construction, etc.). </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In recent years, France has heavily invested in RDI programmes, infrastructures and institutes with the intention of supporting the development of eco</w:t>
      </w:r>
      <w:r>
        <w:rPr>
          <w:rFonts w:cs="Times New Roman"/>
          <w:noProof/>
          <w:color w:val="00000A"/>
          <w:sz w:val="20"/>
        </w:rPr>
        <w:t>-innovative companies and solutions. The PIA programme, for example, has also put in place dedicated financial instruments in support of companies engaging in eco-activities, such as the Ecotechnology Fund, run by the French Public Investment Bank, Bpifran</w:t>
      </w:r>
      <w:r>
        <w:rPr>
          <w:rFonts w:cs="Times New Roman"/>
          <w:noProof/>
          <w:color w:val="00000A"/>
          <w:sz w:val="20"/>
        </w:rPr>
        <w:t>ce. Competitiveness clusters and other public-private partnerships allow companies to join strong local networks to develop innovative products and gain access to international markets. The country also benefits from a mature R&amp;D system, with leading PROs,</w:t>
      </w:r>
      <w:r>
        <w:rPr>
          <w:rFonts w:cs="Times New Roman"/>
          <w:noProof/>
          <w:color w:val="00000A"/>
          <w:sz w:val="20"/>
        </w:rPr>
        <w:t xml:space="preserve"> a good level of public and business R&amp;D expenditures and large numbers of qualified experts (OECD, 2014). Private R&amp;D comes from leading international firms with high innovation capacities (see Section 2), as well as from smaller high-growth firms. These </w:t>
      </w:r>
      <w:r>
        <w:rPr>
          <w:rFonts w:cs="Times New Roman"/>
          <w:noProof/>
          <w:color w:val="00000A"/>
          <w:sz w:val="20"/>
        </w:rPr>
        <w:t>companies use eco-innovative solutions both in France and internationally (COSEI, 2012).</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In the field of the circular economy, the main drivers for innovation are public RDI programmes (such as PIA and competitiveness clusters). These programmes mostly foc</w:t>
      </w:r>
      <w:r>
        <w:rPr>
          <w:rFonts w:cs="Times New Roman"/>
          <w:noProof/>
          <w:color w:val="00000A"/>
          <w:sz w:val="20"/>
        </w:rPr>
        <w:t>us on technology-related issues, and less on the other aspects of innovation (regulation, acceptability, new business models, etc.), even though these dimensions are considered as central for the development of the circular economy (Barthelemy &amp; Franz, 201</w:t>
      </w:r>
      <w:r>
        <w:rPr>
          <w:rFonts w:cs="Times New Roman"/>
          <w:noProof/>
          <w:color w:val="00000A"/>
          <w:sz w:val="20"/>
        </w:rPr>
        <w:t xml:space="preserve">6). </w:t>
      </w:r>
    </w:p>
    <w:p w:rsidR="00B71C54" w:rsidRDefault="00465787">
      <w:pPr>
        <w:widowControl w:val="0"/>
        <w:spacing w:after="120" w:line="240" w:lineRule="auto"/>
        <w:jc w:val="both"/>
        <w:rPr>
          <w:rFonts w:cs="Times New Roman"/>
          <w:noProof/>
          <w:sz w:val="20"/>
        </w:rPr>
      </w:pPr>
      <w:r>
        <w:rPr>
          <w:rFonts w:cs="Times New Roman"/>
          <w:noProof/>
          <w:color w:val="00000A"/>
          <w:sz w:val="20"/>
        </w:rPr>
        <w:t>In the context of the strong reliance of eco-industries on public procurement and the public sector as the final destination of their products and services (waste management, water and other resource management, etc.), the French Ministry in charge of</w:t>
      </w:r>
      <w:r>
        <w:rPr>
          <w:rFonts w:cs="Times New Roman"/>
          <w:noProof/>
          <w:color w:val="00000A"/>
          <w:sz w:val="20"/>
        </w:rPr>
        <w:t xml:space="preserve"> the environment published in 2015 a national action plan for sustainable public procurement for 2015-2020 which should enhance the sustainability of public activities and relevant economic actors. Public stakeholders are working on solutions that would pr</w:t>
      </w:r>
      <w:r>
        <w:rPr>
          <w:rFonts w:cs="Times New Roman"/>
          <w:noProof/>
          <w:color w:val="00000A"/>
          <w:sz w:val="20"/>
        </w:rPr>
        <w:t>ovide legal security for public procurers to purchase innovative solutions and for solution providers to gain access to major public markets. The new public procurement reform (July 2015) has explicitly inserted new provisions on environmental clauses in p</w:t>
      </w:r>
      <w:r>
        <w:rPr>
          <w:rFonts w:cs="Times New Roman"/>
          <w:noProof/>
          <w:color w:val="00000A"/>
          <w:sz w:val="20"/>
        </w:rPr>
        <w:t xml:space="preserve">ublic procurements specifications.     </w:t>
      </w:r>
    </w:p>
    <w:p w:rsidR="00B71C54" w:rsidRDefault="00465787">
      <w:pPr>
        <w:widowControl w:val="0"/>
        <w:spacing w:after="120" w:line="240" w:lineRule="auto"/>
        <w:jc w:val="both"/>
        <w:rPr>
          <w:rFonts w:cs="Times New Roman"/>
          <w:noProof/>
          <w:sz w:val="20"/>
          <w:lang w:eastAsia="en-GB"/>
        </w:rPr>
      </w:pPr>
      <w:r>
        <w:rPr>
          <w:rFonts w:cs="Times New Roman"/>
          <w:noProof/>
          <w:sz w:val="20"/>
        </w:rPr>
        <w:t>France has 37 EMAS registered organisations, which is quite low with respect to its size and to the total of 4034 organisations that hold a registration. However, France has slightly increased its number of registrations since October 2015 (from 35 to 37).</w:t>
      </w:r>
      <w:r>
        <w:rPr>
          <w:rFonts w:cs="Times New Roman"/>
          <w:noProof/>
          <w:sz w:val="20"/>
        </w:rPr>
        <w:t xml:space="preserve">  Furthermore, when it comes to EU Ecolabel licenses, France is the highest achieving country. Indeed, it has 486 EU Ecolabel licenses, which represents 25.9% of all EU Ecolabel licenses. </w:t>
      </w:r>
    </w:p>
    <w:p w:rsidR="00B71C54" w:rsidRDefault="00465787">
      <w:pPr>
        <w:keepNext/>
        <w:widowControl w:val="0"/>
        <w:spacing w:after="120" w:line="240" w:lineRule="auto"/>
        <w:outlineLvl w:val="1"/>
        <w:rPr>
          <w:rFonts w:cs="Times New Roman"/>
          <w:b/>
          <w:noProof/>
          <w:color w:val="1F497D" w:themeColor="text2"/>
          <w:sz w:val="24"/>
          <w:szCs w:val="20"/>
          <w:lang w:eastAsia="en-GB"/>
        </w:rPr>
      </w:pPr>
      <w:bookmarkStart w:id="12" w:name="_Toc472694750"/>
      <w:r>
        <w:rPr>
          <w:rFonts w:cs="Times New Roman"/>
          <w:b/>
          <w:noProof/>
          <w:color w:val="1F497D" w:themeColor="text2"/>
          <w:sz w:val="24"/>
          <w:szCs w:val="20"/>
          <w:lang w:eastAsia="en-GB"/>
        </w:rPr>
        <w:t>Waste management</w:t>
      </w:r>
      <w:bookmarkEnd w:id="11"/>
      <w:bookmarkEnd w:id="12"/>
      <w:r>
        <w:rPr>
          <w:rFonts w:cs="Times New Roman"/>
          <w:b/>
          <w:noProof/>
          <w:color w:val="1F497D" w:themeColor="text2"/>
          <w:sz w:val="24"/>
          <w:szCs w:val="20"/>
          <w:lang w:eastAsia="en-GB"/>
        </w:rPr>
        <w:t xml:space="preserve"> </w:t>
      </w:r>
    </w:p>
    <w:p w:rsidR="00B71C54" w:rsidRDefault="00465787">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B71C54" w:rsidRDefault="00465787">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Full impl</w:t>
      </w:r>
      <w:r>
        <w:rPr>
          <w:noProof/>
          <w:color w:val="FFFFFF" w:themeColor="background1"/>
          <w:sz w:val="20"/>
        </w:rPr>
        <w:t>ementation of Union waste legislation, which includes the waste hierarchy; the need to ensure separate collection of waste; the landfill diversion targets etc.</w:t>
      </w:r>
    </w:p>
    <w:p w:rsidR="00B71C54" w:rsidRDefault="00465787">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B71C54" w:rsidRDefault="00465787">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w:t>
      </w:r>
      <w:r>
        <w:rPr>
          <w:noProof/>
          <w:color w:val="FFFFFF" w:themeColor="background1"/>
          <w:sz w:val="20"/>
        </w:rPr>
        <w:t>overy to non-recyclable materials and phasing out landfilling of recyclable or recoverable waste.</w:t>
      </w:r>
    </w:p>
    <w:p w:rsidR="00B71C54" w:rsidRDefault="00465787">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B71C54" w:rsidRDefault="00465787">
      <w:pPr>
        <w:widowControl w:val="0"/>
        <w:spacing w:before="240" w:after="120" w:line="240" w:lineRule="auto"/>
        <w:jc w:val="both"/>
        <w:rPr>
          <w:rFonts w:cs="Times New Roman"/>
          <w:noProof/>
          <w:sz w:val="20"/>
        </w:rPr>
      </w:pPr>
      <w:r>
        <w:rPr>
          <w:rFonts w:cs="Times New Roman"/>
          <w:noProof/>
          <w:sz w:val="20"/>
        </w:rPr>
        <w:t>The EU's approach to waste mana</w:t>
      </w:r>
      <w:r>
        <w:rPr>
          <w:rFonts w:cs="Times New Roman"/>
          <w:noProof/>
          <w:sz w:val="20"/>
        </w:rPr>
        <w:t>gement is based on the "waste hierarchy" which sets out an order of priority when shaping waste policy and managing waste at the operational level: prevention, (preparing for) reuse, recycling, recovery and, as the least preferred option, disposal (which i</w:t>
      </w:r>
      <w:r>
        <w:rPr>
          <w:rFonts w:cs="Times New Roman"/>
          <w:noProof/>
          <w:sz w:val="20"/>
        </w:rPr>
        <w:t>ncludes landfilling and incineration without energy recovery). The progress towards reaching recycling targets and the adoption of adequate WMP/WPP</w:t>
      </w:r>
      <w:r>
        <w:rPr>
          <w:rFonts w:cs="Times New Roman"/>
          <w:noProof/>
          <w:sz w:val="20"/>
          <w:vertAlign w:val="superscript"/>
        </w:rPr>
        <w:footnoteReference w:id="12"/>
      </w:r>
      <w:r>
        <w:rPr>
          <w:rFonts w:cs="Times New Roman"/>
          <w:noProof/>
          <w:sz w:val="20"/>
        </w:rPr>
        <w:t xml:space="preserve"> should be the key items to measure the performance of Member States. This section focuses on management of municipal waste for which EU law sets mandatory recycling targets.</w:t>
      </w:r>
    </w:p>
    <w:p w:rsidR="00B71C54" w:rsidRDefault="00465787">
      <w:pPr>
        <w:widowControl w:val="0"/>
        <w:spacing w:after="120" w:line="240" w:lineRule="auto"/>
        <w:jc w:val="both"/>
        <w:rPr>
          <w:rFonts w:cs="Times New Roman"/>
          <w:noProof/>
          <w:sz w:val="20"/>
          <w:vertAlign w:val="superscript"/>
        </w:rPr>
      </w:pPr>
      <w:r>
        <w:rPr>
          <w:rFonts w:cs="Times New Roman"/>
          <w:noProof/>
          <w:color w:val="00000A"/>
          <w:sz w:val="20"/>
        </w:rPr>
        <w:t>Generation of municipal waste</w:t>
      </w:r>
      <w:r>
        <w:rPr>
          <w:rFonts w:cs="Times New Roman"/>
          <w:noProof/>
          <w:color w:val="00000A"/>
          <w:sz w:val="20"/>
          <w:vertAlign w:val="superscript"/>
        </w:rPr>
        <w:footnoteReference w:id="13"/>
      </w:r>
      <w:r>
        <w:rPr>
          <w:rFonts w:cs="Times New Roman"/>
          <w:noProof/>
          <w:color w:val="00000A"/>
          <w:sz w:val="20"/>
          <w:vertAlign w:val="superscript"/>
        </w:rPr>
        <w:t xml:space="preserve"> </w:t>
      </w:r>
      <w:r>
        <w:rPr>
          <w:rFonts w:cs="Times New Roman"/>
          <w:noProof/>
          <w:color w:val="00000A"/>
          <w:sz w:val="20"/>
        </w:rPr>
        <w:t>in France has been decreasing slightly in the past</w:t>
      </w:r>
      <w:r>
        <w:rPr>
          <w:rFonts w:cs="Times New Roman"/>
          <w:noProof/>
          <w:color w:val="00000A"/>
          <w:sz w:val="20"/>
        </w:rPr>
        <w:t xml:space="preserve"> years, before a more noticeable drop in 2014, down to 509 kg/inhabitant as shown in Figure 3. That level still puts France a solid 8% above the EU average of 475kg/inhabitant. Only in 2014 did France reach the level where Europe was at in 2009</w:t>
      </w:r>
      <w:r>
        <w:rPr>
          <w:rFonts w:cs="Times New Roman"/>
          <w:noProof/>
          <w:color w:val="00000A"/>
          <w:sz w:val="20"/>
          <w:vertAlign w:val="superscript"/>
        </w:rPr>
        <w:footnoteReference w:id="14"/>
      </w:r>
      <w:r>
        <w:rPr>
          <w:rFonts w:cs="Times New Roman"/>
          <w:noProof/>
          <w:color w:val="00000A"/>
          <w:sz w:val="20"/>
        </w:rPr>
        <w:t>.</w:t>
      </w:r>
      <w:r>
        <w:rPr>
          <w:rFonts w:cs="Times New Roman"/>
          <w:noProof/>
          <w:sz w:val="20"/>
          <w:vertAlign w:val="superscript"/>
        </w:rPr>
        <w:t xml:space="preserve"> </w:t>
      </w:r>
    </w:p>
    <w:p w:rsidR="00B71C54" w:rsidRDefault="00465787">
      <w:pPr>
        <w:widowControl w:val="0"/>
        <w:spacing w:after="120" w:line="240" w:lineRule="auto"/>
        <w:jc w:val="both"/>
        <w:rPr>
          <w:rFonts w:cs="Times New Roman"/>
          <w:noProof/>
          <w:sz w:val="20"/>
        </w:rPr>
      </w:pPr>
      <w:r>
        <w:rPr>
          <w:rFonts w:cs="Times New Roman"/>
          <w:noProof/>
          <w:sz w:val="20"/>
        </w:rPr>
        <w:t>Figure 3</w:t>
      </w:r>
      <w:r>
        <w:rPr>
          <w:rFonts w:cs="Times New Roman"/>
          <w:noProof/>
          <w:sz w:val="20"/>
        </w:rPr>
        <w:t xml:space="preserve"> depicts the municipal waste by treatment in France in terms of kg per capita, which shows that France is gradually improving both waste generation and waste treatment methods. Only incineration/energy recovery has remained a constant in absolute terms (an</w:t>
      </w:r>
      <w:r>
        <w:rPr>
          <w:rFonts w:cs="Times New Roman"/>
          <w:noProof/>
          <w:sz w:val="20"/>
        </w:rPr>
        <w:t>d has therefore increased percentage-wise).</w:t>
      </w: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vertAlign w:val="superscript"/>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B71C54">
        <w:tc>
          <w:tcPr>
            <w:tcW w:w="4909" w:type="dxa"/>
          </w:tcPr>
          <w:p w:rsidR="00B71C54" w:rsidRDefault="00465787">
            <w:pPr>
              <w:widowControl w:val="0"/>
              <w:spacing w:after="120"/>
              <w:jc w:val="both"/>
              <w:rPr>
                <w:noProof/>
                <w:color w:val="1F497D" w:themeColor="text2"/>
              </w:rPr>
            </w:pPr>
            <w:r>
              <w:rPr>
                <w:b/>
                <w:bCs/>
                <w:noProof/>
                <w:color w:val="1F497D" w:themeColor="text2"/>
                <w:sz w:val="20"/>
              </w:rPr>
              <w:t>Figure 3: Municipal waste by treatment in France 2007-14</w:t>
            </w:r>
            <w:r>
              <w:rPr>
                <w:b/>
                <w:bCs/>
                <w:noProof/>
                <w:color w:val="1F497D" w:themeColor="text2"/>
                <w:sz w:val="20"/>
                <w:vertAlign w:val="superscript"/>
              </w:rPr>
              <w:footnoteReference w:id="15"/>
            </w:r>
          </w:p>
        </w:tc>
      </w:tr>
      <w:tr w:rsidR="00B71C54">
        <w:tc>
          <w:tcPr>
            <w:tcW w:w="4909" w:type="dxa"/>
          </w:tcPr>
          <w:p w:rsidR="00B71C54" w:rsidRDefault="00465787">
            <w:pPr>
              <w:widowControl w:val="0"/>
              <w:spacing w:after="120"/>
              <w:jc w:val="both"/>
              <w:rPr>
                <w:noProof/>
              </w:rPr>
            </w:pPr>
            <w:r>
              <w:rPr>
                <w:noProof/>
                <w:lang w:eastAsia="en-GB"/>
              </w:rPr>
              <w:drawing>
                <wp:inline distT="0" distB="0" distL="0" distR="0" wp14:anchorId="2B04904B" wp14:editId="692061FD">
                  <wp:extent cx="3072810" cy="26647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75390" cy="2667018"/>
                          </a:xfrm>
                          <a:prstGeom prst="rect">
                            <a:avLst/>
                          </a:prstGeom>
                        </pic:spPr>
                      </pic:pic>
                    </a:graphicData>
                  </a:graphic>
                </wp:inline>
              </w:drawing>
            </w:r>
          </w:p>
        </w:tc>
      </w:tr>
    </w:tbl>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 xml:space="preserve">Figure 4 shows that recycling of municipal waste, while still being below EU average (44% in 2014), has consistently improved since 2007, reaching </w:t>
      </w:r>
      <w:r>
        <w:rPr>
          <w:rFonts w:cs="Times New Roman"/>
          <w:noProof/>
          <w:color w:val="00000A"/>
          <w:sz w:val="20"/>
        </w:rPr>
        <w:t>a level of 39% in 2014. For the time being, the strict comparison is difficult as Member states do not report exactly the same waste as municipal waste.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71C54">
        <w:tc>
          <w:tcPr>
            <w:tcW w:w="4909" w:type="dxa"/>
          </w:tcPr>
          <w:p w:rsidR="00B71C54" w:rsidRDefault="00465787">
            <w:pPr>
              <w:widowControl w:val="0"/>
              <w:spacing w:after="120"/>
              <w:jc w:val="both"/>
              <w:rPr>
                <w:noProof/>
                <w:color w:val="1F497D" w:themeColor="text2"/>
              </w:rPr>
            </w:pPr>
            <w:r>
              <w:rPr>
                <w:b/>
                <w:bCs/>
                <w:noProof/>
                <w:color w:val="1F497D" w:themeColor="text2"/>
                <w:sz w:val="20"/>
              </w:rPr>
              <w:t>Figure 4: Recycling rate of municipal waste 2007-14</w:t>
            </w:r>
            <w:r>
              <w:rPr>
                <w:b/>
                <w:bCs/>
                <w:noProof/>
                <w:color w:val="1F497D" w:themeColor="text2"/>
                <w:sz w:val="20"/>
                <w:vertAlign w:val="superscript"/>
              </w:rPr>
              <w:footnoteReference w:id="16"/>
            </w:r>
          </w:p>
        </w:tc>
      </w:tr>
      <w:tr w:rsidR="00B71C54">
        <w:tc>
          <w:tcPr>
            <w:tcW w:w="4909" w:type="dxa"/>
          </w:tcPr>
          <w:p w:rsidR="00B71C54" w:rsidRDefault="00465787">
            <w:pPr>
              <w:widowControl w:val="0"/>
              <w:spacing w:after="120"/>
              <w:jc w:val="both"/>
              <w:rPr>
                <w:noProof/>
              </w:rPr>
            </w:pPr>
            <w:r>
              <w:rPr>
                <w:noProof/>
                <w:lang w:eastAsia="en-GB"/>
              </w:rPr>
              <w:drawing>
                <wp:inline distT="0" distB="0" distL="0" distR="0" wp14:anchorId="1A5C1176" wp14:editId="59169A95">
                  <wp:extent cx="2785731" cy="23111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3334" cy="2317451"/>
                          </a:xfrm>
                          <a:prstGeom prst="rect">
                            <a:avLst/>
                          </a:prstGeom>
                          <a:noFill/>
                        </pic:spPr>
                      </pic:pic>
                    </a:graphicData>
                  </a:graphic>
                </wp:inline>
              </w:drawing>
            </w:r>
          </w:p>
        </w:tc>
      </w:tr>
    </w:tbl>
    <w:p w:rsidR="00B71C54" w:rsidRDefault="00465787">
      <w:pPr>
        <w:widowControl w:val="0"/>
        <w:spacing w:after="120" w:line="240" w:lineRule="auto"/>
        <w:jc w:val="both"/>
        <w:rPr>
          <w:rFonts w:cs="Times New Roman"/>
          <w:noProof/>
          <w:sz w:val="20"/>
        </w:rPr>
      </w:pPr>
      <w:r>
        <w:rPr>
          <w:rFonts w:cs="Times New Roman"/>
          <w:noProof/>
          <w:sz w:val="20"/>
        </w:rPr>
        <w:t>Yet that proportion puts France far behind lea</w:t>
      </w:r>
      <w:r>
        <w:rPr>
          <w:rFonts w:cs="Times New Roman"/>
          <w:noProof/>
          <w:sz w:val="20"/>
        </w:rPr>
        <w:t>ding recycling countries. With a recycling rate of 38% in 2013 and a progression of 2.5% since 2010</w:t>
      </w:r>
      <w:r>
        <w:rPr>
          <w:rFonts w:cs="Times New Roman"/>
          <w:noProof/>
          <w:sz w:val="20"/>
          <w:vertAlign w:val="superscript"/>
        </w:rPr>
        <w:footnoteReference w:id="17"/>
      </w:r>
      <w:r>
        <w:rPr>
          <w:rFonts w:cs="Times New Roman"/>
          <w:noProof/>
          <w:sz w:val="20"/>
        </w:rPr>
        <w:t>, France should reach its   European objective of 50%.</w:t>
      </w:r>
      <w:r>
        <w:rPr>
          <w:rFonts w:cs="Times New Roman"/>
          <w:noProof/>
          <w:sz w:val="20"/>
          <w:vertAlign w:val="superscript"/>
        </w:rPr>
        <w:footnoteReference w:id="18"/>
      </w:r>
      <w:r>
        <w:rPr>
          <w:rFonts w:cs="Times New Roman"/>
          <w:noProof/>
          <w:sz w:val="20"/>
        </w:rPr>
        <w:t xml:space="preserve"> However, France is still over-reliant on incineration. Similarly, landfilling still accounts for a troubling 26% of all municipal waste, despite a remarkable 32% decrease in absolute quantities landfilled between 2007 and 2014.</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Despite a number of innovat</w:t>
      </w:r>
      <w:r>
        <w:rPr>
          <w:rFonts w:cs="Times New Roman"/>
          <w:noProof/>
          <w:color w:val="00000A"/>
          <w:sz w:val="20"/>
        </w:rPr>
        <w:t xml:space="preserve">ive and far-reaching policies (e.g. on Extended Producer Responsibility) there is still a significant and a large reliance on technology (e.g. incinerators). Finally, there are still some illegal dumpsites in France. </w:t>
      </w:r>
    </w:p>
    <w:p w:rsidR="00B71C54" w:rsidRDefault="00465787">
      <w:pPr>
        <w:widowControl w:val="0"/>
        <w:spacing w:after="120" w:line="240" w:lineRule="auto"/>
        <w:jc w:val="both"/>
        <w:rPr>
          <w:rFonts w:cs="Times New Roman"/>
          <w:i/>
          <w:noProof/>
          <w:sz w:val="20"/>
        </w:rPr>
      </w:pPr>
      <w:r>
        <w:rPr>
          <w:rFonts w:cs="Times New Roman"/>
          <w:noProof/>
          <w:sz w:val="20"/>
        </w:rPr>
        <w:t>A 2016 report by the French Court of A</w:t>
      </w:r>
      <w:r>
        <w:rPr>
          <w:rFonts w:cs="Times New Roman"/>
          <w:noProof/>
          <w:sz w:val="20"/>
        </w:rPr>
        <w:t>uditors noted that separate collection is reaching a plateau in the country. The report recommends that both waste producers and the authorities take a number of steps to reinvigorate separate collection, starting with the rationalization and modernization</w:t>
      </w:r>
      <w:r>
        <w:rPr>
          <w:rFonts w:cs="Times New Roman"/>
          <w:noProof/>
          <w:sz w:val="20"/>
        </w:rPr>
        <w:t xml:space="preserve"> of separation and treatment plants, i.e. doing more with fewer plants.</w:t>
      </w:r>
      <w:r>
        <w:rPr>
          <w:rFonts w:cs="Times New Roman"/>
          <w:noProof/>
          <w:sz w:val="20"/>
          <w:vertAlign w:val="superscript"/>
        </w:rPr>
        <w:footnoteReference w:id="19"/>
      </w:r>
    </w:p>
    <w:p w:rsidR="00B71C54" w:rsidRDefault="00465787">
      <w:pPr>
        <w:widowControl w:val="0"/>
        <w:spacing w:after="120" w:line="240" w:lineRule="auto"/>
        <w:jc w:val="both"/>
        <w:rPr>
          <w:rFonts w:cs="Times New Roman"/>
          <w:noProof/>
          <w:sz w:val="20"/>
        </w:rPr>
      </w:pPr>
      <w:r>
        <w:rPr>
          <w:rFonts w:cs="Times New Roman"/>
          <w:noProof/>
          <w:sz w:val="20"/>
        </w:rPr>
        <w:t>A 2015 study by the French Environment and Energy Management Agency (ADEME) building on a 2012 study by the European Commission has assessed that the circular economy sector could cre</w:t>
      </w:r>
      <w:r>
        <w:rPr>
          <w:rFonts w:cs="Times New Roman"/>
          <w:noProof/>
          <w:sz w:val="20"/>
        </w:rPr>
        <w:t xml:space="preserve">ate from 200,000 to 400,000 additional jobs on top of the 600,000 jobs existing jobs. </w:t>
      </w:r>
      <w:r>
        <w:rPr>
          <w:rFonts w:cs="Times New Roman"/>
          <w:noProof/>
          <w:sz w:val="20"/>
          <w:vertAlign w:val="superscript"/>
        </w:rPr>
        <w:footnoteReference w:id="20"/>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In this context, France adopted in August 2015 the Energy Transition for Green Growth Act that promotes the transition towards a circular economy, boosting waste preven</w:t>
      </w:r>
      <w:r>
        <w:rPr>
          <w:rFonts w:cs="Times New Roman"/>
          <w:noProof/>
          <w:color w:val="00000A"/>
          <w:sz w:val="20"/>
        </w:rPr>
        <w:t>tion and recycling.</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 xml:space="preserve">This Act establishes a waste prevention target, namely to reduce household waste production by 10% % by 2020 compared to 2010 levels. It features a number of actions to build momentum towards this target – including a definition of the </w:t>
      </w:r>
      <w:r>
        <w:rPr>
          <w:rFonts w:cs="Times New Roman"/>
          <w:noProof/>
          <w:color w:val="00000A"/>
          <w:sz w:val="20"/>
        </w:rPr>
        <w:t>legal notion of “planned obsolescence”, which becomes a crime, promotion of deposit and return schemes, obligations for food retailers to donate their unsold goods to charities to reduce food waste, and a “resource use hierarchy” inspired by the waste hier</w:t>
      </w:r>
      <w:r>
        <w:rPr>
          <w:rFonts w:cs="Times New Roman"/>
          <w:noProof/>
          <w:color w:val="00000A"/>
          <w:sz w:val="20"/>
        </w:rPr>
        <w:t>archy, and fostering waste prevention.</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The Act also promotes recycling, establishing waste recovery target for 2020-25 (respectively 55% and 65% of all non-hazardous non-inert waste) and the extension of separate collection to all organic waste before 2025</w:t>
      </w:r>
      <w:r>
        <w:rPr>
          <w:rFonts w:cs="Times New Roman"/>
          <w:noProof/>
          <w:color w:val="00000A"/>
          <w:sz w:val="20"/>
        </w:rPr>
        <w:t>.  The Act also provides that, considering the action on separate collection, mechanical biological treatment (MBT) of waste</w:t>
      </w:r>
      <w:r>
        <w:rPr>
          <w:rFonts w:cs="Times New Roman"/>
          <w:noProof/>
          <w:sz w:val="20"/>
        </w:rPr>
        <w:t xml:space="preserve"> is</w:t>
      </w:r>
      <w:r>
        <w:rPr>
          <w:rFonts w:cs="Times New Roman"/>
          <w:noProof/>
          <w:color w:val="00000A"/>
          <w:sz w:val="20"/>
        </w:rPr>
        <w:t xml:space="preserve"> no longer relevant and excludes any new public financing for these installations. The national focus on EPR schemes as a powerfu</w:t>
      </w:r>
      <w:r>
        <w:rPr>
          <w:rFonts w:cs="Times New Roman"/>
          <w:noProof/>
          <w:color w:val="00000A"/>
          <w:sz w:val="20"/>
        </w:rPr>
        <w:t xml:space="preserve">l tool to address recycling in a specific sector continues to be put forward, including through the creation of a new EPR scheme on leisure boats. </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In addition, France has recently adopted a decree mandating source separation by businesses of paper, glass,</w:t>
      </w:r>
      <w:r>
        <w:rPr>
          <w:rFonts w:cs="Times New Roman"/>
          <w:noProof/>
          <w:color w:val="00000A"/>
          <w:sz w:val="20"/>
        </w:rPr>
        <w:t xml:space="preserve"> plastic, metal and wood. The separate collection of bio-waste has been mandatory for big producers since 2012 and the Green Growth Act has extended it to all companies.</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France also adopted recently a decree foreseeing that landfilling capacities should be</w:t>
      </w:r>
      <w:r>
        <w:rPr>
          <w:rFonts w:cs="Times New Roman"/>
          <w:noProof/>
          <w:color w:val="00000A"/>
          <w:sz w:val="20"/>
        </w:rPr>
        <w:t xml:space="preserve"> reduced by 30% in 2020 compared to 2010, and from 50% in 2025. As far as incineration is concerned the capacity should be reduced by 25% and 50% in the same time frame</w:t>
      </w:r>
      <w:r>
        <w:rPr>
          <w:rFonts w:cs="Times New Roman"/>
          <w:noProof/>
          <w:sz w:val="20"/>
          <w:vertAlign w:val="superscript"/>
          <w:lang w:val="fr-BE"/>
        </w:rPr>
        <w:footnoteReference w:id="21"/>
      </w:r>
      <w:r>
        <w:rPr>
          <w:rFonts w:cs="Times New Roman"/>
          <w:noProof/>
          <w:color w:val="00000A"/>
          <w:sz w:val="20"/>
        </w:rPr>
        <w:t>.</w:t>
      </w:r>
    </w:p>
    <w:p w:rsidR="00B71C54" w:rsidRDefault="00465787">
      <w:pPr>
        <w:widowControl w:val="0"/>
        <w:spacing w:after="120" w:line="240" w:lineRule="auto"/>
        <w:jc w:val="both"/>
        <w:rPr>
          <w:rFonts w:cs="Times New Roman"/>
          <w:noProof/>
          <w:sz w:val="20"/>
        </w:rPr>
      </w:pPr>
      <w:r>
        <w:rPr>
          <w:rFonts w:cs="Times New Roman"/>
          <w:noProof/>
          <w:color w:val="00000A"/>
          <w:sz w:val="20"/>
        </w:rPr>
        <w:t>The decree also requires that the waste management plans should identify shared   fac</w:t>
      </w:r>
      <w:r>
        <w:rPr>
          <w:rFonts w:cs="Times New Roman"/>
          <w:noProof/>
          <w:color w:val="00000A"/>
          <w:sz w:val="20"/>
        </w:rPr>
        <w:t xml:space="preserve">ilities for the collection and treatment of bio-waste from household, undertakings and agriculture.  </w:t>
      </w:r>
    </w:p>
    <w:p w:rsidR="00B71C54" w:rsidRDefault="00465787">
      <w:pPr>
        <w:widowControl w:val="0"/>
        <w:spacing w:after="120" w:line="240" w:lineRule="auto"/>
        <w:jc w:val="both"/>
        <w:rPr>
          <w:rFonts w:cs="Times New Roman"/>
          <w:noProof/>
          <w:color w:val="00000A"/>
          <w:sz w:val="20"/>
          <w:shd w:val="clear" w:color="auto" w:fill="C0C0C0"/>
        </w:rPr>
      </w:pPr>
      <w:r>
        <w:rPr>
          <w:rFonts w:cs="Times New Roman"/>
          <w:noProof/>
          <w:color w:val="00000A"/>
          <w:sz w:val="20"/>
        </w:rPr>
        <w:t>To fight illegal dumpsites, France has taken several measures through the Energy Transition Act to prevent their proliferation by putting in place a netwo</w:t>
      </w:r>
      <w:r>
        <w:rPr>
          <w:rFonts w:cs="Times New Roman"/>
          <w:noProof/>
          <w:color w:val="00000A"/>
          <w:sz w:val="20"/>
        </w:rPr>
        <w:t>rk for waste collection for the construction sector imposing key obligations on distributors of construction products. On the enforcement aspect, traceability of such materials has been reinforced as well as human resources appointed to inspections and leg</w:t>
      </w:r>
      <w:r>
        <w:rPr>
          <w:rFonts w:cs="Times New Roman"/>
          <w:noProof/>
          <w:color w:val="00000A"/>
          <w:sz w:val="20"/>
        </w:rPr>
        <w:t xml:space="preserve">al proceedings. Finally, a special awareness should be dedicated by the French authorities to the revision and adoption of waste management plans in the context of the regional administration reform. </w:t>
      </w:r>
    </w:p>
    <w:p w:rsidR="00B71C54" w:rsidRDefault="0046578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71C54" w:rsidRDefault="00465787">
      <w:pPr>
        <w:pStyle w:val="NoSpacing"/>
        <w:rPr>
          <w:noProof/>
        </w:rPr>
      </w:pPr>
      <w:r>
        <w:rPr>
          <w:noProof/>
        </w:rPr>
        <w:t>Focus on improving the effectiveness o</w:t>
      </w:r>
      <w:r>
        <w:rPr>
          <w:noProof/>
        </w:rPr>
        <w:t xml:space="preserve">f separate collection to increase recycling rates and reach the targets set at EU level. </w:t>
      </w:r>
    </w:p>
    <w:p w:rsidR="00B71C54" w:rsidRDefault="00465787">
      <w:pPr>
        <w:pStyle w:val="NoSpacing"/>
        <w:rPr>
          <w:noProof/>
        </w:rPr>
      </w:pPr>
      <w:r>
        <w:rPr>
          <w:noProof/>
        </w:rPr>
        <w:t>Introduce new economic instruments to implement further the waste hierarchy, i.e. promote prevention, make reuse and recycling more economically attractive, and shift</w:t>
      </w:r>
      <w:r>
        <w:rPr>
          <w:noProof/>
        </w:rPr>
        <w:t xml:space="preserve"> reusable and recyclable waste away from incineration and landfill.</w:t>
      </w:r>
    </w:p>
    <w:p w:rsidR="00B71C54" w:rsidRDefault="00465787">
      <w:pPr>
        <w:pStyle w:val="NoSpacing"/>
        <w:numPr>
          <w:ilvl w:val="0"/>
          <w:numId w:val="37"/>
        </w:numPr>
        <w:ind w:left="170" w:hanging="170"/>
        <w:rPr>
          <w:noProof/>
        </w:rPr>
      </w:pPr>
      <w:r>
        <w:rPr>
          <w:noProof/>
        </w:rPr>
        <w:t>Complete missing Waste Management Plans in order to cover the whole territory.</w:t>
      </w:r>
    </w:p>
    <w:p w:rsidR="00B71C54" w:rsidRDefault="00465787">
      <w:pPr>
        <w:pStyle w:val="NoSpacing"/>
        <w:rPr>
          <w:noProof/>
        </w:rPr>
      </w:pPr>
      <w:r>
        <w:rPr>
          <w:noProof/>
        </w:rPr>
        <w:br w:type="page"/>
      </w:r>
    </w:p>
    <w:p w:rsidR="00B71C54" w:rsidRDefault="00B71C54">
      <w:pPr>
        <w:widowControl w:val="0"/>
        <w:spacing w:after="120" w:line="240" w:lineRule="auto"/>
        <w:jc w:val="both"/>
        <w:rPr>
          <w:rFonts w:cs="Times New Roman"/>
          <w:noProof/>
          <w:sz w:val="20"/>
        </w:rPr>
      </w:pPr>
    </w:p>
    <w:p w:rsidR="00B71C54" w:rsidRDefault="00B71C54">
      <w:pPr>
        <w:widowControl w:val="0"/>
        <w:numPr>
          <w:ilvl w:val="0"/>
          <w:numId w:val="25"/>
        </w:numPr>
        <w:spacing w:after="0" w:line="240" w:lineRule="auto"/>
        <w:jc w:val="center"/>
        <w:outlineLvl w:val="0"/>
        <w:rPr>
          <w:rFonts w:cstheme="majorBidi"/>
          <w:b/>
          <w:bCs/>
          <w:noProof/>
          <w:color w:val="1F497D" w:themeColor="text2"/>
          <w:sz w:val="32"/>
          <w:szCs w:val="28"/>
        </w:rPr>
        <w:sectPr w:rsidR="00B71C54">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40"/>
          <w:docGrid w:linePitch="360"/>
        </w:sectPr>
      </w:pPr>
      <w:bookmarkStart w:id="13" w:name="_Toc433296159"/>
    </w:p>
    <w:p w:rsidR="00B71C54" w:rsidRDefault="00465787">
      <w:pPr>
        <w:widowControl w:val="0"/>
        <w:numPr>
          <w:ilvl w:val="0"/>
          <w:numId w:val="25"/>
        </w:numPr>
        <w:spacing w:line="240" w:lineRule="auto"/>
        <w:jc w:val="center"/>
        <w:outlineLvl w:val="0"/>
        <w:rPr>
          <w:rFonts w:cstheme="majorBidi"/>
          <w:b/>
          <w:bCs/>
          <w:noProof/>
          <w:color w:val="1F497D" w:themeColor="text2"/>
          <w:sz w:val="32"/>
          <w:szCs w:val="28"/>
        </w:rPr>
        <w:sectPr w:rsidR="00B71C54">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bookmarkStart w:id="14" w:name="_Toc472694751"/>
      <w:r>
        <w:rPr>
          <w:rFonts w:cstheme="majorBidi"/>
          <w:b/>
          <w:bCs/>
          <w:noProof/>
          <w:color w:val="1F497D" w:themeColor="text2"/>
          <w:sz w:val="32"/>
          <w:szCs w:val="28"/>
        </w:rPr>
        <w:t>Protecting, conserving and enhancing natural capita</w:t>
      </w:r>
      <w:bookmarkStart w:id="15" w:name="_Toc432413878"/>
      <w:bookmarkEnd w:id="13"/>
      <w:bookmarkEnd w:id="15"/>
      <w:r>
        <w:rPr>
          <w:rFonts w:cstheme="majorBidi"/>
          <w:b/>
          <w:bCs/>
          <w:noProof/>
          <w:color w:val="1F497D" w:themeColor="text2"/>
          <w:sz w:val="32"/>
          <w:szCs w:val="28"/>
        </w:rPr>
        <w:t>l</w:t>
      </w:r>
      <w:bookmarkEnd w:id="14"/>
    </w:p>
    <w:p w:rsidR="00B71C54" w:rsidRDefault="00465787">
      <w:pPr>
        <w:widowControl w:val="0"/>
        <w:spacing w:after="120" w:line="240" w:lineRule="auto"/>
        <w:outlineLvl w:val="1"/>
        <w:rPr>
          <w:rFonts w:cs="Times New Roman"/>
          <w:b/>
          <w:noProof/>
          <w:color w:val="FFFFFF"/>
          <w:sz w:val="24"/>
          <w:szCs w:val="20"/>
        </w:rPr>
      </w:pPr>
      <w:bookmarkStart w:id="16" w:name="__RefHeading___Toc456171599"/>
      <w:bookmarkStart w:id="17" w:name="_Toc472694752"/>
      <w:bookmarkStart w:id="18" w:name="_Toc465959138"/>
      <w:r>
        <w:rPr>
          <w:rFonts w:cs="Times New Roman"/>
          <w:b/>
          <w:noProof/>
          <w:color w:val="1F497D" w:themeColor="text2"/>
          <w:sz w:val="24"/>
          <w:szCs w:val="20"/>
          <w:lang w:eastAsia="en-GB"/>
        </w:rPr>
        <w:t>Nature and Biodiversity</w:t>
      </w:r>
      <w:bookmarkEnd w:id="16"/>
      <w:bookmarkEnd w:id="17"/>
      <w:r>
        <w:rPr>
          <w:rFonts w:cs="Times New Roman"/>
          <w:b/>
          <w:noProof/>
          <w:color w:val="1F497D" w:themeColor="text2"/>
          <w:sz w:val="24"/>
          <w:szCs w:val="20"/>
          <w:lang w:eastAsia="en-GB"/>
        </w:rPr>
        <w:t xml:space="preserve"> </w:t>
      </w:r>
      <w:bookmarkEnd w:id="18"/>
    </w:p>
    <w:p w:rsidR="00B71C54" w:rsidRDefault="00465787">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B71C54" w:rsidRDefault="00465787">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SDG 14 requires countries to conserve and sustainably use the oceans, seas and marine resources, while SDG 15 requires countries to protect, restore and promote the sustainable use of </w:t>
      </w:r>
      <w:r>
        <w:rPr>
          <w:rFonts w:cs="Times New Roman"/>
          <w:noProof/>
          <w:color w:val="FFFFFF" w:themeColor="background1"/>
          <w:sz w:val="20"/>
        </w:rPr>
        <w:t>terrestrial ecosystems, sustainably manage forests, combat desertification, and halt and reverse land degradation and halt biodiversity loss.</w:t>
      </w:r>
    </w:p>
    <w:p w:rsidR="00B71C54" w:rsidRDefault="00465787">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w:t>
      </w:r>
      <w:r>
        <w:rPr>
          <w:rFonts w:cs="Times New Roman"/>
          <w:iCs/>
          <w:noProof/>
          <w:sz w:val="20"/>
        </w:rPr>
        <w:t>at the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 xml:space="preserve">long-term protection, conservation and survival </w:t>
      </w:r>
      <w:r>
        <w:rPr>
          <w:rFonts w:cs="Times New Roman"/>
          <w:bCs/>
          <w:noProof/>
          <w:sz w:val="20"/>
          <w:lang w:val="en"/>
        </w:rPr>
        <w:t>of Europe's most valuable and threatened species and habitats</w:t>
      </w:r>
      <w:r>
        <w:rPr>
          <w:rFonts w:cs="Times New Roman"/>
          <w:bCs/>
          <w:noProof/>
          <w:sz w:val="20"/>
          <w:szCs w:val="20"/>
          <w:lang w:val="en"/>
        </w:rPr>
        <w:t xml:space="preserve"> and the ecosystems they underpin.</w:t>
      </w:r>
    </w:p>
    <w:p w:rsidR="00B71C54" w:rsidRDefault="00465787">
      <w:pPr>
        <w:widowControl w:val="0"/>
        <w:spacing w:after="120" w:line="240" w:lineRule="auto"/>
        <w:jc w:val="both"/>
        <w:rPr>
          <w:rFonts w:cs="Times New Roman"/>
          <w:noProof/>
          <w:sz w:val="20"/>
        </w:rPr>
      </w:pPr>
      <w:r>
        <w:rPr>
          <w:rFonts w:cs="Times New Roman"/>
          <w:noProof/>
          <w:sz w:val="20"/>
          <w:lang w:val="en"/>
        </w:rPr>
        <w:t>The adequate designation of protected sites as Special Ares of Conservation (SAC) under the Habitats Directive and as Special Protection Areas (SPA) under the B</w:t>
      </w:r>
      <w:r>
        <w:rPr>
          <w:rFonts w:cs="Times New Roman"/>
          <w:noProof/>
          <w:sz w:val="20"/>
          <w:lang w:val="en"/>
        </w:rPr>
        <w:t xml:space="preserve">irds 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w:t>
      </w:r>
      <w:r>
        <w:rPr>
          <w:rFonts w:cs="Times New Roman"/>
          <w:noProof/>
          <w:sz w:val="20"/>
        </w:rPr>
        <w:t>ation</w:t>
      </w:r>
      <w:r>
        <w:rPr>
          <w:rFonts w:cs="Times New Roman"/>
          <w:noProof/>
          <w:sz w:val="20"/>
          <w:vertAlign w:val="superscript"/>
        </w:rPr>
        <w:footnoteReference w:id="22"/>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B71C54" w:rsidRDefault="00465787">
      <w:pPr>
        <w:widowControl w:val="0"/>
        <w:spacing w:after="120" w:line="240" w:lineRule="auto"/>
        <w:jc w:val="both"/>
        <w:rPr>
          <w:rFonts w:cs="Times New Roman"/>
          <w:noProof/>
          <w:sz w:val="20"/>
        </w:rPr>
      </w:pPr>
      <w:r>
        <w:rPr>
          <w:rFonts w:cs="Times New Roman"/>
          <w:noProof/>
          <w:sz w:val="20"/>
        </w:rPr>
        <w:t>In France, there are 1758 Natura 2000 sites, divided in 1.366 sites under the Habitats Directive and 392 under the Birds Directive. By early 2016, 12.7 % o</w:t>
      </w:r>
      <w:r>
        <w:rPr>
          <w:rFonts w:cs="Times New Roman"/>
          <w:noProof/>
          <w:sz w:val="20"/>
        </w:rPr>
        <w:t xml:space="preserve">f the national land area of France is covered by Natura 2000 (EU average 18.1 %), with Birds Directive SPAs covering ca. 8 % (EU average 12.3 %) and Habitats Directive SCIs covering ca. 9 % (EU average 13.8 %). </w:t>
      </w:r>
    </w:p>
    <w:p w:rsidR="00B71C54" w:rsidRDefault="00465787">
      <w:pPr>
        <w:widowControl w:val="0"/>
        <w:spacing w:after="120" w:line="240" w:lineRule="auto"/>
        <w:jc w:val="both"/>
        <w:rPr>
          <w:rFonts w:cs="Times New Roman"/>
          <w:noProof/>
          <w:sz w:val="20"/>
        </w:rPr>
      </w:pPr>
      <w:r>
        <w:rPr>
          <w:rFonts w:cs="Times New Roman"/>
          <w:noProof/>
          <w:sz w:val="20"/>
        </w:rPr>
        <w:t>The latest assessment of the SCIs part of th</w:t>
      </w:r>
      <w:r>
        <w:rPr>
          <w:rFonts w:cs="Times New Roman"/>
          <w:noProof/>
          <w:sz w:val="20"/>
        </w:rPr>
        <w:t>e Natura 2000 network shows that there are inadequacies in designation, especially for the marine components of the network</w:t>
      </w:r>
      <w:r>
        <w:rPr>
          <w:rFonts w:cs="Times New Roman"/>
          <w:noProof/>
          <w:sz w:val="20"/>
          <w:szCs w:val="20"/>
          <w:vertAlign w:val="superscript"/>
          <w:lang w:val="en"/>
        </w:rPr>
        <w:footnoteReference w:id="23"/>
      </w:r>
      <w:r>
        <w:rPr>
          <w:rFonts w:cs="Times New Roman"/>
          <w:noProof/>
          <w:sz w:val="20"/>
        </w:rPr>
        <w:t xml:space="preserve"> (see Figure 5</w:t>
      </w:r>
      <w:r>
        <w:rPr>
          <w:rStyle w:val="FootnoteReference"/>
          <w:rFonts w:cs="Times New Roman"/>
          <w:noProof/>
          <w:sz w:val="20"/>
        </w:rPr>
        <w:footnoteReference w:id="24"/>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71C54">
        <w:tc>
          <w:tcPr>
            <w:tcW w:w="4909" w:type="dxa"/>
          </w:tcPr>
          <w:p w:rsidR="00B71C54" w:rsidRDefault="00465787">
            <w:pPr>
              <w:widowControl w:val="0"/>
              <w:spacing w:after="120"/>
              <w:jc w:val="both"/>
              <w:rPr>
                <w:b/>
                <w:bCs/>
                <w:noProof/>
                <w:color w:val="1F497D" w:themeColor="text2"/>
              </w:rPr>
            </w:pPr>
            <w:r>
              <w:rPr>
                <w:b/>
                <w:bCs/>
                <w:noProof/>
                <w:color w:val="1F497D" w:themeColor="text2"/>
                <w:sz w:val="20"/>
              </w:rPr>
              <w:t xml:space="preserve">Figure 5: Sufficiency assessment of SCI networks in France </w:t>
            </w:r>
            <w:r>
              <w:rPr>
                <w:b/>
                <w:noProof/>
                <w:color w:val="1F497D" w:themeColor="text2"/>
                <w:sz w:val="20"/>
              </w:rPr>
              <w:t xml:space="preserve">based on the situation until December 2013 </w:t>
            </w:r>
            <w:r>
              <w:rPr>
                <w:b/>
                <w:bCs/>
                <w:noProof/>
                <w:color w:val="1F497D" w:themeColor="text2"/>
                <w:sz w:val="20"/>
              </w:rPr>
              <w:t>(%)</w:t>
            </w:r>
            <w:r>
              <w:rPr>
                <w:b/>
                <w:bCs/>
                <w:noProof/>
                <w:color w:val="1F497D" w:themeColor="text2"/>
                <w:sz w:val="20"/>
                <w:vertAlign w:val="superscript"/>
              </w:rPr>
              <w:footnoteReference w:id="25"/>
            </w:r>
            <w:r>
              <w:rPr>
                <w:b/>
                <w:bCs/>
                <w:noProof/>
                <w:color w:val="1F497D" w:themeColor="text2"/>
                <w:sz w:val="20"/>
              </w:rPr>
              <w:t xml:space="preserve"> </w:t>
            </w:r>
          </w:p>
        </w:tc>
      </w:tr>
      <w:tr w:rsidR="00B71C54">
        <w:tc>
          <w:tcPr>
            <w:tcW w:w="4909" w:type="dxa"/>
          </w:tcPr>
          <w:p w:rsidR="00B71C54" w:rsidRDefault="00465787">
            <w:pPr>
              <w:widowControl w:val="0"/>
              <w:spacing w:after="120"/>
              <w:jc w:val="both"/>
              <w:rPr>
                <w:noProof/>
              </w:rPr>
            </w:pPr>
            <w:r>
              <w:rPr>
                <w:noProof/>
                <w:lang w:eastAsia="en-GB"/>
              </w:rPr>
              <w:drawing>
                <wp:anchor distT="0" distB="0" distL="114300" distR="114300" simplePos="0" relativeHeight="251659264" behindDoc="0" locked="0" layoutInCell="1" allowOverlap="1" wp14:anchorId="5335213E" wp14:editId="38491C91">
                  <wp:simplePos x="3891280" y="2955290"/>
                  <wp:positionH relativeFrom="margin">
                    <wp:align>center</wp:align>
                  </wp:positionH>
                  <wp:positionV relativeFrom="margin">
                    <wp:align>top</wp:align>
                  </wp:positionV>
                  <wp:extent cx="2607945" cy="2710815"/>
                  <wp:effectExtent l="0" t="0" r="190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7945" cy="2710815"/>
                          </a:xfrm>
                          <a:prstGeom prst="rect">
                            <a:avLst/>
                          </a:prstGeom>
                          <a:noFill/>
                        </pic:spPr>
                      </pic:pic>
                    </a:graphicData>
                  </a:graphic>
                </wp:anchor>
              </w:drawing>
            </w:r>
          </w:p>
        </w:tc>
      </w:tr>
    </w:tbl>
    <w:p w:rsidR="00B71C54" w:rsidRDefault="00465787">
      <w:pPr>
        <w:widowControl w:val="0"/>
        <w:spacing w:after="120" w:line="240" w:lineRule="auto"/>
        <w:jc w:val="both"/>
        <w:rPr>
          <w:rFonts w:cs="Times New Roman"/>
          <w:noProof/>
          <w:sz w:val="20"/>
          <w:lang w:eastAsia="en-GB"/>
        </w:rPr>
      </w:pPr>
      <w:r>
        <w:rPr>
          <w:rFonts w:cs="Times New Roman"/>
          <w:noProof/>
          <w:sz w:val="20"/>
          <w:szCs w:val="20"/>
        </w:rPr>
        <w:t xml:space="preserve">France has designated almost all sites as Special Areas of Conservation (SACs) and it has defined management plans for almost all of them. </w:t>
      </w:r>
      <w:r>
        <w:rPr>
          <w:rFonts w:cs="Times New Roman"/>
          <w:noProof/>
          <w:sz w:val="20"/>
        </w:rPr>
        <w:t>France has committed itself to designate the remaining sites by mid-2016.</w:t>
      </w:r>
      <w:r>
        <w:rPr>
          <w:rFonts w:cs="Times New Roman"/>
          <w:noProof/>
          <w:sz w:val="20"/>
          <w:lang w:eastAsia="en-GB"/>
        </w:rPr>
        <w:t xml:space="preserve"> </w:t>
      </w:r>
    </w:p>
    <w:p w:rsidR="00B71C54" w:rsidRDefault="00465787">
      <w:pPr>
        <w:widowControl w:val="0"/>
        <w:spacing w:after="120" w:line="240" w:lineRule="auto"/>
        <w:jc w:val="both"/>
        <w:rPr>
          <w:rFonts w:cs="Times New Roman"/>
          <w:noProof/>
          <w:sz w:val="20"/>
          <w:szCs w:val="20"/>
        </w:rPr>
      </w:pPr>
      <w:r>
        <w:rPr>
          <w:rFonts w:cs="Times New Roman"/>
          <w:noProof/>
          <w:color w:val="00000A"/>
          <w:sz w:val="20"/>
        </w:rPr>
        <w:t>Although a range of species and habitats s</w:t>
      </w:r>
      <w:r>
        <w:rPr>
          <w:rFonts w:cs="Times New Roman"/>
          <w:noProof/>
          <w:color w:val="00000A"/>
          <w:sz w:val="20"/>
        </w:rPr>
        <w:t xml:space="preserve">how a general stabilisation of their status of conservation – even some improvements – many of them are still declining and endangered. Coastal habitats, wetlands and water-related ecosystems as well as agriculture-related habitats are the main threatened </w:t>
      </w:r>
      <w:r>
        <w:rPr>
          <w:rFonts w:cs="Times New Roman"/>
          <w:noProof/>
          <w:color w:val="00000A"/>
          <w:sz w:val="20"/>
        </w:rPr>
        <w:t>ecosystems. The key threats to biodiversity are habitat loss and degradation (in particular through urban sprawl, agricultural intensification, land abandonment, and intensively managed forests), pollution, over-exploitation (in particular fisheries), inva</w:t>
      </w:r>
      <w:r>
        <w:rPr>
          <w:rFonts w:cs="Times New Roman"/>
          <w:noProof/>
          <w:color w:val="00000A"/>
          <w:sz w:val="20"/>
        </w:rPr>
        <w:t>sive alien species and climate change. The lack of integration between nature and other policies , in particular in agricultural sector but also, to a lesser extent in urbanisation, transport, energy and forestry does not help to tackle the issue, in parti</w:t>
      </w:r>
      <w:r>
        <w:rPr>
          <w:rFonts w:cs="Times New Roman"/>
          <w:noProof/>
          <w:color w:val="00000A"/>
          <w:sz w:val="20"/>
        </w:rPr>
        <w:t>cular in a context of global warming and of a spread of Invasive Alien Species.</w:t>
      </w:r>
    </w:p>
    <w:p w:rsidR="00B71C54" w:rsidRDefault="00465787">
      <w:pPr>
        <w:widowControl w:val="0"/>
        <w:spacing w:after="120" w:line="240" w:lineRule="auto"/>
        <w:jc w:val="both"/>
        <w:rPr>
          <w:rFonts w:cs="Times New Roman"/>
          <w:noProof/>
          <w:sz w:val="20"/>
        </w:rPr>
      </w:pPr>
      <w:r>
        <w:rPr>
          <w:rFonts w:eastAsia="Calibri" w:cs="Times New Roman"/>
          <w:noProof/>
          <w:sz w:val="20"/>
          <w:szCs w:val="20"/>
        </w:rPr>
        <w:t>According to the latest report on the conservation status of habitats and species covered by the Habitats Directive</w:t>
      </w:r>
      <w:r>
        <w:rPr>
          <w:rFonts w:eastAsia="Calibri" w:cs="Times New Roman"/>
          <w:noProof/>
          <w:sz w:val="20"/>
          <w:szCs w:val="20"/>
          <w:vertAlign w:val="superscript"/>
        </w:rPr>
        <w:footnoteReference w:id="26"/>
      </w:r>
      <w:r>
        <w:rPr>
          <w:rFonts w:eastAsia="Calibri" w:cs="Times New Roman"/>
          <w:noProof/>
          <w:sz w:val="20"/>
          <w:szCs w:val="20"/>
        </w:rPr>
        <w:t xml:space="preserve"> in France,</w:t>
      </w:r>
      <w:r>
        <w:rPr>
          <w:rFonts w:cs="Times New Roman"/>
          <w:noProof/>
          <w:sz w:val="20"/>
        </w:rPr>
        <w:t xml:space="preserve"> 28% of the species of community interest are in </w:t>
      </w:r>
      <w:r>
        <w:rPr>
          <w:rFonts w:cs="Times New Roman"/>
          <w:noProof/>
          <w:sz w:val="20"/>
        </w:rPr>
        <w:t xml:space="preserve">a Favourable Conservation Status </w:t>
      </w:r>
      <w:r>
        <w:rPr>
          <w:rFonts w:cs="Times New Roman"/>
          <w:noProof/>
          <w:sz w:val="20"/>
          <w:szCs w:val="20"/>
        </w:rPr>
        <w:t xml:space="preserve">(EU 27: 23%) </w:t>
      </w:r>
      <w:r>
        <w:rPr>
          <w:rFonts w:cs="Times New Roman"/>
          <w:noProof/>
          <w:sz w:val="20"/>
        </w:rPr>
        <w:t>whereas 32% (EU27: 42%) and 24% (EU27: 18%) are respectively in an unfavourable-inadequate and in a unfavourable-bad status. Therefore, 16% remains unknown. As regards the habitats, about 22% of the habitat typ</w:t>
      </w:r>
      <w:r>
        <w:rPr>
          <w:rFonts w:cs="Times New Roman"/>
          <w:noProof/>
          <w:sz w:val="20"/>
        </w:rPr>
        <w:t xml:space="preserve">es of community interest are in a Favourable Conservation Status (EU 27: 16 %) whereas 38% (EU27: 47%) and 36% (EU27: 30%) are respectively in an unfavourable-inadequate and in an unfavourable-bad status. Only 4% remains unknown.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tblGrid>
      <w:tr w:rsidR="00B71C54">
        <w:trPr>
          <w:trHeight w:val="267"/>
        </w:trPr>
        <w:tc>
          <w:tcPr>
            <w:tcW w:w="4721" w:type="dxa"/>
          </w:tcPr>
          <w:p w:rsidR="00B71C54" w:rsidRDefault="00465787">
            <w:pPr>
              <w:widowControl w:val="0"/>
              <w:spacing w:after="120"/>
              <w:jc w:val="both"/>
              <w:rPr>
                <w:b/>
                <w:bCs/>
                <w:noProof/>
                <w:color w:val="1F497D" w:themeColor="text2"/>
              </w:rPr>
            </w:pPr>
            <w:r>
              <w:rPr>
                <w:b/>
                <w:bCs/>
                <w:noProof/>
                <w:color w:val="1F497D" w:themeColor="text2"/>
                <w:sz w:val="20"/>
              </w:rPr>
              <w:t>Figure 6: Conservation st</w:t>
            </w:r>
            <w:r>
              <w:rPr>
                <w:b/>
                <w:bCs/>
                <w:noProof/>
                <w:color w:val="1F497D" w:themeColor="text2"/>
                <w:sz w:val="20"/>
              </w:rPr>
              <w:t>atus of habitats and species in France in 2007/2013 (%)</w:t>
            </w:r>
            <w:r>
              <w:rPr>
                <w:b/>
                <w:bCs/>
                <w:noProof/>
                <w:color w:val="1F497D" w:themeColor="text2"/>
                <w:sz w:val="20"/>
                <w:vertAlign w:val="superscript"/>
              </w:rPr>
              <w:footnoteReference w:id="27"/>
            </w:r>
          </w:p>
        </w:tc>
      </w:tr>
      <w:tr w:rsidR="00B71C54">
        <w:trPr>
          <w:trHeight w:val="4668"/>
        </w:trPr>
        <w:tc>
          <w:tcPr>
            <w:tcW w:w="4721" w:type="dxa"/>
          </w:tcPr>
          <w:p w:rsidR="00B71C54" w:rsidRDefault="00465787">
            <w:pPr>
              <w:widowControl w:val="0"/>
              <w:spacing w:after="120"/>
              <w:jc w:val="both"/>
              <w:rPr>
                <w:noProof/>
              </w:rPr>
            </w:pPr>
            <w:r>
              <w:rPr>
                <w:noProof/>
                <w:lang w:eastAsia="en-GB"/>
              </w:rPr>
              <w:drawing>
                <wp:anchor distT="0" distB="0" distL="114300" distR="114300" simplePos="0" relativeHeight="251660288" behindDoc="0" locked="0" layoutInCell="1" allowOverlap="1" wp14:anchorId="67D9C6BB" wp14:editId="28A9EEE5">
                  <wp:simplePos x="690880" y="3774440"/>
                  <wp:positionH relativeFrom="margin">
                    <wp:align>center</wp:align>
                  </wp:positionH>
                  <wp:positionV relativeFrom="margin">
                    <wp:align>top</wp:align>
                  </wp:positionV>
                  <wp:extent cx="2658110" cy="2965450"/>
                  <wp:effectExtent l="0" t="0" r="889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4425" cy="2972572"/>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71C54" w:rsidRDefault="00465787">
      <w:pPr>
        <w:widowControl w:val="0"/>
        <w:spacing w:after="120" w:line="240" w:lineRule="auto"/>
        <w:jc w:val="both"/>
        <w:rPr>
          <w:rFonts w:cs="Times New Roman"/>
          <w:noProof/>
          <w:sz w:val="20"/>
        </w:rPr>
      </w:pPr>
      <w:r>
        <w:rPr>
          <w:rFonts w:cs="Times New Roman"/>
          <w:noProof/>
          <w:sz w:val="20"/>
        </w:rPr>
        <w:t>This is depicted in Figure 6</w:t>
      </w:r>
      <w:r>
        <w:rPr>
          <w:rFonts w:cs="Times New Roman"/>
          <w:noProof/>
          <w:sz w:val="20"/>
          <w:vertAlign w:val="superscript"/>
        </w:rPr>
        <w:footnoteReference w:id="28"/>
      </w:r>
      <w:r>
        <w:rPr>
          <w:rFonts w:cs="Times New Roman"/>
          <w:noProof/>
          <w:sz w:val="20"/>
        </w:rPr>
        <w:t xml:space="preserve">, which shows a general stabilisation of the status of conservation although some species and habitats in unfavourable-bad status tend to degrade again, due to the aforementioned main threats and pressures. </w:t>
      </w:r>
    </w:p>
    <w:p w:rsidR="00B71C54" w:rsidRDefault="00465787">
      <w:pPr>
        <w:widowControl w:val="0"/>
        <w:spacing w:after="120" w:line="240" w:lineRule="auto"/>
        <w:jc w:val="both"/>
        <w:rPr>
          <w:rFonts w:cs="Times New Roman"/>
          <w:i/>
          <w:noProof/>
          <w:sz w:val="20"/>
        </w:rPr>
      </w:pPr>
      <w:r>
        <w:rPr>
          <w:rFonts w:cs="Times New Roman"/>
          <w:noProof/>
          <w:sz w:val="20"/>
        </w:rPr>
        <w:t>As far as birds are concerned, 56% of the breedi</w:t>
      </w:r>
      <w:r>
        <w:rPr>
          <w:rFonts w:cs="Times New Roman"/>
          <w:noProof/>
          <w:sz w:val="20"/>
        </w:rPr>
        <w:t>ng species showed short-term increasing or stable population trends (for wintering species this figure was also 56%) as shown in Figure 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71C54">
        <w:tc>
          <w:tcPr>
            <w:tcW w:w="4909" w:type="dxa"/>
          </w:tcPr>
          <w:p w:rsidR="00B71C54" w:rsidRDefault="00465787">
            <w:pPr>
              <w:keepNext/>
              <w:widowControl w:val="0"/>
              <w:spacing w:after="120"/>
              <w:jc w:val="both"/>
              <w:rPr>
                <w:noProof/>
                <w:color w:val="1F497D" w:themeColor="text2"/>
              </w:rPr>
            </w:pPr>
            <w:r>
              <w:rPr>
                <w:b/>
                <w:bCs/>
                <w:noProof/>
                <w:color w:val="1F497D" w:themeColor="text2"/>
                <w:sz w:val="20"/>
              </w:rPr>
              <w:t>Figure 7: Short-term population trend of breeding and wintering bird species in France in 2012 (%)</w:t>
            </w:r>
            <w:r>
              <w:rPr>
                <w:b/>
                <w:bCs/>
                <w:noProof/>
                <w:color w:val="1F497D" w:themeColor="text2"/>
                <w:sz w:val="20"/>
                <w:vertAlign w:val="superscript"/>
              </w:rPr>
              <w:footnoteReference w:id="29"/>
            </w:r>
          </w:p>
        </w:tc>
      </w:tr>
      <w:tr w:rsidR="00B71C54">
        <w:tc>
          <w:tcPr>
            <w:tcW w:w="4909" w:type="dxa"/>
          </w:tcPr>
          <w:p w:rsidR="00B71C54" w:rsidRDefault="00465787">
            <w:pPr>
              <w:widowControl w:val="0"/>
              <w:spacing w:after="120"/>
              <w:jc w:val="both"/>
              <w:rPr>
                <w:noProof/>
              </w:rPr>
            </w:pPr>
            <w:r>
              <w:rPr>
                <w:noProof/>
                <w:lang w:eastAsia="en-GB"/>
              </w:rPr>
              <w:drawing>
                <wp:inline distT="0" distB="0" distL="0" distR="0" wp14:anchorId="1A3E7D71" wp14:editId="6A5F1F01">
                  <wp:extent cx="2968048" cy="2126512"/>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0754" cy="2128451"/>
                          </a:xfrm>
                          <a:prstGeom prst="rect">
                            <a:avLst/>
                          </a:prstGeom>
                          <a:noFill/>
                        </pic:spPr>
                      </pic:pic>
                    </a:graphicData>
                  </a:graphic>
                </wp:inline>
              </w:drawing>
            </w:r>
          </w:p>
        </w:tc>
      </w:tr>
    </w:tbl>
    <w:p w:rsidR="00B71C54" w:rsidRDefault="00465787">
      <w:pPr>
        <w:widowControl w:val="0"/>
        <w:spacing w:after="120" w:line="240" w:lineRule="auto"/>
        <w:jc w:val="both"/>
        <w:rPr>
          <w:rFonts w:cs="Times New Roman"/>
          <w:i/>
          <w:noProof/>
          <w:sz w:val="20"/>
        </w:rPr>
      </w:pPr>
      <w:r>
        <w:rPr>
          <w:rFonts w:cs="Times New Roman"/>
          <w:noProof/>
          <w:sz w:val="20"/>
        </w:rPr>
        <w:t>In France, th</w:t>
      </w:r>
      <w:r>
        <w:rPr>
          <w:rFonts w:cs="Times New Roman"/>
          <w:noProof/>
          <w:sz w:val="20"/>
        </w:rPr>
        <w:t>e Nature directives are overall well implemented and have reinforced the protection of nature. Indeed:</w:t>
      </w:r>
    </w:p>
    <w:p w:rsidR="00B71C54" w:rsidRDefault="00465787">
      <w:pPr>
        <w:widowControl w:val="0"/>
        <w:numPr>
          <w:ilvl w:val="0"/>
          <w:numId w:val="31"/>
        </w:numPr>
        <w:suppressAutoHyphens/>
        <w:overflowPunct w:val="0"/>
        <w:spacing w:after="120" w:line="240" w:lineRule="auto"/>
        <w:contextualSpacing/>
        <w:jc w:val="both"/>
        <w:rPr>
          <w:rFonts w:ascii="Calibri" w:eastAsia="Calibri" w:hAnsi="Calibri" w:cs="Times New Roman"/>
          <w:noProof/>
          <w:color w:val="000000" w:themeColor="text1"/>
          <w:kern w:val="1"/>
          <w:sz w:val="20"/>
        </w:rPr>
      </w:pPr>
      <w:r>
        <w:rPr>
          <w:rFonts w:ascii="Calibri" w:eastAsia="Calibri" w:hAnsi="Calibri" w:cs="Times New Roman"/>
          <w:noProof/>
          <w:color w:val="000000" w:themeColor="text1"/>
          <w:kern w:val="1"/>
          <w:sz w:val="20"/>
        </w:rPr>
        <w:t xml:space="preserve">The Nature directives have reinforced the legal protection regime in particular by strengthening the French Nature law dated of 1976. The derogation </w:t>
      </w:r>
      <w:r>
        <w:rPr>
          <w:rFonts w:ascii="Calibri" w:eastAsia="Calibri" w:hAnsi="Calibri" w:cs="Times New Roman"/>
          <w:noProof/>
          <w:color w:val="000000" w:themeColor="text1"/>
          <w:kern w:val="1"/>
          <w:sz w:val="20"/>
        </w:rPr>
        <w:t>system is correctly used, associating the public where needed, although some reporting problems remain;</w:t>
      </w:r>
    </w:p>
    <w:p w:rsidR="00B71C54" w:rsidRDefault="00465787">
      <w:pPr>
        <w:widowControl w:val="0"/>
        <w:numPr>
          <w:ilvl w:val="0"/>
          <w:numId w:val="31"/>
        </w:numPr>
        <w:suppressAutoHyphens/>
        <w:overflowPunct w:val="0"/>
        <w:spacing w:after="120" w:line="240" w:lineRule="auto"/>
        <w:contextualSpacing/>
        <w:jc w:val="both"/>
        <w:rPr>
          <w:rFonts w:ascii="Calibri" w:eastAsia="Calibri" w:hAnsi="Calibri" w:cs="Times New Roman"/>
          <w:noProof/>
          <w:color w:val="000000" w:themeColor="text1"/>
          <w:kern w:val="1"/>
          <w:sz w:val="20"/>
        </w:rPr>
      </w:pPr>
      <w:r>
        <w:rPr>
          <w:rFonts w:ascii="Calibri" w:eastAsia="Calibri" w:hAnsi="Calibri" w:cs="Times New Roman"/>
          <w:noProof/>
          <w:color w:val="000000" w:themeColor="text1"/>
          <w:kern w:val="1"/>
          <w:sz w:val="20"/>
        </w:rPr>
        <w:t>The nature directives have created the Natura 2000 network which is, in France, a dedicated and well-structured policy as well as a means to mobilise th</w:t>
      </w:r>
      <w:r>
        <w:rPr>
          <w:rFonts w:ascii="Calibri" w:eastAsia="Calibri" w:hAnsi="Calibri" w:cs="Times New Roman"/>
          <w:noProof/>
          <w:color w:val="000000" w:themeColor="text1"/>
          <w:kern w:val="1"/>
          <w:sz w:val="20"/>
        </w:rPr>
        <w:t xml:space="preserve">e public on biodiversity as the French system well involves the public and stakeholders. Indeed, in France each Natura 2000 site has one so-called "COPIL" (= dedicated </w:t>
      </w:r>
      <w:r>
        <w:rPr>
          <w:rFonts w:ascii="Calibri" w:eastAsia="Calibri" w:hAnsi="Calibri" w:cs="Times New Roman"/>
          <w:i/>
          <w:noProof/>
          <w:color w:val="000000" w:themeColor="text1"/>
          <w:kern w:val="1"/>
          <w:sz w:val="20"/>
        </w:rPr>
        <w:t>ad-hoc</w:t>
      </w:r>
      <w:r>
        <w:rPr>
          <w:rFonts w:ascii="Calibri" w:eastAsia="Calibri" w:hAnsi="Calibri" w:cs="Times New Roman"/>
          <w:noProof/>
          <w:color w:val="000000" w:themeColor="text1"/>
          <w:kern w:val="1"/>
          <w:sz w:val="20"/>
        </w:rPr>
        <w:t xml:space="preserve"> steering committee) which is the governance body responsible for establishing con</w:t>
      </w:r>
      <w:r>
        <w:rPr>
          <w:rFonts w:ascii="Calibri" w:eastAsia="Calibri" w:hAnsi="Calibri" w:cs="Times New Roman"/>
          <w:noProof/>
          <w:color w:val="000000" w:themeColor="text1"/>
          <w:kern w:val="1"/>
          <w:sz w:val="20"/>
        </w:rPr>
        <w:t xml:space="preserve">servation objectives (CO) and conservation measures (CM) through the so-called "DOCOB" (= dedicated </w:t>
      </w:r>
      <w:r>
        <w:rPr>
          <w:rFonts w:ascii="Calibri" w:eastAsia="Calibri" w:hAnsi="Calibri" w:cs="Times New Roman"/>
          <w:i/>
          <w:noProof/>
          <w:color w:val="000000" w:themeColor="text1"/>
          <w:kern w:val="1"/>
          <w:sz w:val="20"/>
        </w:rPr>
        <w:t>ad-hoc</w:t>
      </w:r>
      <w:r>
        <w:rPr>
          <w:rFonts w:ascii="Calibri" w:eastAsia="Calibri" w:hAnsi="Calibri" w:cs="Times New Roman"/>
          <w:noProof/>
          <w:color w:val="000000" w:themeColor="text1"/>
          <w:kern w:val="1"/>
          <w:sz w:val="20"/>
        </w:rPr>
        <w:t xml:space="preserve"> Natura 2000 management plan). All of this is run by local authorities under the supervision of the State and it is implemented through a dedicated Na</w:t>
      </w:r>
      <w:r>
        <w:rPr>
          <w:rFonts w:ascii="Calibri" w:eastAsia="Calibri" w:hAnsi="Calibri" w:cs="Times New Roman"/>
          <w:noProof/>
          <w:color w:val="000000" w:themeColor="text1"/>
          <w:kern w:val="1"/>
          <w:sz w:val="20"/>
        </w:rPr>
        <w:t>tura 2000 site manager, financed by European and national funds. So far in France, Natura 2000 has created around 800 full-time job equivalents.</w:t>
      </w:r>
    </w:p>
    <w:p w:rsidR="00B71C54" w:rsidRDefault="00465787">
      <w:pPr>
        <w:widowControl w:val="0"/>
        <w:spacing w:before="240" w:after="120" w:line="240" w:lineRule="auto"/>
        <w:jc w:val="both"/>
        <w:rPr>
          <w:rFonts w:cs="Times New Roman"/>
          <w:noProof/>
          <w:color w:val="00000A"/>
          <w:sz w:val="20"/>
        </w:rPr>
      </w:pPr>
      <w:r>
        <w:rPr>
          <w:rFonts w:cs="Times New Roman"/>
          <w:noProof/>
          <w:color w:val="00000A"/>
          <w:sz w:val="20"/>
        </w:rPr>
        <w:t>Beyond the legal obligations under the nature directives, France has initiated a range of initiatives in line w</w:t>
      </w:r>
      <w:r>
        <w:rPr>
          <w:rFonts w:cs="Times New Roman"/>
          <w:noProof/>
          <w:color w:val="00000A"/>
          <w:sz w:val="20"/>
        </w:rPr>
        <w:t>ith the EU nature and biodiversity agenda such as: "Trame verte et bleue (Green and Blue Trail (GBT)", "séquence 'éviter, réduire, compenser'" (a kind of No Net Loss initiative), "Grands Prix Natura 2000", etc. For Natura 2000, it has also established many</w:t>
      </w:r>
      <w:r>
        <w:rPr>
          <w:rFonts w:cs="Times New Roman"/>
          <w:noProof/>
          <w:color w:val="00000A"/>
          <w:sz w:val="20"/>
        </w:rPr>
        <w:t xml:space="preserve"> tools and material helping to streamline the approach on the national territory such as dedicated sectorial assessment methodologies for habitats and species at site level, national guidance document for establishing the Natura 2000 management plans, dedi</w:t>
      </w:r>
      <w:r>
        <w:rPr>
          <w:rFonts w:cs="Times New Roman"/>
          <w:noProof/>
          <w:color w:val="00000A"/>
          <w:sz w:val="20"/>
        </w:rPr>
        <w:t>cated Natura 2000 training sessions and "technical exchanges days" (a national equivalent to the Natura 2000 biogeographical process).</w:t>
      </w:r>
    </w:p>
    <w:p w:rsidR="00B71C54" w:rsidRDefault="00465787">
      <w:pPr>
        <w:widowControl w:val="0"/>
        <w:spacing w:after="120" w:line="240" w:lineRule="auto"/>
        <w:jc w:val="both"/>
        <w:rPr>
          <w:rFonts w:cs="Times New Roman"/>
          <w:noProof/>
          <w:sz w:val="20"/>
        </w:rPr>
      </w:pPr>
      <w:r>
        <w:rPr>
          <w:rFonts w:cs="Times New Roman"/>
          <w:i/>
          <w:noProof/>
          <w:sz w:val="20"/>
          <w:lang w:eastAsia="en-GB"/>
        </w:rPr>
        <w:drawing>
          <wp:inline distT="0" distB="0" distL="0" distR="0" wp14:anchorId="5E356A17" wp14:editId="4233D071">
            <wp:extent cx="2980055" cy="1986206"/>
            <wp:effectExtent l="0" t="0" r="0" b="0"/>
            <wp:docPr id="28" name="Picture 28" descr="P:\ENV-E2\1. ENV IMPLEMENTATION REVIEW\EIR Data management\Pictures\LIFE pictures\Pictures_by_Country1\France\LIFE06_NAT_F_000143_Activit_Pasto_C8Z87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V-E2\1. ENV IMPLEMENTATION REVIEW\EIR Data management\Pictures\LIFE pictures\Pictures_by_Country1\France\LIFE06_NAT_F_000143_Activit_Pasto_C8Z8712.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0055" cy="1986206"/>
                    </a:xfrm>
                    <a:prstGeom prst="rect">
                      <a:avLst/>
                    </a:prstGeom>
                    <a:noFill/>
                    <a:ln>
                      <a:noFill/>
                    </a:ln>
                  </pic:spPr>
                </pic:pic>
              </a:graphicData>
            </a:graphic>
          </wp:inline>
        </w:drawing>
      </w:r>
      <w:r>
        <w:rPr>
          <w:rFonts w:cs="Times New Roman"/>
          <w:noProof/>
          <w:color w:val="00000A"/>
          <w:sz w:val="20"/>
        </w:rPr>
        <w:t xml:space="preserve">The main challenge in France with regard to the implementation of Natura 2000 is to ensure an appropriate financing, </w:t>
      </w:r>
      <w:r>
        <w:rPr>
          <w:rFonts w:cs="Times New Roman"/>
          <w:noProof/>
          <w:color w:val="00000A"/>
          <w:sz w:val="20"/>
        </w:rPr>
        <w:t>both from national and EU funds as well as to work for a better integration between nature and agriculture policies. The recent territorial reshuffle in France, together with the fact that the regions will be leading on biodiversity matters and are now res</w:t>
      </w:r>
      <w:r>
        <w:rPr>
          <w:rFonts w:cs="Times New Roman"/>
          <w:noProof/>
          <w:color w:val="00000A"/>
          <w:sz w:val="20"/>
        </w:rPr>
        <w:t>ponsible for implementing the European funds, will constitute challenges and opportunities, in the context of the bill on recapture of biodiversity, nature and landscapes (adoption  on 20th July 2016).</w:t>
      </w:r>
    </w:p>
    <w:p w:rsidR="00B71C54" w:rsidRDefault="00465787">
      <w:pPr>
        <w:widowControl w:val="0"/>
        <w:spacing w:line="240" w:lineRule="auto"/>
        <w:jc w:val="both"/>
        <w:rPr>
          <w:rFonts w:cs="Times New Roman"/>
          <w:noProof/>
          <w:color w:val="00000A"/>
          <w:sz w:val="20"/>
        </w:rPr>
      </w:pPr>
      <w:r>
        <w:rPr>
          <w:rFonts w:cs="Times New Roman"/>
          <w:noProof/>
          <w:color w:val="00000A"/>
          <w:sz w:val="20"/>
        </w:rPr>
        <w:t>Illegal hunting and the determination of hunting perio</w:t>
      </w:r>
      <w:r>
        <w:rPr>
          <w:rFonts w:cs="Times New Roman"/>
          <w:noProof/>
          <w:color w:val="00000A"/>
          <w:sz w:val="20"/>
        </w:rPr>
        <w:t>d for bird species protected by the Birds Directive remain a concern. In particular, for some species (i.e. Ortolan bunting and geese), the information through complaints and infringements seem to suggest that the French authorities have lowered the intens</w:t>
      </w:r>
      <w:r>
        <w:rPr>
          <w:rFonts w:cs="Times New Roman"/>
          <w:noProof/>
          <w:color w:val="00000A"/>
          <w:sz w:val="20"/>
        </w:rPr>
        <w:t>ity of their control, putting at risk the conservation status of these species.</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 xml:space="preserve">With respect to agriculture, the intensification of agriculture has significant negative impacts on a number of habitats and species. However, recent environmental initiatives </w:t>
      </w:r>
      <w:r>
        <w:rPr>
          <w:rFonts w:cs="Times New Roman"/>
          <w:noProof/>
          <w:color w:val="00000A"/>
          <w:sz w:val="20"/>
        </w:rPr>
        <w:t>taken by the agriculture ministry i.e. the introduction of an agro-ecology project (national and regional) sets significant measures, and plans. For example, this project includes: the implementation of the Ecophyto II plan aiming to reduce the use of pest</w:t>
      </w:r>
      <w:r>
        <w:rPr>
          <w:rFonts w:cs="Times New Roman"/>
          <w:noProof/>
          <w:color w:val="00000A"/>
          <w:sz w:val="20"/>
        </w:rPr>
        <w:t>icides (EUR 41 million each year from 2008 to 2015), the prolongation in 2016 of the 2013 plan for sustainable bee keeping, the launching of a new plan to develop agroforestry</w:t>
      </w:r>
      <w:r>
        <w:rPr>
          <w:rFonts w:cs="Times New Roman"/>
          <w:noProof/>
          <w:color w:val="00000A"/>
          <w:sz w:val="20"/>
        </w:rPr>
        <w:footnoteReference w:id="30"/>
      </w:r>
      <w:r>
        <w:rPr>
          <w:rFonts w:cs="Times New Roman"/>
          <w:noProof/>
          <w:color w:val="00000A"/>
          <w:sz w:val="20"/>
        </w:rPr>
        <w:t xml:space="preserve"> and  the promotion of sustainable and collective action among groups of farmers</w:t>
      </w:r>
      <w:r>
        <w:rPr>
          <w:rFonts w:cs="Times New Roman"/>
          <w:noProof/>
          <w:color w:val="00000A"/>
          <w:sz w:val="20"/>
        </w:rPr>
        <w:t xml:space="preserve"> through new organizations called  "groupements d'intérêt économique et environnemental" (GIEE). All those initiatives aiming at promoting more sustainable and environmentally friendly agricultural practices.</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The rich and unique fauna and flora in the Fren</w:t>
      </w:r>
      <w:r>
        <w:rPr>
          <w:rFonts w:cs="Times New Roman"/>
          <w:noProof/>
          <w:color w:val="00000A"/>
          <w:sz w:val="20"/>
        </w:rPr>
        <w:t xml:space="preserve">ch Outermost Regions (ORs) and </w:t>
      </w:r>
      <w:r>
        <w:rPr>
          <w:rFonts w:cs="Times New Roman"/>
          <w:noProof/>
          <w:sz w:val="20"/>
        </w:rPr>
        <w:t xml:space="preserve">Overseas Countries and </w:t>
      </w:r>
      <w:r>
        <w:rPr>
          <w:rFonts w:cs="Times New Roman"/>
          <w:noProof/>
          <w:color w:val="00000A"/>
          <w:sz w:val="20"/>
        </w:rPr>
        <w:t>Territories (OCTs) are not covered by Natura 2000. T</w:t>
      </w:r>
      <w:r>
        <w:rPr>
          <w:rFonts w:cs="Times New Roman"/>
          <w:iCs/>
          <w:noProof/>
          <w:color w:val="00000A"/>
          <w:sz w:val="20"/>
        </w:rPr>
        <w:t xml:space="preserve">he European Parliament adopted a financing decision to implement a pilot project on Inventories of Species and Habitats in French ORs (EUR 1 million) </w:t>
      </w:r>
      <w:r>
        <w:rPr>
          <w:rFonts w:cs="Times New Roman"/>
          <w:iCs/>
          <w:noProof/>
          <w:color w:val="00000A"/>
          <w:sz w:val="20"/>
        </w:rPr>
        <w:t xml:space="preserve">and adopted another on Mapping and assessing of ecosystem services which would cover all the ORs and OCTs. </w:t>
      </w:r>
      <w:r>
        <w:rPr>
          <w:rFonts w:cs="Times New Roman"/>
          <w:noProof/>
          <w:color w:val="00000A"/>
          <w:sz w:val="20"/>
        </w:rPr>
        <w:t xml:space="preserve">Targeted protection measures and adequate financial resources should be devoted to conserving the exceptional wealth of biodiversity in the overseas </w:t>
      </w:r>
      <w:r>
        <w:rPr>
          <w:rFonts w:cs="Times New Roman"/>
          <w:noProof/>
          <w:color w:val="00000A"/>
          <w:sz w:val="20"/>
        </w:rPr>
        <w:t>départements. In its conclusion of 16 December 2015 Environment Council noted the results of the preparatory action on Biodiversity and Ecosystem Services in Territories of European Overseas (BEST), the funding available under the Commission's Best 2.0 Pro</w:t>
      </w:r>
      <w:r>
        <w:rPr>
          <w:rFonts w:cs="Times New Roman"/>
          <w:noProof/>
          <w:color w:val="00000A"/>
          <w:sz w:val="20"/>
        </w:rPr>
        <w:t>gramme, and urged the Commission and the Member States to move forward on sustainable partnerships dedicated to mobilising resources to protect the unique ecosystems and the services they provide in the EU Outermost Regions and Overseas Countries and Terri</w:t>
      </w:r>
      <w:r>
        <w:rPr>
          <w:rFonts w:cs="Times New Roman"/>
          <w:noProof/>
          <w:color w:val="00000A"/>
          <w:sz w:val="20"/>
        </w:rPr>
        <w:t xml:space="preserve">tories.  </w:t>
      </w:r>
    </w:p>
    <w:p w:rsidR="00B71C54" w:rsidRDefault="00B71C54">
      <w:pPr>
        <w:widowControl w:val="0"/>
        <w:spacing w:after="120" w:line="240" w:lineRule="auto"/>
        <w:jc w:val="both"/>
        <w:rPr>
          <w:rFonts w:cs="Times New Roman"/>
          <w:noProof/>
          <w:color w:val="00000A"/>
          <w:sz w:val="20"/>
        </w:rPr>
      </w:pPr>
    </w:p>
    <w:p w:rsidR="00B71C54" w:rsidRDefault="00465787">
      <w:pPr>
        <w:widowControl w:val="0"/>
        <w:spacing w:after="120" w:line="240" w:lineRule="auto"/>
        <w:jc w:val="both"/>
        <w:rPr>
          <w:rFonts w:cs="Times New Roman"/>
          <w:noProof/>
          <w:sz w:val="20"/>
        </w:rPr>
      </w:pPr>
      <w:r>
        <w:rPr>
          <w:rFonts w:cs="Calibri"/>
          <w:noProof/>
          <w:color w:val="1F497D"/>
          <w:szCs w:val="26"/>
        </w:rPr>
        <w:t>Suggested action</w:t>
      </w:r>
    </w:p>
    <w:p w:rsidR="00B71C54" w:rsidRDefault="00465787">
      <w:pPr>
        <w:pStyle w:val="NoSpacing"/>
        <w:rPr>
          <w:noProof/>
        </w:rPr>
      </w:pPr>
      <w:r>
        <w:rPr>
          <w:noProof/>
        </w:rPr>
        <w:t xml:space="preserve">Complete the Natura 2000 designation process and ensure that the necessary conservation measures for the sites maintain/restore species and habitats of community interest to a favourable conservation status across their natural </w:t>
      </w:r>
      <w:r>
        <w:rPr>
          <w:noProof/>
        </w:rPr>
        <w:t>range.</w:t>
      </w:r>
    </w:p>
    <w:p w:rsidR="00B71C54" w:rsidRDefault="00465787">
      <w:pPr>
        <w:pStyle w:val="NoSpacing"/>
        <w:rPr>
          <w:noProof/>
          <w:color w:val="00000A"/>
        </w:rPr>
      </w:pPr>
      <w:r>
        <w:rPr>
          <w:noProof/>
          <w:color w:val="00000A"/>
        </w:rPr>
        <w:t xml:space="preserve">Strengthen the integration of biodiversity concerns into other policies (in particular in agriculture, but also in forestry, urban and infrastructure planning and tourism) and the promotion of concertation between actors. </w:t>
      </w:r>
    </w:p>
    <w:p w:rsidR="00B71C54" w:rsidRDefault="00465787">
      <w:pPr>
        <w:pStyle w:val="NoSpacing"/>
        <w:rPr>
          <w:noProof/>
        </w:rPr>
      </w:pPr>
      <w:r>
        <w:rPr>
          <w:noProof/>
          <w:color w:val="00000A"/>
        </w:rPr>
        <w:t>Ensure the appropriate enf</w:t>
      </w:r>
      <w:r>
        <w:rPr>
          <w:noProof/>
          <w:color w:val="00000A"/>
        </w:rPr>
        <w:t xml:space="preserve">orcement of hunting bans for protected bird species. </w:t>
      </w:r>
    </w:p>
    <w:p w:rsidR="00B71C54" w:rsidRDefault="00465787">
      <w:pPr>
        <w:pStyle w:val="NoSpacing"/>
        <w:spacing w:after="240"/>
        <w:rPr>
          <w:noProof/>
        </w:rPr>
      </w:pPr>
      <w:r>
        <w:rPr>
          <w:noProof/>
          <w:color w:val="00000A"/>
        </w:rPr>
        <w:t xml:space="preserve">Continue to support the ongoing work for the establishment of a sustainable partnership for biodiversity protection, sustainable development and climate change adaptation and mitigation measures in the </w:t>
      </w:r>
      <w:r>
        <w:rPr>
          <w:noProof/>
          <w:color w:val="00000A"/>
        </w:rPr>
        <w:t>ORs and the OCTs.</w:t>
      </w:r>
    </w:p>
    <w:p w:rsidR="00B71C54" w:rsidRDefault="00465787">
      <w:pPr>
        <w:widowControl w:val="0"/>
        <w:spacing w:after="120" w:line="240" w:lineRule="auto"/>
        <w:outlineLvl w:val="1"/>
        <w:rPr>
          <w:rFonts w:cs="Times New Roman"/>
          <w:b/>
          <w:noProof/>
          <w:color w:val="1F497D" w:themeColor="text2"/>
          <w:szCs w:val="20"/>
        </w:rPr>
      </w:pPr>
      <w:bookmarkStart w:id="19" w:name="_Toc453860940"/>
      <w:bookmarkStart w:id="20" w:name="_Toc472694753"/>
      <w:r>
        <w:rPr>
          <w:rFonts w:cs="Times New Roman"/>
          <w:b/>
          <w:noProof/>
          <w:color w:val="1F497D" w:themeColor="text2"/>
          <w:szCs w:val="20"/>
        </w:rPr>
        <w:t>Estimating Natural Capital</w:t>
      </w:r>
      <w:bookmarkEnd w:id="19"/>
      <w:bookmarkEnd w:id="20"/>
      <w:r>
        <w:rPr>
          <w:rFonts w:cs="Times New Roman"/>
          <w:b/>
          <w:noProof/>
          <w:color w:val="1F497D" w:themeColor="text2"/>
          <w:szCs w:val="20"/>
        </w:rPr>
        <w:t xml:space="preserve"> </w:t>
      </w:r>
    </w:p>
    <w:p w:rsidR="00B71C54" w:rsidRDefault="00465787">
      <w:pPr>
        <w:widowControl w:val="0"/>
        <w:spacing w:after="120" w:line="240" w:lineRule="auto"/>
        <w:jc w:val="both"/>
        <w:rPr>
          <w:rFonts w:cs="Arial"/>
          <w:noProof/>
          <w:sz w:val="20"/>
        </w:rPr>
      </w:pPr>
      <w:r>
        <w:rPr>
          <w:rFonts w:cs="Arial"/>
          <w:noProof/>
          <w:sz w:val="20"/>
        </w:rPr>
        <w:t>The EU Biodiversity Strategy to 2020 calls on the Member States to map and asses the state of ecosystems and their services in their national territory by 2014, assess the economic value of such services, and p</w:t>
      </w:r>
      <w:r>
        <w:rPr>
          <w:rFonts w:cs="Arial"/>
          <w:noProof/>
          <w:sz w:val="20"/>
        </w:rPr>
        <w:t>romote the integration of these values into accounting and reporting systems at EU and national level by 2020.</w:t>
      </w:r>
    </w:p>
    <w:p w:rsidR="00B71C54" w:rsidRDefault="00465787">
      <w:pPr>
        <w:widowControl w:val="0"/>
        <w:spacing w:after="120" w:line="240" w:lineRule="auto"/>
        <w:jc w:val="both"/>
        <w:rPr>
          <w:rFonts w:cs="Times New Roman"/>
          <w:noProof/>
          <w:sz w:val="20"/>
        </w:rPr>
      </w:pPr>
      <w:bookmarkStart w:id="21" w:name="_Toc433296161"/>
      <w:r>
        <w:rPr>
          <w:rFonts w:cs="Times New Roman"/>
          <w:noProof/>
          <w:color w:val="00000A"/>
          <w:sz w:val="20"/>
        </w:rPr>
        <w:t>The French national ecosystem assessment, the EFESE project ("L'Évaluation Française des Écosystèmes et des Services Écosystémiques") has carried</w:t>
      </w:r>
      <w:r>
        <w:rPr>
          <w:rFonts w:cs="Times New Roman"/>
          <w:noProof/>
          <w:color w:val="00000A"/>
          <w:sz w:val="20"/>
        </w:rPr>
        <w:t xml:space="preserve"> out work on physical and ecological assessment of ecosystems services</w:t>
      </w:r>
      <w:r>
        <w:rPr>
          <w:rFonts w:cs="Times New Roman"/>
          <w:noProof/>
          <w:color w:val="00000A"/>
          <w:sz w:val="20"/>
        </w:rPr>
        <w:footnoteReference w:id="31"/>
      </w:r>
      <w:r>
        <w:rPr>
          <w:rFonts w:cs="Times New Roman"/>
          <w:noProof/>
          <w:color w:val="00000A"/>
          <w:sz w:val="20"/>
        </w:rPr>
        <w:t xml:space="preserve">, the ongoing exploratory works for the development of accounts and a valuation of ecosystem services. Working groups have been set up in the framework of the Mapping and Assessment of </w:t>
      </w:r>
      <w:r>
        <w:rPr>
          <w:rFonts w:cs="Times New Roman"/>
          <w:noProof/>
          <w:color w:val="00000A"/>
          <w:sz w:val="20"/>
        </w:rPr>
        <w:t xml:space="preserve">Ecosystems and their Services (MAES) focusing on different ecosystems (forest, wetlands, urban, agro-ecosystems, marine, rocks and mountains). </w:t>
      </w:r>
    </w:p>
    <w:p w:rsidR="00B71C54" w:rsidRDefault="00465787">
      <w:pPr>
        <w:widowControl w:val="0"/>
        <w:spacing w:after="120" w:line="240" w:lineRule="auto"/>
        <w:jc w:val="both"/>
        <w:rPr>
          <w:rFonts w:cs="Times New Roman"/>
          <w:noProof/>
          <w:sz w:val="20"/>
        </w:rPr>
      </w:pPr>
      <w:r>
        <w:rPr>
          <w:rFonts w:cs="Times New Roman"/>
          <w:noProof/>
          <w:color w:val="00000A"/>
          <w:sz w:val="20"/>
        </w:rPr>
        <w:t>The EFESE project gathers different communities. For instance, business is interested in ecosystem services in p</w:t>
      </w:r>
      <w:r>
        <w:rPr>
          <w:rFonts w:cs="Times New Roman"/>
          <w:noProof/>
          <w:color w:val="00000A"/>
          <w:sz w:val="20"/>
        </w:rPr>
        <w:t>articular for green infrastructure.</w:t>
      </w:r>
    </w:p>
    <w:p w:rsidR="00B71C54" w:rsidRDefault="00465787">
      <w:pPr>
        <w:widowControl w:val="0"/>
        <w:spacing w:after="120" w:line="240" w:lineRule="auto"/>
        <w:jc w:val="both"/>
        <w:rPr>
          <w:rFonts w:cs="Times New Roman"/>
          <w:noProof/>
          <w:sz w:val="20"/>
        </w:rPr>
      </w:pPr>
      <w:r>
        <w:rPr>
          <w:rFonts w:cs="Times New Roman"/>
          <w:noProof/>
          <w:color w:val="00000A"/>
          <w:sz w:val="20"/>
          <w:lang w:eastAsia="en-GB"/>
        </w:rPr>
        <w:drawing>
          <wp:inline distT="0" distB="0" distL="0" distR="0" wp14:anchorId="58D061F4" wp14:editId="4D4AC4DA">
            <wp:extent cx="2991678" cy="1684861"/>
            <wp:effectExtent l="0" t="0" r="0" b="0"/>
            <wp:docPr id="1" name="Picture 1" descr="P:\ENV-E2\1. ENV IMPLEMENTATION REVIEW\EIR Data management\Pictures\Final versions\FR coast iStock_22094363_LARG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Final versions\FR coast iStock_22094363_LARGE compresse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91369" cy="1684687"/>
                    </a:xfrm>
                    <a:prstGeom prst="rect">
                      <a:avLst/>
                    </a:prstGeom>
                    <a:noFill/>
                    <a:ln>
                      <a:noFill/>
                    </a:ln>
                  </pic:spPr>
                </pic:pic>
              </a:graphicData>
            </a:graphic>
          </wp:inline>
        </w:drawing>
      </w:r>
      <w:r>
        <w:rPr>
          <w:rFonts w:cs="Times New Roman"/>
          <w:noProof/>
          <w:color w:val="00000A"/>
          <w:sz w:val="20"/>
        </w:rPr>
        <w:t>A whole governance structure has been set up to deal with the mapping and assessment of ecosystems and their services in France. Current work is focusing on different ecosystems (forest, wetlands, urban, agro-ecosystems</w:t>
      </w:r>
      <w:r>
        <w:rPr>
          <w:rFonts w:cs="Times New Roman"/>
          <w:noProof/>
          <w:color w:val="00000A"/>
          <w:sz w:val="20"/>
        </w:rPr>
        <w:t>, and marine ecosystems, rocks and mountains). Business is interested in ecosystem services for green infrastructure. An economic assessment has delivered a conceptual framework and the assessment of pollination service. Other values are being explored and</w:t>
      </w:r>
      <w:r>
        <w:rPr>
          <w:rFonts w:cs="Times New Roman"/>
          <w:noProof/>
          <w:color w:val="00000A"/>
          <w:sz w:val="20"/>
        </w:rPr>
        <w:t xml:space="preserve"> concern less tangible benefits such as spiritual and mental wellbeing.</w:t>
      </w:r>
    </w:p>
    <w:p w:rsidR="00B71C54" w:rsidRDefault="00465787">
      <w:pPr>
        <w:widowControl w:val="0"/>
        <w:spacing w:after="120" w:line="240" w:lineRule="auto"/>
        <w:jc w:val="both"/>
        <w:rPr>
          <w:rFonts w:cs="Times New Roman"/>
          <w:noProof/>
          <w:sz w:val="16"/>
          <w:szCs w:val="16"/>
        </w:rPr>
      </w:pPr>
      <w:r>
        <w:rPr>
          <w:rFonts w:cs="Times New Roman"/>
          <w:noProof/>
          <w:color w:val="00000A"/>
          <w:sz w:val="20"/>
        </w:rPr>
        <w:t>Aside from the EFESE project, ecosystem accounting approaches are already implemented for some ecosystems (e.g. forests) and a reflection has been initiated about natural capital accou</w:t>
      </w:r>
      <w:r>
        <w:rPr>
          <w:rFonts w:cs="Times New Roman"/>
          <w:noProof/>
          <w:color w:val="00000A"/>
          <w:sz w:val="20"/>
        </w:rPr>
        <w:t>nting approaches (e.g. : test of the Quick Start Package developed by the CDB). For instance, options for marine natural capital accounting was discussed in a workshop co-organized with the EEA in the context of the EU KIP-INCA initia</w:t>
      </w:r>
      <w:r>
        <w:rPr>
          <w:rFonts w:cs="Times New Roman"/>
          <w:noProof/>
          <w:sz w:val="16"/>
          <w:szCs w:val="16"/>
        </w:rPr>
        <w:t>tive</w:t>
      </w:r>
    </w:p>
    <w:p w:rsidR="00B71C54" w:rsidRDefault="00465787">
      <w:pPr>
        <w:widowControl w:val="0"/>
        <w:spacing w:after="120" w:line="240" w:lineRule="auto"/>
        <w:jc w:val="both"/>
        <w:rPr>
          <w:rFonts w:cs="Times New Roman"/>
          <w:noProof/>
          <w:sz w:val="20"/>
        </w:rPr>
      </w:pPr>
      <w:r>
        <w:rPr>
          <w:rFonts w:cs="Calibri"/>
          <w:noProof/>
          <w:color w:val="1F497D"/>
          <w:szCs w:val="26"/>
        </w:rPr>
        <w:t>Suggested action</w:t>
      </w:r>
    </w:p>
    <w:p w:rsidR="00B71C54" w:rsidRDefault="00465787">
      <w:pPr>
        <w:pStyle w:val="NoSpacing"/>
        <w:rPr>
          <w:noProof/>
        </w:rPr>
      </w:pPr>
      <w:r>
        <w:rPr>
          <w:noProof/>
        </w:rPr>
        <w:t>Continue support to the mapping and assessment of ecosystems and their services, valuation and development of natural capital accounting systems.</w:t>
      </w:r>
    </w:p>
    <w:p w:rsidR="00B71C54" w:rsidRDefault="00465787">
      <w:pPr>
        <w:widowControl w:val="0"/>
        <w:spacing w:after="120" w:line="240" w:lineRule="auto"/>
        <w:outlineLvl w:val="1"/>
        <w:rPr>
          <w:rFonts w:cs="Times New Roman"/>
          <w:noProof/>
          <w:color w:val="FF0000"/>
          <w:sz w:val="24"/>
          <w:szCs w:val="20"/>
        </w:rPr>
      </w:pPr>
      <w:bookmarkStart w:id="22" w:name="_Toc472694754"/>
      <w:r>
        <w:rPr>
          <w:rFonts w:cs="Times New Roman"/>
          <w:b/>
          <w:noProof/>
          <w:color w:val="1F497D" w:themeColor="text2"/>
          <w:sz w:val="24"/>
          <w:szCs w:val="20"/>
        </w:rPr>
        <w:t>Green Infrastructure</w:t>
      </w:r>
      <w:bookmarkEnd w:id="22"/>
      <w:r>
        <w:rPr>
          <w:rFonts w:cs="Times New Roman"/>
          <w:b/>
          <w:noProof/>
          <w:color w:val="1F497D" w:themeColor="text2"/>
          <w:sz w:val="24"/>
          <w:szCs w:val="20"/>
        </w:rPr>
        <w:t xml:space="preserve"> </w:t>
      </w:r>
      <w:r>
        <w:rPr>
          <w:rFonts w:cs="Times New Roman"/>
          <w:noProof/>
          <w:color w:val="FF0000"/>
          <w:sz w:val="24"/>
          <w:szCs w:val="20"/>
        </w:rPr>
        <w:t xml:space="preserve"> </w:t>
      </w:r>
    </w:p>
    <w:p w:rsidR="00B71C54" w:rsidRDefault="00465787">
      <w:pPr>
        <w:widowControl w:val="0"/>
        <w:shd w:val="clear" w:color="auto" w:fill="4F81BD" w:themeFill="accent1"/>
        <w:spacing w:before="240"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2"/>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w:t>
      </w:r>
      <w:r>
        <w:rPr>
          <w:rFonts w:ascii="Calibri" w:eastAsia="Calibri" w:hAnsi="Calibri" w:cs="Times New Roman"/>
          <w:noProof/>
          <w:color w:val="FFFFFF" w:themeColor="background1"/>
          <w:sz w:val="20"/>
          <w:lang w:eastAsia="ar-SA"/>
        </w:rPr>
        <w:t>infrastructure into related plans and programmes to help overcome fragmentation of habitats and preserve or restore ecological connectivity, enhance ecosystem resilience and thereby ensure the continued provision of ecosystem services.</w:t>
      </w:r>
    </w:p>
    <w:p w:rsidR="00B71C54" w:rsidRDefault="00465787">
      <w:pPr>
        <w:widowControl w:val="0"/>
        <w:spacing w:after="120" w:line="240" w:lineRule="auto"/>
        <w:jc w:val="both"/>
        <w:rPr>
          <w:rFonts w:cs="Times New Roman"/>
          <w:noProof/>
          <w:sz w:val="20"/>
        </w:rPr>
      </w:pPr>
      <w:r>
        <w:rPr>
          <w:rFonts w:cs="Times New Roman"/>
          <w:noProof/>
          <w:sz w:val="20"/>
        </w:rPr>
        <w:t>Green Infrastructure</w:t>
      </w:r>
      <w:r>
        <w:rPr>
          <w:rFonts w:cs="Times New Roman"/>
          <w:noProof/>
          <w:sz w:val="20"/>
        </w:rPr>
        <w:t xml:space="preserve"> provides ecological, economic and social benefits through natural solutions. It helps to understand the value of the benefits that nature provides to human society and to mobilise investments to sustain and enhance them.</w:t>
      </w:r>
    </w:p>
    <w:p w:rsidR="00B71C54" w:rsidRDefault="00465787">
      <w:pPr>
        <w:widowControl w:val="0"/>
        <w:spacing w:after="120" w:line="240" w:lineRule="auto"/>
        <w:jc w:val="both"/>
        <w:rPr>
          <w:rFonts w:cs="Times New Roman"/>
          <w:noProof/>
          <w:sz w:val="20"/>
          <w:lang w:eastAsia="en-GB"/>
        </w:rPr>
      </w:pPr>
      <w:bookmarkStart w:id="23" w:name="_Toc433296162"/>
      <w:bookmarkEnd w:id="21"/>
      <w:r>
        <w:rPr>
          <w:rFonts w:cs="Times New Roman"/>
          <w:noProof/>
          <w:sz w:val="20"/>
          <w:lang w:eastAsia="en-GB"/>
        </w:rPr>
        <w:t>The French Green and Blue Trail (G</w:t>
      </w:r>
      <w:r>
        <w:rPr>
          <w:rFonts w:cs="Times New Roman"/>
          <w:noProof/>
          <w:sz w:val="20"/>
          <w:lang w:eastAsia="en-GB"/>
        </w:rPr>
        <w:t>BT) is a regional planning tool that aims to maintain and restore an interconnected network allowing animal and plant species to move and complete their life cycle.  While the main objective of the GBT is to create a network of ecological continuities, mad</w:t>
      </w:r>
      <w:r>
        <w:rPr>
          <w:rFonts w:cs="Times New Roman"/>
          <w:noProof/>
          <w:sz w:val="20"/>
          <w:lang w:eastAsia="en-GB"/>
        </w:rPr>
        <w:t>e of ecological corridors and biodiversity reservoirs, they can indirectly contribute to improved ecosystem services and socio-economic benefits. A 2010 law specifies the consequences of GBT registration on environmental management and urban planning in th</w:t>
      </w:r>
      <w:r>
        <w:rPr>
          <w:rFonts w:cs="Times New Roman"/>
          <w:noProof/>
          <w:sz w:val="20"/>
          <w:lang w:eastAsia="en-GB"/>
        </w:rPr>
        <w:t>e pursuit of the objective of preserving and restoring good ecological continuity.</w:t>
      </w:r>
    </w:p>
    <w:p w:rsidR="00B71C54" w:rsidRDefault="00465787">
      <w:pPr>
        <w:widowControl w:val="0"/>
        <w:spacing w:after="120" w:line="240" w:lineRule="auto"/>
        <w:jc w:val="both"/>
        <w:rPr>
          <w:rFonts w:cs="Times New Roman"/>
          <w:noProof/>
          <w:sz w:val="20"/>
        </w:rPr>
      </w:pPr>
      <w:r>
        <w:rPr>
          <w:rFonts w:cs="Times New Roman"/>
          <w:noProof/>
          <w:sz w:val="20"/>
          <w:lang w:eastAsia="en-GB"/>
        </w:rPr>
        <w:t>Many actors are already implementing the GBT at different levels: national, regional, departmental and local. The state sets the framework and ensures consistency across the</w:t>
      </w:r>
      <w:r>
        <w:rPr>
          <w:rFonts w:cs="Times New Roman"/>
          <w:noProof/>
          <w:sz w:val="20"/>
          <w:lang w:eastAsia="en-GB"/>
        </w:rPr>
        <w:t xml:space="preserve"> territory. The state and the regions develop together the "regional ecological coherence schemes", which are put to public consultation. The departments are piloting the policy in sensitive natural areas that contribute to the GBT. They can also carry out</w:t>
      </w:r>
      <w:r>
        <w:rPr>
          <w:rFonts w:cs="Times New Roman"/>
          <w:noProof/>
          <w:sz w:val="20"/>
          <w:lang w:eastAsia="en-GB"/>
        </w:rPr>
        <w:t xml:space="preserve"> ecological connectivity restoration projects. Local authorities take into account ecological continuity in spatial planning documents and projects, in particular in urban development planning. Companies can act by managing their sites to preserve ecologic</w:t>
      </w:r>
      <w:r>
        <w:rPr>
          <w:rFonts w:cs="Times New Roman"/>
          <w:noProof/>
          <w:sz w:val="20"/>
          <w:lang w:eastAsia="en-GB"/>
        </w:rPr>
        <w:t>al continuity, as well as by reducing their environmental impact. Farmers and foresters play a positive role in maintaining ecological continuity. Citizens have the possibility to act at their level, individually in their gardens or as part of an associati</w:t>
      </w:r>
      <w:r>
        <w:rPr>
          <w:rFonts w:cs="Times New Roman"/>
          <w:noProof/>
          <w:sz w:val="20"/>
          <w:lang w:eastAsia="en-GB"/>
        </w:rPr>
        <w:t>on.</w:t>
      </w:r>
    </w:p>
    <w:p w:rsidR="00B71C54" w:rsidRDefault="00465787">
      <w:pPr>
        <w:widowControl w:val="0"/>
        <w:spacing w:after="120" w:line="240" w:lineRule="auto"/>
        <w:outlineLvl w:val="1"/>
        <w:rPr>
          <w:rFonts w:cs="Times New Roman"/>
          <w:b/>
          <w:noProof/>
          <w:color w:val="1F497D" w:themeColor="text2"/>
          <w:sz w:val="24"/>
          <w:szCs w:val="20"/>
        </w:rPr>
      </w:pPr>
      <w:bookmarkStart w:id="24" w:name="_Toc472694755"/>
      <w:r>
        <w:rPr>
          <w:rFonts w:cs="Times New Roman"/>
          <w:b/>
          <w:noProof/>
          <w:color w:val="1F497D" w:themeColor="text2"/>
          <w:sz w:val="24"/>
          <w:szCs w:val="20"/>
        </w:rPr>
        <w:t>Soil protection</w:t>
      </w:r>
      <w:bookmarkEnd w:id="23"/>
      <w:bookmarkEnd w:id="24"/>
      <w:r>
        <w:rPr>
          <w:rFonts w:cs="Times New Roman"/>
          <w:b/>
          <w:noProof/>
          <w:color w:val="1F497D" w:themeColor="text2"/>
          <w:sz w:val="24"/>
          <w:szCs w:val="20"/>
        </w:rPr>
        <w:t xml:space="preserve"> </w:t>
      </w:r>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bookmarkStart w:id="25" w:name="_Toc432428181"/>
      <w:bookmarkStart w:id="26" w:name="_Toc433296163"/>
      <w:r>
        <w:rPr>
          <w:rFonts w:cs="Times New Roman"/>
          <w:noProof/>
          <w:color w:val="FFFFFF" w:themeColor="background1"/>
          <w:sz w:val="20"/>
        </w:rPr>
        <w:t>The EU Soil Thematic Strategy highlights the need to ensure a sustainable use of soils. This requires the prevention of further soil degradation and the preservation of its functions, as well as the restoration of degraded soils. The 2</w:t>
      </w:r>
      <w:r>
        <w:rPr>
          <w:rFonts w:cs="Times New Roman"/>
          <w:noProof/>
          <w:color w:val="FFFFFF" w:themeColor="background1"/>
          <w:sz w:val="20"/>
        </w:rPr>
        <w:t xml:space="preserve">011 Road Map for Resource-Efficient Europe, part of Europe 2020 Strategy provides that by 2020, EU policies take into account their direct and indirect impact on land use in the EU and globally, and the rate of land take is on track with an aim to achieve </w:t>
      </w:r>
      <w:r>
        <w:rPr>
          <w:rFonts w:cs="Times New Roman"/>
          <w:noProof/>
          <w:color w:val="FFFFFF" w:themeColor="background1"/>
          <w:sz w:val="20"/>
        </w:rPr>
        <w:t>no net land take by 2050.</w:t>
      </w:r>
    </w:p>
    <w:p w:rsidR="00B71C54" w:rsidRDefault="00465787">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B71C54" w:rsidRDefault="00465787">
      <w:pPr>
        <w:widowControl w:val="0"/>
        <w:spacing w:before="120" w:after="120" w:line="240" w:lineRule="auto"/>
        <w:jc w:val="both"/>
        <w:rPr>
          <w:noProof/>
          <w:sz w:val="20"/>
          <w:lang w:eastAsia="en-GB"/>
        </w:rPr>
      </w:pPr>
      <w:r>
        <w:rPr>
          <w:noProof/>
          <w:sz w:val="20"/>
          <w:lang w:eastAsia="en-GB"/>
        </w:rPr>
        <w:t>Soil is an import</w:t>
      </w:r>
      <w:r>
        <w:rPr>
          <w:noProof/>
          <w:sz w:val="20"/>
          <w:lang w:eastAsia="en-GB"/>
        </w:rPr>
        <w:t>ant resource for life and the economy. It provides key ecosystem services including the provision of food, fibre and biomass for renewable energy, carbon sequestration, water purification and flood regulation, the provision of raw and building material. So</w:t>
      </w:r>
      <w:r>
        <w:rPr>
          <w:noProof/>
          <w:sz w:val="20"/>
          <w:lang w:eastAsia="en-GB"/>
        </w:rPr>
        <w:t xml:space="preserve">il is a finite and extremely fragile resource and increasingly degrading in the EU. Land taken by urban development and infrastructure is highly unlikely to be reverted to its natural state; it consumes mostly agricultural land and increases fragmentation </w:t>
      </w:r>
      <w:r>
        <w:rPr>
          <w:noProof/>
          <w:sz w:val="20"/>
          <w:lang w:eastAsia="en-GB"/>
        </w:rPr>
        <w:t>of habitats. Soil protection is indirectly addressed in existing EU policies in areas such as agriculture, water, waste, chemicals, and prevention of industrial pollution.</w:t>
      </w:r>
    </w:p>
    <w:p w:rsidR="00B71C54" w:rsidRDefault="00465787">
      <w:pPr>
        <w:widowControl w:val="0"/>
        <w:spacing w:after="120" w:line="240" w:lineRule="auto"/>
        <w:jc w:val="both"/>
        <w:rPr>
          <w:rFonts w:cs="Times New Roman"/>
          <w:noProof/>
          <w:sz w:val="20"/>
        </w:rPr>
      </w:pPr>
      <w:r>
        <w:rPr>
          <w:rFonts w:cs="Times New Roman"/>
          <w:noProof/>
          <w:sz w:val="20"/>
        </w:rPr>
        <w:t>Artificial land cover is used for settlements, production systems and infrastructure</w:t>
      </w:r>
      <w:r>
        <w:rPr>
          <w:rFonts w:cs="Times New Roman"/>
          <w:noProof/>
          <w:sz w:val="20"/>
        </w:rPr>
        <w:t>. It may itself be split between built-up areas (buildings) and non-built-up areas (such as linear transport networks and associated areas).</w:t>
      </w:r>
    </w:p>
    <w:p w:rsidR="00B71C54" w:rsidRDefault="00465787">
      <w:pPr>
        <w:widowControl w:val="0"/>
        <w:spacing w:after="120" w:line="240" w:lineRule="auto"/>
        <w:jc w:val="both"/>
        <w:rPr>
          <w:rFonts w:cs="Times New Roman"/>
          <w:noProof/>
          <w:color w:val="00000A"/>
          <w:sz w:val="20"/>
          <w:szCs w:val="20"/>
        </w:rPr>
      </w:pPr>
      <w:r>
        <w:rPr>
          <w:rFonts w:cs="Times New Roman"/>
          <w:noProof/>
          <w:color w:val="00000A"/>
          <w:sz w:val="20"/>
          <w:szCs w:val="20"/>
        </w:rPr>
        <w:t xml:space="preserve">The annual land take rate (growth of artificial areas) as provided by CORINE Land Cover was 0.47% in France over </w:t>
      </w:r>
      <w:r>
        <w:rPr>
          <w:rFonts w:cs="Times New Roman"/>
          <w:noProof/>
          <w:color w:val="00000A"/>
          <w:sz w:val="20"/>
          <w:szCs w:val="20"/>
        </w:rPr>
        <w:t>the period 2006-12, well below the EU average (0.41%). It represented 14,117 hectares per year and was mainly driven by industrial and commercial sites as well as housing, services and recreation</w:t>
      </w:r>
      <w:r>
        <w:rPr>
          <w:rFonts w:cs="Times New Roman"/>
          <w:noProof/>
          <w:color w:val="00000A"/>
          <w:sz w:val="20"/>
          <w:szCs w:val="20"/>
          <w:vertAlign w:val="superscript"/>
        </w:rPr>
        <w:footnoteReference w:id="33"/>
      </w:r>
      <w:r>
        <w:rPr>
          <w:rFonts w:cs="Times New Roman"/>
          <w:noProof/>
          <w:color w:val="00000A"/>
          <w:sz w:val="20"/>
          <w:szCs w:val="20"/>
        </w:rPr>
        <w:t xml:space="preserve">. </w:t>
      </w:r>
    </w:p>
    <w:p w:rsidR="00B71C54" w:rsidRDefault="00465787">
      <w:pPr>
        <w:widowControl w:val="0"/>
        <w:spacing w:after="120" w:line="240" w:lineRule="auto"/>
        <w:jc w:val="both"/>
        <w:rPr>
          <w:rFonts w:cs="Times New Roman"/>
          <w:noProof/>
          <w:color w:val="00000A"/>
          <w:sz w:val="20"/>
          <w:szCs w:val="20"/>
        </w:rPr>
      </w:pPr>
      <w:r>
        <w:rPr>
          <w:rFonts w:cs="Times New Roman"/>
          <w:noProof/>
          <w:color w:val="00000A"/>
          <w:sz w:val="20"/>
          <w:szCs w:val="20"/>
        </w:rPr>
        <w:t xml:space="preserve">The percentage of built up land in 2009 was </w:t>
      </w:r>
      <w:r>
        <w:rPr>
          <w:rFonts w:cs="Times New Roman"/>
          <w:noProof/>
          <w:sz w:val="20"/>
        </w:rPr>
        <w:t>2.79</w:t>
      </w:r>
      <w:r>
        <w:rPr>
          <w:rFonts w:cs="Times New Roman"/>
          <w:noProof/>
          <w:color w:val="00000A"/>
          <w:sz w:val="20"/>
          <w:szCs w:val="20"/>
        </w:rPr>
        <w:t xml:space="preserve">%, </w:t>
      </w:r>
      <w:r>
        <w:rPr>
          <w:rFonts w:cs="Times New Roman"/>
          <w:noProof/>
          <w:sz w:val="20"/>
        </w:rPr>
        <w:t>below</w:t>
      </w:r>
      <w:r>
        <w:rPr>
          <w:rFonts w:cs="Times New Roman"/>
          <w:noProof/>
          <w:color w:val="00000A"/>
          <w:sz w:val="20"/>
          <w:szCs w:val="20"/>
        </w:rPr>
        <w:t xml:space="preserve"> </w:t>
      </w:r>
      <w:r>
        <w:rPr>
          <w:rFonts w:cs="Times New Roman"/>
          <w:noProof/>
          <w:color w:val="00000A"/>
          <w:sz w:val="20"/>
          <w:szCs w:val="20"/>
        </w:rPr>
        <w:t>the EU average (3.23%)</w:t>
      </w:r>
      <w:r>
        <w:rPr>
          <w:rFonts w:cs="Times New Roman"/>
          <w:noProof/>
          <w:sz w:val="20"/>
          <w:szCs w:val="20"/>
          <w:vertAlign w:val="superscript"/>
        </w:rPr>
        <w:footnoteReference w:id="34"/>
      </w:r>
      <w:r>
        <w:rPr>
          <w:rFonts w:cs="Times New Roman"/>
          <w:noProof/>
          <w:sz w:val="20"/>
          <w:szCs w:val="20"/>
        </w:rPr>
        <w:t>.</w:t>
      </w:r>
    </w:p>
    <w:p w:rsidR="00B71C54" w:rsidRDefault="00465787">
      <w:pPr>
        <w:widowControl w:val="0"/>
        <w:spacing w:after="120" w:line="240" w:lineRule="auto"/>
        <w:jc w:val="both"/>
        <w:rPr>
          <w:rFonts w:cs="Times New Roman"/>
          <w:noProof/>
          <w:sz w:val="20"/>
          <w:lang w:eastAsia="en-GB"/>
        </w:rPr>
      </w:pPr>
      <w:r>
        <w:rPr>
          <w:rFonts w:cs="Times New Roman"/>
          <w:noProof/>
          <w:color w:val="00000A"/>
          <w:sz w:val="20"/>
          <w:szCs w:val="20"/>
        </w:rPr>
        <w:t xml:space="preserve">The soil water erosion rate in 2010 was </w:t>
      </w:r>
      <w:r>
        <w:rPr>
          <w:rFonts w:cs="Times New Roman"/>
          <w:noProof/>
          <w:sz w:val="20"/>
        </w:rPr>
        <w:t>2.25</w:t>
      </w:r>
      <w:r>
        <w:rPr>
          <w:rFonts w:cs="Times New Roman"/>
          <w:noProof/>
          <w:color w:val="00000A"/>
          <w:sz w:val="20"/>
          <w:szCs w:val="20"/>
        </w:rPr>
        <w:t xml:space="preserve"> tonnes per ha per year, </w:t>
      </w:r>
      <w:r>
        <w:rPr>
          <w:rFonts w:cs="Times New Roman"/>
          <w:noProof/>
          <w:sz w:val="20"/>
        </w:rPr>
        <w:t>close to</w:t>
      </w:r>
      <w:r>
        <w:rPr>
          <w:rFonts w:cs="Times New Roman"/>
          <w:noProof/>
          <w:color w:val="00000A"/>
          <w:sz w:val="20"/>
          <w:szCs w:val="20"/>
        </w:rPr>
        <w:t xml:space="preserve"> EU-28 average (2.46 tonnes</w:t>
      </w:r>
      <w:r>
        <w:rPr>
          <w:rFonts w:cs="Times New Roman"/>
          <w:noProof/>
          <w:sz w:val="20"/>
          <w:szCs w:val="20"/>
        </w:rPr>
        <w:t>)</w:t>
      </w:r>
      <w:r>
        <w:rPr>
          <w:rFonts w:cs="Times New Roman"/>
          <w:noProof/>
          <w:sz w:val="20"/>
          <w:szCs w:val="20"/>
          <w:vertAlign w:val="superscript"/>
        </w:rPr>
        <w:footnoteReference w:id="35"/>
      </w:r>
      <w:r>
        <w:rPr>
          <w:rFonts w:cs="Times New Roman"/>
          <w:noProof/>
          <w:sz w:val="20"/>
          <w:szCs w:val="20"/>
        </w:rPr>
        <w:t>.</w:t>
      </w:r>
    </w:p>
    <w:p w:rsidR="00B71C54" w:rsidRDefault="00465787">
      <w:pPr>
        <w:widowControl w:val="0"/>
        <w:spacing w:after="120" w:line="240" w:lineRule="auto"/>
        <w:jc w:val="both"/>
        <w:rPr>
          <w:rFonts w:cs="Times New Roman"/>
          <w:noProof/>
          <w:sz w:val="20"/>
        </w:rPr>
      </w:pPr>
      <w:r>
        <w:rPr>
          <w:rFonts w:cs="Times New Roman"/>
          <w:noProof/>
          <w:sz w:val="20"/>
          <w:lang w:eastAsia="en-GB"/>
        </w:rPr>
        <w:t>There are still no EU-wide datasets enabling the provision of benchmark indicators for soil organic matter decline, contami</w:t>
      </w:r>
      <w:r>
        <w:rPr>
          <w:rFonts w:cs="Times New Roman"/>
          <w:noProof/>
          <w:sz w:val="20"/>
          <w:lang w:eastAsia="en-GB"/>
        </w:rPr>
        <w:t>nated sites, pressures on soil biology and diffuse pollution. 15 years ago France set up a scientific interest group on soil (GIS sol). This group manages an harmonised soil information system providing such information on French territory (contaminated si</w:t>
      </w:r>
      <w:r>
        <w:rPr>
          <w:rFonts w:cs="Times New Roman"/>
          <w:noProof/>
          <w:sz w:val="20"/>
          <w:lang w:eastAsia="en-GB"/>
        </w:rPr>
        <w:t>tes are not in the GIS's scope but are available within another national network).</w:t>
      </w:r>
    </w:p>
    <w:p w:rsidR="00B71C54" w:rsidRDefault="00465787">
      <w:pPr>
        <w:widowControl w:val="0"/>
        <w:spacing w:after="120" w:line="240" w:lineRule="auto"/>
        <w:jc w:val="both"/>
        <w:rPr>
          <w:rFonts w:cs="Times New Roman"/>
          <w:noProof/>
          <w:sz w:val="20"/>
          <w:lang w:eastAsia="en-GB"/>
        </w:rPr>
      </w:pPr>
      <w:r>
        <w:rPr>
          <w:rFonts w:cs="Times New Roman"/>
          <w:noProof/>
          <w:sz w:val="20"/>
        </w:rPr>
        <w:t>An updated inventory and assessment of soil protection policy instruments in France and other EU Member States is being performed by the EU Expert Group on Soil Protection.</w:t>
      </w:r>
    </w:p>
    <w:p w:rsidR="00B71C54" w:rsidRDefault="00465787">
      <w:pPr>
        <w:widowControl w:val="0"/>
        <w:spacing w:after="120" w:line="240" w:lineRule="auto"/>
        <w:jc w:val="both"/>
        <w:rPr>
          <w:rFonts w:cs="Times New Roman"/>
          <w:noProof/>
          <w:sz w:val="20"/>
          <w:szCs w:val="20"/>
        </w:rPr>
      </w:pPr>
      <w:r>
        <w:rPr>
          <w:rFonts w:cs="Times New Roman"/>
          <w:noProof/>
          <w:sz w:val="20"/>
        </w:rPr>
        <w:t>Figure 8 shows the different land cover types in France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B71C54">
        <w:tc>
          <w:tcPr>
            <w:tcW w:w="4909" w:type="dxa"/>
          </w:tcPr>
          <w:p w:rsidR="00B71C54" w:rsidRDefault="00465787">
            <w:pPr>
              <w:widowControl w:val="0"/>
              <w:spacing w:after="120"/>
              <w:jc w:val="both"/>
              <w:rPr>
                <w:b/>
                <w:bCs/>
                <w:noProof/>
                <w:color w:val="1F497D" w:themeColor="text2"/>
              </w:rPr>
            </w:pPr>
            <w:r>
              <w:rPr>
                <w:b/>
                <w:bCs/>
                <w:noProof/>
                <w:color w:val="1F497D" w:themeColor="text2"/>
                <w:sz w:val="20"/>
              </w:rPr>
              <w:t>Figure 8: Land Cover types in France in 2012</w:t>
            </w:r>
            <w:r>
              <w:rPr>
                <w:rFonts w:cs="Times New Roman"/>
                <w:b/>
                <w:bCs/>
                <w:noProof/>
                <w:color w:val="1F497D" w:themeColor="text2"/>
                <w:sz w:val="20"/>
                <w:vertAlign w:val="superscript"/>
              </w:rPr>
              <w:footnoteReference w:id="36"/>
            </w:r>
          </w:p>
        </w:tc>
      </w:tr>
      <w:tr w:rsidR="00B71C54">
        <w:tc>
          <w:tcPr>
            <w:tcW w:w="4909" w:type="dxa"/>
          </w:tcPr>
          <w:p w:rsidR="00B71C54" w:rsidRDefault="00465787">
            <w:pPr>
              <w:widowControl w:val="0"/>
              <w:spacing w:after="120"/>
              <w:jc w:val="both"/>
              <w:rPr>
                <w:noProof/>
              </w:rPr>
            </w:pPr>
            <w:r>
              <w:rPr>
                <w:noProof/>
                <w:lang w:eastAsia="en-GB"/>
              </w:rPr>
              <w:drawing>
                <wp:inline distT="0" distB="0" distL="0" distR="0" wp14:anchorId="486EB8A9" wp14:editId="5AAF0096">
                  <wp:extent cx="3075940" cy="3656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5940" cy="3656965"/>
                          </a:xfrm>
                          <a:prstGeom prst="rect">
                            <a:avLst/>
                          </a:prstGeom>
                          <a:noFill/>
                        </pic:spPr>
                      </pic:pic>
                    </a:graphicData>
                  </a:graphic>
                </wp:inline>
              </w:drawing>
            </w:r>
          </w:p>
        </w:tc>
      </w:tr>
    </w:tbl>
    <w:p w:rsidR="00B71C54" w:rsidRDefault="00465787">
      <w:pPr>
        <w:widowControl w:val="0"/>
        <w:spacing w:after="120" w:line="240" w:lineRule="auto"/>
        <w:outlineLvl w:val="1"/>
        <w:rPr>
          <w:rFonts w:cs="Times New Roman"/>
          <w:b/>
          <w:noProof/>
          <w:color w:val="1F497D" w:themeColor="text2"/>
          <w:sz w:val="24"/>
          <w:szCs w:val="20"/>
          <w:lang w:eastAsia="en-GB"/>
        </w:rPr>
      </w:pPr>
      <w:bookmarkStart w:id="27" w:name="_Toc454460681"/>
      <w:bookmarkStart w:id="28" w:name="_Toc472694756"/>
      <w:r>
        <w:rPr>
          <w:rFonts w:cs="Times New Roman"/>
          <w:b/>
          <w:noProof/>
          <w:color w:val="1F497D" w:themeColor="text2"/>
          <w:sz w:val="24"/>
          <w:szCs w:val="20"/>
          <w:lang w:eastAsia="en-GB"/>
        </w:rPr>
        <w:t>Marine protection</w:t>
      </w:r>
      <w:bookmarkEnd w:id="27"/>
      <w:bookmarkEnd w:id="28"/>
    </w:p>
    <w:p w:rsidR="00B71C54" w:rsidRDefault="0046578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Marine Policy and legislation require that by 2020 the impact of pressures on marine waters is reduced </w:t>
      </w:r>
      <w:r>
        <w:rPr>
          <w:rFonts w:cs="Times New Roman"/>
          <w:noProof/>
          <w:color w:val="FFFFFF" w:themeColor="background1"/>
          <w:sz w:val="20"/>
        </w:rPr>
        <w:t>to achieve or maintain good environmental status and coastal zones are managed sustainably.</w:t>
      </w:r>
    </w:p>
    <w:p w:rsidR="00B71C54" w:rsidRDefault="0046578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B71C54" w:rsidRDefault="00465787">
      <w:pPr>
        <w:widowControl w:val="0"/>
        <w:spacing w:after="120" w:line="240" w:lineRule="auto"/>
        <w:jc w:val="both"/>
        <w:rPr>
          <w:rFonts w:cs="Times New Roman"/>
          <w:noProof/>
          <w:sz w:val="20"/>
        </w:rPr>
      </w:pPr>
      <w:r>
        <w:rPr>
          <w:rFonts w:cs="Times New Roman"/>
          <w:noProof/>
          <w:sz w:val="20"/>
        </w:rPr>
        <w:t>The Marine Strategy Framework Directive</w:t>
      </w:r>
      <w:r>
        <w:rPr>
          <w:rFonts w:cs="Times New Roman"/>
          <w:noProof/>
          <w:sz w:val="20"/>
        </w:rPr>
        <w:t xml:space="preserve"> (MSFD)</w:t>
      </w:r>
      <w:r>
        <w:rPr>
          <w:rFonts w:cs="Times New Roman"/>
          <w:noProof/>
          <w:sz w:val="20"/>
          <w:vertAlign w:val="superscript"/>
        </w:rPr>
        <w:footnoteReference w:id="37"/>
      </w:r>
      <w:r>
        <w:rPr>
          <w:rFonts w:cs="Times New Roman"/>
          <w:noProof/>
          <w:sz w:val="20"/>
        </w:rPr>
        <w:t xml:space="preserve"> aims to achieve Good Environmental Status (GES) of the EU's marine waters by 2020 by</w:t>
      </w:r>
      <w:r>
        <w:rPr>
          <w:rFonts w:cs="Times New Roman"/>
          <w:noProof/>
          <w:sz w:val="20"/>
          <w:lang w:val="en"/>
        </w:rPr>
        <w:t xml:space="preserve"> providing an ecosystem approach to the management of human activities with impact on the marine environment</w:t>
      </w:r>
      <w:r>
        <w:rPr>
          <w:rFonts w:cs="Times New Roman"/>
          <w:noProof/>
          <w:sz w:val="20"/>
        </w:rPr>
        <w:t>. The Directive requires Member States to develop and i</w:t>
      </w:r>
      <w:r>
        <w:rPr>
          <w:rFonts w:cs="Times New Roman"/>
          <w:noProof/>
          <w:sz w:val="20"/>
        </w:rPr>
        <w:t>mplement a marine strategy for their marine waters, and cooperate with Member States sharing the same marine region or subregion.</w:t>
      </w:r>
    </w:p>
    <w:p w:rsidR="00B71C54" w:rsidRDefault="00465787">
      <w:pPr>
        <w:widowControl w:val="0"/>
        <w:spacing w:after="120" w:line="240" w:lineRule="auto"/>
        <w:jc w:val="both"/>
        <w:rPr>
          <w:rFonts w:cs="Times New Roman"/>
          <w:noProof/>
          <w:color w:val="FF0000"/>
          <w:sz w:val="20"/>
        </w:rPr>
      </w:pPr>
      <w:r>
        <w:rPr>
          <w:rFonts w:cs="Times New Roman"/>
          <w:noProof/>
          <w:sz w:val="20"/>
        </w:rPr>
        <w:t>As part of their marine strategies, Member States had to make an initial assessment of their marine waters, determine GES</w:t>
      </w:r>
      <w:r>
        <w:rPr>
          <w:rFonts w:cs="Times New Roman"/>
          <w:noProof/>
          <w:sz w:val="20"/>
          <w:vertAlign w:val="superscript"/>
        </w:rPr>
        <w:footnoteReference w:id="38"/>
      </w:r>
      <w:r>
        <w:rPr>
          <w:rFonts w:cs="Times New Roman"/>
          <w:noProof/>
          <w:sz w:val="20"/>
        </w:rPr>
        <w:t xml:space="preserve"> and</w:t>
      </w:r>
      <w:r>
        <w:rPr>
          <w:rFonts w:cs="Times New Roman"/>
          <w:noProof/>
          <w:sz w:val="20"/>
        </w:rPr>
        <w:t xml:space="preserve"> establish environmental targets by July 2012. They also had to establish monitoring programmes for the on-going assessment of their marine waters by July 2014. The next element of their marine strategy is to establish a Programme of Measures (2016). The C</w:t>
      </w:r>
      <w:r>
        <w:rPr>
          <w:rFonts w:cs="Times New Roman"/>
          <w:noProof/>
          <w:sz w:val="20"/>
        </w:rPr>
        <w:t>ommission assesses whether these elements constitute an appropriate framework to meet the requirements of the MSFD.</w:t>
      </w:r>
    </w:p>
    <w:p w:rsidR="00B71C54" w:rsidRDefault="00465787">
      <w:pPr>
        <w:widowControl w:val="0"/>
        <w:spacing w:after="120" w:line="240" w:lineRule="auto"/>
        <w:jc w:val="both"/>
        <w:rPr>
          <w:rFonts w:cs="Times New Roman"/>
          <w:noProof/>
          <w:sz w:val="20"/>
        </w:rPr>
      </w:pPr>
      <w:r>
        <w:rPr>
          <w:rFonts w:cs="Times New Roman"/>
          <w:noProof/>
          <w:sz w:val="20"/>
        </w:rPr>
        <w:t>French marine waters are part of two marine regions, the North East Atlantic Ocean and the Mediterranean Sea and of four marine sub-regions:</w:t>
      </w:r>
      <w:r>
        <w:rPr>
          <w:rFonts w:cs="Times New Roman"/>
          <w:noProof/>
          <w:sz w:val="20"/>
        </w:rPr>
        <w:t xml:space="preserve"> the Celtic Seas, the Greater North Sea, the Bay of Biscay and Iberian Coast, and the Western Mediterranean Sea. France is therefore party to both the Convention for the Protection of the Marine Environment and the Coastal Region of the Mediterranean (Barc</w:t>
      </w:r>
      <w:r>
        <w:rPr>
          <w:rFonts w:cs="Times New Roman"/>
          <w:noProof/>
          <w:sz w:val="20"/>
        </w:rPr>
        <w:t>elona Convention) and the Convention for the protection of the marine environment of the North-East Atlantic (OSPAR Convention). In the open ocean areas of the Atlantic, the main threats to biodiversity are potentially overfishing, bottom trawling, discard</w:t>
      </w:r>
      <w:r>
        <w:rPr>
          <w:rFonts w:cs="Times New Roman"/>
          <w:noProof/>
          <w:sz w:val="20"/>
        </w:rPr>
        <w:t xml:space="preserve">s, and pollution resulting from accidents (e.g. oil spills). </w:t>
      </w:r>
      <w:r>
        <w:rPr>
          <w:rFonts w:eastAsia="Times New Roman" w:cs="Times New Roman"/>
          <w:noProof/>
          <w:sz w:val="20"/>
        </w:rPr>
        <w:t>The Mediterranean Sea region was identified by the EEA in its 2015 State of the Environment report as one of the main climate change hotspots (i.e. one of the areas most responsive to climate cha</w:t>
      </w:r>
      <w:r>
        <w:rPr>
          <w:rFonts w:eastAsia="Times New Roman" w:cs="Times New Roman"/>
          <w:noProof/>
          <w:sz w:val="20"/>
        </w:rPr>
        <w:t>nge). The biodiversity of the Mediterranean Sea Region is also threatened by pollution from land-based sources such as discharges of excess nutrients and hazardous substances, marine litter, over-fishing, and degradation of critical habitats.</w:t>
      </w:r>
    </w:p>
    <w:p w:rsidR="00B71C54" w:rsidRDefault="00465787">
      <w:pPr>
        <w:widowControl w:val="0"/>
        <w:spacing w:after="120" w:line="240" w:lineRule="auto"/>
        <w:jc w:val="both"/>
        <w:rPr>
          <w:rFonts w:cs="Times New Roman"/>
          <w:noProof/>
          <w:sz w:val="20"/>
        </w:rPr>
      </w:pPr>
      <w:r>
        <w:rPr>
          <w:rFonts w:cs="Times New Roman"/>
          <w:noProof/>
          <w:sz w:val="20"/>
        </w:rPr>
        <w:t>The determina</w:t>
      </w:r>
      <w:r>
        <w:rPr>
          <w:rFonts w:cs="Times New Roman"/>
          <w:noProof/>
          <w:sz w:val="20"/>
        </w:rPr>
        <w:t>tions of GES adopted by France are mostly in line with the MSFD. They cover most of the indicators and for some descriptors even more, and EU requirements and standards have been systematically used. However, GES is defined qualitatively and not quantitati</w:t>
      </w:r>
      <w:r>
        <w:rPr>
          <w:rFonts w:cs="Times New Roman"/>
          <w:noProof/>
          <w:sz w:val="20"/>
        </w:rPr>
        <w:t xml:space="preserve">vely. This choice, combined with a lack of baseline and reference conditions, leads to a general lack of clarity about GES. All pressures and impacts on the marine environment are often not clearly and efficiently covered, which can pose problems in terms </w:t>
      </w:r>
      <w:r>
        <w:rPr>
          <w:rFonts w:cs="Times New Roman"/>
          <w:noProof/>
          <w:sz w:val="20"/>
        </w:rPr>
        <w:t>of environmental targets definition, of monitoring and of establishing a programme of measures.</w:t>
      </w:r>
    </w:p>
    <w:p w:rsidR="00B71C54" w:rsidRDefault="00465787">
      <w:pPr>
        <w:widowControl w:val="0"/>
        <w:spacing w:after="120" w:line="240" w:lineRule="auto"/>
        <w:jc w:val="both"/>
        <w:rPr>
          <w:rFonts w:cs="Times New Roman"/>
          <w:noProof/>
          <w:sz w:val="20"/>
        </w:rPr>
      </w:pPr>
      <w:r>
        <w:rPr>
          <w:rFonts w:cs="Times New Roman"/>
          <w:noProof/>
          <w:sz w:val="20"/>
        </w:rPr>
        <w:t>It is therefore too early to say whether French waters are in good status as there were weaknesses in identifying what "good environmental status" is in the fir</w:t>
      </w:r>
      <w:r>
        <w:rPr>
          <w:rFonts w:cs="Times New Roman"/>
          <w:noProof/>
          <w:sz w:val="20"/>
        </w:rPr>
        <w:t>st place.</w:t>
      </w:r>
    </w:p>
    <w:p w:rsidR="00B71C54" w:rsidRDefault="00465787">
      <w:pPr>
        <w:widowControl w:val="0"/>
        <w:spacing w:after="120" w:line="240" w:lineRule="auto"/>
        <w:jc w:val="both"/>
        <w:rPr>
          <w:rFonts w:cs="Times New Roman"/>
          <w:noProof/>
          <w:sz w:val="20"/>
        </w:rPr>
      </w:pPr>
      <w:r>
        <w:rPr>
          <w:rFonts w:cs="Times New Roman"/>
          <w:noProof/>
          <w:sz w:val="20"/>
        </w:rPr>
        <w:t>France also established a monitoring programme of its marine waters in 2014. However, this monitoring, except for marine litter and underwater noise, needs further refinement and development to constitute an appropriate framework to monitor progr</w:t>
      </w:r>
      <w:r>
        <w:rPr>
          <w:rFonts w:cs="Times New Roman"/>
          <w:noProof/>
          <w:sz w:val="20"/>
        </w:rPr>
        <w:t>ess towards Good Environmental Status and environmental targets. More specifically, non-indigenous species monitoring programme needs to be developed and in place before 2020.</w:t>
      </w:r>
    </w:p>
    <w:p w:rsidR="00B71C54" w:rsidRDefault="00465787">
      <w:pPr>
        <w:widowControl w:val="0"/>
        <w:spacing w:after="120" w:line="240" w:lineRule="auto"/>
        <w:jc w:val="both"/>
        <w:rPr>
          <w:rFonts w:cs="Times New Roman"/>
          <w:noProof/>
          <w:sz w:val="20"/>
        </w:rPr>
      </w:pPr>
      <w:r>
        <w:rPr>
          <w:rFonts w:cs="Times New Roman"/>
          <w:noProof/>
          <w:sz w:val="20"/>
        </w:rPr>
        <w:t>In 2012, French marine protected areas covered 47,112.4 square kilometres of its</w:t>
      </w:r>
      <w:r>
        <w:rPr>
          <w:rFonts w:cs="Times New Roman"/>
          <w:noProof/>
          <w:sz w:val="20"/>
        </w:rPr>
        <w:t xml:space="preserve"> marine waters, with 11,668.5 square kilometres in the North Sea, 1,693.9 square kilometres in the Celtic Sea, 20,183.8 square kilometres in the Bay of Biscay and Iberian coast and 13,566.2 square kilometres in the Western Mediterranean Sea.</w:t>
      </w:r>
      <w:r>
        <w:rPr>
          <w:rFonts w:cs="Times New Roman"/>
          <w:noProof/>
          <w:sz w:val="20"/>
          <w:vertAlign w:val="superscript"/>
        </w:rPr>
        <w:footnoteReference w:id="39"/>
      </w:r>
    </w:p>
    <w:p w:rsidR="00B71C54" w:rsidRDefault="00465787">
      <w:pPr>
        <w:widowControl w:val="0"/>
        <w:spacing w:after="120" w:line="240" w:lineRule="auto"/>
        <w:jc w:val="both"/>
        <w:rPr>
          <w:rFonts w:cs="Calibri"/>
          <w:noProof/>
          <w:color w:val="1F497D"/>
          <w:szCs w:val="26"/>
        </w:rPr>
      </w:pPr>
      <w:r>
        <w:rPr>
          <w:rFonts w:cs="Times New Roman"/>
          <w:noProof/>
          <w:sz w:val="20"/>
        </w:rPr>
        <w:t xml:space="preserve">In its </w:t>
      </w:r>
      <w:r>
        <w:rPr>
          <w:rFonts w:cs="Times New Roman"/>
          <w:noProof/>
          <w:sz w:val="20"/>
        </w:rPr>
        <w:t>reports on the implementation of the MSFD</w:t>
      </w:r>
      <w:r>
        <w:rPr>
          <w:rFonts w:cs="Times New Roman"/>
          <w:noProof/>
          <w:sz w:val="20"/>
          <w:vertAlign w:val="superscript"/>
        </w:rPr>
        <w:footnoteReference w:id="40"/>
      </w:r>
      <w:r>
        <w:rPr>
          <w:rFonts w:cs="Times New Roman"/>
          <w:noProof/>
          <w:sz w:val="20"/>
        </w:rPr>
        <w:t>, the Commission provided guidance to assist France in its implementation of the Marine Strategy Framework Directive.</w:t>
      </w:r>
    </w:p>
    <w:p w:rsidR="00B71C54" w:rsidRDefault="00465787">
      <w:pPr>
        <w:widowControl w:val="0"/>
        <w:spacing w:after="120" w:line="240" w:lineRule="auto"/>
        <w:jc w:val="both"/>
        <w:rPr>
          <w:rFonts w:cs="Times New Roman"/>
          <w:noProof/>
          <w:sz w:val="20"/>
        </w:rPr>
      </w:pPr>
      <w:r>
        <w:rPr>
          <w:rFonts w:cs="Calibri"/>
          <w:noProof/>
          <w:color w:val="1F497D"/>
          <w:szCs w:val="26"/>
        </w:rPr>
        <w:t>Suggested action</w:t>
      </w:r>
    </w:p>
    <w:p w:rsidR="00B71C54" w:rsidRDefault="00465787">
      <w:pPr>
        <w:pStyle w:val="NoSpacing"/>
        <w:rPr>
          <w:noProof/>
        </w:rPr>
      </w:pPr>
      <w:r>
        <w:rPr>
          <w:noProof/>
        </w:rPr>
        <w:t>Continue work to improve the definitions of GES including through regional coop</w:t>
      </w:r>
      <w:r>
        <w:rPr>
          <w:noProof/>
        </w:rPr>
        <w:t>eration by using the work of the relevant Regional Sea Conventions.</w:t>
      </w:r>
    </w:p>
    <w:p w:rsidR="00B71C54" w:rsidRDefault="00465787">
      <w:pPr>
        <w:pStyle w:val="NoSpacing"/>
        <w:rPr>
          <w:noProof/>
        </w:rPr>
      </w:pPr>
      <w:r>
        <w:rPr>
          <w:noProof/>
        </w:rPr>
        <w:t>Address knowledge gaps.</w:t>
      </w:r>
    </w:p>
    <w:p w:rsidR="00B71C54" w:rsidRDefault="00465787">
      <w:pPr>
        <w:pStyle w:val="NoSpacing"/>
        <w:rPr>
          <w:noProof/>
        </w:rPr>
      </w:pPr>
      <w:r>
        <w:rPr>
          <w:noProof/>
        </w:rPr>
        <w:t>Continue to integrate already existing monitoring programme  required under EU legislation and to implement, where they exist, joint monitoring programmes developed</w:t>
      </w:r>
      <w:r>
        <w:rPr>
          <w:noProof/>
        </w:rPr>
        <w:t xml:space="preserve"> at (sub)regional level, for instance by OSPAR and the Barcelona Convention.</w:t>
      </w:r>
    </w:p>
    <w:p w:rsidR="00B71C54" w:rsidRDefault="00465787">
      <w:pPr>
        <w:pStyle w:val="NoSpacing"/>
        <w:rPr>
          <w:noProof/>
        </w:rPr>
      </w:pPr>
      <w:r>
        <w:rPr>
          <w:noProof/>
        </w:rPr>
        <w:t xml:space="preserve">Enhance comparability and consistency of monitoring methods within its marine regions. </w:t>
      </w:r>
    </w:p>
    <w:p w:rsidR="00B71C54" w:rsidRDefault="00465787">
      <w:pPr>
        <w:pStyle w:val="NoSpacing"/>
        <w:rPr>
          <w:noProof/>
        </w:rPr>
      </w:pPr>
      <w:r>
        <w:rPr>
          <w:noProof/>
        </w:rPr>
        <w:t>Enhance the cohesion between approaches in the Member State's two marine regions.</w:t>
      </w:r>
    </w:p>
    <w:p w:rsidR="00B71C54" w:rsidRDefault="00465787">
      <w:pPr>
        <w:pStyle w:val="NoSpacing"/>
        <w:rPr>
          <w:noProof/>
        </w:rPr>
      </w:pPr>
      <w:r>
        <w:rPr>
          <w:noProof/>
        </w:rPr>
        <w:t>Ensure th</w:t>
      </w:r>
      <w:r>
        <w:rPr>
          <w:noProof/>
        </w:rPr>
        <w:t>at the monitoring programme is appropriate to monitor progress towards GES.</w:t>
      </w:r>
    </w:p>
    <w:p w:rsidR="00B71C54" w:rsidRDefault="00B71C54">
      <w:pPr>
        <w:widowControl w:val="0"/>
        <w:spacing w:after="120" w:line="240" w:lineRule="auto"/>
        <w:jc w:val="both"/>
        <w:rPr>
          <w:rFonts w:cs="Times New Roman"/>
          <w:noProof/>
          <w:sz w:val="20"/>
        </w:rPr>
      </w:pPr>
    </w:p>
    <w:bookmarkEnd w:id="25"/>
    <w:bookmarkEnd w:id="26"/>
    <w:p w:rsidR="00B71C54" w:rsidRDefault="00B71C54">
      <w:pPr>
        <w:widowControl w:val="0"/>
        <w:spacing w:after="120" w:line="240" w:lineRule="auto"/>
        <w:jc w:val="both"/>
        <w:rPr>
          <w:rFonts w:cs="Times New Roman"/>
          <w:noProof/>
          <w:sz w:val="20"/>
        </w:rPr>
      </w:pPr>
    </w:p>
    <w:p w:rsidR="00B71C54" w:rsidRDefault="00465787">
      <w:pPr>
        <w:widowControl w:val="0"/>
        <w:spacing w:line="240" w:lineRule="auto"/>
        <w:rPr>
          <w:rFonts w:cs="Times New Roman"/>
          <w:noProof/>
          <w:sz w:val="20"/>
        </w:rPr>
      </w:pPr>
      <w:r>
        <w:rPr>
          <w:rFonts w:cs="Times New Roman"/>
          <w:noProof/>
          <w:sz w:val="20"/>
        </w:rPr>
        <w:br w:type="page"/>
      </w:r>
    </w:p>
    <w:p w:rsidR="00B71C54" w:rsidRDefault="00B71C54">
      <w:pPr>
        <w:widowControl w:val="0"/>
        <w:numPr>
          <w:ilvl w:val="0"/>
          <w:numId w:val="25"/>
        </w:numPr>
        <w:spacing w:after="0" w:line="240" w:lineRule="auto"/>
        <w:jc w:val="center"/>
        <w:outlineLvl w:val="0"/>
        <w:rPr>
          <w:rFonts w:eastAsiaTheme="majorEastAsia" w:cstheme="majorBidi"/>
          <w:b/>
          <w:bCs/>
          <w:noProof/>
          <w:color w:val="1F497D" w:themeColor="text2"/>
          <w:sz w:val="32"/>
          <w:szCs w:val="28"/>
        </w:rPr>
        <w:sectPr w:rsidR="00B71C54">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080" w:bottom="1440" w:left="1080" w:header="708" w:footer="708" w:gutter="0"/>
          <w:cols w:num="2" w:space="340"/>
          <w:docGrid w:linePitch="360"/>
        </w:sectPr>
      </w:pPr>
    </w:p>
    <w:p w:rsidR="00B71C54" w:rsidRDefault="00465787">
      <w:pPr>
        <w:widowControl w:val="0"/>
        <w:numPr>
          <w:ilvl w:val="0"/>
          <w:numId w:val="25"/>
        </w:numPr>
        <w:spacing w:line="240" w:lineRule="auto"/>
        <w:jc w:val="center"/>
        <w:outlineLvl w:val="0"/>
        <w:rPr>
          <w:rFonts w:eastAsiaTheme="majorEastAsia" w:cstheme="majorBidi"/>
          <w:b/>
          <w:bCs/>
          <w:noProof/>
          <w:color w:val="1F497D" w:themeColor="text2"/>
          <w:sz w:val="32"/>
          <w:szCs w:val="28"/>
        </w:rPr>
        <w:sectPr w:rsidR="00B71C54">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space="566"/>
          <w:docGrid w:linePitch="360"/>
        </w:sectPr>
      </w:pPr>
      <w:bookmarkStart w:id="29" w:name="_Toc472694757"/>
      <w:r>
        <w:rPr>
          <w:rFonts w:eastAsiaTheme="majorEastAsia" w:cstheme="majorBidi"/>
          <w:b/>
          <w:bCs/>
          <w:noProof/>
          <w:color w:val="1F497D" w:themeColor="text2"/>
          <w:sz w:val="32"/>
          <w:szCs w:val="28"/>
        </w:rPr>
        <w:t>Ensuring citizens' health and quality of life</w:t>
      </w:r>
      <w:bookmarkStart w:id="30" w:name="_Toc433296167"/>
      <w:bookmarkEnd w:id="29"/>
    </w:p>
    <w:p w:rsidR="00B71C54" w:rsidRDefault="00465787">
      <w:pPr>
        <w:pStyle w:val="Heading2"/>
        <w:widowControl w:val="0"/>
        <w:rPr>
          <w:rFonts w:cstheme="minorBidi"/>
          <w:noProof/>
          <w:szCs w:val="22"/>
        </w:rPr>
      </w:pPr>
      <w:bookmarkStart w:id="31" w:name="_Toc433296166"/>
      <w:bookmarkStart w:id="32" w:name="_Toc454813115"/>
      <w:bookmarkStart w:id="33" w:name="_Toc469313203"/>
      <w:bookmarkStart w:id="34" w:name="_Toc472694758"/>
      <w:r>
        <w:rPr>
          <w:noProof/>
        </w:rPr>
        <w:t>Air quality</w:t>
      </w:r>
      <w:bookmarkEnd w:id="31"/>
      <w:bookmarkEnd w:id="32"/>
      <w:bookmarkEnd w:id="33"/>
      <w:bookmarkEnd w:id="34"/>
      <w:r>
        <w:rPr>
          <w:noProof/>
        </w:rPr>
        <w:t xml:space="preserve"> </w:t>
      </w:r>
    </w:p>
    <w:p w:rsidR="00B71C54" w:rsidRDefault="00465787">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The EU Clean Air Policy and legislation require The EU Clean Air Policy and legislation require that air quality in the </w:t>
      </w:r>
      <w:r>
        <w:rPr>
          <w:rFonts w:cs="Times New Roman"/>
          <w:noProof/>
          <w:color w:val="FFFFFF" w:themeColor="background1"/>
          <w:sz w:val="20"/>
          <w:szCs w:val="20"/>
        </w:rPr>
        <w:t>Union is significantly improved, moving closer to the WHO recommended levels. Air pollution and its impacts on ecosystems and biodiversity should be further reduced with the long-term aim of not exceeding critical loads and levels. This requires strengthen</w:t>
      </w:r>
      <w:r>
        <w:rPr>
          <w:rFonts w:cs="Times New Roman"/>
          <w:noProof/>
          <w:color w:val="FFFFFF" w:themeColor="background1"/>
          <w:sz w:val="20"/>
          <w:szCs w:val="20"/>
        </w:rPr>
        <w:t>ing efforts to reach full compliance with Union air quality legislation and defining strategic targets and actions beyond 2020.</w:t>
      </w:r>
    </w:p>
    <w:tbl>
      <w:tblPr>
        <w:tblStyle w:val="TableGrid2"/>
        <w:tblpPr w:leftFromText="180" w:rightFromText="180" w:vertAnchor="text" w:horzAnchor="margin" w:tblpY="1487"/>
        <w:tblW w:w="97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3"/>
      </w:tblGrid>
      <w:tr w:rsidR="00B71C54">
        <w:trPr>
          <w:trHeight w:val="328"/>
        </w:trPr>
        <w:tc>
          <w:tcPr>
            <w:tcW w:w="9793" w:type="dxa"/>
          </w:tcPr>
          <w:p w:rsidR="00B71C54" w:rsidRDefault="00465787">
            <w:pPr>
              <w:widowControl w:val="0"/>
              <w:spacing w:after="120"/>
              <w:jc w:val="both"/>
              <w:rPr>
                <w:b/>
                <w:bCs/>
                <w:noProof/>
                <w:color w:val="1F497D" w:themeColor="text2"/>
              </w:rPr>
            </w:pPr>
            <w:r>
              <w:rPr>
                <w:b/>
                <w:bCs/>
                <w:noProof/>
                <w:color w:val="1F497D" w:themeColor="text2"/>
                <w:sz w:val="20"/>
              </w:rPr>
              <w:t>Figure 9: Attainment situation for PM10, NO2 and O3 in 2014</w:t>
            </w:r>
          </w:p>
        </w:tc>
      </w:tr>
      <w:tr w:rsidR="00B71C54">
        <w:trPr>
          <w:trHeight w:val="4030"/>
        </w:trPr>
        <w:tc>
          <w:tcPr>
            <w:tcW w:w="9793" w:type="dxa"/>
          </w:tcPr>
          <w:p w:rsidR="00B71C54" w:rsidRDefault="00465787">
            <w:pPr>
              <w:widowControl w:val="0"/>
              <w:spacing w:after="120"/>
              <w:jc w:val="both"/>
              <w:rPr>
                <w:noProof/>
              </w:rPr>
            </w:pPr>
            <w:r>
              <w:rPr>
                <w:noProof/>
                <w:lang w:eastAsia="en-GB"/>
              </w:rPr>
              <w:drawing>
                <wp:inline distT="0" distB="0" distL="0" distR="0" wp14:anchorId="06B6687E" wp14:editId="1ED34FC4">
                  <wp:extent cx="6081823" cy="300569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83120" cy="3006337"/>
                          </a:xfrm>
                          <a:prstGeom prst="rect">
                            <a:avLst/>
                          </a:prstGeom>
                          <a:noFill/>
                        </pic:spPr>
                      </pic:pic>
                    </a:graphicData>
                  </a:graphic>
                </wp:inline>
              </w:drawing>
            </w:r>
          </w:p>
        </w:tc>
      </w:tr>
    </w:tbl>
    <w:p w:rsidR="00B71C54" w:rsidRDefault="00465787">
      <w:pPr>
        <w:widowControl w:val="0"/>
        <w:spacing w:after="120" w:line="240" w:lineRule="auto"/>
        <w:jc w:val="both"/>
        <w:rPr>
          <w:rFonts w:cs="Times New Roman"/>
          <w:noProof/>
          <w:sz w:val="20"/>
          <w:szCs w:val="20"/>
        </w:rPr>
      </w:pPr>
      <w:r>
        <w:rPr>
          <w:rFonts w:cs="Times New Roman"/>
          <w:noProof/>
          <w:sz w:val="20"/>
          <w:szCs w:val="20"/>
        </w:rPr>
        <w:t xml:space="preserve">The EU has developed a comprehensive suite of air quality </w:t>
      </w:r>
      <w:r>
        <w:rPr>
          <w:rFonts w:cs="Times New Roman"/>
          <w:noProof/>
          <w:sz w:val="20"/>
          <w:szCs w:val="20"/>
        </w:rPr>
        <w:t>legislation</w:t>
      </w:r>
      <w:r>
        <w:rPr>
          <w:rFonts w:cs="Times New Roman"/>
          <w:noProof/>
          <w:sz w:val="20"/>
          <w:szCs w:val="20"/>
          <w:vertAlign w:val="superscript"/>
        </w:rPr>
        <w:footnoteReference w:id="41"/>
      </w:r>
      <w:r>
        <w:rPr>
          <w:rFonts w:cs="Times New Roman"/>
          <w:noProof/>
          <w:sz w:val="20"/>
          <w:szCs w:val="20"/>
        </w:rPr>
        <w:t xml:space="preserve">, which establishes health-based standards and objectives for a number of air pollutants. As part of this, Member States are also required to ensure that up-to-date information on ambient concentrations of different air pollutants is routinely </w:t>
      </w:r>
      <w:r>
        <w:rPr>
          <w:rFonts w:cs="Times New Roman"/>
          <w:noProof/>
          <w:sz w:val="20"/>
          <w:szCs w:val="20"/>
        </w:rPr>
        <w:t>made available to the public. In addition, the National Emission Ceilings Directive provides for emission reductions at national level that should be achieved for main pollutants.</w:t>
      </w:r>
    </w:p>
    <w:p w:rsidR="00B71C54" w:rsidRDefault="00465787">
      <w:pPr>
        <w:widowControl w:val="0"/>
        <w:spacing w:after="120" w:line="240" w:lineRule="auto"/>
        <w:jc w:val="both"/>
        <w:rPr>
          <w:rFonts w:cs="Times New Roman"/>
          <w:noProof/>
          <w:sz w:val="20"/>
          <w:szCs w:val="20"/>
          <w:lang w:eastAsia="en-GB"/>
        </w:rPr>
      </w:pPr>
      <w:r>
        <w:rPr>
          <w:rFonts w:cs="Times New Roman"/>
          <w:noProof/>
          <w:sz w:val="20"/>
          <w:szCs w:val="20"/>
          <w:lang w:eastAsia="en-GB"/>
        </w:rPr>
        <w:t>The emission of several air pollutants has decreased in France</w:t>
      </w:r>
      <w:r>
        <w:rPr>
          <w:rFonts w:cs="Times New Roman"/>
          <w:noProof/>
          <w:sz w:val="20"/>
          <w:szCs w:val="20"/>
          <w:vertAlign w:val="superscript"/>
          <w:lang w:eastAsia="en-GB"/>
        </w:rPr>
        <w:footnoteReference w:id="42"/>
      </w:r>
      <w:r>
        <w:rPr>
          <w:rFonts w:cs="Times New Roman"/>
          <w:noProof/>
          <w:sz w:val="20"/>
          <w:szCs w:val="20"/>
          <w:lang w:eastAsia="en-GB"/>
        </w:rPr>
        <w:t xml:space="preserve">. Reductions </w:t>
      </w:r>
      <w:r>
        <w:rPr>
          <w:rFonts w:cs="Times New Roman"/>
          <w:noProof/>
          <w:sz w:val="20"/>
          <w:szCs w:val="20"/>
          <w:lang w:eastAsia="en-GB"/>
        </w:rPr>
        <w:t>between 1990 and 2014 for sulphur oxides (-87%) and volatile organic compounds (-73%) ensure air emissions for these pollutants are within the currently applicable national emission ceilings</w:t>
      </w:r>
      <w:r>
        <w:rPr>
          <w:rFonts w:cs="Times New Roman"/>
          <w:noProof/>
          <w:sz w:val="20"/>
          <w:szCs w:val="20"/>
          <w:vertAlign w:val="superscript"/>
          <w:lang w:eastAsia="en-GB"/>
        </w:rPr>
        <w:footnoteReference w:id="43"/>
      </w:r>
      <w:r>
        <w:rPr>
          <w:rFonts w:cs="Times New Roman"/>
          <w:noProof/>
          <w:sz w:val="20"/>
          <w:szCs w:val="20"/>
          <w:lang w:eastAsia="en-GB"/>
        </w:rPr>
        <w:t>. Although ammonia emissions increased by 1%, the total emissions</w:t>
      </w:r>
      <w:r>
        <w:rPr>
          <w:rFonts w:cs="Times New Roman"/>
          <w:noProof/>
          <w:sz w:val="20"/>
          <w:szCs w:val="20"/>
          <w:lang w:eastAsia="en-GB"/>
        </w:rPr>
        <w:t xml:space="preserve"> are still within the currently applicable ceiling. Significant emission reductions for nitrogen oxides (</w:t>
      </w:r>
      <w:r>
        <w:rPr>
          <w:rFonts w:cs="Times New Roman"/>
          <w:noProof/>
          <w:sz w:val="20"/>
          <w:szCs w:val="20"/>
          <w:lang w:eastAsia="en-GB"/>
        </w:rPr>
        <w:noBreakHyphen/>
        <w:t xml:space="preserve">55%) have also been recorded; nevertheless emissions for this pollutant are still 9% above current ceiling. It should be noted that the exceedance of </w:t>
      </w:r>
      <w:r>
        <w:rPr>
          <w:rFonts w:cs="Times New Roman"/>
          <w:noProof/>
          <w:sz w:val="20"/>
          <w:szCs w:val="20"/>
          <w:lang w:eastAsia="en-GB"/>
        </w:rPr>
        <w:t>the current ceilings for nitrogen oxides is partly due to the actual driving emissions of these pollutants from diesel vehicles.</w:t>
      </w:r>
    </w:p>
    <w:p w:rsidR="00B71C54" w:rsidRDefault="00465787">
      <w:pPr>
        <w:widowControl w:val="0"/>
        <w:spacing w:after="120" w:line="240" w:lineRule="auto"/>
        <w:ind w:right="180"/>
        <w:jc w:val="both"/>
        <w:rPr>
          <w:rFonts w:cs="Times New Roman"/>
          <w:noProof/>
          <w:sz w:val="20"/>
          <w:szCs w:val="20"/>
          <w:lang w:eastAsia="en-GB"/>
        </w:rPr>
      </w:pPr>
      <w:r>
        <w:rPr>
          <w:rFonts w:cs="Times New Roman"/>
          <w:noProof/>
          <w:sz w:val="20"/>
          <w:szCs w:val="20"/>
          <w:lang w:eastAsia="en-GB"/>
        </w:rPr>
        <w:t>At the same time, air quality in France continues to give cause for severe concern. For the year 2013, the European Environment</w:t>
      </w:r>
      <w:r>
        <w:rPr>
          <w:rFonts w:cs="Times New Roman"/>
          <w:noProof/>
          <w:sz w:val="20"/>
          <w:szCs w:val="20"/>
          <w:lang w:eastAsia="en-GB"/>
        </w:rPr>
        <w:t xml:space="preserve"> Agency estimated that about </w:t>
      </w:r>
      <w:r>
        <w:rPr>
          <w:noProof/>
          <w:color w:val="1F497D"/>
          <w:sz w:val="20"/>
          <w:szCs w:val="20"/>
        </w:rPr>
        <w:t xml:space="preserve">45 120 </w:t>
      </w:r>
      <w:r>
        <w:rPr>
          <w:rFonts w:cs="Times New Roman"/>
          <w:noProof/>
          <w:sz w:val="20"/>
          <w:szCs w:val="20"/>
          <w:lang w:eastAsia="en-GB"/>
        </w:rPr>
        <w:t>premature deaths were attributable to fine particulate matter</w:t>
      </w:r>
      <w:r>
        <w:rPr>
          <w:rFonts w:cs="Times New Roman"/>
          <w:noProof/>
          <w:sz w:val="20"/>
          <w:szCs w:val="20"/>
          <w:vertAlign w:val="superscript"/>
          <w:lang w:eastAsia="en-GB"/>
        </w:rPr>
        <w:footnoteReference w:id="44"/>
      </w:r>
      <w:r>
        <w:rPr>
          <w:rFonts w:cs="Times New Roman"/>
          <w:noProof/>
          <w:sz w:val="20"/>
          <w:szCs w:val="20"/>
          <w:lang w:eastAsia="en-GB"/>
        </w:rPr>
        <w:t xml:space="preserve"> concentrations, 1 780 to ozone</w:t>
      </w:r>
      <w:r>
        <w:rPr>
          <w:rFonts w:cs="Times New Roman"/>
          <w:noProof/>
          <w:sz w:val="20"/>
          <w:szCs w:val="20"/>
          <w:vertAlign w:val="superscript"/>
          <w:lang w:eastAsia="en-GB"/>
        </w:rPr>
        <w:footnoteReference w:id="45"/>
      </w:r>
      <w:r>
        <w:rPr>
          <w:rFonts w:cs="Times New Roman"/>
          <w:noProof/>
          <w:sz w:val="20"/>
          <w:szCs w:val="20"/>
          <w:lang w:eastAsia="en-GB"/>
        </w:rPr>
        <w:t xml:space="preserve"> concentration and </w:t>
      </w:r>
      <w:r>
        <w:rPr>
          <w:noProof/>
          <w:color w:val="1F497D"/>
          <w:sz w:val="20"/>
          <w:szCs w:val="20"/>
        </w:rPr>
        <w:t>8 230</w:t>
      </w:r>
      <w:r>
        <w:rPr>
          <w:rFonts w:cs="Times New Roman"/>
          <w:noProof/>
          <w:sz w:val="20"/>
          <w:szCs w:val="20"/>
          <w:lang w:eastAsia="en-GB"/>
        </w:rPr>
        <w:t xml:space="preserve"> to nitrogen dioxide</w:t>
      </w:r>
      <w:r>
        <w:rPr>
          <w:rFonts w:cs="Times New Roman"/>
          <w:noProof/>
          <w:sz w:val="20"/>
          <w:szCs w:val="20"/>
          <w:vertAlign w:val="superscript"/>
          <w:lang w:eastAsia="en-GB"/>
        </w:rPr>
        <w:footnoteReference w:id="46"/>
      </w:r>
      <w:r>
        <w:rPr>
          <w:rFonts w:cs="Times New Roman"/>
          <w:noProof/>
          <w:sz w:val="20"/>
          <w:szCs w:val="20"/>
          <w:lang w:eastAsia="en-GB"/>
        </w:rPr>
        <w:t xml:space="preserve"> concentrations</w:t>
      </w:r>
      <w:r>
        <w:rPr>
          <w:rFonts w:cs="Times New Roman"/>
          <w:noProof/>
          <w:sz w:val="20"/>
          <w:szCs w:val="20"/>
          <w:vertAlign w:val="superscript"/>
          <w:lang w:eastAsia="en-GB"/>
        </w:rPr>
        <w:footnoteReference w:id="47"/>
      </w:r>
      <w:r>
        <w:rPr>
          <w:rFonts w:cs="Times New Roman"/>
          <w:noProof/>
          <w:sz w:val="20"/>
          <w:szCs w:val="20"/>
          <w:lang w:eastAsia="en-GB"/>
        </w:rPr>
        <w:t>. This is due also to exceedances above the EU air quality standa</w:t>
      </w:r>
      <w:r>
        <w:rPr>
          <w:rFonts w:cs="Times New Roman"/>
          <w:noProof/>
          <w:sz w:val="20"/>
          <w:szCs w:val="20"/>
          <w:lang w:eastAsia="en-GB"/>
        </w:rPr>
        <w:t>rds such as shown in Figure 9</w:t>
      </w:r>
      <w:r>
        <w:rPr>
          <w:rFonts w:cs="Times New Roman"/>
          <w:noProof/>
          <w:sz w:val="20"/>
          <w:szCs w:val="20"/>
          <w:vertAlign w:val="superscript"/>
          <w:lang w:eastAsia="en-GB"/>
        </w:rPr>
        <w:footnoteReference w:id="48"/>
      </w:r>
      <w:r>
        <w:rPr>
          <w:rFonts w:cs="Times New Roman"/>
          <w:noProof/>
          <w:sz w:val="20"/>
          <w:szCs w:val="20"/>
          <w:lang w:eastAsia="en-GB"/>
        </w:rPr>
        <w:t xml:space="preserve">.  </w:t>
      </w:r>
    </w:p>
    <w:p w:rsidR="00B71C54" w:rsidRDefault="00465787">
      <w:pPr>
        <w:widowControl w:val="0"/>
        <w:spacing w:after="120" w:line="240" w:lineRule="auto"/>
        <w:jc w:val="both"/>
        <w:rPr>
          <w:rFonts w:cs="Times New Roman"/>
          <w:noProof/>
          <w:sz w:val="20"/>
          <w:szCs w:val="20"/>
        </w:rPr>
      </w:pPr>
      <w:r>
        <w:rPr>
          <w:rFonts w:cs="Times New Roman"/>
          <w:noProof/>
          <w:sz w:val="20"/>
          <w:szCs w:val="20"/>
          <w:lang w:eastAsia="en-GB"/>
        </w:rPr>
        <w:t>For 2014, exceedances above the EU air quality standards have been registered related to concentrations of nitrogen dioxide (NO</w:t>
      </w:r>
      <w:r>
        <w:rPr>
          <w:rFonts w:cs="Times New Roman"/>
          <w:noProof/>
          <w:sz w:val="20"/>
          <w:szCs w:val="20"/>
          <w:vertAlign w:val="subscript"/>
          <w:lang w:eastAsia="en-GB"/>
        </w:rPr>
        <w:t>2</w:t>
      </w:r>
      <w:r>
        <w:rPr>
          <w:rFonts w:cs="Times New Roman"/>
          <w:noProof/>
          <w:sz w:val="20"/>
          <w:szCs w:val="20"/>
          <w:lang w:eastAsia="en-GB"/>
        </w:rPr>
        <w:t>) in 19 air quality zones and related to particulate matter (PM</w:t>
      </w:r>
      <w:r>
        <w:rPr>
          <w:rFonts w:cs="Times New Roman"/>
          <w:noProof/>
          <w:sz w:val="20"/>
          <w:szCs w:val="20"/>
          <w:vertAlign w:val="subscript"/>
          <w:lang w:eastAsia="en-GB"/>
        </w:rPr>
        <w:t>10</w:t>
      </w:r>
      <w:r>
        <w:rPr>
          <w:rFonts w:cs="Times New Roman"/>
          <w:noProof/>
          <w:sz w:val="20"/>
          <w:szCs w:val="20"/>
          <w:lang w:eastAsia="en-GB"/>
        </w:rPr>
        <w:t>) in 17 air quality zones. Fu</w:t>
      </w:r>
      <w:r>
        <w:rPr>
          <w:rFonts w:cs="Times New Roman"/>
          <w:noProof/>
          <w:sz w:val="20"/>
          <w:szCs w:val="20"/>
          <w:lang w:eastAsia="en-GB"/>
        </w:rPr>
        <w:t>rthermore, one air quality zone have indicated exceedances regarding fine particulate matter (PM</w:t>
      </w:r>
      <w:r>
        <w:rPr>
          <w:rFonts w:cs="Times New Roman"/>
          <w:noProof/>
          <w:sz w:val="20"/>
          <w:szCs w:val="20"/>
          <w:vertAlign w:val="subscript"/>
          <w:lang w:eastAsia="en-GB"/>
        </w:rPr>
        <w:t>2.5</w:t>
      </w:r>
      <w:r>
        <w:rPr>
          <w:rFonts w:cs="Times New Roman"/>
          <w:noProof/>
          <w:sz w:val="20"/>
          <w:szCs w:val="20"/>
          <w:lang w:eastAsia="en-GB"/>
        </w:rPr>
        <w:t>), for which the limit value has become binding only in 2015. Target values are also exceeded for ozone concentrations in several air quality zones</w:t>
      </w:r>
      <w:r>
        <w:rPr>
          <w:rFonts w:cs="Times New Roman"/>
          <w:noProof/>
          <w:sz w:val="20"/>
          <w:szCs w:val="20"/>
          <w:vertAlign w:val="superscript"/>
          <w:lang w:eastAsia="en-GB"/>
        </w:rPr>
        <w:footnoteReference w:id="49"/>
      </w:r>
      <w:r>
        <w:rPr>
          <w:rFonts w:cs="Times New Roman"/>
          <w:noProof/>
          <w:sz w:val="20"/>
          <w:szCs w:val="20"/>
          <w:lang w:eastAsia="en-GB"/>
        </w:rPr>
        <w:t>.</w:t>
      </w:r>
    </w:p>
    <w:p w:rsidR="00B71C54" w:rsidRDefault="00465787">
      <w:pPr>
        <w:widowControl w:val="0"/>
        <w:spacing w:after="120" w:line="240" w:lineRule="auto"/>
        <w:jc w:val="both"/>
        <w:rPr>
          <w:rFonts w:cs="Times New Roman"/>
          <w:noProof/>
          <w:sz w:val="20"/>
          <w:szCs w:val="20"/>
          <w:lang w:eastAsia="en-GB"/>
        </w:rPr>
      </w:pPr>
      <w:r>
        <w:rPr>
          <w:rFonts w:cs="Times New Roman"/>
          <w:noProof/>
          <w:sz w:val="20"/>
          <w:szCs w:val="20"/>
          <w:lang w:eastAsia="en-GB"/>
        </w:rPr>
        <w:t>The per</w:t>
      </w:r>
      <w:r>
        <w:rPr>
          <w:rFonts w:cs="Times New Roman"/>
          <w:noProof/>
          <w:sz w:val="20"/>
          <w:szCs w:val="20"/>
          <w:lang w:eastAsia="en-GB"/>
        </w:rPr>
        <w:t>sistent breaches of air quality requirements (for PM</w:t>
      </w:r>
      <w:r>
        <w:rPr>
          <w:rFonts w:cs="Times New Roman"/>
          <w:noProof/>
          <w:sz w:val="20"/>
          <w:szCs w:val="20"/>
          <w:vertAlign w:val="subscript"/>
          <w:lang w:eastAsia="en-GB"/>
        </w:rPr>
        <w:t>10</w:t>
      </w:r>
      <w:r>
        <w:rPr>
          <w:rFonts w:cs="Times New Roman"/>
          <w:noProof/>
          <w:sz w:val="20"/>
          <w:szCs w:val="20"/>
          <w:lang w:eastAsia="en-GB"/>
        </w:rPr>
        <w:t xml:space="preserve"> and NO</w:t>
      </w:r>
      <w:r>
        <w:rPr>
          <w:rFonts w:cs="Times New Roman"/>
          <w:noProof/>
          <w:sz w:val="20"/>
          <w:szCs w:val="20"/>
          <w:vertAlign w:val="subscript"/>
          <w:lang w:eastAsia="en-GB"/>
        </w:rPr>
        <w:t>2</w:t>
      </w:r>
      <w:r>
        <w:rPr>
          <w:rFonts w:cs="Times New Roman"/>
          <w:noProof/>
          <w:sz w:val="20"/>
          <w:szCs w:val="20"/>
          <w:lang w:eastAsia="en-GB"/>
        </w:rPr>
        <w:t>), which have severe negative effects on health and environment, are being followed up by the European Commission through infringement procedures covering all the Member States concerned, includ</w:t>
      </w:r>
      <w:r>
        <w:rPr>
          <w:rFonts w:cs="Times New Roman"/>
          <w:noProof/>
          <w:sz w:val="20"/>
          <w:szCs w:val="20"/>
          <w:lang w:eastAsia="en-GB"/>
        </w:rPr>
        <w:t xml:space="preserve">ing France. The aim is that adequate measures are put in place to bring all zones into compliance. </w:t>
      </w:r>
    </w:p>
    <w:p w:rsidR="00B71C54" w:rsidRDefault="00465787">
      <w:pPr>
        <w:widowControl w:val="0"/>
        <w:spacing w:after="120" w:line="240" w:lineRule="auto"/>
        <w:jc w:val="both"/>
        <w:rPr>
          <w:rFonts w:cs="Times New Roman"/>
          <w:noProof/>
          <w:sz w:val="20"/>
          <w:szCs w:val="20"/>
          <w:lang w:eastAsia="en-GB"/>
        </w:rPr>
      </w:pPr>
      <w:r>
        <w:rPr>
          <w:rFonts w:cs="Times New Roman"/>
          <w:noProof/>
          <w:sz w:val="20"/>
          <w:szCs w:val="20"/>
          <w:lang w:eastAsia="en-GB"/>
        </w:rPr>
        <w:t>It is estimated that the external costs from air pollution in France are above EUR 37 billion/year (income adjusted, 2010), which include not only the intri</w:t>
      </w:r>
      <w:r>
        <w:rPr>
          <w:rFonts w:cs="Times New Roman"/>
          <w:noProof/>
          <w:sz w:val="20"/>
          <w:szCs w:val="20"/>
          <w:lang w:eastAsia="en-GB"/>
        </w:rPr>
        <w:t>nsic value of living a full health life but also direct costs to the economy. These direct economic costs relate to 12 million workdays lost each year due to sickness related to air pollution, with associated costs for employers of EUR 1,685 million/year (</w:t>
      </w:r>
      <w:r>
        <w:rPr>
          <w:rFonts w:cs="Times New Roman"/>
          <w:noProof/>
          <w:sz w:val="20"/>
          <w:szCs w:val="20"/>
          <w:lang w:eastAsia="en-GB"/>
        </w:rPr>
        <w:t>income adjusted, 2010), for healthcare of above EUR 143 million/year (income adjusted, 2010), and for agriculture (crop losses) of EUR 763 million/year (2010)</w:t>
      </w:r>
      <w:r>
        <w:rPr>
          <w:rFonts w:cs="Times New Roman"/>
          <w:noProof/>
          <w:sz w:val="20"/>
          <w:szCs w:val="20"/>
          <w:vertAlign w:val="superscript"/>
          <w:lang w:eastAsia="en-GB"/>
        </w:rPr>
        <w:footnoteReference w:id="50"/>
      </w:r>
      <w:r>
        <w:rPr>
          <w:rFonts w:cs="Times New Roman"/>
          <w:noProof/>
          <w:sz w:val="20"/>
          <w:szCs w:val="20"/>
          <w:lang w:eastAsia="en-GB"/>
        </w:rPr>
        <w:t>.</w:t>
      </w:r>
    </w:p>
    <w:p w:rsidR="00B71C54" w:rsidRDefault="00465787">
      <w:pPr>
        <w:widowControl w:val="0"/>
        <w:spacing w:after="120" w:line="240" w:lineRule="auto"/>
        <w:jc w:val="both"/>
        <w:rPr>
          <w:rFonts w:cs="Times New Roman"/>
          <w:noProof/>
          <w:sz w:val="20"/>
          <w:szCs w:val="20"/>
          <w:lang w:eastAsia="en-GB"/>
        </w:rPr>
      </w:pPr>
      <w:r>
        <w:rPr>
          <w:rFonts w:cs="Times New Roman"/>
          <w:noProof/>
          <w:sz w:val="20"/>
          <w:szCs w:val="20"/>
          <w:lang w:eastAsia="en-GB"/>
        </w:rPr>
        <w:t>In 2017, the city of Paris has unveiled plans to restrict traffic in the French capital and ped</w:t>
      </w:r>
      <w:r>
        <w:rPr>
          <w:rFonts w:cs="Times New Roman"/>
          <w:noProof/>
          <w:sz w:val="20"/>
          <w:szCs w:val="20"/>
          <w:lang w:eastAsia="en-GB"/>
        </w:rPr>
        <w:t>estrianize the city centre in an attempt to halve the number of private cars on the roads.</w:t>
      </w:r>
    </w:p>
    <w:p w:rsidR="00B71C54" w:rsidRDefault="00465787">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B71C54" w:rsidRDefault="00465787">
      <w:pPr>
        <w:pStyle w:val="NoSpacing"/>
        <w:widowControl w:val="0"/>
        <w:rPr>
          <w:noProof/>
        </w:rPr>
      </w:pPr>
      <w:r>
        <w:rPr>
          <w:noProof/>
        </w:rPr>
        <w:t xml:space="preserve">Maintain downward emissions trends of air pollutants in order to achieve full compliance with currently applicable national emission ceilings and </w:t>
      </w:r>
      <w:r>
        <w:rPr>
          <w:noProof/>
        </w:rPr>
        <w:t>air quality limit values - and reduce adverse air pollution impacts on health, environment and economy.</w:t>
      </w:r>
    </w:p>
    <w:p w:rsidR="00B71C54" w:rsidRDefault="00465787">
      <w:pPr>
        <w:pStyle w:val="NoSpacing"/>
        <w:widowControl w:val="0"/>
        <w:rPr>
          <w:noProof/>
        </w:rPr>
      </w:pPr>
      <w:r>
        <w:rPr>
          <w:noProof/>
        </w:rPr>
        <w:t>Reduce nitrogen oxide (NO</w:t>
      </w:r>
      <w:r>
        <w:rPr>
          <w:noProof/>
          <w:vertAlign w:val="subscript"/>
        </w:rPr>
        <w:t>x</w:t>
      </w:r>
      <w:r>
        <w:rPr>
          <w:noProof/>
        </w:rPr>
        <w:t>) emissions to comply with currently applicable national emission ceilings</w:t>
      </w:r>
      <w:r>
        <w:rPr>
          <w:noProof/>
          <w:vertAlign w:val="superscript"/>
        </w:rPr>
        <w:footnoteReference w:id="51"/>
      </w:r>
      <w:r>
        <w:rPr>
          <w:noProof/>
        </w:rPr>
        <w:t xml:space="preserve"> and/or to reduce nitrogen dioxide (NO</w:t>
      </w:r>
      <w:r>
        <w:rPr>
          <w:noProof/>
          <w:vertAlign w:val="subscript"/>
        </w:rPr>
        <w:t>2</w:t>
      </w:r>
      <w:r>
        <w:rPr>
          <w:noProof/>
        </w:rPr>
        <w:t>) (and ozone</w:t>
      </w:r>
      <w:r>
        <w:rPr>
          <w:noProof/>
        </w:rPr>
        <w:t xml:space="preserve"> concentrations), inter alia, by reducing transport related emissions - in particular in urban areas.</w:t>
      </w:r>
    </w:p>
    <w:p w:rsidR="00B71C54" w:rsidRDefault="00465787">
      <w:pPr>
        <w:pStyle w:val="NoSpacing"/>
        <w:widowControl w:val="0"/>
        <w:spacing w:after="240"/>
        <w:rPr>
          <w:noProof/>
        </w:rPr>
      </w:pPr>
      <w:r>
        <w:rPr>
          <w:noProof/>
        </w:rPr>
        <w:t>Reduce PM</w:t>
      </w:r>
      <w:r>
        <w:rPr>
          <w:noProof/>
          <w:vertAlign w:val="subscript"/>
        </w:rPr>
        <w:t>10</w:t>
      </w:r>
      <w:r>
        <w:rPr>
          <w:noProof/>
        </w:rPr>
        <w:t xml:space="preserve"> emission and concentration, inter alia, by reducing emissions related to energy and heat generation using solid fuels, to transport and to agr</w:t>
      </w:r>
      <w:r>
        <w:rPr>
          <w:noProof/>
        </w:rPr>
        <w:t>iculture.</w:t>
      </w:r>
    </w:p>
    <w:p w:rsidR="00B71C54" w:rsidRDefault="00465787">
      <w:pPr>
        <w:widowControl w:val="0"/>
        <w:spacing w:after="120" w:line="240" w:lineRule="auto"/>
        <w:outlineLvl w:val="1"/>
        <w:rPr>
          <w:rFonts w:cs="Times New Roman"/>
          <w:b/>
          <w:noProof/>
          <w:color w:val="FF0000"/>
          <w:sz w:val="24"/>
          <w:szCs w:val="20"/>
        </w:rPr>
      </w:pPr>
      <w:bookmarkStart w:id="35" w:name="_Toc472694759"/>
      <w:r>
        <w:rPr>
          <w:rFonts w:cs="Times New Roman"/>
          <w:b/>
          <w:noProof/>
          <w:color w:val="1F497D" w:themeColor="text2"/>
          <w:sz w:val="24"/>
          <w:szCs w:val="20"/>
        </w:rPr>
        <w:t>Noise</w:t>
      </w:r>
      <w:bookmarkEnd w:id="35"/>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environmental noise.</w:t>
      </w:r>
    </w:p>
    <w:p w:rsidR="00B71C54" w:rsidRDefault="00465787">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2"/>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w:t>
      </w:r>
      <w:r>
        <w:rPr>
          <w:rFonts w:cs="Times New Roman"/>
          <w:noProof/>
          <w:sz w:val="20"/>
        </w:rPr>
        <w:t>action plans with a view to preventing and reducing environmental noise where necessary and to preserving the acoustic environment quality where it is good.</w:t>
      </w:r>
    </w:p>
    <w:p w:rsidR="00B71C54" w:rsidRDefault="00465787">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2BA7C934" wp14:editId="5EDE8FCE">
            <wp:extent cx="2980055" cy="1982781"/>
            <wp:effectExtent l="0" t="0" r="0" b="0"/>
            <wp:docPr id="32" name="Picture 32" descr="P:\ENV-E2\1. ENV IMPLEMENTATION REVIEW\EIR Data management\Pictures\LIFE pictures\Pictures_by_Country1\France\LIFE10_ENV_FR_000211_20121217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LIFE pictures\Pictures_by_Country1\France\LIFE10_ENV_FR_000211_20121217_01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80055" cy="1982781"/>
                    </a:xfrm>
                    <a:prstGeom prst="rect">
                      <a:avLst/>
                    </a:prstGeom>
                    <a:noFill/>
                    <a:ln>
                      <a:noFill/>
                    </a:ln>
                  </pic:spPr>
                </pic:pic>
              </a:graphicData>
            </a:graphic>
          </wp:inline>
        </w:drawing>
      </w:r>
    </w:p>
    <w:p w:rsidR="00B71C54" w:rsidRDefault="00465787">
      <w:pPr>
        <w:widowControl w:val="0"/>
        <w:spacing w:after="120" w:line="240" w:lineRule="auto"/>
        <w:jc w:val="both"/>
        <w:rPr>
          <w:rFonts w:cs="Calibri"/>
          <w:noProof/>
          <w:color w:val="1F497D"/>
          <w:szCs w:val="26"/>
        </w:rPr>
      </w:pPr>
      <w:r>
        <w:rPr>
          <w:rFonts w:cs="Times New Roman"/>
          <w:noProof/>
          <w:sz w:val="20"/>
        </w:rPr>
        <w:t>France's implementation of the Environmental Noise Directive</w:t>
      </w:r>
      <w:r>
        <w:rPr>
          <w:rFonts w:cs="Times New Roman"/>
          <w:noProof/>
          <w:sz w:val="20"/>
          <w:vertAlign w:val="superscript"/>
        </w:rPr>
        <w:footnoteReference w:id="53"/>
      </w:r>
      <w:r>
        <w:rPr>
          <w:rFonts w:cs="Times New Roman"/>
          <w:noProof/>
          <w:sz w:val="20"/>
        </w:rPr>
        <w:t xml:space="preserve"> is significantly delayed. There have been delays in developing strategic noise maps and action plans for noise management in both reporting rounds (for the reference years 2006 and 2011). </w:t>
      </w:r>
    </w:p>
    <w:p w:rsidR="00B71C54" w:rsidRDefault="00465787">
      <w:pPr>
        <w:widowControl w:val="0"/>
        <w:spacing w:after="120" w:line="240" w:lineRule="auto"/>
        <w:jc w:val="both"/>
        <w:rPr>
          <w:rFonts w:cs="Times New Roman"/>
          <w:noProof/>
          <w:sz w:val="20"/>
        </w:rPr>
      </w:pPr>
      <w:r>
        <w:rPr>
          <w:rFonts w:cs="Calibri"/>
          <w:noProof/>
          <w:color w:val="1F497D"/>
          <w:szCs w:val="26"/>
        </w:rPr>
        <w:t>Suggested action</w:t>
      </w:r>
    </w:p>
    <w:p w:rsidR="00B71C54" w:rsidRDefault="00465787">
      <w:pPr>
        <w:pStyle w:val="NoSpacing"/>
        <w:widowControl w:val="0"/>
        <w:spacing w:after="240"/>
        <w:rPr>
          <w:noProof/>
          <w:lang w:eastAsia="en-GB"/>
        </w:rPr>
      </w:pPr>
      <w:r>
        <w:rPr>
          <w:noProof/>
        </w:rPr>
        <w:t>Accelerate the completion of the missing noise ma</w:t>
      </w:r>
      <w:r>
        <w:rPr>
          <w:noProof/>
        </w:rPr>
        <w:t>ps and action plans.</w:t>
      </w:r>
    </w:p>
    <w:p w:rsidR="00B71C54" w:rsidRDefault="00465787">
      <w:pPr>
        <w:widowControl w:val="0"/>
        <w:spacing w:after="120" w:line="240" w:lineRule="auto"/>
        <w:outlineLvl w:val="1"/>
        <w:rPr>
          <w:rFonts w:cs="Times New Roman"/>
          <w:b/>
          <w:noProof/>
          <w:color w:val="1F497D" w:themeColor="text2"/>
          <w:sz w:val="24"/>
          <w:szCs w:val="20"/>
          <w:lang w:eastAsia="en-GB"/>
        </w:rPr>
      </w:pPr>
      <w:bookmarkStart w:id="36" w:name="_Toc454460685"/>
      <w:bookmarkStart w:id="37" w:name="_Toc472694760"/>
      <w:bookmarkEnd w:id="30"/>
      <w:r>
        <w:rPr>
          <w:rFonts w:cs="Times New Roman"/>
          <w:b/>
          <w:noProof/>
          <w:color w:val="1F497D" w:themeColor="text2"/>
          <w:sz w:val="24"/>
          <w:szCs w:val="20"/>
          <w:lang w:eastAsia="en-GB"/>
        </w:rPr>
        <w:t>Water quality and management</w:t>
      </w:r>
      <w:bookmarkEnd w:id="36"/>
      <w:bookmarkEnd w:id="37"/>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the impact of pressures on transitional, coastal and fresh waters (including surface and ground waters) is significantly reduced to achieve, maintain or enha</w:t>
      </w:r>
      <w:r>
        <w:rPr>
          <w:rFonts w:cs="Times New Roman"/>
          <w:noProof/>
          <w:color w:val="FFFFFF" w:themeColor="background1"/>
          <w:sz w:val="20"/>
        </w:rPr>
        <w:t>nce good status of water bodies, as defined by the Water Framework Directive; that citizens throughout the Union benefit from high standards for safe drinking and bathing water; and that the nutrient cycle (nitrogen and phosphorus) is managed in a more sus</w:t>
      </w:r>
      <w:r>
        <w:rPr>
          <w:rFonts w:cs="Times New Roman"/>
          <w:noProof/>
          <w:color w:val="FFFFFF" w:themeColor="background1"/>
          <w:sz w:val="20"/>
        </w:rPr>
        <w:t>tainable and resource-efficient way.</w:t>
      </w:r>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B71C54" w:rsidRDefault="00465787">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overall objective of EU water policy and legislation is to ensure access to good quality water in su</w:t>
      </w:r>
      <w:r>
        <w:rPr>
          <w:rFonts w:eastAsia="Times New Roman" w:cs="Times New Roman"/>
          <w:noProof/>
          <w:color w:val="000000"/>
          <w:sz w:val="20"/>
          <w:szCs w:val="20"/>
        </w:rPr>
        <w:t xml:space="preserve">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54"/>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B71C54" w:rsidRDefault="00465787">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B71C54" w:rsidRDefault="00465787">
      <w:pPr>
        <w:widowControl w:val="0"/>
        <w:autoSpaceDE w:val="0"/>
        <w:spacing w:after="120" w:line="240" w:lineRule="auto"/>
        <w:jc w:val="both"/>
        <w:rPr>
          <w:rFonts w:cs="Times New Roman"/>
          <w:noProof/>
          <w:sz w:val="20"/>
        </w:rPr>
      </w:pPr>
      <w:r>
        <w:rPr>
          <w:rFonts w:cs="Times New Roman"/>
          <w:noProof/>
          <w:sz w:val="20"/>
        </w:rPr>
        <w:t>France has provided information to the Commission from its second generation of RBMPs. However, as the Commission has not yet been able to validate this information for all Member St</w:t>
      </w:r>
      <w:r>
        <w:rPr>
          <w:rFonts w:cs="Times New Roman"/>
          <w:noProof/>
          <w:sz w:val="20"/>
        </w:rPr>
        <w:t>ates, it is not reported here.</w:t>
      </w:r>
    </w:p>
    <w:p w:rsidR="00B71C54" w:rsidRDefault="00465787">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2010-2015 RBMPs France reported the status of 10,824 rivers, 439 lakes, 96 transitional, 164 coastal and 574 groundwater bodies. Only 44% of natural surface water bodies achieve a good or high ecological status</w:t>
      </w:r>
      <w:r>
        <w:rPr>
          <w:rFonts w:eastAsia="Times New Roman" w:cs="Times New Roman"/>
          <w:noProof/>
          <w:color w:val="000000"/>
          <w:sz w:val="20"/>
          <w:szCs w:val="20"/>
          <w:vertAlign w:val="superscript"/>
        </w:rPr>
        <w:footnoteReference w:id="55"/>
      </w:r>
      <w:r>
        <w:rPr>
          <w:rFonts w:eastAsia="Times New Roman" w:cs="Times New Roman"/>
          <w:noProof/>
          <w:color w:val="000000"/>
          <w:sz w:val="20"/>
          <w:szCs w:val="20"/>
        </w:rPr>
        <w:t xml:space="preserve"> and 13</w:t>
      </w:r>
      <w:r>
        <w:rPr>
          <w:rFonts w:eastAsia="Times New Roman" w:cs="Times New Roman"/>
          <w:noProof/>
          <w:color w:val="000000"/>
          <w:sz w:val="20"/>
          <w:szCs w:val="20"/>
        </w:rPr>
        <w:t>% of heavily modified or artificial water bodies achieve a good or high ecological potential (25% unknown). Only 44% of surface water bodies (33% unknown), 28% of heavily modified and artificial water bodies (47% unknown) and 59% of groundwater bodies achi</w:t>
      </w:r>
      <w:r>
        <w:rPr>
          <w:rFonts w:eastAsia="Times New Roman" w:cs="Times New Roman"/>
          <w:noProof/>
          <w:color w:val="000000"/>
          <w:sz w:val="20"/>
          <w:szCs w:val="20"/>
        </w:rPr>
        <w:t>eve good chemical status. 89% of groundwater bodies are in good quantitative status</w:t>
      </w:r>
      <w:r>
        <w:rPr>
          <w:rFonts w:eastAsia="Times New Roman" w:cs="Times New Roman"/>
          <w:noProof/>
          <w:color w:val="000000"/>
          <w:sz w:val="20"/>
          <w:szCs w:val="20"/>
          <w:vertAlign w:val="superscript"/>
        </w:rPr>
        <w:footnoteReference w:id="56"/>
      </w:r>
    </w:p>
    <w:p w:rsidR="00B71C54" w:rsidRDefault="00465787">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A number of pressures affect water bodies in France – in the case of surface waters, 39% are affected by diffuse source of pollution</w:t>
      </w:r>
      <w:r>
        <w:rPr>
          <w:rFonts w:eastAsia="Times New Roman" w:cs="Times New Roman"/>
          <w:noProof/>
          <w:color w:val="000000"/>
          <w:sz w:val="20"/>
          <w:szCs w:val="20"/>
          <w:vertAlign w:val="superscript"/>
        </w:rPr>
        <w:footnoteReference w:id="57"/>
      </w:r>
      <w:r>
        <w:rPr>
          <w:rFonts w:eastAsia="Times New Roman" w:cs="Times New Roman"/>
          <w:noProof/>
          <w:color w:val="000000"/>
          <w:sz w:val="20"/>
          <w:szCs w:val="20"/>
        </w:rPr>
        <w:t>, 30% by point sources of pollution, 2</w:t>
      </w:r>
      <w:r>
        <w:rPr>
          <w:rFonts w:eastAsia="Times New Roman" w:cs="Times New Roman"/>
          <w:noProof/>
          <w:color w:val="000000"/>
          <w:sz w:val="20"/>
          <w:szCs w:val="20"/>
        </w:rPr>
        <w:t>7% by river management, 25% by flow regulation and morphological changes and 20% by abstraction. There are significant regional differences and in some river basin districts these pressures affect much higher proportions of water bodies, e.g. diffuse sourc</w:t>
      </w:r>
      <w:r>
        <w:rPr>
          <w:rFonts w:eastAsia="Times New Roman" w:cs="Times New Roman"/>
          <w:noProof/>
          <w:color w:val="000000"/>
          <w:sz w:val="20"/>
          <w:szCs w:val="20"/>
        </w:rPr>
        <w:t>es affect 93% of surface water bodies in the Scheldt, Somme and coastal waters of the Channel and the North Sea district and 67% in the Seine and Normandy coastal waters district and water abstraction affects 38% of surface water bodies in the Loire, Britt</w:t>
      </w:r>
      <w:r>
        <w:rPr>
          <w:rFonts w:eastAsia="Times New Roman" w:cs="Times New Roman"/>
          <w:noProof/>
          <w:color w:val="000000"/>
          <w:sz w:val="20"/>
          <w:szCs w:val="20"/>
        </w:rPr>
        <w:t>any and Vendee coastal waters district.</w:t>
      </w:r>
    </w:p>
    <w:p w:rsidR="00B71C54" w:rsidRDefault="00465787">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There are certain deficiencies in French River Basin Management Plans concerning the assessment of status. Programmes of Measures are expected to result in significant improvement of the ecological status of natural </w:t>
      </w:r>
      <w:r>
        <w:rPr>
          <w:rFonts w:eastAsia="Times New Roman" w:cs="Times New Roman"/>
          <w:noProof/>
          <w:color w:val="000000"/>
          <w:sz w:val="20"/>
          <w:szCs w:val="20"/>
        </w:rPr>
        <w:t>surface water bodies as well as artificial and heavily modified bodies</w:t>
      </w:r>
      <w:r>
        <w:rPr>
          <w:rFonts w:eastAsia="Times New Roman" w:cs="Times New Roman"/>
          <w:noProof/>
          <w:color w:val="000000"/>
          <w:sz w:val="20"/>
          <w:szCs w:val="20"/>
          <w:vertAlign w:val="superscript"/>
        </w:rPr>
        <w:footnoteReference w:id="58"/>
      </w:r>
      <w:r>
        <w:rPr>
          <w:rFonts w:eastAsia="Times New Roman" w:cs="Times New Roman"/>
          <w:noProof/>
          <w:color w:val="000000"/>
          <w:sz w:val="20"/>
          <w:szCs w:val="20"/>
        </w:rPr>
        <w:t xml:space="preserve"> – by 21% and 27% respectively and in improvement of chemical status by 8% and 3% respectively. The chemical status</w:t>
      </w:r>
      <w:r>
        <w:rPr>
          <w:rFonts w:eastAsia="Times New Roman" w:cs="Times New Roman"/>
          <w:noProof/>
          <w:color w:val="000000"/>
          <w:sz w:val="20"/>
          <w:szCs w:val="20"/>
          <w:vertAlign w:val="superscript"/>
        </w:rPr>
        <w:footnoteReference w:id="59"/>
      </w:r>
      <w:r>
        <w:rPr>
          <w:rFonts w:eastAsia="Times New Roman" w:cs="Times New Roman"/>
          <w:noProof/>
          <w:color w:val="000000"/>
          <w:sz w:val="20"/>
          <w:szCs w:val="20"/>
        </w:rPr>
        <w:t xml:space="preserve"> of groundwater is expected to improve by 5% and the quantitative sta</w:t>
      </w:r>
      <w:r>
        <w:rPr>
          <w:rFonts w:eastAsia="Times New Roman" w:cs="Times New Roman"/>
          <w:noProof/>
          <w:color w:val="000000"/>
          <w:sz w:val="20"/>
          <w:szCs w:val="20"/>
        </w:rPr>
        <w:t xml:space="preserve">tus by 6%. </w:t>
      </w:r>
    </w:p>
    <w:p w:rsidR="00B71C54" w:rsidRDefault="00465787">
      <w:pPr>
        <w:widowControl w:val="0"/>
        <w:spacing w:after="120" w:line="240" w:lineRule="auto"/>
        <w:jc w:val="both"/>
        <w:rPr>
          <w:rFonts w:cs="Times New Roman"/>
          <w:noProof/>
          <w:sz w:val="20"/>
        </w:rPr>
      </w:pPr>
      <w:r>
        <w:rPr>
          <w:rFonts w:cs="Times New Roman"/>
          <w:noProof/>
          <w:sz w:val="20"/>
        </w:rPr>
        <w:t>Diffuse pollution from agriculture is the most widespread significant pressure on water bodies (affecting 39% of water bodies at national level, much more in some river basins), resulting in eutrophication and increased costs of water treatment</w:t>
      </w:r>
      <w:r>
        <w:rPr>
          <w:rFonts w:cs="Times New Roman"/>
          <w:noProof/>
          <w:sz w:val="20"/>
        </w:rPr>
        <w:t>. The current system of water charging and nitrogen/pesticide taxation provides little incentive to improve farming practices. Enhanced measures should be taken to more effectively tackle pollution by nutrients (nitrogen and phosphorus) with full considera</w:t>
      </w:r>
      <w:r>
        <w:rPr>
          <w:rFonts w:cs="Times New Roman"/>
          <w:noProof/>
          <w:sz w:val="20"/>
        </w:rPr>
        <w:t>tion for the basin-wide impacts and ensuring consistency in actions under the WFD, Nitrates Directive and the CAP.</w:t>
      </w:r>
    </w:p>
    <w:p w:rsidR="00B71C54" w:rsidRDefault="00465787">
      <w:pPr>
        <w:widowControl w:val="0"/>
        <w:spacing w:before="40" w:after="80" w:line="240" w:lineRule="auto"/>
        <w:jc w:val="both"/>
        <w:rPr>
          <w:rFonts w:cs="Times New Roman"/>
          <w:noProof/>
          <w:sz w:val="20"/>
        </w:rPr>
      </w:pPr>
      <w:r>
        <w:rPr>
          <w:rFonts w:cs="Times New Roman"/>
          <w:noProof/>
          <w:sz w:val="20"/>
        </w:rPr>
        <w:t>In the case of pesticides, measured concentrations across the country are generally low. But pesticides are present in a large number of aqua</w:t>
      </w:r>
      <w:r>
        <w:rPr>
          <w:rFonts w:cs="Times New Roman"/>
          <w:noProof/>
          <w:sz w:val="20"/>
        </w:rPr>
        <w:t>tic ecosystems. In 2013, pesticides were found in 92% of monitoring points of surface water bodies, with different pesticides being often reported for one monitoring station. Around 30% of all monitoring points of surface water bodies showed a sum of pesti</w:t>
      </w:r>
      <w:r>
        <w:rPr>
          <w:rFonts w:cs="Times New Roman"/>
          <w:noProof/>
          <w:sz w:val="20"/>
        </w:rPr>
        <w:t>cide concentration higher than 0.5 μg/l (annual average).</w:t>
      </w:r>
    </w:p>
    <w:p w:rsidR="00B71C54" w:rsidRDefault="00465787">
      <w:pPr>
        <w:widowControl w:val="0"/>
        <w:spacing w:after="120" w:line="240" w:lineRule="auto"/>
        <w:jc w:val="both"/>
        <w:rPr>
          <w:rFonts w:cs="Times New Roman"/>
          <w:noProof/>
          <w:sz w:val="20"/>
        </w:rPr>
      </w:pPr>
      <w:r>
        <w:rPr>
          <w:rFonts w:cs="Times New Roman"/>
          <w:noProof/>
          <w:sz w:val="20"/>
        </w:rPr>
        <w:t>Some progress has been made in addressing water pollution by nitrates from agricultural sources and eutrophication but nutrient pollution remains a challenge especially in area with intensive animal</w:t>
      </w:r>
      <w:r>
        <w:rPr>
          <w:rFonts w:cs="Times New Roman"/>
          <w:noProof/>
          <w:sz w:val="20"/>
        </w:rPr>
        <w:t xml:space="preserve"> rearing (e.g. Loire Bretagne basin) and intensive arable farming (e.g. Parisian basin).</w:t>
      </w:r>
    </w:p>
    <w:p w:rsidR="00B71C54" w:rsidRDefault="00465787">
      <w:pPr>
        <w:widowControl w:val="0"/>
        <w:spacing w:after="120" w:line="240" w:lineRule="auto"/>
        <w:jc w:val="both"/>
        <w:rPr>
          <w:rFonts w:cs="Times New Roman"/>
          <w:noProof/>
          <w:sz w:val="20"/>
        </w:rPr>
      </w:pPr>
      <w:r>
        <w:rPr>
          <w:rFonts w:cs="Times New Roman"/>
          <w:noProof/>
          <w:sz w:val="20"/>
        </w:rPr>
        <w:t>Following two recent court rulings from the ECJ</w:t>
      </w:r>
      <w:r>
        <w:rPr>
          <w:rFonts w:cs="Times New Roman"/>
          <w:noProof/>
          <w:sz w:val="20"/>
          <w:vertAlign w:val="superscript"/>
        </w:rPr>
        <w:footnoteReference w:id="60"/>
      </w:r>
      <w:r>
        <w:rPr>
          <w:rFonts w:cs="Times New Roman"/>
          <w:noProof/>
          <w:sz w:val="20"/>
        </w:rPr>
        <w:t xml:space="preserve"> on the implementation of the Nitrates Directive, France is revising its legal framework and has announced the extensio</w:t>
      </w:r>
      <w:r>
        <w:rPr>
          <w:rFonts w:cs="Times New Roman"/>
          <w:noProof/>
          <w:sz w:val="20"/>
        </w:rPr>
        <w:t>n of the areas designated as vulnerable to nitrates pollution and the reinforcement of the measures in the Action Programmes.  A sound and effective legal framework is a necessary step towards water quality objective and the challenge of further developmen</w:t>
      </w:r>
      <w:r>
        <w:rPr>
          <w:rFonts w:cs="Times New Roman"/>
          <w:noProof/>
          <w:sz w:val="20"/>
        </w:rPr>
        <w:t xml:space="preserve">ts in agricultural pressures.  </w:t>
      </w:r>
    </w:p>
    <w:p w:rsidR="00B71C54" w:rsidRDefault="00465787">
      <w:pPr>
        <w:widowControl w:val="0"/>
        <w:spacing w:after="120" w:line="240" w:lineRule="auto"/>
        <w:jc w:val="both"/>
        <w:rPr>
          <w:rFonts w:cs="Times New Roman"/>
          <w:noProof/>
          <w:sz w:val="20"/>
        </w:rPr>
      </w:pPr>
      <w:r>
        <w:rPr>
          <w:rFonts w:cs="Times New Roman"/>
          <w:noProof/>
          <w:sz w:val="20"/>
          <w:szCs w:val="20"/>
          <w:lang w:val="en-US"/>
        </w:rPr>
        <w:t>As regards drinking water, France reaches very high compliance rates of 99-100 % for microbiological, chemical and indicator parameters laid down in the Drinking Water Directive</w:t>
      </w:r>
      <w:r>
        <w:rPr>
          <w:rFonts w:cs="Times New Roman"/>
          <w:noProof/>
          <w:sz w:val="20"/>
          <w:szCs w:val="20"/>
          <w:vertAlign w:val="superscript"/>
          <w:lang w:val="en-US"/>
        </w:rPr>
        <w:footnoteReference w:id="61"/>
      </w:r>
      <w:r>
        <w:rPr>
          <w:rFonts w:cs="Times New Roman"/>
          <w:noProof/>
          <w:sz w:val="20"/>
          <w:szCs w:val="20"/>
          <w:lang w:val="en-US"/>
        </w:rPr>
        <w:t>.</w:t>
      </w:r>
    </w:p>
    <w:p w:rsidR="00B71C54" w:rsidRDefault="00465787">
      <w:pPr>
        <w:widowControl w:val="0"/>
        <w:spacing w:after="120" w:line="240" w:lineRule="auto"/>
        <w:jc w:val="both"/>
        <w:rPr>
          <w:rFonts w:cs="Times New Roman"/>
          <w:noProof/>
          <w:sz w:val="20"/>
        </w:rPr>
      </w:pPr>
      <w:r>
        <w:rPr>
          <w:rFonts w:cs="Times New Roman"/>
          <w:noProof/>
          <w:sz w:val="20"/>
        </w:rPr>
        <w:t>As shown in Figure 10, in 2015, in France, o</w:t>
      </w:r>
      <w:r>
        <w:rPr>
          <w:rFonts w:cs="Times New Roman"/>
          <w:noProof/>
          <w:sz w:val="20"/>
        </w:rPr>
        <w:t xml:space="preserve">ut of 3,355 </w:t>
      </w:r>
      <w:r>
        <w:rPr>
          <w:rFonts w:cs="Times New Roman"/>
          <w:noProof/>
          <w:sz w:val="20"/>
          <w:lang w:val="en-US"/>
        </w:rPr>
        <w:t>bathing waters, 76.0% were of excellent quality, 15.1 % of good quality, 4.2 % of sufficient quality. 95 bathing waters were of poor quality or non-compliant while it was not possible to assess the remaining 63 bathing waters.</w:t>
      </w:r>
      <w:r>
        <w:rPr>
          <w:rFonts w:cs="Times New Roman"/>
          <w:noProof/>
          <w:sz w:val="20"/>
          <w:vertAlign w:val="superscript"/>
          <w:lang w:val="en-US"/>
        </w:rPr>
        <w:footnoteReference w:id="62"/>
      </w:r>
      <w:r>
        <w:rPr>
          <w:rFonts w:cs="Times New Roman"/>
          <w:noProof/>
          <w:sz w:val="20"/>
          <w:lang w:val="en-US"/>
        </w:rPr>
        <w:t xml:space="preserve"> </w:t>
      </w:r>
      <w:r>
        <w:rPr>
          <w:rFonts w:cs="Times New Roman"/>
          <w:noProof/>
          <w:sz w:val="20"/>
        </w:rPr>
        <w:t>France is one of</w:t>
      </w:r>
      <w:r>
        <w:rPr>
          <w:rFonts w:cs="Times New Roman"/>
          <w:noProof/>
          <w:sz w:val="20"/>
        </w:rPr>
        <w:t xml:space="preserve"> the countries that have bathing waters in rivers where it is more difficult to maintain the good and excellent quality.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B71C54">
        <w:tc>
          <w:tcPr>
            <w:tcW w:w="4806" w:type="dxa"/>
          </w:tcPr>
          <w:p w:rsidR="00B71C54" w:rsidRDefault="00465787">
            <w:pPr>
              <w:widowControl w:val="0"/>
              <w:spacing w:after="120"/>
              <w:jc w:val="both"/>
              <w:rPr>
                <w:b/>
                <w:bCs/>
                <w:noProof/>
                <w:color w:val="1F497D" w:themeColor="text2"/>
              </w:rPr>
            </w:pPr>
            <w:r>
              <w:rPr>
                <w:b/>
                <w:bCs/>
                <w:noProof/>
                <w:color w:val="1F497D" w:themeColor="text2"/>
                <w:sz w:val="20"/>
              </w:rPr>
              <w:t>Figure 10: Bathing water quality 2012 – 2015</w:t>
            </w:r>
            <w:r>
              <w:rPr>
                <w:b/>
                <w:bCs/>
                <w:noProof/>
                <w:color w:val="1F497D" w:themeColor="text2"/>
                <w:sz w:val="20"/>
                <w:vertAlign w:val="superscript"/>
              </w:rPr>
              <w:footnoteReference w:id="63"/>
            </w:r>
          </w:p>
        </w:tc>
      </w:tr>
      <w:tr w:rsidR="00B71C54">
        <w:tc>
          <w:tcPr>
            <w:tcW w:w="4806" w:type="dxa"/>
          </w:tcPr>
          <w:p w:rsidR="00B71C54" w:rsidRDefault="00465787">
            <w:pPr>
              <w:widowControl w:val="0"/>
              <w:spacing w:after="120"/>
              <w:jc w:val="both"/>
              <w:rPr>
                <w:noProof/>
              </w:rPr>
            </w:pPr>
            <w:r>
              <w:rPr>
                <w:noProof/>
                <w:lang w:eastAsia="en-GB"/>
              </w:rPr>
              <w:drawing>
                <wp:inline distT="0" distB="0" distL="0" distR="0" wp14:anchorId="1B3FA95B" wp14:editId="7450C187">
                  <wp:extent cx="2795155" cy="2396299"/>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1778" cy="2401977"/>
                          </a:xfrm>
                          <a:prstGeom prst="rect">
                            <a:avLst/>
                          </a:prstGeom>
                          <a:noFill/>
                        </pic:spPr>
                      </pic:pic>
                    </a:graphicData>
                  </a:graphic>
                </wp:inline>
              </w:drawing>
            </w:r>
          </w:p>
        </w:tc>
      </w:tr>
    </w:tbl>
    <w:p w:rsidR="00B71C54" w:rsidRDefault="00465787">
      <w:pPr>
        <w:widowControl w:val="0"/>
        <w:spacing w:after="120" w:line="240" w:lineRule="auto"/>
        <w:jc w:val="both"/>
        <w:rPr>
          <w:rFonts w:cs="Times New Roman"/>
          <w:noProof/>
          <w:sz w:val="20"/>
        </w:rPr>
      </w:pPr>
      <w:r>
        <w:rPr>
          <w:rFonts w:cs="Times New Roman"/>
          <w:noProof/>
          <w:sz w:val="20"/>
        </w:rPr>
        <w:t xml:space="preserve">The implementation of the Urban Waste Water Treatment Directive is overall </w:t>
      </w:r>
      <w:r>
        <w:rPr>
          <w:rFonts w:cs="Times New Roman"/>
          <w:noProof/>
          <w:sz w:val="20"/>
        </w:rPr>
        <w:t xml:space="preserve">satisfactory in France. In 2012, in France, 100% of the waste water load was connected to a collecting system. Thus, 100% of the load was compliant in accordance with Article 3 of the Directive. 99.5% of the load collected is entering the treatment plants </w:t>
      </w:r>
      <w:r>
        <w:rPr>
          <w:rFonts w:cs="Times New Roman"/>
          <w:noProof/>
          <w:sz w:val="20"/>
        </w:rPr>
        <w:t>and 87.6% of this load was correctly treated as regards the secondary treatment requirement. As regards the more stringent treatment that concerned 45.6% of the collected load, 98.6% of this load collected was correctly treated in accordance with Article 5</w:t>
      </w:r>
      <w:r>
        <w:rPr>
          <w:rFonts w:cs="Times New Roman"/>
          <w:noProof/>
          <w:sz w:val="20"/>
        </w:rPr>
        <w:t xml:space="preserve"> of the Urban Waste Water Treatment Directive</w:t>
      </w:r>
      <w:r>
        <w:rPr>
          <w:rFonts w:cs="Times New Roman"/>
          <w:noProof/>
          <w:sz w:val="20"/>
          <w:vertAlign w:val="superscript"/>
        </w:rPr>
        <w:footnoteReference w:id="64"/>
      </w:r>
      <w:r>
        <w:rPr>
          <w:rFonts w:cs="Times New Roman"/>
          <w:noProof/>
          <w:sz w:val="20"/>
        </w:rPr>
        <w:t xml:space="preserve">. </w:t>
      </w:r>
      <w:r>
        <w:rPr>
          <w:rFonts w:cs="Times New Roman"/>
          <w:noProof/>
          <w:color w:val="00000A"/>
          <w:sz w:val="20"/>
        </w:rPr>
        <w:t xml:space="preserve">The Commission was following-up on a little number of non-compliances in specific (small and large) agglomerations. </w:t>
      </w:r>
      <w:r>
        <w:rPr>
          <w:rFonts w:cs="Times New Roman"/>
          <w:noProof/>
          <w:sz w:val="20"/>
        </w:rPr>
        <w:t xml:space="preserve"> The estimated investment needs (reported by France under Article 17 of the Urban Waste Wate</w:t>
      </w:r>
      <w:r>
        <w:rPr>
          <w:rFonts w:cs="Times New Roman"/>
          <w:noProof/>
          <w:sz w:val="20"/>
        </w:rPr>
        <w:t xml:space="preserve">r Treatment Directive) to reach full compliance with the Directive are of EUR 817 million </w:t>
      </w:r>
      <w:r>
        <w:rPr>
          <w:rFonts w:cs="Times New Roman"/>
          <w:noProof/>
          <w:sz w:val="20"/>
          <w:vertAlign w:val="superscript"/>
        </w:rPr>
        <w:footnoteReference w:id="65"/>
      </w:r>
      <w:r>
        <w:rPr>
          <w:rFonts w:cs="Times New Roman"/>
          <w:noProof/>
          <w:sz w:val="20"/>
        </w:rPr>
        <w:t>.</w:t>
      </w:r>
    </w:p>
    <w:p w:rsidR="00B71C54" w:rsidRDefault="00465787">
      <w:pPr>
        <w:widowControl w:val="0"/>
        <w:spacing w:after="120" w:line="240" w:lineRule="auto"/>
        <w:jc w:val="both"/>
        <w:rPr>
          <w:rFonts w:cs="Times New Roman"/>
          <w:noProof/>
          <w:sz w:val="20"/>
        </w:rPr>
      </w:pPr>
      <w:r>
        <w:rPr>
          <w:rFonts w:cs="Times New Roman"/>
          <w:noProof/>
          <w:sz w:val="20"/>
        </w:rPr>
        <w:t xml:space="preserve">France has established a transparent waste water policy (accessible </w:t>
      </w:r>
      <w:hyperlink r:id="rId85" w:history="1">
        <w:r>
          <w:rPr>
            <w:rFonts w:cs="Times New Roman"/>
            <w:noProof/>
            <w:color w:val="0000FF"/>
            <w:sz w:val="20"/>
            <w:u w:val="single"/>
          </w:rPr>
          <w:t>here),</w:t>
        </w:r>
      </w:hyperlink>
      <w:r>
        <w:rPr>
          <w:rFonts w:cs="Times New Roman"/>
          <w:noProof/>
          <w:sz w:val="20"/>
        </w:rPr>
        <w:t xml:space="preserve"> it has also establi</w:t>
      </w:r>
      <w:r>
        <w:rPr>
          <w:rFonts w:cs="Times New Roman"/>
          <w:noProof/>
          <w:sz w:val="20"/>
        </w:rPr>
        <w:t>shed a well-organised water governance system, based on river basin agencies with local representation and their own funding. The above ensures that decisions relative to water management are taken at a level close to the users, but also that all water use</w:t>
      </w:r>
      <w:r>
        <w:rPr>
          <w:rFonts w:cs="Times New Roman"/>
          <w:noProof/>
          <w:sz w:val="20"/>
        </w:rPr>
        <w:t>rs contribute to the cost of mitigation and restoration measures. Even if improvements are possible in terms of implementation, the system in place is, in many respects, a good example at European level.</w:t>
      </w:r>
    </w:p>
    <w:p w:rsidR="00B71C54" w:rsidRDefault="00465787">
      <w:pPr>
        <w:widowControl w:val="0"/>
        <w:spacing w:after="120" w:line="240" w:lineRule="auto"/>
        <w:jc w:val="both"/>
        <w:rPr>
          <w:rFonts w:cs="Times New Roman"/>
          <w:noProof/>
          <w:color w:val="00000A"/>
          <w:sz w:val="20"/>
        </w:rPr>
      </w:pPr>
      <w:bookmarkStart w:id="38" w:name="_Toc436815691"/>
      <w:bookmarkStart w:id="39" w:name="_Toc454460686"/>
      <w:r>
        <w:rPr>
          <w:rFonts w:cs="Times New Roman"/>
          <w:noProof/>
          <w:color w:val="00000A"/>
          <w:sz w:val="20"/>
        </w:rPr>
        <w:t>Flood risk areas have already been identified and ma</w:t>
      </w:r>
      <w:r>
        <w:rPr>
          <w:rFonts w:cs="Times New Roman"/>
          <w:noProof/>
          <w:color w:val="00000A"/>
          <w:sz w:val="20"/>
        </w:rPr>
        <w:t xml:space="preserve">pped in France.  France is hit regularly by flooding incidents with serious economic damage costs.  </w:t>
      </w:r>
    </w:p>
    <w:p w:rsidR="00B71C54" w:rsidRDefault="00465787">
      <w:pPr>
        <w:widowControl w:val="0"/>
        <w:spacing w:after="120" w:line="240" w:lineRule="auto"/>
        <w:jc w:val="both"/>
        <w:rPr>
          <w:rFonts w:cs="Times New Roman"/>
          <w:noProof/>
          <w:color w:val="00000A"/>
          <w:sz w:val="20"/>
        </w:rPr>
      </w:pPr>
      <w:r>
        <w:rPr>
          <w:rFonts w:cs="Times New Roman"/>
          <w:noProof/>
          <w:color w:val="00000A"/>
          <w:sz w:val="20"/>
        </w:rPr>
        <w:t xml:space="preserve">Management and prevention of floods is an area where potentially more economical nature-based solutions could improve resource efficiency through reducing </w:t>
      </w:r>
      <w:r>
        <w:rPr>
          <w:rFonts w:cs="Times New Roman"/>
          <w:noProof/>
          <w:color w:val="00000A"/>
          <w:sz w:val="20"/>
        </w:rPr>
        <w:t xml:space="preserve">costs and delivering multiple benefits.  </w:t>
      </w:r>
    </w:p>
    <w:p w:rsidR="00B71C54" w:rsidRDefault="00465787">
      <w:pPr>
        <w:widowControl w:val="0"/>
        <w:spacing w:after="120" w:line="240" w:lineRule="auto"/>
        <w:jc w:val="both"/>
        <w:rPr>
          <w:rFonts w:eastAsia="Times New Roman" w:cs="Times New Roman"/>
          <w:noProof/>
          <w:color w:val="000000"/>
          <w:sz w:val="20"/>
          <w:szCs w:val="20"/>
        </w:rPr>
      </w:pPr>
      <w:r>
        <w:rPr>
          <w:rFonts w:cs="Calibri"/>
          <w:noProof/>
          <w:color w:val="1F497D"/>
          <w:szCs w:val="26"/>
        </w:rPr>
        <w:t>Suggested action</w:t>
      </w:r>
    </w:p>
    <w:p w:rsidR="00B71C54" w:rsidRDefault="00465787">
      <w:pPr>
        <w:pStyle w:val="NoSpacing"/>
        <w:widowControl w:val="0"/>
        <w:rPr>
          <w:noProof/>
        </w:rPr>
      </w:pPr>
      <w:r>
        <w:rPr>
          <w:noProof/>
        </w:rPr>
        <w:t>Improve monitoring and assessment methods to resolve some uncertainties about the water status.</w:t>
      </w:r>
    </w:p>
    <w:p w:rsidR="00B71C54" w:rsidRDefault="00465787">
      <w:pPr>
        <w:pStyle w:val="NoSpacing"/>
        <w:widowControl w:val="0"/>
        <w:rPr>
          <w:noProof/>
        </w:rPr>
      </w:pPr>
      <w:r>
        <w:rPr>
          <w:noProof/>
        </w:rPr>
        <w:t xml:space="preserve">Use feedback from the first RBMP and Programmes of measures to improve effectiveness of measures.  </w:t>
      </w:r>
    </w:p>
    <w:p w:rsidR="00B71C54" w:rsidRDefault="00465787">
      <w:pPr>
        <w:pStyle w:val="NoSpacing"/>
        <w:widowControl w:val="0"/>
        <w:spacing w:after="240"/>
        <w:rPr>
          <w:noProof/>
          <w:lang w:eastAsia="en-GB"/>
        </w:rPr>
      </w:pPr>
      <w:r>
        <w:rPr>
          <w:noProof/>
        </w:rPr>
        <w:t>E</w:t>
      </w:r>
      <w:r>
        <w:rPr>
          <w:noProof/>
        </w:rPr>
        <w:t>nhance measures to tackle the diffuse pollution from agriculture (nitrates).</w:t>
      </w:r>
    </w:p>
    <w:p w:rsidR="00B71C54" w:rsidRDefault="00465787">
      <w:pPr>
        <w:widowControl w:val="0"/>
        <w:spacing w:after="120" w:line="240" w:lineRule="auto"/>
        <w:outlineLvl w:val="1"/>
        <w:rPr>
          <w:rFonts w:cs="Times New Roman"/>
          <w:b/>
          <w:noProof/>
          <w:color w:val="1F497D" w:themeColor="text2"/>
          <w:sz w:val="24"/>
          <w:szCs w:val="20"/>
          <w:lang w:eastAsia="en-GB"/>
        </w:rPr>
      </w:pPr>
      <w:bookmarkStart w:id="40" w:name="_Toc472694761"/>
      <w:r>
        <w:rPr>
          <w:rFonts w:cs="Times New Roman"/>
          <w:b/>
          <w:noProof/>
          <w:color w:val="1F497D" w:themeColor="text2"/>
          <w:sz w:val="24"/>
          <w:szCs w:val="20"/>
          <w:lang w:eastAsia="en-GB"/>
        </w:rPr>
        <w:t>Enhancing the sustainability of cities</w:t>
      </w:r>
      <w:bookmarkEnd w:id="38"/>
      <w:bookmarkEnd w:id="39"/>
      <w:bookmarkEnd w:id="40"/>
      <w:r>
        <w:rPr>
          <w:rFonts w:cs="Times New Roman"/>
          <w:b/>
          <w:noProof/>
          <w:color w:val="1F497D" w:themeColor="text2"/>
          <w:sz w:val="24"/>
          <w:szCs w:val="20"/>
          <w:lang w:eastAsia="en-GB"/>
        </w:rPr>
        <w:t xml:space="preserve"> </w:t>
      </w:r>
    </w:p>
    <w:p w:rsidR="00B71C54" w:rsidRDefault="0046578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B71C54" w:rsidRDefault="00465787">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B71C54" w:rsidRDefault="00465787">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66"/>
      </w:r>
      <w:r>
        <w:rPr>
          <w:rFonts w:cs="Times New Roman"/>
          <w:noProof/>
          <w:sz w:val="20"/>
        </w:rPr>
        <w:t xml:space="preserve"> The urban environment poses particular challenges for the environment and human health, whilst also providing opportunities and efficiency gains in the use of resources. </w:t>
      </w:r>
    </w:p>
    <w:p w:rsidR="00B71C54" w:rsidRDefault="00465787">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t>
      </w:r>
      <w:r>
        <w:rPr>
          <w:rFonts w:cs="Times New Roman"/>
          <w:noProof/>
          <w:sz w:val="20"/>
        </w:rPr>
        <w:t>w Urban Agenda for the EU (incorporating the Smart Cities initiative) to tackle these issues in a comprehensive way, including their connections with social and economic challenges. At the heart of this Urban Agenda will be the development of twelve partne</w:t>
      </w:r>
      <w:r>
        <w:rPr>
          <w:rFonts w:cs="Times New Roman"/>
          <w:noProof/>
          <w:sz w:val="20"/>
        </w:rPr>
        <w:t>rships on the identified urban challenges, including air quality and housing</w:t>
      </w:r>
      <w:r>
        <w:rPr>
          <w:rFonts w:cs="Times New Roman"/>
          <w:noProof/>
          <w:sz w:val="20"/>
          <w:vertAlign w:val="superscript"/>
        </w:rPr>
        <w:footnoteReference w:id="67"/>
      </w:r>
      <w:r>
        <w:rPr>
          <w:rFonts w:cs="Times New Roman"/>
          <w:noProof/>
          <w:sz w:val="20"/>
        </w:rPr>
        <w:t xml:space="preserve">. </w:t>
      </w:r>
    </w:p>
    <w:p w:rsidR="00B71C54" w:rsidRDefault="00465787">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68"/>
      </w:r>
      <w:r>
        <w:rPr>
          <w:rFonts w:cs="Times New Roman"/>
          <w:noProof/>
          <w:sz w:val="20"/>
        </w:rPr>
        <w:t>.</w:t>
      </w:r>
    </w:p>
    <w:p w:rsidR="00B71C54" w:rsidRDefault="00465787">
      <w:pPr>
        <w:widowControl w:val="0"/>
        <w:spacing w:after="120" w:line="240" w:lineRule="auto"/>
        <w:jc w:val="both"/>
        <w:rPr>
          <w:rFonts w:cs="Times New Roman"/>
          <w:noProof/>
          <w:sz w:val="20"/>
        </w:rPr>
      </w:pPr>
      <w:r>
        <w:rPr>
          <w:rFonts w:cs="Times New Roman"/>
          <w:noProof/>
          <w:sz w:val="20"/>
        </w:rPr>
        <w:t>The EU stimulates green cities through awards and funding, such as the EU Green Capital Award aimed at c</w:t>
      </w:r>
      <w:r>
        <w:rPr>
          <w:rFonts w:cs="Times New Roman"/>
          <w:noProof/>
          <w:sz w:val="20"/>
        </w:rPr>
        <w:t xml:space="preserve">ities with more than 100,000 inhabitants and the EU Green Leaf initiative aimed at cities and towns, with between 20,000 and 100,000 inhabitants. </w:t>
      </w:r>
    </w:p>
    <w:p w:rsidR="00B71C54" w:rsidRDefault="00465787">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591D3E18" wp14:editId="51E407B1">
            <wp:extent cx="2980055" cy="1986703"/>
            <wp:effectExtent l="0" t="0" r="0" b="0"/>
            <wp:docPr id="34" name="Picture 34" descr="C:\Users\schwemi\AppData\Local\Microsoft\Windows\Temporary Internet Files\Content.Word\iStock_9211356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emi\AppData\Local\Microsoft\Windows\Temporary Internet Files\Content.Word\iStock_92113565_LAR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80055" cy="1986703"/>
                    </a:xfrm>
                    <a:prstGeom prst="rect">
                      <a:avLst/>
                    </a:prstGeom>
                    <a:noFill/>
                    <a:ln>
                      <a:noFill/>
                    </a:ln>
                  </pic:spPr>
                </pic:pic>
              </a:graphicData>
            </a:graphic>
          </wp:inline>
        </w:drawing>
      </w:r>
      <w:r>
        <w:rPr>
          <w:rFonts w:cs="Times New Roman"/>
          <w:noProof/>
          <w:sz w:val="20"/>
        </w:rPr>
        <w:t>France has allocated EUR 881 million under the European Regional Development Fund (ERDF) to sustainable urba</w:t>
      </w:r>
      <w:r>
        <w:rPr>
          <w:rFonts w:cs="Times New Roman"/>
          <w:noProof/>
          <w:sz w:val="20"/>
        </w:rPr>
        <w:t xml:space="preserve">n development (SUD), on which the share dedicated to environmental issues is predominant. 250 cities have taken engagements on sustainable strategies for urban development. For example, Ile-de-France Region (which includes Greater Paris) will dedicate 20% </w:t>
      </w:r>
      <w:r>
        <w:rPr>
          <w:rFonts w:cs="Times New Roman"/>
          <w:noProof/>
          <w:sz w:val="20"/>
        </w:rPr>
        <w:t>of its whole operational program to SUD.</w:t>
      </w:r>
    </w:p>
    <w:p w:rsidR="00B71C54" w:rsidRDefault="00465787">
      <w:pPr>
        <w:widowControl w:val="0"/>
        <w:spacing w:after="120" w:line="240" w:lineRule="auto"/>
        <w:jc w:val="both"/>
        <w:rPr>
          <w:rFonts w:cs="Times New Roman"/>
          <w:noProof/>
          <w:sz w:val="20"/>
        </w:rPr>
      </w:pPr>
      <w:r>
        <w:rPr>
          <w:rFonts w:cs="Times New Roman"/>
          <w:noProof/>
          <w:sz w:val="20"/>
        </w:rPr>
        <w:t>In its Energy Transition act of 2015, France has put up an objective of zero pesticide in all the public spaces of urban areas in France. This will forbid the use of phytosanitary products by public authorities on t</w:t>
      </w:r>
      <w:r>
        <w:rPr>
          <w:rFonts w:cs="Times New Roman"/>
          <w:noProof/>
          <w:sz w:val="20"/>
        </w:rPr>
        <w:t>he road network and on public spaces from the 1 January 2017.</w:t>
      </w:r>
    </w:p>
    <w:p w:rsidR="00B71C54" w:rsidRDefault="00465787">
      <w:pPr>
        <w:widowControl w:val="0"/>
        <w:spacing w:after="120" w:line="240" w:lineRule="auto"/>
        <w:jc w:val="both"/>
        <w:rPr>
          <w:rFonts w:cs="Times New Roman"/>
          <w:noProof/>
          <w:sz w:val="20"/>
        </w:rPr>
      </w:pPr>
      <w:r>
        <w:rPr>
          <w:rFonts w:cs="Times New Roman"/>
          <w:noProof/>
          <w:sz w:val="20"/>
        </w:rPr>
        <w:t>In 2015, an Institute for sustainable city (Vivapolis) has been created composed of a network of actors putting in common disciplines, expertise, and means to bring systemic sustainable solution</w:t>
      </w:r>
      <w:r>
        <w:rPr>
          <w:rFonts w:cs="Times New Roman"/>
          <w:noProof/>
          <w:sz w:val="20"/>
        </w:rPr>
        <w:t>s for cities by combining different approaches and fostering interdisciplinary solutions among the industry and public actors. This integrated approach will also focus on research and training.</w:t>
      </w:r>
    </w:p>
    <w:p w:rsidR="00B71C54" w:rsidRDefault="00465787">
      <w:pPr>
        <w:widowControl w:val="0"/>
        <w:spacing w:after="120" w:line="240" w:lineRule="auto"/>
        <w:jc w:val="both"/>
        <w:rPr>
          <w:rFonts w:cs="Times New Roman"/>
          <w:noProof/>
          <w:sz w:val="20"/>
        </w:rPr>
      </w:pPr>
      <w:r>
        <w:rPr>
          <w:rFonts w:cs="Times New Roman"/>
          <w:noProof/>
          <w:sz w:val="20"/>
        </w:rPr>
        <w:t>France has put in place a label (EcoQuartier) that certifies t</w:t>
      </w:r>
      <w:r>
        <w:rPr>
          <w:rFonts w:cs="Times New Roman"/>
          <w:noProof/>
          <w:sz w:val="20"/>
        </w:rPr>
        <w:t>he sustainability of city areas by the quality of governance (associating citizens, representatives, NGOs with tools for guaranteeing quality follow-up of projects) and promoting responsible management of resources and adaptation to climate change. 49 area</w:t>
      </w:r>
      <w:r>
        <w:rPr>
          <w:rFonts w:cs="Times New Roman"/>
          <w:noProof/>
          <w:sz w:val="20"/>
        </w:rPr>
        <w:t>s have been labelled at this stage.</w:t>
      </w:r>
    </w:p>
    <w:p w:rsidR="00B71C54" w:rsidRDefault="00465787">
      <w:pPr>
        <w:widowControl w:val="0"/>
        <w:spacing w:after="120" w:line="240" w:lineRule="auto"/>
        <w:jc w:val="both"/>
        <w:rPr>
          <w:rFonts w:cs="Times New Roman"/>
          <w:noProof/>
          <w:sz w:val="20"/>
        </w:rPr>
      </w:pPr>
      <w:r>
        <w:rPr>
          <w:rFonts w:cs="Times New Roman"/>
          <w:noProof/>
          <w:sz w:val="20"/>
        </w:rPr>
        <w:t>As from 1st July 2016, Paris has forbidden circulation between 8am and 8pm to a large range of 4 wheeled motor vehicles entered into service before 1997 and 2 wheels vehicles entered into service before 1999; other diese</w:t>
      </w:r>
      <w:r>
        <w:rPr>
          <w:rFonts w:cs="Times New Roman"/>
          <w:noProof/>
          <w:sz w:val="20"/>
        </w:rPr>
        <w:t>l oriented restrictions will be implemented progressively by 2020.</w:t>
      </w:r>
    </w:p>
    <w:p w:rsidR="00B71C54" w:rsidRDefault="00465787">
      <w:pPr>
        <w:widowControl w:val="0"/>
        <w:spacing w:after="120" w:line="240" w:lineRule="auto"/>
        <w:outlineLvl w:val="1"/>
        <w:rPr>
          <w:rFonts w:cs="Times New Roman"/>
          <w:b/>
          <w:noProof/>
          <w:color w:val="1F497D" w:themeColor="text2"/>
          <w:sz w:val="24"/>
          <w:szCs w:val="20"/>
          <w:lang w:eastAsia="en-GB"/>
        </w:rPr>
      </w:pPr>
      <w:bookmarkStart w:id="41" w:name="_Toc454460687"/>
      <w:bookmarkStart w:id="42" w:name="_Toc472694762"/>
      <w:r>
        <w:rPr>
          <w:rFonts w:cs="Times New Roman"/>
          <w:b/>
          <w:noProof/>
          <w:color w:val="1F497D" w:themeColor="text2"/>
          <w:sz w:val="24"/>
          <w:szCs w:val="20"/>
          <w:lang w:eastAsia="en-GB"/>
        </w:rPr>
        <w:t>International agreements</w:t>
      </w:r>
      <w:bookmarkEnd w:id="41"/>
      <w:bookmarkEnd w:id="42"/>
      <w:r>
        <w:rPr>
          <w:rFonts w:cs="Times New Roman"/>
          <w:b/>
          <w:noProof/>
          <w:color w:val="1F497D" w:themeColor="text2"/>
          <w:sz w:val="24"/>
          <w:szCs w:val="20"/>
          <w:lang w:eastAsia="en-GB"/>
        </w:rPr>
        <w:t xml:space="preserve"> </w:t>
      </w:r>
    </w:p>
    <w:p w:rsidR="00B71C54" w:rsidRDefault="00465787">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w:t>
      </w:r>
      <w:r>
        <w:rPr>
          <w:rFonts w:cs="Times New Roman"/>
          <w:noProof/>
          <w:color w:val="FFFFFF" w:themeColor="background1"/>
          <w:sz w:val="20"/>
        </w:rPr>
        <w:t>lems.</w:t>
      </w:r>
    </w:p>
    <w:p w:rsidR="00B71C54" w:rsidRDefault="00465787">
      <w:pPr>
        <w:widowControl w:val="0"/>
        <w:spacing w:before="120" w:after="120" w:line="240" w:lineRule="auto"/>
        <w:jc w:val="both"/>
        <w:rPr>
          <w:rFonts w:cs="Times New Roman"/>
          <w:noProof/>
          <w:sz w:val="20"/>
        </w:rPr>
      </w:pPr>
      <w:r>
        <w:rPr>
          <w:rFonts w:cs="Times New Roman"/>
          <w:noProof/>
          <w:sz w:val="20"/>
        </w:rPr>
        <w:t>Most environmental problems have a transboundary nature and often a global scope and they can only be addressed effectively through international co-operation. International environmental agreements concluded by the Union are binding upon the institu</w:t>
      </w:r>
      <w:r>
        <w:rPr>
          <w:rFonts w:cs="Times New Roman"/>
          <w:noProof/>
          <w:sz w:val="20"/>
        </w:rPr>
        <w:t>tions of the Union and on its Member States. This requires the EU and the Member States to sign, ratify and effectively implement all relevant multilateral environmental agreements (MEAs) in a timely manner. This will also be an important contribution towa</w:t>
      </w:r>
      <w:r>
        <w:rPr>
          <w:rFonts w:cs="Times New Roman"/>
          <w:noProof/>
          <w:sz w:val="20"/>
        </w:rPr>
        <w:t>rds the achievement of the SDGs, which Member States committed to in 2015 and include many commitments contained already in legally binding agreements.</w:t>
      </w:r>
    </w:p>
    <w:p w:rsidR="00B71C54" w:rsidRDefault="00465787">
      <w:pPr>
        <w:widowControl w:val="0"/>
        <w:spacing w:before="120" w:after="120" w:line="240" w:lineRule="auto"/>
        <w:jc w:val="both"/>
        <w:rPr>
          <w:rFonts w:cs="Times New Roman"/>
          <w:noProof/>
          <w:sz w:val="20"/>
        </w:rPr>
      </w:pPr>
      <w:r>
        <w:rPr>
          <w:rFonts w:cs="Times New Roman"/>
          <w:noProof/>
          <w:sz w:val="20"/>
        </w:rPr>
        <w:t>The fact that some Member States did not sign and/or ratify a number of MEAs compromises environmental i</w:t>
      </w:r>
      <w:r>
        <w:rPr>
          <w:rFonts w:cs="Times New Roman"/>
          <w:noProof/>
          <w:sz w:val="20"/>
        </w:rPr>
        <w:t>mplementation, including within the Union, as well as the Union’s credibility in related negotiations and international meetings where supporting the participation of third countries to such agreements is an established EU policy objective. In agreements w</w:t>
      </w:r>
      <w:r>
        <w:rPr>
          <w:rFonts w:cs="Times New Roman"/>
          <w:noProof/>
          <w:sz w:val="20"/>
        </w:rPr>
        <w:t xml:space="preserve">here voting takes place it has a direct impact on the number of votes to be cast by the EU. </w:t>
      </w:r>
    </w:p>
    <w:p w:rsidR="00B71C54" w:rsidRDefault="00465787">
      <w:pPr>
        <w:widowControl w:val="0"/>
        <w:spacing w:after="120" w:line="240" w:lineRule="auto"/>
        <w:jc w:val="both"/>
        <w:rPr>
          <w:rFonts w:cs="Times New Roman"/>
          <w:noProof/>
          <w:sz w:val="20"/>
        </w:rPr>
      </w:pPr>
      <w:r>
        <w:rPr>
          <w:rFonts w:cs="Times New Roman"/>
          <w:noProof/>
          <w:sz w:val="20"/>
        </w:rPr>
        <w:t xml:space="preserve">France has signed and ratified almost all MEAs. It has signed but not yet ratified the Protocol on Strategic Environmental Assessment to the Espoo Convention and </w:t>
      </w:r>
      <w:r>
        <w:rPr>
          <w:rFonts w:cs="Times New Roman"/>
          <w:noProof/>
          <w:sz w:val="20"/>
        </w:rPr>
        <w:t>the Nagoya Protocol</w:t>
      </w:r>
      <w:r>
        <w:rPr>
          <w:rFonts w:cs="Times New Roman"/>
          <w:noProof/>
          <w:sz w:val="20"/>
          <w:vertAlign w:val="superscript"/>
        </w:rPr>
        <w:footnoteReference w:id="69"/>
      </w:r>
      <w:bookmarkStart w:id="43" w:name="_Toc433296176"/>
      <w:r>
        <w:rPr>
          <w:rFonts w:cs="Times New Roman"/>
          <w:noProof/>
          <w:sz w:val="20"/>
        </w:rPr>
        <w:t>.</w:t>
      </w:r>
    </w:p>
    <w:p w:rsidR="00B71C54" w:rsidRDefault="00465787">
      <w:pPr>
        <w:widowControl w:val="0"/>
        <w:spacing w:after="120" w:line="240" w:lineRule="auto"/>
        <w:jc w:val="both"/>
        <w:rPr>
          <w:rFonts w:cs="Times New Roman"/>
          <w:noProof/>
          <w:sz w:val="20"/>
        </w:rPr>
      </w:pPr>
      <w:r>
        <w:rPr>
          <w:rFonts w:cs="Times New Roman"/>
          <w:noProof/>
          <w:sz w:val="20"/>
        </w:rPr>
        <w:t>France, a diverse country in particular thanks to its overseas and Mediterranean area, has included a chapter on the Nagoya Protocol in its Biodiversity Act that has been adopted in July 2016. This chapter contains national access mea</w:t>
      </w:r>
      <w:r>
        <w:rPr>
          <w:rFonts w:cs="Times New Roman"/>
          <w:noProof/>
          <w:sz w:val="20"/>
        </w:rPr>
        <w:t>sures to French genetic resources and traditional knowledge, compliance measures with the Nagoya Protocol (implementation of the EU Regulation 511/2014) and an article allowing the Government to ratify the Nagoya Protocol.</w:t>
      </w:r>
    </w:p>
    <w:p w:rsidR="00B71C54" w:rsidRDefault="00B71C54">
      <w:pPr>
        <w:widowControl w:val="0"/>
        <w:spacing w:after="120" w:line="240" w:lineRule="auto"/>
        <w:jc w:val="both"/>
        <w:rPr>
          <w:rFonts w:eastAsiaTheme="majorEastAsia" w:cstheme="majorBidi"/>
          <w:b/>
          <w:bCs/>
          <w:noProof/>
          <w:color w:val="1F497D" w:themeColor="text2"/>
          <w:sz w:val="32"/>
          <w:szCs w:val="28"/>
        </w:rPr>
      </w:pPr>
    </w:p>
    <w:p w:rsidR="00B71C54" w:rsidRDefault="00B71C54">
      <w:pPr>
        <w:widowControl w:val="0"/>
        <w:spacing w:after="120" w:line="240" w:lineRule="auto"/>
        <w:jc w:val="both"/>
        <w:rPr>
          <w:rFonts w:eastAsiaTheme="majorEastAsia" w:cstheme="majorBidi"/>
          <w:b/>
          <w:bCs/>
          <w:noProof/>
          <w:color w:val="1F497D" w:themeColor="text2"/>
          <w:sz w:val="32"/>
          <w:szCs w:val="28"/>
        </w:rPr>
      </w:pPr>
    </w:p>
    <w:p w:rsidR="00B71C54" w:rsidRDefault="00B71C54">
      <w:pPr>
        <w:widowControl w:val="0"/>
        <w:spacing w:after="120" w:line="240" w:lineRule="auto"/>
        <w:jc w:val="both"/>
        <w:rPr>
          <w:rFonts w:eastAsiaTheme="majorEastAsia" w:cstheme="majorBidi"/>
          <w:b/>
          <w:bCs/>
          <w:noProof/>
          <w:color w:val="1F497D" w:themeColor="text2"/>
          <w:sz w:val="32"/>
          <w:szCs w:val="28"/>
        </w:rPr>
      </w:pPr>
    </w:p>
    <w:p w:rsidR="00B71C54" w:rsidRDefault="00B71C54">
      <w:pPr>
        <w:widowControl w:val="0"/>
        <w:spacing w:after="120" w:line="240" w:lineRule="auto"/>
        <w:jc w:val="both"/>
        <w:rPr>
          <w:rFonts w:eastAsiaTheme="majorEastAsia" w:cstheme="majorBidi"/>
          <w:b/>
          <w:bCs/>
          <w:noProof/>
          <w:color w:val="1F497D" w:themeColor="text2"/>
          <w:sz w:val="32"/>
          <w:szCs w:val="28"/>
        </w:rPr>
        <w:sectPr w:rsidR="00B71C54">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num="2" w:space="340"/>
          <w:docGrid w:linePitch="360"/>
        </w:sectPr>
      </w:pPr>
    </w:p>
    <w:p w:rsidR="00B71C54" w:rsidRDefault="00465787">
      <w:pPr>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br w:type="page"/>
      </w:r>
    </w:p>
    <w:p w:rsidR="00B71C54" w:rsidRDefault="00465787">
      <w:pPr>
        <w:widowControl w:val="0"/>
        <w:spacing w:after="240" w:line="240" w:lineRule="auto"/>
        <w:jc w:val="center"/>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t>Part II</w:t>
      </w:r>
      <w:bookmarkEnd w:id="43"/>
      <w:r>
        <w:rPr>
          <w:rFonts w:eastAsiaTheme="majorEastAsia" w:cstheme="majorBidi"/>
          <w:b/>
          <w:bCs/>
          <w:noProof/>
          <w:color w:val="1F497D" w:themeColor="text2"/>
          <w:sz w:val="32"/>
          <w:szCs w:val="28"/>
        </w:rPr>
        <w:t>: Enabling Framework: Implementation Tools</w:t>
      </w:r>
    </w:p>
    <w:p w:rsidR="00B71C54" w:rsidRDefault="00465787">
      <w:pPr>
        <w:widowControl w:val="0"/>
        <w:spacing w:line="240" w:lineRule="auto"/>
        <w:jc w:val="center"/>
        <w:outlineLvl w:val="0"/>
        <w:rPr>
          <w:rFonts w:eastAsiaTheme="majorEastAsia" w:cstheme="majorBidi"/>
          <w:b/>
          <w:bCs/>
          <w:noProof/>
          <w:color w:val="1F497D" w:themeColor="text2"/>
          <w:sz w:val="32"/>
          <w:szCs w:val="28"/>
        </w:rPr>
      </w:pPr>
      <w:bookmarkStart w:id="44" w:name="_Toc472694763"/>
      <w:r>
        <w:rPr>
          <w:rFonts w:eastAsiaTheme="majorEastAsia" w:cstheme="majorBidi"/>
          <w:b/>
          <w:bCs/>
          <w:noProof/>
          <w:color w:val="1F497D" w:themeColor="text2"/>
          <w:sz w:val="32"/>
          <w:szCs w:val="28"/>
        </w:rPr>
        <w:t>4. Market based instruments and investment</w:t>
      </w:r>
      <w:bookmarkEnd w:id="44"/>
    </w:p>
    <w:p w:rsidR="00B71C54" w:rsidRDefault="00B71C54">
      <w:pPr>
        <w:widowControl w:val="0"/>
        <w:spacing w:before="240" w:after="240" w:line="240" w:lineRule="auto"/>
        <w:outlineLvl w:val="0"/>
        <w:rPr>
          <w:rFonts w:eastAsiaTheme="majorEastAsia" w:cstheme="majorBidi"/>
          <w:b/>
          <w:bCs/>
          <w:noProof/>
          <w:color w:val="1F497D" w:themeColor="text2"/>
          <w:sz w:val="32"/>
          <w:szCs w:val="28"/>
        </w:rPr>
        <w:sectPr w:rsidR="00B71C54">
          <w:headerReference w:type="even" r:id="rId93"/>
          <w:headerReference w:type="default" r:id="rId94"/>
          <w:footerReference w:type="even" r:id="rId95"/>
          <w:footerReference w:type="default" r:id="rId96"/>
          <w:headerReference w:type="first" r:id="rId97"/>
          <w:footerReference w:type="first" r:id="rId98"/>
          <w:type w:val="continuous"/>
          <w:pgSz w:w="11906" w:h="16838"/>
          <w:pgMar w:top="1440" w:right="1080" w:bottom="1440" w:left="1080" w:header="708" w:footer="708" w:gutter="0"/>
          <w:cols w:space="566"/>
          <w:docGrid w:linePitch="360"/>
        </w:sectPr>
      </w:pPr>
    </w:p>
    <w:p w:rsidR="00B71C54" w:rsidRDefault="00465787">
      <w:pPr>
        <w:widowControl w:val="0"/>
        <w:spacing w:line="240" w:lineRule="auto"/>
        <w:outlineLvl w:val="0"/>
        <w:rPr>
          <w:rFonts w:cs="Times New Roman"/>
          <w:b/>
          <w:noProof/>
          <w:color w:val="1F497D" w:themeColor="text2"/>
          <w:sz w:val="24"/>
          <w:szCs w:val="20"/>
        </w:rPr>
      </w:pPr>
      <w:bookmarkStart w:id="45" w:name="_Toc472694764"/>
      <w:r>
        <w:rPr>
          <w:rFonts w:cs="Times New Roman"/>
          <w:b/>
          <w:noProof/>
          <w:color w:val="1F497D" w:themeColor="text2"/>
          <w:sz w:val="24"/>
          <w:szCs w:val="20"/>
        </w:rPr>
        <w:t>Green taxation and environmentally harmful subsidies</w:t>
      </w:r>
      <w:bookmarkEnd w:id="45"/>
      <w:r>
        <w:rPr>
          <w:rFonts w:cs="Times New Roman"/>
          <w:b/>
          <w:noProof/>
          <w:color w:val="1F497D" w:themeColor="text2"/>
          <w:sz w:val="24"/>
          <w:szCs w:val="20"/>
        </w:rPr>
        <w:t xml:space="preserve"> </w:t>
      </w:r>
    </w:p>
    <w:p w:rsidR="00B71C54" w:rsidRDefault="00465787">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instruments, such as taxation to </w:t>
      </w:r>
      <w:r>
        <w:rPr>
          <w:rFonts w:ascii="Calibri" w:eastAsia="Calibri" w:hAnsi="Calibri" w:cs="Times New Roman"/>
          <w:noProof/>
          <w:color w:val="FFFFFF"/>
          <w:sz w:val="20"/>
          <w:lang w:eastAsia="ar-SA"/>
        </w:rPr>
        <w:t>ensure that product prices better reflect environmental costs. The phasing out of environmentally harmful subsidies is monitored in the context of the European Semester and in national reform programmes submitted by Member States.</w:t>
      </w:r>
    </w:p>
    <w:p w:rsidR="00B71C54" w:rsidRDefault="00465787">
      <w:pPr>
        <w:widowControl w:val="0"/>
        <w:spacing w:after="120" w:line="240" w:lineRule="auto"/>
        <w:jc w:val="both"/>
        <w:rPr>
          <w:rFonts w:cs="Times New Roman"/>
          <w:noProof/>
          <w:sz w:val="20"/>
        </w:rPr>
      </w:pPr>
      <w:r>
        <w:rPr>
          <w:rFonts w:cs="Times New Roman"/>
          <w:noProof/>
          <w:sz w:val="20"/>
        </w:rPr>
        <w:t>Taxing pollution and reso</w:t>
      </w:r>
      <w:r>
        <w:rPr>
          <w:rFonts w:cs="Times New Roman"/>
          <w:noProof/>
          <w:sz w:val="20"/>
        </w:rPr>
        <w:t>urce use can generate increased revenue and bring important social and environmental benefits.</w:t>
      </w:r>
    </w:p>
    <w:p w:rsidR="00B71C54" w:rsidRDefault="00465787">
      <w:pPr>
        <w:widowControl w:val="0"/>
        <w:spacing w:after="120" w:line="240" w:lineRule="auto"/>
        <w:jc w:val="both"/>
        <w:rPr>
          <w:rFonts w:cs="Times New Roman"/>
          <w:noProof/>
          <w:sz w:val="20"/>
        </w:rPr>
      </w:pPr>
      <w:r>
        <w:rPr>
          <w:rFonts w:cs="Times New Roman"/>
          <w:noProof/>
          <w:sz w:val="20"/>
        </w:rPr>
        <w:t xml:space="preserve">In 2014, revenue from environmental taxes in France was equivalent to 2.05% of GDP. This has increased over the past decade almost matching the previous 11 year </w:t>
      </w:r>
      <w:r>
        <w:rPr>
          <w:rFonts w:cs="Times New Roman"/>
          <w:noProof/>
          <w:sz w:val="20"/>
        </w:rPr>
        <w:t>high of 2.06% in 2003. It is still below the EU average (2.46%). In the same year environmental tax revenues accounted for 4.47% of total revenues from taxes (excluding social-security contributions) (EU 28 average: 6.35%) as shown in Figure 11. The larges</w:t>
      </w:r>
      <w:r>
        <w:rPr>
          <w:rFonts w:cs="Times New Roman"/>
          <w:noProof/>
          <w:sz w:val="20"/>
        </w:rPr>
        <w:t>t proportion of environmental tax revenues were collected through taxes on energy, at 1.63% of GDP. This has risen slightly since 2012, but is still below the level for the EU-28. Transport taxes (excl. transport fuels) comprised 0.28% of GDP in the same y</w:t>
      </w:r>
      <w:r>
        <w:rPr>
          <w:rFonts w:cs="Times New Roman"/>
          <w:noProof/>
          <w:sz w:val="20"/>
        </w:rPr>
        <w:t>ear, again, well below the level for the EU-28. Taxes on pollution and resources made up 0.15% of GDP. This has stayed relatively constant over the past decade, and is slightly higher than the level for the EU-28.</w:t>
      </w:r>
    </w:p>
    <w:p w:rsidR="00B71C54" w:rsidRDefault="00465787">
      <w:pPr>
        <w:widowControl w:val="0"/>
        <w:spacing w:after="120" w:line="240" w:lineRule="auto"/>
        <w:jc w:val="both"/>
        <w:rPr>
          <w:rFonts w:cs="Times New Roman"/>
          <w:noProof/>
          <w:sz w:val="20"/>
        </w:rPr>
      </w:pPr>
      <w:r>
        <w:rPr>
          <w:rFonts w:cs="Times New Roman"/>
          <w:noProof/>
          <w:sz w:val="20"/>
        </w:rPr>
        <w:t>A 2016 study shows that there is considera</w:t>
      </w:r>
      <w:r>
        <w:rPr>
          <w:rFonts w:cs="Times New Roman"/>
          <w:noProof/>
          <w:sz w:val="20"/>
        </w:rPr>
        <w:t>ble potential for shifting taxes from labour to environmental taxes in France</w:t>
      </w:r>
      <w:r>
        <w:rPr>
          <w:rFonts w:cs="Times New Roman"/>
          <w:noProof/>
          <w:sz w:val="20"/>
          <w:vertAlign w:val="superscript"/>
        </w:rPr>
        <w:footnoteReference w:id="70"/>
      </w:r>
      <w:r>
        <w:rPr>
          <w:rFonts w:cs="Times New Roman"/>
          <w:noProof/>
          <w:sz w:val="20"/>
        </w:rPr>
        <w:t xml:space="preserve">. </w:t>
      </w:r>
      <w:r>
        <w:rPr>
          <w:iCs/>
          <w:noProof/>
        </w:rPr>
        <w:t>Under a good practice scenario</w:t>
      </w:r>
      <w:r>
        <w:rPr>
          <w:rStyle w:val="FootnoteReference"/>
          <w:iCs/>
          <w:noProof/>
        </w:rPr>
        <w:footnoteReference w:id="71"/>
      </w:r>
      <w:r>
        <w:rPr>
          <w:i/>
          <w:iCs/>
          <w:noProof/>
        </w:rPr>
        <w:t xml:space="preserve">, </w:t>
      </w:r>
      <w:r>
        <w:rPr>
          <w:iCs/>
          <w:noProof/>
        </w:rPr>
        <w:t>t</w:t>
      </w:r>
      <w:r>
        <w:rPr>
          <w:rFonts w:cs="Times New Roman"/>
          <w:noProof/>
          <w:sz w:val="20"/>
        </w:rPr>
        <w:t xml:space="preserve">he amount could be as much as EUR 19.31 billion in 2018, rising to EUR 40.21 billion in 2030 (both in real 2015 terms). This is equivalent to </w:t>
      </w:r>
      <w:r>
        <w:rPr>
          <w:rFonts w:cs="Times New Roman"/>
          <w:noProof/>
          <w:sz w:val="20"/>
        </w:rPr>
        <w:t>an additional 0.84% and 1.43 % of GDP in 2018 and 2030, respectively.</w:t>
      </w:r>
    </w:p>
    <w:p w:rsidR="00B71C54" w:rsidRDefault="00465787">
      <w:pPr>
        <w:widowControl w:val="0"/>
        <w:spacing w:after="120" w:line="240" w:lineRule="auto"/>
        <w:jc w:val="both"/>
        <w:rPr>
          <w:rFonts w:cs="Times New Roman"/>
          <w:noProof/>
          <w:sz w:val="20"/>
        </w:rPr>
      </w:pPr>
      <w:r>
        <w:rPr>
          <w:rFonts w:cs="Times New Roman"/>
          <w:noProof/>
          <w:sz w:val="20"/>
        </w:rPr>
        <w:t>The largest potential source of revenue would come from the suggested increase in vehicle taxes. This would account for EUR 26.75 billion in 2030 (real 2015 terms), equivalent to 0.95% o</w:t>
      </w:r>
      <w:r>
        <w:rPr>
          <w:rFonts w:cs="Times New Roman"/>
          <w:noProof/>
          <w:sz w:val="20"/>
        </w:rPr>
        <w:t xml:space="preserve">f GDP. </w:t>
      </w:r>
    </w:p>
    <w:p w:rsidR="00B71C54" w:rsidRDefault="00465787">
      <w:pPr>
        <w:widowControl w:val="0"/>
        <w:spacing w:after="120" w:line="240" w:lineRule="auto"/>
        <w:jc w:val="both"/>
        <w:rPr>
          <w:rFonts w:cs="Times New Roman"/>
          <w:noProof/>
          <w:sz w:val="20"/>
        </w:rPr>
      </w:pPr>
      <w:r>
        <w:rPr>
          <w:rFonts w:cs="Times New Roman"/>
          <w:noProof/>
          <w:sz w:val="20"/>
        </w:rPr>
        <w:t>The next largest contribution to revenue would come from the proposed amendments to the taxes on transport fuels. This would make EUR 7.06 billion in 2030 (real 2015 terms), equivalent to 0.25% of GDP.</w:t>
      </w:r>
    </w:p>
    <w:p w:rsidR="00B71C54" w:rsidRDefault="00465787">
      <w:pPr>
        <w:widowControl w:val="0"/>
        <w:spacing w:after="120" w:line="240" w:lineRule="auto"/>
        <w:jc w:val="both"/>
        <w:rPr>
          <w:rFonts w:cs="Times New Roman"/>
          <w:noProof/>
          <w:sz w:val="20"/>
        </w:rPr>
      </w:pPr>
      <w:r>
        <w:rPr>
          <w:rFonts w:cs="Times New Roman"/>
          <w:noProof/>
          <w:sz w:val="20"/>
        </w:rPr>
        <w:t>The suggested passenger aviation tax would acc</w:t>
      </w:r>
      <w:r>
        <w:rPr>
          <w:rFonts w:cs="Times New Roman"/>
          <w:noProof/>
          <w:sz w:val="20"/>
        </w:rPr>
        <w:t>ount for EUR 2.57 billion in 2030 (real 2015 terms), equivalent to 0.09% of GDP.</w:t>
      </w:r>
    </w:p>
    <w:tbl>
      <w:tblPr>
        <w:tblW w:w="0" w:type="auto"/>
        <w:tblLayout w:type="fixed"/>
        <w:tblCellMar>
          <w:left w:w="118" w:type="dxa"/>
        </w:tblCellMar>
        <w:tblLook w:val="0000" w:firstRow="0" w:lastRow="0" w:firstColumn="0" w:lastColumn="0" w:noHBand="0" w:noVBand="0"/>
      </w:tblPr>
      <w:tblGrid>
        <w:gridCol w:w="4909"/>
      </w:tblGrid>
      <w:tr w:rsidR="00B71C54">
        <w:tc>
          <w:tcPr>
            <w:tcW w:w="4909" w:type="dxa"/>
            <w:shd w:val="clear" w:color="auto" w:fill="FFFFFF"/>
          </w:tcPr>
          <w:p w:rsidR="00B71C54" w:rsidRDefault="00465787">
            <w:pPr>
              <w:keepNext/>
              <w:widowControl w:val="0"/>
              <w:spacing w:after="0" w:line="240" w:lineRule="auto"/>
              <w:jc w:val="both"/>
              <w:rPr>
                <w:rFonts w:cs="Times New Roman"/>
                <w:noProof/>
                <w:sz w:val="20"/>
              </w:rPr>
            </w:pPr>
            <w:r>
              <w:rPr>
                <w:rFonts w:cs="Times New Roman"/>
                <w:b/>
                <w:bCs/>
                <w:noProof/>
                <w:color w:val="1F497D"/>
                <w:sz w:val="20"/>
              </w:rPr>
              <w:t xml:space="preserve">Figure 11: </w:t>
            </w:r>
            <w:r>
              <w:rPr>
                <w:b/>
                <w:bCs/>
                <w:noProof/>
                <w:color w:val="1F497D" w:themeColor="text2"/>
                <w:sz w:val="20"/>
              </w:rPr>
              <w:t>Environmental tax revenues as a share of total revenues from taxes and social contributions  (excluding imputed social contributions) in 2014</w:t>
            </w:r>
            <w:r>
              <w:rPr>
                <w:b/>
                <w:bCs/>
                <w:noProof/>
                <w:color w:val="1F497D" w:themeColor="text2"/>
                <w:sz w:val="20"/>
                <w:vertAlign w:val="superscript"/>
              </w:rPr>
              <w:footnoteReference w:id="72"/>
            </w:r>
          </w:p>
        </w:tc>
      </w:tr>
      <w:tr w:rsidR="00B71C54">
        <w:tc>
          <w:tcPr>
            <w:tcW w:w="4909" w:type="dxa"/>
            <w:shd w:val="clear" w:color="auto" w:fill="FFFFFF"/>
          </w:tcPr>
          <w:p w:rsidR="00B71C54" w:rsidRDefault="00465787">
            <w:pPr>
              <w:widowControl w:val="0"/>
              <w:spacing w:after="0" w:line="240" w:lineRule="auto"/>
              <w:jc w:val="both"/>
              <w:rPr>
                <w:rFonts w:cs="Times New Roman"/>
                <w:noProof/>
                <w:sz w:val="20"/>
              </w:rPr>
            </w:pPr>
            <w:r>
              <w:rPr>
                <w:rFonts w:cs="Times New Roman"/>
                <w:noProof/>
                <w:sz w:val="20"/>
                <w:lang w:eastAsia="en-GB"/>
              </w:rPr>
              <w:drawing>
                <wp:inline distT="0" distB="0" distL="0" distR="0" wp14:anchorId="3407FD80" wp14:editId="3194D611">
                  <wp:extent cx="3050250" cy="4338084"/>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52328" cy="4341040"/>
                          </a:xfrm>
                          <a:prstGeom prst="rect">
                            <a:avLst/>
                          </a:prstGeom>
                          <a:noFill/>
                        </pic:spPr>
                      </pic:pic>
                    </a:graphicData>
                  </a:graphic>
                </wp:inline>
              </w:drawing>
            </w:r>
          </w:p>
        </w:tc>
      </w:tr>
    </w:tbl>
    <w:p w:rsidR="00B71C54" w:rsidRDefault="00465787">
      <w:pPr>
        <w:widowControl w:val="0"/>
        <w:spacing w:after="120" w:line="240" w:lineRule="auto"/>
        <w:jc w:val="both"/>
        <w:rPr>
          <w:rFonts w:cs="Times New Roman"/>
          <w:noProof/>
          <w:sz w:val="20"/>
        </w:rPr>
      </w:pPr>
      <w:r>
        <w:rPr>
          <w:rFonts w:cs="Times New Roman"/>
          <w:noProof/>
          <w:sz w:val="20"/>
        </w:rPr>
        <w:t xml:space="preserve">In its 2016 </w:t>
      </w:r>
      <w:r>
        <w:rPr>
          <w:rFonts w:cs="Times New Roman"/>
          <w:noProof/>
          <w:sz w:val="20"/>
        </w:rPr>
        <w:t>budget, the country continues to increase environmental taxation. The carbon tax will be raised from 14.5 to 22 EUR /tCO2 in 2016 and 30,5 EUR /tCO2 in 2017 with the objective to reach 56 EUR /tCO2 in 2020  and 100 EUR /tCO2 in 2030. In addition, the taxat</w:t>
      </w:r>
      <w:r>
        <w:rPr>
          <w:rFonts w:cs="Times New Roman"/>
          <w:noProof/>
          <w:sz w:val="20"/>
        </w:rPr>
        <w:t>ion gap between diesel and petrol will be further reduced</w:t>
      </w:r>
      <w:r>
        <w:rPr>
          <w:rFonts w:cs="Times New Roman"/>
          <w:noProof/>
          <w:sz w:val="20"/>
          <w:szCs w:val="20"/>
        </w:rPr>
        <w:t xml:space="preserve"> (this has also been underlined by the OECD</w:t>
      </w:r>
      <w:r>
        <w:rPr>
          <w:rFonts w:cs="Times New Roman"/>
          <w:noProof/>
          <w:sz w:val="20"/>
          <w:szCs w:val="20"/>
          <w:vertAlign w:val="superscript"/>
        </w:rPr>
        <w:footnoteReference w:id="73"/>
      </w:r>
      <w:r>
        <w:rPr>
          <w:rFonts w:cs="Times New Roman"/>
          <w:noProof/>
          <w:sz w:val="20"/>
          <w:szCs w:val="20"/>
        </w:rPr>
        <w:t>)</w:t>
      </w:r>
      <w:r>
        <w:rPr>
          <w:rFonts w:cs="Times New Roman"/>
          <w:noProof/>
          <w:sz w:val="20"/>
        </w:rPr>
        <w:t xml:space="preserve">. </w:t>
      </w:r>
    </w:p>
    <w:p w:rsidR="00B71C54" w:rsidRDefault="00465787">
      <w:pPr>
        <w:widowControl w:val="0"/>
        <w:spacing w:after="120" w:line="240" w:lineRule="auto"/>
        <w:jc w:val="both"/>
        <w:rPr>
          <w:rFonts w:cs="Times New Roman"/>
          <w:noProof/>
          <w:sz w:val="20"/>
          <w:szCs w:val="20"/>
        </w:rPr>
      </w:pPr>
      <w:r>
        <w:rPr>
          <w:rFonts w:cs="Times New Roman"/>
          <w:noProof/>
          <w:sz w:val="20"/>
        </w:rPr>
        <w:t>As a result of these two measures, excise duties on diesel has increased more than for unleaded petrol in 2016 (0.0299 EUR /litre and 0.0171 EUR /litre</w:t>
      </w:r>
      <w:r>
        <w:rPr>
          <w:rFonts w:cs="Times New Roman"/>
          <w:noProof/>
          <w:sz w:val="20"/>
        </w:rPr>
        <w:t xml:space="preserve"> respectively).</w:t>
      </w:r>
      <w:r>
        <w:rPr>
          <w:rFonts w:cs="Times New Roman"/>
          <w:noProof/>
          <w:sz w:val="16"/>
          <w:szCs w:val="16"/>
        </w:rPr>
        <w:t xml:space="preserve"> </w:t>
      </w:r>
      <w:r>
        <w:rPr>
          <w:rFonts w:cs="Times New Roman"/>
          <w:noProof/>
          <w:sz w:val="20"/>
          <w:szCs w:val="20"/>
        </w:rPr>
        <w:t>The gap between petrol (E10 quality) and diesel fuel was reduced by 0,02 EUR/L in 2015 and by 0,03 EUR/L in 2016. Including the carbon component, excise duties on diesel thus rose from 0,4284 EUR/L in 2014 to 0,4981 EUR/L in 2016 whereas ex</w:t>
      </w:r>
      <w:r>
        <w:rPr>
          <w:rFonts w:cs="Times New Roman"/>
          <w:noProof/>
          <w:sz w:val="20"/>
          <w:szCs w:val="20"/>
        </w:rPr>
        <w:t xml:space="preserve">cise duties on petrol rose from 0,6069 EUR/L in 2014 to 0,6212 EUR/L in 2016. The gap will be further reduced in 2017 to only 0,10 EUR/L (with 0,5307 EUR/L for diesel and 0,6307EUR/L for petrol. </w:t>
      </w:r>
    </w:p>
    <w:p w:rsidR="00B71C54" w:rsidRDefault="00465787">
      <w:pPr>
        <w:widowControl w:val="0"/>
        <w:spacing w:after="120" w:line="240" w:lineRule="auto"/>
        <w:jc w:val="both"/>
        <w:rPr>
          <w:rFonts w:cs="Times New Roman"/>
          <w:noProof/>
          <w:sz w:val="20"/>
          <w:szCs w:val="20"/>
        </w:rPr>
      </w:pPr>
      <w:r>
        <w:rPr>
          <w:rFonts w:cs="Times New Roman"/>
          <w:noProof/>
          <w:sz w:val="20"/>
          <w:szCs w:val="20"/>
        </w:rPr>
        <w:t>The diesel/petrol tax ratio is currently standing at 80% (84</w:t>
      </w:r>
      <w:r>
        <w:rPr>
          <w:rFonts w:cs="Times New Roman"/>
          <w:noProof/>
          <w:sz w:val="20"/>
          <w:szCs w:val="20"/>
        </w:rPr>
        <w:t>% in 2014).</w:t>
      </w:r>
      <w:r>
        <w:rPr>
          <w:rFonts w:cs="Times New Roman"/>
          <w:noProof/>
          <w:sz w:val="24"/>
        </w:rPr>
        <w:t xml:space="preserve"> </w:t>
      </w:r>
      <w:r>
        <w:rPr>
          <w:rFonts w:cs="Times New Roman"/>
          <w:noProof/>
          <w:sz w:val="20"/>
        </w:rPr>
        <w:t xml:space="preserve">In 2015, France was one of the few EU Member States without circulation tax for passenger cars. However it should be noted that France implements motorway charges whereas in some European countries motorways are free. </w:t>
      </w:r>
    </w:p>
    <w:p w:rsidR="00B71C54" w:rsidRDefault="00465787">
      <w:pPr>
        <w:widowControl w:val="0"/>
        <w:spacing w:after="120" w:line="240" w:lineRule="auto"/>
        <w:jc w:val="both"/>
        <w:rPr>
          <w:rFonts w:cs="Times New Roman"/>
          <w:noProof/>
          <w:sz w:val="20"/>
          <w:szCs w:val="20"/>
        </w:rPr>
      </w:pPr>
      <w:r>
        <w:rPr>
          <w:rFonts w:cs="Times New Roman"/>
          <w:noProof/>
          <w:sz w:val="20"/>
          <w:szCs w:val="20"/>
        </w:rPr>
        <w:t>France is closing the gap</w:t>
      </w:r>
      <w:r>
        <w:rPr>
          <w:rFonts w:cs="Times New Roman"/>
          <w:noProof/>
          <w:sz w:val="20"/>
          <w:szCs w:val="20"/>
        </w:rPr>
        <w:t xml:space="preserve"> with the EU average in terms of environmental taxation but scope for improvement remains, such as removing the taxation gap between diesel and petrol fuel.</w:t>
      </w:r>
    </w:p>
    <w:p w:rsidR="00B71C54" w:rsidRDefault="00465787">
      <w:pPr>
        <w:widowControl w:val="0"/>
        <w:spacing w:after="120" w:line="240" w:lineRule="auto"/>
        <w:jc w:val="both"/>
        <w:rPr>
          <w:rFonts w:cs="Times New Roman"/>
          <w:noProof/>
          <w:sz w:val="20"/>
          <w:szCs w:val="20"/>
        </w:rPr>
      </w:pPr>
      <w:r>
        <w:rPr>
          <w:rFonts w:cs="Times New Roman"/>
          <w:noProof/>
          <w:sz w:val="20"/>
          <w:szCs w:val="20"/>
        </w:rPr>
        <w:t xml:space="preserve">In order to accelerate the phasing out of coal in France, a carbon price floor will be implemented </w:t>
      </w:r>
      <w:r>
        <w:rPr>
          <w:rFonts w:cs="Times New Roman"/>
          <w:noProof/>
          <w:sz w:val="20"/>
          <w:szCs w:val="20"/>
        </w:rPr>
        <w:t>in the French power sector in 2017.  This national initiative is meant to have a political ripple effect on other European governments that would facilitate the introduction of soft price collar on the European carbon market as recommended in the Canfin-Gr</w:t>
      </w:r>
      <w:r>
        <w:rPr>
          <w:rFonts w:cs="Times New Roman"/>
          <w:noProof/>
          <w:sz w:val="20"/>
          <w:szCs w:val="20"/>
        </w:rPr>
        <w:t xml:space="preserve">andjean-Mestrallet report - Aligning carbon pricing with the Paris Agreement (2016).  Enhancing carbon pricing at the EU level, by fixing the price signal on the EU-ETS in particular, is critical to trigger low-carbon investments and meet the ambitious EU </w:t>
      </w:r>
      <w:r>
        <w:rPr>
          <w:rFonts w:cs="Times New Roman"/>
          <w:noProof/>
          <w:sz w:val="20"/>
          <w:szCs w:val="20"/>
        </w:rPr>
        <w:t>climate commitments.</w:t>
      </w:r>
    </w:p>
    <w:p w:rsidR="00B71C54" w:rsidRDefault="00465787">
      <w:pPr>
        <w:widowControl w:val="0"/>
        <w:spacing w:after="120" w:line="240" w:lineRule="auto"/>
        <w:jc w:val="both"/>
        <w:rPr>
          <w:rFonts w:cs="Times New Roman"/>
          <w:noProof/>
          <w:sz w:val="20"/>
        </w:rPr>
      </w:pPr>
      <w:r>
        <w:rPr>
          <w:rFonts w:cs="Times New Roman"/>
          <w:noProof/>
          <w:sz w:val="20"/>
          <w:szCs w:val="20"/>
        </w:rPr>
        <w:t>Revenues from transport taxes are significantly lower in France</w:t>
      </w:r>
      <w:r>
        <w:rPr>
          <w:rFonts w:cs="Times New Roman"/>
          <w:noProof/>
          <w:sz w:val="20"/>
          <w:szCs w:val="20"/>
          <w:vertAlign w:val="superscript"/>
        </w:rPr>
        <w:footnoteReference w:id="74"/>
      </w:r>
      <w:r>
        <w:rPr>
          <w:rFonts w:cs="Times New Roman"/>
          <w:noProof/>
          <w:sz w:val="20"/>
          <w:szCs w:val="20"/>
        </w:rPr>
        <w:t xml:space="preserve"> than average in the EU (at 0.</w:t>
      </w:r>
      <w:r>
        <w:rPr>
          <w:rFonts w:cs="Times New Roman"/>
          <w:noProof/>
          <w:sz w:val="20"/>
        </w:rPr>
        <w:t>28% of GDP compared with the EU-28 level of 0.49% GDP).</w:t>
      </w:r>
    </w:p>
    <w:p w:rsidR="00B71C54" w:rsidRDefault="00465787">
      <w:pPr>
        <w:widowControl w:val="0"/>
        <w:spacing w:after="120" w:line="240" w:lineRule="auto"/>
        <w:outlineLvl w:val="1"/>
        <w:rPr>
          <w:rFonts w:cs="Times New Roman"/>
          <w:b/>
          <w:noProof/>
          <w:color w:val="1F497D" w:themeColor="text2"/>
          <w:sz w:val="24"/>
          <w:szCs w:val="20"/>
          <w:lang w:eastAsia="en-GB"/>
        </w:rPr>
      </w:pPr>
      <w:bookmarkStart w:id="46" w:name="_Toc454460691"/>
      <w:bookmarkStart w:id="47" w:name="_Toc472694765"/>
      <w:bookmarkStart w:id="48" w:name="_Toc448925421"/>
      <w:r>
        <w:rPr>
          <w:rFonts w:cs="Times New Roman"/>
          <w:b/>
          <w:noProof/>
          <w:color w:val="1F497D" w:themeColor="text2"/>
          <w:sz w:val="24"/>
          <w:szCs w:val="20"/>
          <w:lang w:eastAsia="en-GB"/>
        </w:rPr>
        <w:t>Green Public Procurement</w:t>
      </w:r>
      <w:bookmarkEnd w:id="46"/>
      <w:bookmarkEnd w:id="47"/>
      <w:r>
        <w:rPr>
          <w:rFonts w:cs="Times New Roman"/>
          <w:b/>
          <w:noProof/>
          <w:color w:val="1F497D" w:themeColor="text2"/>
          <w:sz w:val="24"/>
          <w:szCs w:val="20"/>
          <w:lang w:eastAsia="en-GB"/>
        </w:rPr>
        <w:t xml:space="preserve"> </w:t>
      </w:r>
    </w:p>
    <w:bookmarkEnd w:id="48"/>
    <w:p w:rsidR="00B71C54" w:rsidRDefault="00465787">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Member </w:t>
      </w:r>
      <w:r>
        <w:rPr>
          <w:rFonts w:cs="Times New Roman"/>
          <w:noProof/>
          <w:color w:val="FFFFFF" w:themeColor="background1"/>
          <w:sz w:val="20"/>
        </w:rPr>
        <w:t>States to take further steps to reach the target of applying green procurement criteria to at least 50% of public tenders.</w:t>
      </w:r>
    </w:p>
    <w:p w:rsidR="00B71C54" w:rsidRDefault="00465787">
      <w:pPr>
        <w:widowControl w:val="0"/>
        <w:spacing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w:t>
      </w:r>
      <w:r>
        <w:rPr>
          <w:rFonts w:cs="Times New Roman"/>
          <w:noProof/>
          <w:sz w:val="20"/>
        </w:rPr>
        <w:t xml:space="preserve">onmental impact throughout their life-cycle when compared to goods, services and works with the same primary function that would otherwise be procured. </w:t>
      </w:r>
    </w:p>
    <w:p w:rsidR="00B71C54" w:rsidRDefault="00465787">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75"/>
      </w:r>
      <w:r>
        <w:rPr>
          <w:rFonts w:cs="Times New Roman"/>
          <w:noProof/>
          <w:sz w:val="20"/>
        </w:rPr>
        <w:t>. A substantial part of t</w:t>
      </w:r>
      <w:r>
        <w:rPr>
          <w:rFonts w:cs="Times New Roman"/>
          <w:noProof/>
          <w:sz w:val="20"/>
        </w:rPr>
        <w:t>his money is spent on sectors with high environmental impact such as construction or transport, so GPP can help to significantly lower the impact of public spending and foster sustainable innovative businesses. The Commission has proposed EU GPP criteria</w:t>
      </w:r>
      <w:r>
        <w:rPr>
          <w:rFonts w:cs="Times New Roman"/>
          <w:noProof/>
          <w:sz w:val="20"/>
          <w:vertAlign w:val="superscript"/>
        </w:rPr>
        <w:footnoteReference w:id="76"/>
      </w:r>
      <w:r>
        <w:rPr>
          <w:rFonts w:cs="Times New Roman"/>
          <w:noProof/>
          <w:sz w:val="20"/>
        </w:rPr>
        <w:t>.</w:t>
      </w:r>
    </w:p>
    <w:p w:rsidR="00B71C54" w:rsidRDefault="00465787">
      <w:pPr>
        <w:widowControl w:val="0"/>
        <w:spacing w:after="120" w:line="240" w:lineRule="auto"/>
        <w:jc w:val="both"/>
        <w:rPr>
          <w:rFonts w:cs="Times New Roman"/>
          <w:noProof/>
          <w:sz w:val="20"/>
        </w:rPr>
      </w:pPr>
      <w:r>
        <w:rPr>
          <w:rFonts w:cs="Times New Roman"/>
          <w:noProof/>
          <w:sz w:val="20"/>
        </w:rPr>
        <w:t>The National Action Plan on Sustainable Public Procurement is the national strategy on GPP of France. This action plan was adopted and published in March 2015. At the national level the Action Plan aim to increase the share of environmental aspects in pub</w:t>
      </w:r>
      <w:r>
        <w:rPr>
          <w:rFonts w:cs="Times New Roman"/>
          <w:noProof/>
          <w:sz w:val="20"/>
        </w:rPr>
        <w:t>lic procurement (6.7 % in 2013 in tenders above EUR 90,000  ex tax). The objective of the Action Plan is to reach 30 % in the whole public procurement.</w:t>
      </w:r>
    </w:p>
    <w:p w:rsidR="00B71C54" w:rsidRDefault="00465787">
      <w:pPr>
        <w:widowControl w:val="0"/>
        <w:spacing w:after="120" w:line="240" w:lineRule="auto"/>
        <w:jc w:val="both"/>
        <w:rPr>
          <w:rFonts w:cs="Times New Roman"/>
          <w:noProof/>
          <w:sz w:val="20"/>
        </w:rPr>
      </w:pPr>
      <w:r>
        <w:rPr>
          <w:rFonts w:cs="Times New Roman"/>
          <w:noProof/>
          <w:sz w:val="20"/>
        </w:rPr>
        <w:t>There are legal objectives concerning: vehicles, dematerialized communication technology, sustainably ma</w:t>
      </w:r>
      <w:r>
        <w:rPr>
          <w:rFonts w:cs="Times New Roman"/>
          <w:noProof/>
          <w:sz w:val="20"/>
        </w:rPr>
        <w:t>naged wood, organic and sustainably-made food, the development of car-sharing transportation, and the making of a carbon footprint on the State buildings.</w:t>
      </w:r>
    </w:p>
    <w:p w:rsidR="00B71C54" w:rsidRDefault="00465787">
      <w:pPr>
        <w:widowControl w:val="0"/>
        <w:spacing w:after="120" w:line="240" w:lineRule="auto"/>
        <w:outlineLvl w:val="1"/>
        <w:rPr>
          <w:rFonts w:cs="Times New Roman"/>
          <w:b/>
          <w:noProof/>
          <w:color w:val="FFFFFF"/>
          <w:sz w:val="24"/>
          <w:szCs w:val="20"/>
        </w:rPr>
      </w:pPr>
      <w:bookmarkStart w:id="49" w:name="__RefHeading___Toc456171614"/>
      <w:bookmarkStart w:id="50" w:name="_Toc472694766"/>
      <w:bookmarkStart w:id="51" w:name="_Toc465959153"/>
      <w:r>
        <w:rPr>
          <w:rFonts w:cs="Times New Roman"/>
          <w:b/>
          <w:noProof/>
          <w:color w:val="1F497D" w:themeColor="text2"/>
          <w:sz w:val="24"/>
          <w:szCs w:val="20"/>
          <w:lang w:eastAsia="en-GB"/>
        </w:rPr>
        <w:t xml:space="preserve">Investments: </w:t>
      </w:r>
      <w:bookmarkEnd w:id="49"/>
      <w:r>
        <w:rPr>
          <w:rFonts w:cs="Times New Roman"/>
          <w:b/>
          <w:noProof/>
          <w:color w:val="1F497D" w:themeColor="text2"/>
          <w:sz w:val="24"/>
          <w:szCs w:val="20"/>
          <w:lang w:eastAsia="en-GB"/>
        </w:rPr>
        <w:t>the contribution of EU funds</w:t>
      </w:r>
      <w:bookmarkEnd w:id="50"/>
      <w:r>
        <w:rPr>
          <w:rFonts w:cs="Times New Roman"/>
          <w:b/>
          <w:noProof/>
          <w:color w:val="1F497D" w:themeColor="text2"/>
          <w:sz w:val="24"/>
          <w:szCs w:val="20"/>
          <w:lang w:eastAsia="en-GB"/>
        </w:rPr>
        <w:t xml:space="preserve"> </w:t>
      </w:r>
      <w:bookmarkEnd w:id="51"/>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w:t>
      </w:r>
      <w:r>
        <w:rPr>
          <w:rFonts w:cs="Times New Roman"/>
          <w:noProof/>
          <w:color w:val="FFFFFF" w:themeColor="background1"/>
          <w:sz w:val="20"/>
        </w:rPr>
        <w:t>de that Member States promote environment and climate objectives in their funding strategies and programmes for economic, social and territorial cohesion, rural development and maritime policy, and reinforce the capacity of implementing bodies to deliver c</w:t>
      </w:r>
      <w:r>
        <w:rPr>
          <w:rFonts w:cs="Times New Roman"/>
          <w:noProof/>
          <w:color w:val="FFFFFF" w:themeColor="background1"/>
          <w:sz w:val="20"/>
        </w:rPr>
        <w:t>ost-effective and sustainable investments in these areas.</w:t>
      </w:r>
    </w:p>
    <w:p w:rsidR="00B71C54" w:rsidRDefault="00465787">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Structural and Investment Funds (ESIF)</w:t>
      </w:r>
      <w:r>
        <w:rPr>
          <w:rFonts w:ascii="Calibri" w:eastAsia="Calibri" w:hAnsi="Calibri" w:cs="Times New Roman"/>
          <w:noProof/>
          <w:vertAlign w:val="superscript"/>
          <w:lang w:eastAsia="ar-SA"/>
        </w:rPr>
        <w:footnoteReference w:id="77"/>
      </w:r>
      <w:r>
        <w:rPr>
          <w:rFonts w:ascii="Calibri" w:eastAsia="Calibri" w:hAnsi="Calibri" w:cs="Times New Roman"/>
          <w:noProof/>
          <w:sz w:val="20"/>
          <w:szCs w:val="24"/>
          <w:lang w:eastAsia="ar-SA"/>
        </w:rPr>
        <w:t xml:space="preserve"> is essential to achieve the environmental goals and integrate these into other policy areas. Other instruments such as the Hor</w:t>
      </w:r>
      <w:r>
        <w:rPr>
          <w:rFonts w:ascii="Calibri" w:eastAsia="Calibri" w:hAnsi="Calibri" w:cs="Times New Roman"/>
          <w:noProof/>
          <w:sz w:val="20"/>
          <w:szCs w:val="24"/>
          <w:lang w:eastAsia="ar-SA"/>
        </w:rPr>
        <w:t>izon 2020, the LIFE programme and the EFSI</w:t>
      </w:r>
      <w:r>
        <w:rPr>
          <w:rFonts w:ascii="Calibri" w:eastAsia="Calibri" w:hAnsi="Calibri" w:cs="Times New Roman"/>
          <w:noProof/>
          <w:vertAlign w:val="superscript"/>
          <w:lang w:eastAsia="ar-SA"/>
        </w:rPr>
        <w:footnoteReference w:id="78"/>
      </w:r>
      <w:r>
        <w:rPr>
          <w:rFonts w:ascii="Calibri" w:eastAsia="Calibri" w:hAnsi="Calibri" w:cs="Times New Roman"/>
          <w:noProof/>
          <w:sz w:val="20"/>
          <w:szCs w:val="24"/>
          <w:lang w:eastAsia="ar-SA"/>
        </w:rPr>
        <w:t xml:space="preserve"> may also support implementation and spread of best practice.</w:t>
      </w:r>
    </w:p>
    <w:p w:rsidR="00B71C54" w:rsidRDefault="00465787">
      <w:pPr>
        <w:widowControl w:val="0"/>
        <w:spacing w:after="120" w:line="240" w:lineRule="auto"/>
        <w:jc w:val="both"/>
        <w:rPr>
          <w:rFonts w:cs="Times New Roman"/>
          <w:noProof/>
          <w:sz w:val="20"/>
        </w:rPr>
      </w:pPr>
      <w:r>
        <w:rPr>
          <w:rFonts w:cs="Times New Roman"/>
          <w:noProof/>
          <w:sz w:val="20"/>
        </w:rPr>
        <w:t>France has ERDF funding of EUR 8,426 million over the 2014-2020 programming period, and plans to use over EUR 1 billion or 15.0% to support directly en</w:t>
      </w:r>
      <w:r>
        <w:rPr>
          <w:rFonts w:cs="Times New Roman"/>
          <w:noProof/>
          <w:sz w:val="20"/>
        </w:rPr>
        <w:t>vironmental projects (under the "thematic objective n°6", see figure 12). The spending will come mainly in the areas of:</w:t>
      </w:r>
    </w:p>
    <w:p w:rsidR="00B71C54" w:rsidRDefault="00465787">
      <w:pPr>
        <w:widowControl w:val="0"/>
        <w:numPr>
          <w:ilvl w:val="0"/>
          <w:numId w:val="26"/>
        </w:numPr>
        <w:spacing w:after="0" w:line="240" w:lineRule="auto"/>
        <w:jc w:val="both"/>
        <w:rPr>
          <w:rFonts w:cs="Times New Roman"/>
          <w:noProof/>
          <w:sz w:val="20"/>
        </w:rPr>
      </w:pPr>
      <w:r>
        <w:rPr>
          <w:rFonts w:cs="Times New Roman"/>
          <w:noProof/>
          <w:sz w:val="20"/>
        </w:rPr>
        <w:t>Protection and enhancement of biodiversity and nature protection.</w:t>
      </w:r>
    </w:p>
    <w:p w:rsidR="00B71C54" w:rsidRDefault="00465787">
      <w:pPr>
        <w:widowControl w:val="0"/>
        <w:numPr>
          <w:ilvl w:val="0"/>
          <w:numId w:val="26"/>
        </w:numPr>
        <w:spacing w:after="0" w:line="240" w:lineRule="auto"/>
        <w:jc w:val="both"/>
        <w:rPr>
          <w:rFonts w:cs="Times New Roman"/>
          <w:noProof/>
          <w:sz w:val="20"/>
        </w:rPr>
      </w:pPr>
      <w:r>
        <w:rPr>
          <w:rFonts w:cs="Times New Roman"/>
          <w:noProof/>
          <w:sz w:val="20"/>
        </w:rPr>
        <w:t>Adaptation to climate change measures and prevention of climate chang</w:t>
      </w:r>
      <w:r>
        <w:rPr>
          <w:rFonts w:cs="Times New Roman"/>
          <w:noProof/>
          <w:sz w:val="20"/>
        </w:rPr>
        <w:t>e,</w:t>
      </w:r>
    </w:p>
    <w:p w:rsidR="00B71C54" w:rsidRDefault="00465787">
      <w:pPr>
        <w:widowControl w:val="0"/>
        <w:numPr>
          <w:ilvl w:val="0"/>
          <w:numId w:val="26"/>
        </w:numPr>
        <w:spacing w:after="0" w:line="240" w:lineRule="auto"/>
        <w:jc w:val="both"/>
        <w:rPr>
          <w:rFonts w:cs="Times New Roman"/>
          <w:noProof/>
          <w:sz w:val="20"/>
        </w:rPr>
      </w:pPr>
      <w:r>
        <w:rPr>
          <w:rFonts w:cs="Times New Roman"/>
          <w:noProof/>
          <w:sz w:val="20"/>
        </w:rPr>
        <w:t xml:space="preserve">Rehabilitation of industrial sites and contaminated land </w:t>
      </w:r>
    </w:p>
    <w:p w:rsidR="00B71C54" w:rsidRDefault="00465787">
      <w:pPr>
        <w:widowControl w:val="0"/>
        <w:numPr>
          <w:ilvl w:val="0"/>
          <w:numId w:val="26"/>
        </w:numPr>
        <w:spacing w:after="0" w:line="240" w:lineRule="auto"/>
        <w:jc w:val="both"/>
        <w:rPr>
          <w:rFonts w:cs="Times New Roman"/>
          <w:noProof/>
          <w:sz w:val="20"/>
        </w:rPr>
      </w:pPr>
      <w:r>
        <w:rPr>
          <w:rFonts w:cs="Times New Roman"/>
          <w:noProof/>
          <w:sz w:val="20"/>
        </w:rPr>
        <w:t xml:space="preserve">Household waste management: thermal treatment and incineration (in the overseas departments), </w:t>
      </w:r>
    </w:p>
    <w:p w:rsidR="00B71C54" w:rsidRDefault="00465787">
      <w:pPr>
        <w:widowControl w:val="0"/>
        <w:numPr>
          <w:ilvl w:val="0"/>
          <w:numId w:val="26"/>
        </w:numPr>
        <w:spacing w:after="0" w:line="240" w:lineRule="auto"/>
        <w:jc w:val="both"/>
        <w:rPr>
          <w:rFonts w:cs="Times New Roman"/>
          <w:noProof/>
          <w:sz w:val="20"/>
        </w:rPr>
      </w:pPr>
      <w:r>
        <w:rPr>
          <w:rFonts w:cs="Times New Roman"/>
          <w:noProof/>
          <w:sz w:val="20"/>
        </w:rPr>
        <w:t xml:space="preserve">Waste water treatment (in the overseas departments). </w:t>
      </w:r>
    </w:p>
    <w:p w:rsidR="00B71C54" w:rsidRDefault="00B71C54">
      <w:pPr>
        <w:widowControl w:val="0"/>
        <w:spacing w:after="0" w:line="240" w:lineRule="auto"/>
        <w:ind w:left="360"/>
        <w:jc w:val="both"/>
        <w:rPr>
          <w:rFonts w:cs="Times New Roman"/>
          <w:noProof/>
          <w:sz w:val="20"/>
        </w:rPr>
      </w:pPr>
    </w:p>
    <w:p w:rsidR="00B71C54" w:rsidRDefault="00465787">
      <w:pPr>
        <w:widowControl w:val="0"/>
        <w:spacing w:after="120" w:line="240" w:lineRule="auto"/>
        <w:jc w:val="both"/>
        <w:rPr>
          <w:rFonts w:cs="Times New Roman"/>
          <w:noProof/>
          <w:sz w:val="20"/>
        </w:rPr>
      </w:pPr>
      <w:r>
        <w:rPr>
          <w:rFonts w:cs="Times New Roman"/>
          <w:noProof/>
          <w:sz w:val="20"/>
        </w:rPr>
        <w:t>It is too early to draw conclusions as regard</w:t>
      </w:r>
      <w:r>
        <w:rPr>
          <w:rFonts w:cs="Times New Roman"/>
          <w:noProof/>
          <w:sz w:val="20"/>
        </w:rPr>
        <w:t>s the use and results of ESIF for the period 2014-2020, as the relevant programmes are still in an early stage of their implementation.</w:t>
      </w:r>
    </w:p>
    <w:p w:rsidR="00B71C54" w:rsidRDefault="00465787">
      <w:pPr>
        <w:widowControl w:val="0"/>
        <w:spacing w:after="120" w:line="240" w:lineRule="auto"/>
        <w:jc w:val="both"/>
        <w:rPr>
          <w:rFonts w:cs="Times New Roman"/>
          <w:noProof/>
          <w:sz w:val="20"/>
        </w:rPr>
      </w:pPr>
      <w:r>
        <w:rPr>
          <w:rFonts w:cs="Times New Roman"/>
          <w:noProof/>
          <w:sz w:val="20"/>
        </w:rPr>
        <w:t>During the previous planning period 2007-2013 in France, a similar sum was devoted to environmental projects, but a much</w:t>
      </w:r>
      <w:r>
        <w:rPr>
          <w:rFonts w:cs="Times New Roman"/>
          <w:noProof/>
          <w:sz w:val="20"/>
        </w:rPr>
        <w:t xml:space="preserve"> smaller percentage (8.5%). Current data suggest that the EU funds for the 2007-2013 period were almost fully spent</w:t>
      </w:r>
      <w:r>
        <w:rPr>
          <w:rFonts w:cs="Times New Roman"/>
          <w:noProof/>
          <w:sz w:val="20"/>
          <w:vertAlign w:val="superscript"/>
        </w:rPr>
        <w:footnoteReference w:id="79"/>
      </w:r>
      <w:r>
        <w:rPr>
          <w:rFonts w:cs="Times New Roman"/>
          <w:noProof/>
          <w:sz w:val="20"/>
        </w:rPr>
        <w:t xml:space="preserve">.  </w:t>
      </w:r>
    </w:p>
    <w:p w:rsidR="00B71C54" w:rsidRDefault="00465787">
      <w:pPr>
        <w:widowControl w:val="0"/>
        <w:spacing w:after="120" w:line="240" w:lineRule="auto"/>
        <w:jc w:val="both"/>
        <w:rPr>
          <w:rFonts w:cs="Times New Roman"/>
          <w:noProof/>
          <w:sz w:val="20"/>
        </w:rPr>
      </w:pPr>
      <w:r>
        <w:rPr>
          <w:rFonts w:cs="Times New Roman"/>
          <w:noProof/>
          <w:sz w:val="20"/>
        </w:rPr>
        <w:t>France has EARDF funding of EUR 9,909 million over the period 2014-2020 (before the first modification and before flexibility between th</w:t>
      </w:r>
      <w:r>
        <w:rPr>
          <w:rFonts w:cs="Times New Roman"/>
          <w:noProof/>
          <w:sz w:val="20"/>
        </w:rPr>
        <w:t>e two pillars of the CAP which is reported to be 3-3.3% per year). The budget for agro-environmental-climate measures AECM represents 10% of the total EAFRD and is one of the ten lowest % allocations (EU average is 16.51%). However AEC measures receive the</w:t>
      </w:r>
      <w:r>
        <w:rPr>
          <w:rFonts w:cs="Times New Roman"/>
          <w:noProof/>
          <w:sz w:val="20"/>
        </w:rPr>
        <w:t xml:space="preserve"> third largest share of the total EAFRD in France, and the forecasted national budget will be doubled in comparison with the previous programming period 2007-2013. Taking into account the  budget dedicated to measures in favour of organic farming (which ar</w:t>
      </w:r>
      <w:r>
        <w:rPr>
          <w:rFonts w:cs="Times New Roman"/>
          <w:noProof/>
          <w:sz w:val="20"/>
        </w:rPr>
        <w:t>e now implemented according to a dedicated article of the regulation 1305/2013), the total budget dedicated to these measures is expected to increase from 180 M€/year during the period 2007-2013 to 360 M€/year on the current programming period. Besides, th</w:t>
      </w:r>
      <w:r>
        <w:rPr>
          <w:rFonts w:cs="Times New Roman"/>
          <w:noProof/>
          <w:sz w:val="20"/>
        </w:rPr>
        <w:t>e 55.87% rate for P4 (one of the 6 priorities of EAFRD focused on water, biodiversity and soil protection,) includes the high contribution for less favoured areas LFA under measure 13: P4 should be reduced at 20% without LFA. France faces environmental pre</w:t>
      </w:r>
      <w:r>
        <w:rPr>
          <w:rFonts w:cs="Times New Roman"/>
          <w:noProof/>
          <w:sz w:val="20"/>
        </w:rPr>
        <w:t xml:space="preserve">ssures on air (in particular ammonia emissions from agriculture), biodiversity (by ensuring consistency with the prioritised action framework PAF at regional level) and soil (25% of the territory likely to be affected by landslides). Irrigation represents </w:t>
      </w:r>
      <w:r>
        <w:rPr>
          <w:rFonts w:cs="Times New Roman"/>
          <w:noProof/>
          <w:sz w:val="20"/>
        </w:rPr>
        <w:t>a significant pressure on the water resource in the southern part of the country.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B71C54">
        <w:trPr>
          <w:trHeight w:val="541"/>
        </w:trPr>
        <w:tc>
          <w:tcPr>
            <w:tcW w:w="4909" w:type="dxa"/>
          </w:tcPr>
          <w:p w:rsidR="00B71C54" w:rsidRDefault="00465787">
            <w:pPr>
              <w:widowControl w:val="0"/>
              <w:spacing w:after="120"/>
              <w:jc w:val="both"/>
              <w:rPr>
                <w:noProof/>
              </w:rPr>
            </w:pPr>
            <w:r>
              <w:rPr>
                <w:b/>
                <w:bCs/>
                <w:noProof/>
                <w:color w:val="1F497D" w:themeColor="text2"/>
                <w:sz w:val="20"/>
              </w:rPr>
              <w:t>Figure 12: European Structural and Investment Funds 2014-2020: Budget France by theme, EUR billion</w:t>
            </w:r>
            <w:r>
              <w:rPr>
                <w:noProof/>
                <w:sz w:val="20"/>
                <w:vertAlign w:val="superscript"/>
              </w:rPr>
              <w:footnoteReference w:id="80"/>
            </w:r>
          </w:p>
        </w:tc>
      </w:tr>
      <w:tr w:rsidR="00B71C54">
        <w:trPr>
          <w:trHeight w:val="558"/>
        </w:trPr>
        <w:tc>
          <w:tcPr>
            <w:tcW w:w="4909" w:type="dxa"/>
          </w:tcPr>
          <w:p w:rsidR="00B71C54" w:rsidRDefault="00465787">
            <w:pPr>
              <w:widowControl w:val="0"/>
              <w:spacing w:after="120"/>
              <w:jc w:val="both"/>
              <w:rPr>
                <w:noProof/>
              </w:rPr>
            </w:pPr>
            <w:r>
              <w:rPr>
                <w:noProof/>
                <w:lang w:eastAsia="en-GB"/>
              </w:rPr>
              <w:drawing>
                <wp:inline distT="0" distB="0" distL="0" distR="0" wp14:anchorId="35E5175A" wp14:editId="30BDB4FB">
                  <wp:extent cx="3054568" cy="3390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54568" cy="3390900"/>
                          </a:xfrm>
                          <a:prstGeom prst="rect">
                            <a:avLst/>
                          </a:prstGeom>
                        </pic:spPr>
                      </pic:pic>
                    </a:graphicData>
                  </a:graphic>
                </wp:inline>
              </w:drawing>
            </w:r>
          </w:p>
        </w:tc>
      </w:tr>
    </w:tbl>
    <w:p w:rsidR="00B71C54" w:rsidRDefault="00465787">
      <w:pPr>
        <w:widowControl w:val="0"/>
        <w:spacing w:after="120" w:line="240" w:lineRule="auto"/>
        <w:jc w:val="both"/>
        <w:rPr>
          <w:rFonts w:cs="Times New Roman"/>
          <w:noProof/>
          <w:sz w:val="20"/>
        </w:rPr>
      </w:pPr>
      <w:r>
        <w:rPr>
          <w:rFonts w:cs="Times New Roman"/>
          <w:noProof/>
          <w:sz w:val="20"/>
        </w:rPr>
        <w:t xml:space="preserve">The contribution of the 30 regional development plans (RDPs), for the </w:t>
      </w:r>
      <w:r>
        <w:rPr>
          <w:rFonts w:cs="Times New Roman"/>
          <w:noProof/>
          <w:sz w:val="20"/>
        </w:rPr>
        <w:t>first time at regional level and first time steered by regional councils, including three national RDPs and 27 regional, is very diverse to cover environmental pressures.</w:t>
      </w:r>
    </w:p>
    <w:p w:rsidR="00B71C54" w:rsidRDefault="00465787">
      <w:pPr>
        <w:widowControl w:val="0"/>
        <w:spacing w:after="120" w:line="240" w:lineRule="auto"/>
        <w:jc w:val="both"/>
        <w:rPr>
          <w:rFonts w:cs="Times New Roman"/>
          <w:noProof/>
          <w:sz w:val="20"/>
        </w:rPr>
      </w:pPr>
      <w:r>
        <w:rPr>
          <w:rFonts w:cs="Times New Roman"/>
          <w:noProof/>
          <w:sz w:val="20"/>
        </w:rPr>
        <w:t>A large part of the funds is managed at national level so there is little latitude to</w:t>
      </w:r>
      <w:r>
        <w:rPr>
          <w:rFonts w:cs="Times New Roman"/>
          <w:noProof/>
          <w:sz w:val="20"/>
        </w:rPr>
        <w:t xml:space="preserve"> manoeuvre with regard to measures dedicated to young farmers, organic production, or natural constraints (which represents up to 2/.3 of total funds in some regions). </w:t>
      </w:r>
    </w:p>
    <w:p w:rsidR="00B71C54" w:rsidRDefault="00465787">
      <w:pPr>
        <w:widowControl w:val="0"/>
        <w:spacing w:after="120" w:line="240" w:lineRule="auto"/>
        <w:jc w:val="both"/>
        <w:rPr>
          <w:rFonts w:cs="Times New Roman"/>
          <w:noProof/>
          <w:sz w:val="20"/>
        </w:rPr>
      </w:pPr>
      <w:r>
        <w:rPr>
          <w:rFonts w:cs="Times New Roman"/>
          <w:noProof/>
          <w:sz w:val="20"/>
        </w:rPr>
        <w:t>As regards to AEC measures, the national framework contains around 70 types of operatio</w:t>
      </w:r>
      <w:r>
        <w:rPr>
          <w:rFonts w:cs="Times New Roman"/>
          <w:noProof/>
          <w:sz w:val="20"/>
        </w:rPr>
        <w:t>n (TOs) validated by the European Commission, addressing various environmental issues. The content of the measures has been discussed since 2012 in partnership with all stakeholders involved (ministries of agriculture and environment, managing authorities,</w:t>
      </w:r>
      <w:r>
        <w:rPr>
          <w:rFonts w:cs="Times New Roman"/>
          <w:noProof/>
          <w:sz w:val="20"/>
        </w:rPr>
        <w:t xml:space="preserve"> representatives of farmers, NGOs, scientists and technical experts).</w:t>
      </w:r>
    </w:p>
    <w:p w:rsidR="00B71C54" w:rsidRDefault="00465787">
      <w:pPr>
        <w:widowControl w:val="0"/>
        <w:spacing w:after="120" w:line="240" w:lineRule="auto"/>
        <w:jc w:val="both"/>
        <w:rPr>
          <w:rFonts w:cs="Times New Roman"/>
          <w:noProof/>
          <w:sz w:val="20"/>
        </w:rPr>
      </w:pPr>
      <w:r>
        <w:rPr>
          <w:rFonts w:cs="Times New Roman"/>
          <w:noProof/>
          <w:sz w:val="20"/>
        </w:rPr>
        <w:t xml:space="preserve">Each managing authority specifies the strategy of intervention for its region in the Rural Development Program (according to the needs identified by a SWOT analysis), by identifying the </w:t>
      </w:r>
      <w:r>
        <w:rPr>
          <w:rFonts w:cs="Times New Roman"/>
          <w:noProof/>
          <w:sz w:val="20"/>
        </w:rPr>
        <w:t>areas with environmental issues and the TOs that can be used in these areas to address the issues. In addition, the content of some TOs of the national framework can be adjusted according to regional or sub-regional specificities.</w:t>
      </w:r>
    </w:p>
    <w:p w:rsidR="00B71C54" w:rsidRDefault="00465787">
      <w:pPr>
        <w:widowControl w:val="0"/>
        <w:spacing w:after="120" w:line="240" w:lineRule="auto"/>
        <w:jc w:val="both"/>
        <w:rPr>
          <w:rFonts w:cs="Times New Roman"/>
          <w:noProof/>
          <w:sz w:val="20"/>
        </w:rPr>
      </w:pPr>
      <w:r>
        <w:rPr>
          <w:rFonts w:cs="Times New Roman"/>
          <w:noProof/>
          <w:sz w:val="20"/>
        </w:rPr>
        <w:t>Within each region, local</w:t>
      </w:r>
      <w:r>
        <w:rPr>
          <w:rFonts w:cs="Times New Roman"/>
          <w:noProof/>
          <w:sz w:val="20"/>
        </w:rPr>
        <w:t xml:space="preserve"> operators submit agri-environmental-climate projects within the areas identified by the managing authority, in response to call for projects. The managing authority selects the projects which are the most relevant as regards to the environmental issues of</w:t>
      </w:r>
      <w:r>
        <w:rPr>
          <w:rFonts w:cs="Times New Roman"/>
          <w:noProof/>
          <w:sz w:val="20"/>
        </w:rPr>
        <w:t xml:space="preserve"> the territory. .  </w:t>
      </w:r>
    </w:p>
    <w:p w:rsidR="00B71C54" w:rsidRDefault="00465787">
      <w:pPr>
        <w:widowControl w:val="0"/>
        <w:spacing w:after="120" w:line="240" w:lineRule="auto"/>
        <w:jc w:val="both"/>
        <w:rPr>
          <w:rFonts w:cs="Times New Roman"/>
          <w:noProof/>
          <w:sz w:val="20"/>
        </w:rPr>
      </w:pPr>
      <w:r>
        <w:rPr>
          <w:rFonts w:cs="Times New Roman"/>
          <w:noProof/>
          <w:sz w:val="20"/>
        </w:rPr>
        <w:t xml:space="preserve">In southern regions, where water resources are limited in summer, a number of water storage projects (in particular to reduce water withdrawals in summer) and possibly new irrigated areas are being considered. Their implementation will </w:t>
      </w:r>
      <w:r>
        <w:rPr>
          <w:rFonts w:cs="Times New Roman"/>
          <w:noProof/>
          <w:sz w:val="20"/>
        </w:rPr>
        <w:t>depend on dialogue with local populations and institutions and the projects will have to comply with the environmental regulations and financing rules in place in particular water framework Directive (WFD) and art 46 of EAFRD Regulation.  Additional measur</w:t>
      </w:r>
      <w:r>
        <w:rPr>
          <w:rFonts w:cs="Times New Roman"/>
          <w:noProof/>
          <w:sz w:val="20"/>
        </w:rPr>
        <w:t xml:space="preserve">es going beyond the obligations under the Nitrates Directive and the WFD need to be considered, in particular in the course of RDP modifications  As in others EU countries, direct payments represent most  of French farmers support (except on less favoured </w:t>
      </w:r>
      <w:r>
        <w:rPr>
          <w:rFonts w:cs="Times New Roman"/>
          <w:noProof/>
          <w:sz w:val="20"/>
        </w:rPr>
        <w:t>areas). The issue of the environment has progressively been introduced for direct payment by conditionality and greening. However the large choice for EFA with no indication whether inputs are allowed and the equivalence with maize monoculture for diversif</w:t>
      </w:r>
      <w:r>
        <w:rPr>
          <w:rFonts w:cs="Times New Roman"/>
          <w:noProof/>
          <w:sz w:val="20"/>
        </w:rPr>
        <w:t>ication, might undermine the environment impact of the greening.</w:t>
      </w: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pPr>
    </w:p>
    <w:p w:rsidR="00B71C54" w:rsidRDefault="00B71C54">
      <w:pPr>
        <w:widowControl w:val="0"/>
        <w:spacing w:after="120" w:line="240" w:lineRule="auto"/>
        <w:jc w:val="both"/>
        <w:rPr>
          <w:rFonts w:cs="Times New Roman"/>
          <w:noProof/>
          <w:sz w:val="20"/>
        </w:rPr>
        <w:sectPr w:rsidR="00B71C54">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440" w:right="1080" w:bottom="1440" w:left="1080" w:header="708" w:footer="708" w:gutter="0"/>
          <w:cols w:num="2" w:space="340"/>
          <w:docGrid w:linePitch="360"/>
        </w:sectPr>
      </w:pPr>
    </w:p>
    <w:p w:rsidR="00B71C54" w:rsidRDefault="00465787">
      <w:pPr>
        <w:widowControl w:val="0"/>
        <w:spacing w:after="0" w:line="240" w:lineRule="auto"/>
        <w:outlineLvl w:val="0"/>
        <w:rPr>
          <w:rFonts w:eastAsiaTheme="majorEastAsia" w:cstheme="majorBidi"/>
          <w:b/>
          <w:bCs/>
          <w:noProof/>
          <w:color w:val="1F497D" w:themeColor="text2"/>
          <w:sz w:val="32"/>
          <w:szCs w:val="28"/>
        </w:rPr>
      </w:pPr>
      <w:r>
        <w:rPr>
          <w:rFonts w:eastAsiaTheme="majorEastAsia" w:cstheme="majorBidi"/>
          <w:b/>
          <w:bCs/>
          <w:noProof/>
          <w:color w:val="1F497D" w:themeColor="text2"/>
          <w:sz w:val="32"/>
          <w:szCs w:val="28"/>
        </w:rPr>
        <w:br w:type="page"/>
      </w:r>
    </w:p>
    <w:p w:rsidR="00B71C54" w:rsidRDefault="00B71C54">
      <w:pPr>
        <w:widowControl w:val="0"/>
        <w:spacing w:after="0" w:line="240" w:lineRule="auto"/>
        <w:jc w:val="center"/>
        <w:outlineLvl w:val="0"/>
        <w:rPr>
          <w:rFonts w:eastAsiaTheme="majorEastAsia" w:cstheme="majorBidi"/>
          <w:b/>
          <w:bCs/>
          <w:noProof/>
          <w:color w:val="1F497D" w:themeColor="text2"/>
          <w:sz w:val="32"/>
          <w:szCs w:val="28"/>
        </w:rPr>
        <w:sectPr w:rsidR="00B71C54">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080" w:bottom="1440" w:left="1080" w:header="708" w:footer="708" w:gutter="0"/>
          <w:cols w:space="566"/>
          <w:docGrid w:linePitch="360"/>
        </w:sectPr>
      </w:pPr>
    </w:p>
    <w:p w:rsidR="00B71C54" w:rsidRDefault="00465787">
      <w:pPr>
        <w:widowControl w:val="0"/>
        <w:spacing w:after="0" w:line="240" w:lineRule="auto"/>
        <w:jc w:val="center"/>
        <w:outlineLvl w:val="0"/>
        <w:rPr>
          <w:rFonts w:eastAsiaTheme="majorEastAsia" w:cstheme="majorBidi"/>
          <w:b/>
          <w:bCs/>
          <w:noProof/>
          <w:color w:val="1F497D" w:themeColor="text2"/>
          <w:sz w:val="32"/>
          <w:szCs w:val="28"/>
        </w:rPr>
        <w:sectPr w:rsidR="00B71C54">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440" w:right="1080" w:bottom="1440" w:left="1080" w:header="708" w:footer="708" w:gutter="0"/>
          <w:cols w:space="566"/>
          <w:docGrid w:linePitch="360"/>
        </w:sectPr>
      </w:pPr>
      <w:bookmarkStart w:id="52" w:name="_Toc472694767"/>
      <w:r>
        <w:rPr>
          <w:rFonts w:eastAsiaTheme="majorEastAsia" w:cstheme="majorBidi"/>
          <w:b/>
          <w:bCs/>
          <w:noProof/>
          <w:color w:val="1F497D" w:themeColor="text2"/>
          <w:sz w:val="32"/>
          <w:szCs w:val="28"/>
        </w:rPr>
        <w:t>5. Effective governance and knowledge</w:t>
      </w:r>
      <w:bookmarkEnd w:id="52"/>
      <w:r>
        <w:rPr>
          <w:rFonts w:eastAsiaTheme="majorEastAsia" w:cstheme="majorBidi"/>
          <w:b/>
          <w:bCs/>
          <w:noProof/>
          <w:color w:val="1F497D" w:themeColor="text2"/>
          <w:sz w:val="32"/>
          <w:szCs w:val="28"/>
        </w:rPr>
        <w:t xml:space="preserve">  </w:t>
      </w:r>
    </w:p>
    <w:p w:rsidR="00B71C54" w:rsidRDefault="00B71C54">
      <w:pPr>
        <w:widowControl w:val="0"/>
        <w:spacing w:after="120" w:line="240" w:lineRule="auto"/>
        <w:jc w:val="both"/>
        <w:rPr>
          <w:rFonts w:cs="Times New Roman"/>
          <w:noProof/>
          <w:sz w:val="20"/>
        </w:rPr>
        <w:sectPr w:rsidR="00B71C54">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440" w:right="1080" w:bottom="1440" w:left="1080" w:header="708" w:footer="708" w:gutter="0"/>
          <w:cols w:num="2" w:space="566"/>
          <w:docGrid w:linePitch="360"/>
        </w:sectPr>
      </w:pPr>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bookmarkStart w:id="53" w:name="_Toc433798401"/>
      <w:r>
        <w:rPr>
          <w:rFonts w:cs="Times New Roman"/>
          <w:noProof/>
          <w:color w:val="FFFFFF" w:themeColor="background1"/>
          <w:sz w:val="20"/>
        </w:rPr>
        <w:t xml:space="preserve">SDG 16 aims at providing access to justice and building effective, accountable and inclusive institutions at all levels. SDG 17 aims at better </w:t>
      </w:r>
      <w:r>
        <w:rPr>
          <w:rFonts w:cs="Times New Roman"/>
          <w:noProof/>
          <w:color w:val="FFFFFF" w:themeColor="background1"/>
          <w:sz w:val="20"/>
        </w:rPr>
        <w:t>implementation, improving policy coordination and policy coherence, stimulating science, technology and innovation, establishing partnerships and developing measurements of progress.</w:t>
      </w:r>
    </w:p>
    <w:p w:rsidR="00B71C54" w:rsidRDefault="00465787">
      <w:pPr>
        <w:widowControl w:val="0"/>
        <w:spacing w:after="120" w:line="240" w:lineRule="auto"/>
        <w:jc w:val="both"/>
        <w:rPr>
          <w:rFonts w:cs="Times New Roman"/>
          <w:noProof/>
          <w:sz w:val="20"/>
        </w:rPr>
      </w:pPr>
      <w:r>
        <w:rPr>
          <w:rFonts w:cs="Times New Roman"/>
          <w:noProof/>
          <w:sz w:val="20"/>
        </w:rPr>
        <w:t>Effective governance of EU environmental legislation and policies require</w:t>
      </w:r>
      <w:r>
        <w:rPr>
          <w:rFonts w:cs="Times New Roman"/>
          <w:noProof/>
          <w:sz w:val="20"/>
        </w:rPr>
        <w:t>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81"/>
      </w:r>
      <w:r>
        <w:rPr>
          <w:rFonts w:cs="Times New Roman"/>
          <w:noProof/>
          <w:sz w:val="20"/>
        </w:rPr>
        <w:t>. Successful implementation depend</w:t>
      </w:r>
      <w:r>
        <w:rPr>
          <w:rFonts w:cs="Times New Roman"/>
          <w:noProof/>
          <w:sz w:val="20"/>
        </w:rPr>
        <w:t>s, to a large extent, on central, regional and local government fulfilling key legislative and administrative tasks, notably adoption of sound implementing legislation, co-ordinated action to meet environmental objectives and correct decision-making on mat</w:t>
      </w:r>
      <w:r>
        <w:rPr>
          <w:rFonts w:cs="Times New Roman"/>
          <w:noProof/>
          <w:sz w:val="20"/>
        </w:rPr>
        <w:t>ters such as industrial permits. Beyond fulfilment of these tasks, government must intervene to ensure day-to-day compliance by economic operators, utilities and individuals ("compliance assurance"). Civil society also has a role to play, including through</w:t>
      </w:r>
      <w:r>
        <w:rPr>
          <w:rFonts w:cs="Times New Roman"/>
          <w:noProof/>
          <w:sz w:val="20"/>
        </w:rPr>
        <w:t xml:space="preserve"> legal action. To underpin the roles of all actors, it is crucial to collect and share knowledge and evidence on the state of the environment and on environmental pressures, drivers and impacts.</w:t>
      </w:r>
    </w:p>
    <w:p w:rsidR="00B71C54" w:rsidRDefault="00465787">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w:t>
      </w:r>
      <w:r>
        <w:rPr>
          <w:rFonts w:cs="Times New Roman"/>
          <w:noProof/>
          <w:sz w:val="20"/>
          <w:szCs w:val="20"/>
          <w:lang w:val="en-US"/>
        </w:rPr>
        <w:t xml:space="preserve"> and policies benefits from a dialogue within Member States and between Member States and the Commission on whether the current EU environmental legislation is fit for purpose. Legislation can only be properly implemented when it takes into account experie</w:t>
      </w:r>
      <w:r>
        <w:rPr>
          <w:rFonts w:cs="Times New Roman"/>
          <w:noProof/>
          <w:sz w:val="20"/>
          <w:szCs w:val="20"/>
          <w:lang w:val="en-US"/>
        </w:rPr>
        <w:t>nces at Member State level with putting EU commitments into effect. The Make it Work initiative, a Member State driven project, established in 2014, organizes a discussion on how the clarity, coherence and structure of EU environmental legislation can be i</w:t>
      </w:r>
      <w:r>
        <w:rPr>
          <w:rFonts w:cs="Times New Roman"/>
          <w:noProof/>
          <w:sz w:val="20"/>
          <w:szCs w:val="20"/>
          <w:lang w:val="en-US"/>
        </w:rPr>
        <w:t>mproved, without lowering existing protection standards.</w:t>
      </w:r>
    </w:p>
    <w:p w:rsidR="00B71C54" w:rsidRDefault="00465787">
      <w:pPr>
        <w:widowControl w:val="0"/>
        <w:spacing w:after="120" w:line="240" w:lineRule="auto"/>
        <w:outlineLvl w:val="1"/>
        <w:rPr>
          <w:rFonts w:cs="Times New Roman"/>
          <w:b/>
          <w:noProof/>
          <w:color w:val="1F497D" w:themeColor="text2"/>
          <w:sz w:val="24"/>
          <w:szCs w:val="20"/>
        </w:rPr>
      </w:pPr>
      <w:bookmarkStart w:id="54" w:name="_Toc455589321"/>
      <w:bookmarkStart w:id="55" w:name="_Toc472694768"/>
      <w:r>
        <w:rPr>
          <w:rFonts w:cs="Times New Roman"/>
          <w:b/>
          <w:noProof/>
          <w:color w:val="1F497D" w:themeColor="text2"/>
          <w:sz w:val="24"/>
          <w:szCs w:val="20"/>
        </w:rPr>
        <w:t>Effective governance within central, regional and local government</w:t>
      </w:r>
      <w:bookmarkEnd w:id="54"/>
      <w:bookmarkEnd w:id="55"/>
    </w:p>
    <w:p w:rsidR="00B71C54" w:rsidRDefault="0046578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w:t>
      </w:r>
      <w:r>
        <w:rPr>
          <w:rFonts w:cs="Times New Roman"/>
          <w:noProof/>
          <w:color w:val="FFFFFF" w:themeColor="background1"/>
          <w:sz w:val="20"/>
        </w:rPr>
        <w:t>owledge, tools and capacity to improve the delivery of benefits from that legislation, and the governance of the enforcement process.</w:t>
      </w:r>
    </w:p>
    <w:p w:rsidR="00B71C54" w:rsidRDefault="00465787">
      <w:pPr>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Capacity to implement rules</w:t>
      </w:r>
    </w:p>
    <w:p w:rsidR="00B71C54" w:rsidRDefault="00465787">
      <w:pPr>
        <w:widowControl w:val="0"/>
        <w:spacing w:after="120" w:line="240" w:lineRule="auto"/>
        <w:jc w:val="both"/>
        <w:rPr>
          <w:rFonts w:cs="Times New Roman"/>
          <w:noProof/>
          <w:sz w:val="20"/>
        </w:rPr>
      </w:pPr>
      <w:r>
        <w:rPr>
          <w:rFonts w:cs="Times New Roman"/>
          <w:noProof/>
          <w:sz w:val="20"/>
        </w:rPr>
        <w:t>It is crucial that central, regional and local administrations have the necessary capacities a</w:t>
      </w:r>
      <w:r>
        <w:rPr>
          <w:rFonts w:cs="Times New Roman"/>
          <w:noProof/>
          <w:sz w:val="20"/>
        </w:rPr>
        <w:t>nd skills and training to carry out their own tasks and co-operate and co-ordinate effectively with each other, within a system of multi-level governance.</w:t>
      </w:r>
    </w:p>
    <w:p w:rsidR="00B71C54" w:rsidRDefault="00465787">
      <w:pPr>
        <w:widowControl w:val="0"/>
        <w:spacing w:after="120" w:line="240" w:lineRule="auto"/>
        <w:jc w:val="both"/>
        <w:rPr>
          <w:rFonts w:cs="Times New Roman"/>
          <w:noProof/>
          <w:sz w:val="20"/>
        </w:rPr>
      </w:pPr>
      <w:r>
        <w:rPr>
          <w:rFonts w:cs="Times New Roman"/>
          <w:noProof/>
          <w:sz w:val="20"/>
        </w:rPr>
        <w:t>The 2013 European Quality of Government Index (EQI) puts France in 10th place out of the 28 Member St</w:t>
      </w:r>
      <w:r>
        <w:rPr>
          <w:rFonts w:cs="Times New Roman"/>
          <w:noProof/>
          <w:sz w:val="20"/>
        </w:rPr>
        <w:t>ates</w:t>
      </w:r>
      <w:r>
        <w:rPr>
          <w:rFonts w:cs="Times New Roman"/>
          <w:noProof/>
          <w:sz w:val="20"/>
          <w:vertAlign w:val="superscript"/>
        </w:rPr>
        <w:footnoteReference w:id="82"/>
      </w:r>
      <w:r>
        <w:rPr>
          <w:rFonts w:cs="Times New Roman"/>
          <w:noProof/>
          <w:sz w:val="20"/>
        </w:rPr>
        <w:t>. The EQI shows notable cross-regional variation in France: with high performing regions (e.g. Brittany) ranking amongst the top EU regions, whilst others perform below the EU average.</w:t>
      </w:r>
    </w:p>
    <w:p w:rsidR="00B71C54" w:rsidRDefault="00465787">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78D4E07D" wp14:editId="19B51D6A">
            <wp:extent cx="2980690" cy="1676802"/>
            <wp:effectExtent l="0" t="0" r="0" b="0"/>
            <wp:docPr id="37" name="Picture 37" descr="C:\Users\schwemi\AppData\Local\Microsoft\Windows\Temporary Internet Files\Content.Word\iStock_73356429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wemi\AppData\Local\Microsoft\Windows\Temporary Internet Files\Content.Word\iStock_73356429_LARGE.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80690" cy="1676802"/>
                    </a:xfrm>
                    <a:prstGeom prst="rect">
                      <a:avLst/>
                    </a:prstGeom>
                    <a:noFill/>
                    <a:ln>
                      <a:noFill/>
                    </a:ln>
                  </pic:spPr>
                </pic:pic>
              </a:graphicData>
            </a:graphic>
          </wp:inline>
        </w:drawing>
      </w:r>
    </w:p>
    <w:p w:rsidR="00B71C54" w:rsidRDefault="00465787">
      <w:pPr>
        <w:widowControl w:val="0"/>
        <w:spacing w:after="120" w:line="240" w:lineRule="auto"/>
        <w:jc w:val="both"/>
        <w:rPr>
          <w:rFonts w:cs="Times New Roman"/>
          <w:noProof/>
          <w:sz w:val="20"/>
        </w:rPr>
      </w:pPr>
      <w:r>
        <w:rPr>
          <w:rFonts w:cs="Times New Roman"/>
          <w:noProof/>
          <w:sz w:val="20"/>
          <w:szCs w:val="20"/>
        </w:rPr>
        <w:t xml:space="preserve">Impact assessments are important tools to ensure environmental </w:t>
      </w:r>
      <w:r>
        <w:rPr>
          <w:rFonts w:cs="Times New Roman"/>
          <w:noProof/>
          <w:sz w:val="20"/>
          <w:szCs w:val="20"/>
        </w:rPr>
        <w:t>integration in all government policies.</w:t>
      </w:r>
      <w:r>
        <w:rPr>
          <w:rFonts w:cs="Times New Roman"/>
          <w:noProof/>
          <w:sz w:val="20"/>
          <w:szCs w:val="20"/>
          <w:vertAlign w:val="superscript"/>
        </w:rPr>
        <w:footnoteReference w:id="83"/>
      </w:r>
      <w:r>
        <w:rPr>
          <w:rFonts w:cs="Times New Roman"/>
          <w:noProof/>
          <w:sz w:val="20"/>
        </w:rPr>
        <w:t xml:space="preserve"> The transposition of the revised EIA Directive</w:t>
      </w:r>
      <w:r>
        <w:rPr>
          <w:rFonts w:cs="Times New Roman"/>
          <w:noProof/>
          <w:sz w:val="20"/>
          <w:vertAlign w:val="superscript"/>
        </w:rPr>
        <w:footnoteReference w:id="84"/>
      </w:r>
      <w:r>
        <w:rPr>
          <w:rFonts w:cs="Times New Roman"/>
          <w:noProof/>
          <w:sz w:val="20"/>
        </w:rPr>
        <w:t xml:space="preserve">  will be an opportunity to streamline the regulatory framework on environmental assessments. The Commission encourages the streamlining of the environmental assessment</w:t>
      </w:r>
      <w:r>
        <w:rPr>
          <w:rFonts w:cs="Times New Roman"/>
          <w:noProof/>
          <w:sz w:val="20"/>
        </w:rPr>
        <w:t>s because this approach reduces duplication and avoids unnecessary overlaps in environmental assessments applicable for a particular project. Moreover, streamlining helps reducing unnecessary administrative burden and accelerates decision-making, without c</w:t>
      </w:r>
      <w:r>
        <w:rPr>
          <w:rFonts w:cs="Times New Roman"/>
          <w:noProof/>
          <w:sz w:val="20"/>
        </w:rPr>
        <w:t>ompromising the quality of the environmental assessment procedure. The Commission has issued a guidance document in 2016 regarding the setting up of coordinated and/or joint procedures that are simultaneously subject to assessments under the EIA Directive,</w:t>
      </w:r>
      <w:r>
        <w:rPr>
          <w:rFonts w:cs="Times New Roman"/>
          <w:noProof/>
          <w:sz w:val="20"/>
        </w:rPr>
        <w:t xml:space="preserve"> Habitats Directive, Water Framework Directive, and the Industrial Emissions Directive</w:t>
      </w:r>
      <w:r>
        <w:rPr>
          <w:rFonts w:ascii="Calibri" w:eastAsia="Calibri" w:hAnsi="Calibri" w:cs="Times New Roman"/>
          <w:noProof/>
          <w:sz w:val="20"/>
          <w:vertAlign w:val="superscript"/>
        </w:rPr>
        <w:footnoteReference w:id="85"/>
      </w:r>
      <w:r>
        <w:rPr>
          <w:rFonts w:cs="Times New Roman"/>
          <w:noProof/>
          <w:sz w:val="20"/>
        </w:rPr>
        <w:t>.</w:t>
      </w:r>
    </w:p>
    <w:p w:rsidR="00B71C54" w:rsidRDefault="00465787">
      <w:pPr>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Coordination and integration</w:t>
      </w:r>
    </w:p>
    <w:p w:rsidR="00B71C54" w:rsidRDefault="00465787">
      <w:pPr>
        <w:widowControl w:val="0"/>
        <w:spacing w:after="120" w:line="240" w:lineRule="auto"/>
        <w:jc w:val="both"/>
        <w:rPr>
          <w:rFonts w:cs="Times New Roman"/>
          <w:noProof/>
          <w:sz w:val="20"/>
        </w:rPr>
      </w:pPr>
      <w:r>
        <w:rPr>
          <w:rFonts w:cs="Times New Roman"/>
          <w:noProof/>
          <w:sz w:val="20"/>
        </w:rPr>
        <w:t xml:space="preserve">Priority Goal no. 7 of the 7th Environment Action Programme aims to "improve environmental integration and policy coherence". This </w:t>
      </w:r>
      <w:r>
        <w:rPr>
          <w:rFonts w:cs="Times New Roman"/>
          <w:noProof/>
          <w:sz w:val="20"/>
        </w:rPr>
        <w:t>objective underlines the challenge of a more effective integration of environmental and climate issues in other policies, and more consistent strategic and coordinated approaches. It is further stated that this requires:</w:t>
      </w:r>
    </w:p>
    <w:p w:rsidR="00B71C54" w:rsidRDefault="00465787">
      <w:pPr>
        <w:widowControl w:val="0"/>
        <w:spacing w:after="120" w:line="240" w:lineRule="auto"/>
        <w:jc w:val="both"/>
        <w:rPr>
          <w:rFonts w:cs="Times New Roman"/>
          <w:noProof/>
          <w:sz w:val="20"/>
        </w:rPr>
      </w:pPr>
      <w:r>
        <w:rPr>
          <w:rFonts w:cs="Times New Roman"/>
          <w:noProof/>
          <w:sz w:val="20"/>
        </w:rPr>
        <w:t xml:space="preserve">"(i) integrating environmental and </w:t>
      </w:r>
      <w:r>
        <w:rPr>
          <w:rFonts w:cs="Times New Roman"/>
          <w:noProof/>
          <w:sz w:val="20"/>
        </w:rPr>
        <w:t>climate-related conditionalities and incentives in policy initiatives, including reviews and reforms of existing policy, as well as new initiatives, at Union and Member State level; […]</w:t>
      </w:r>
    </w:p>
    <w:p w:rsidR="00B71C54" w:rsidRDefault="00465787">
      <w:pPr>
        <w:widowControl w:val="0"/>
        <w:spacing w:after="120" w:line="240" w:lineRule="auto"/>
        <w:jc w:val="both"/>
        <w:rPr>
          <w:rFonts w:cs="Times New Roman"/>
          <w:noProof/>
          <w:sz w:val="20"/>
        </w:rPr>
      </w:pPr>
      <w:r>
        <w:rPr>
          <w:rFonts w:cs="Times New Roman"/>
          <w:noProof/>
          <w:sz w:val="20"/>
        </w:rPr>
        <w:t>(v) addressing potential trade-offs in all policies in order to maximi</w:t>
      </w:r>
      <w:r>
        <w:rPr>
          <w:rFonts w:cs="Times New Roman"/>
          <w:noProof/>
          <w:sz w:val="20"/>
        </w:rPr>
        <w:t>se synergies and avoid, reduce and, if possible, remedy unintended negative effects on the environment."</w:t>
      </w:r>
    </w:p>
    <w:p w:rsidR="00B71C54" w:rsidRDefault="00465787">
      <w:pPr>
        <w:widowControl w:val="0"/>
        <w:spacing w:after="120" w:line="240" w:lineRule="auto"/>
        <w:jc w:val="both"/>
        <w:rPr>
          <w:rFonts w:cs="Times New Roman"/>
          <w:noProof/>
          <w:sz w:val="20"/>
        </w:rPr>
      </w:pPr>
      <w:r>
        <w:rPr>
          <w:rFonts w:cs="Times New Roman"/>
          <w:noProof/>
          <w:sz w:val="20"/>
        </w:rPr>
        <w:t>This is an important aspect of French policy.</w:t>
      </w:r>
    </w:p>
    <w:p w:rsidR="00B71C54" w:rsidRDefault="00465787">
      <w:pPr>
        <w:widowControl w:val="0"/>
        <w:spacing w:after="120" w:line="240" w:lineRule="auto"/>
        <w:jc w:val="both"/>
        <w:rPr>
          <w:rFonts w:cs="Times New Roman"/>
          <w:noProof/>
          <w:sz w:val="20"/>
        </w:rPr>
      </w:pPr>
      <w:r>
        <w:rPr>
          <w:rFonts w:cs="Times New Roman"/>
          <w:noProof/>
          <w:sz w:val="20"/>
        </w:rPr>
        <w:t xml:space="preserve">To ensure the coherence and integration of environmental issues into all government policies, France has </w:t>
      </w:r>
      <w:r>
        <w:rPr>
          <w:rFonts w:cs="Times New Roman"/>
          <w:noProof/>
          <w:sz w:val="20"/>
        </w:rPr>
        <w:t>set up a system involving all ministries and stakeholders in society. The National Ecological Transition Council (CNTE) includes representatives of environmental protection associations, trades unions, employers' organizations, and associations representin</w:t>
      </w:r>
      <w:r>
        <w:rPr>
          <w:rFonts w:cs="Times New Roman"/>
          <w:noProof/>
          <w:sz w:val="20"/>
        </w:rPr>
        <w:t>g civil society, local authorities and parliamentarians. The CNTE is consulted on national legislation and strategies on sustainable development.</w:t>
      </w:r>
    </w:p>
    <w:p w:rsidR="00B71C54" w:rsidRDefault="00465787">
      <w:pPr>
        <w:widowControl w:val="0"/>
        <w:spacing w:after="120" w:line="240" w:lineRule="auto"/>
        <w:jc w:val="both"/>
        <w:rPr>
          <w:rFonts w:cs="Times New Roman"/>
          <w:noProof/>
          <w:sz w:val="20"/>
          <w:szCs w:val="20"/>
        </w:rPr>
      </w:pPr>
      <w:r>
        <w:rPr>
          <w:rFonts w:cs="Times New Roman"/>
          <w:noProof/>
          <w:sz w:val="20"/>
        </w:rPr>
        <w:t xml:space="preserve">Its task is also to prepare and follow environmental conferences. These annual conferences are an opportunity </w:t>
      </w:r>
      <w:r>
        <w:rPr>
          <w:rFonts w:cs="Times New Roman"/>
          <w:noProof/>
          <w:sz w:val="20"/>
        </w:rPr>
        <w:t>for stakeholders to discuss directly with Ministers the Government's work program on ecological transition. The implementation of the roadmaps it produces are subject to regular monitoring by the members of the CNTE, for which each department is accountabl</w:t>
      </w:r>
      <w:r>
        <w:rPr>
          <w:rFonts w:cs="Times New Roman"/>
          <w:noProof/>
          <w:sz w:val="20"/>
        </w:rPr>
        <w:t>e for the progress of commitments. More generally, the Interministerial Delegate for Sustainable Development coordinates public policy for ecological transition through the network of Senior Officials for Sustainable Development in each ministry. Impact as</w:t>
      </w:r>
      <w:r>
        <w:rPr>
          <w:rFonts w:cs="Times New Roman"/>
          <w:noProof/>
          <w:sz w:val="20"/>
        </w:rPr>
        <w:t xml:space="preserve">sessments are important tools to ensure environmental integration in all government policies.  </w:t>
      </w:r>
    </w:p>
    <w:p w:rsidR="00B71C54" w:rsidRDefault="00465787">
      <w:pPr>
        <w:widowControl w:val="0"/>
        <w:spacing w:after="120" w:line="240" w:lineRule="auto"/>
        <w:jc w:val="both"/>
        <w:rPr>
          <w:rFonts w:cs="Times New Roman"/>
          <w:noProof/>
          <w:sz w:val="20"/>
        </w:rPr>
      </w:pPr>
      <w:r>
        <w:rPr>
          <w:rFonts w:cs="Times New Roman"/>
          <w:noProof/>
          <w:sz w:val="20"/>
        </w:rPr>
        <w:t>An autonomous national environmental authority provides opinions on the environmental impact assessment of major public plans and projects at national level (CG</w:t>
      </w:r>
      <w:r>
        <w:rPr>
          <w:rFonts w:cs="Times New Roman"/>
          <w:noProof/>
          <w:sz w:val="20"/>
        </w:rPr>
        <w:t>EDD). The OECD has highlighted the importance of this body</w:t>
      </w:r>
      <w:r>
        <w:rPr>
          <w:rFonts w:cs="Times New Roman"/>
          <w:noProof/>
          <w:sz w:val="20"/>
          <w:vertAlign w:val="superscript"/>
        </w:rPr>
        <w:footnoteReference w:id="86"/>
      </w:r>
      <w:r>
        <w:rPr>
          <w:rFonts w:cs="Times New Roman"/>
          <w:noProof/>
          <w:sz w:val="20"/>
        </w:rPr>
        <w:t xml:space="preserve">.  </w:t>
      </w:r>
    </w:p>
    <w:p w:rsidR="00B71C54" w:rsidRDefault="00465787">
      <w:pPr>
        <w:widowControl w:val="0"/>
        <w:spacing w:after="120" w:line="240" w:lineRule="auto"/>
        <w:jc w:val="both"/>
        <w:rPr>
          <w:rFonts w:cs="Times New Roman"/>
          <w:noProof/>
          <w:sz w:val="20"/>
        </w:rPr>
      </w:pPr>
      <w:r>
        <w:rPr>
          <w:rFonts w:cs="Times New Roman"/>
          <w:noProof/>
          <w:sz w:val="20"/>
        </w:rPr>
        <w:t>France has recently revised its legislation relating to the regional organisation of the consultative authority having environmental responsibilities in order to align it to Directive 2001/42/E</w:t>
      </w:r>
      <w:r>
        <w:rPr>
          <w:rFonts w:cs="Times New Roman"/>
          <w:noProof/>
          <w:sz w:val="20"/>
        </w:rPr>
        <w:t>C (SEA). A body representing the national environmental authority will be set up in each of the 13 Regions. These bodies will be functionally separated from the public authorities in charge of approving plans and programmes with environmental effects.</w:t>
      </w:r>
    </w:p>
    <w:p w:rsidR="00B71C54" w:rsidRDefault="00465787">
      <w:pPr>
        <w:widowControl w:val="0"/>
        <w:spacing w:after="120" w:line="240" w:lineRule="auto"/>
        <w:jc w:val="both"/>
        <w:rPr>
          <w:rFonts w:cs="Times New Roman"/>
          <w:noProof/>
          <w:sz w:val="20"/>
        </w:rPr>
      </w:pPr>
      <w:r>
        <w:rPr>
          <w:rFonts w:cs="Times New Roman"/>
          <w:noProof/>
          <w:sz w:val="20"/>
        </w:rPr>
        <w:t>Such</w:t>
      </w:r>
      <w:r>
        <w:rPr>
          <w:rFonts w:cs="Times New Roman"/>
          <w:noProof/>
          <w:sz w:val="20"/>
        </w:rPr>
        <w:t xml:space="preserve"> a step should be taken regarding the 2011/92 EIA Directive in the framework of the transposition of its amending Directive (2014/52). </w:t>
      </w:r>
    </w:p>
    <w:p w:rsidR="00B71C54" w:rsidRDefault="0046578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71C54" w:rsidRDefault="00465787">
      <w:pPr>
        <w:pStyle w:val="NoSpacing"/>
        <w:widowControl w:val="0"/>
        <w:spacing w:after="240"/>
        <w:rPr>
          <w:noProof/>
        </w:rPr>
      </w:pPr>
      <w:r>
        <w:rPr>
          <w:noProof/>
        </w:rPr>
        <w:t xml:space="preserve">Ensure that the opinion on the assessment of the effects of certain public and private projects on the </w:t>
      </w:r>
      <w:r>
        <w:rPr>
          <w:noProof/>
        </w:rPr>
        <w:t>environment referred to in Article 6 of the EIA Directive as amended is delivered by a functionally independent authority.</w:t>
      </w:r>
    </w:p>
    <w:p w:rsidR="00B71C54" w:rsidRDefault="00465787">
      <w:pPr>
        <w:widowControl w:val="0"/>
        <w:spacing w:after="120" w:line="240" w:lineRule="auto"/>
        <w:outlineLvl w:val="1"/>
        <w:rPr>
          <w:rFonts w:cs="Times New Roman"/>
          <w:b/>
          <w:noProof/>
          <w:color w:val="000000" w:themeColor="text1"/>
          <w:sz w:val="24"/>
          <w:szCs w:val="20"/>
        </w:rPr>
      </w:pPr>
      <w:bookmarkStart w:id="56" w:name="_Toc472694769"/>
      <w:r>
        <w:rPr>
          <w:rFonts w:cs="Times New Roman"/>
          <w:b/>
          <w:noProof/>
          <w:color w:val="1F497D" w:themeColor="text2"/>
          <w:sz w:val="24"/>
          <w:szCs w:val="20"/>
        </w:rPr>
        <w:t>Compliance assurance</w:t>
      </w:r>
      <w:bookmarkEnd w:id="56"/>
    </w:p>
    <w:p w:rsidR="00B71C54" w:rsidRDefault="0046578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environmental liability </w:t>
      </w:r>
      <w:r>
        <w:rPr>
          <w:rFonts w:cs="Times New Roman"/>
          <w:noProof/>
          <w:color w:val="FFFFFF" w:themeColor="background1"/>
          <w:sz w:val="20"/>
        </w:rPr>
        <w:t>help lay the basis for the systems Member States need to have in place to secure compliance with EU environmental rules.</w:t>
      </w:r>
    </w:p>
    <w:p w:rsidR="00B71C54" w:rsidRDefault="00465787">
      <w:pPr>
        <w:widowControl w:val="0"/>
        <w:spacing w:after="120" w:line="240" w:lineRule="auto"/>
        <w:jc w:val="both"/>
        <w:rPr>
          <w:rFonts w:cs="Times New Roman"/>
          <w:noProof/>
          <w:sz w:val="20"/>
        </w:rPr>
      </w:pPr>
      <w:r>
        <w:rPr>
          <w:rFonts w:cs="Times New Roman"/>
          <w:noProof/>
          <w:sz w:val="20"/>
        </w:rPr>
        <w:t>Public authorities help ensure accountability of duty-holders by monitoring and promoting compliance and by taking credible follow-up a</w:t>
      </w:r>
      <w:r>
        <w:rPr>
          <w:rFonts w:cs="Times New Roman"/>
          <w:noProof/>
          <w:sz w:val="20"/>
        </w:rPr>
        <w:t>ction (i.e. enforcement) when breaches occur or liabilities arise. Compliance monitoring can be done both on the initiative of authorities themselves and in response to citizen complaints. It can involve using various kinds of checks, including inspections</w:t>
      </w:r>
      <w:r>
        <w:rPr>
          <w:rFonts w:cs="Times New Roman"/>
          <w:noProof/>
          <w:sz w:val="20"/>
        </w:rPr>
        <w:t xml:space="preserve"> for permitted activities, surveillance for possible illegal activities, investigations for crimes and audits for systemic weaknesses. Similarly, there is a range of means to promote compliance, including awareness-raising campaigns and use of guidance doc</w:t>
      </w:r>
      <w:r>
        <w:rPr>
          <w:rFonts w:cs="Times New Roman"/>
          <w:noProof/>
          <w:sz w:val="20"/>
        </w:rPr>
        <w:t>uments and online information tools. Follow-up to breaches and liabilities can include administrative action (e.g. withdrawal of a permit), use of criminal law</w:t>
      </w:r>
      <w:r>
        <w:rPr>
          <w:rFonts w:cs="Times New Roman"/>
          <w:noProof/>
          <w:sz w:val="20"/>
          <w:vertAlign w:val="superscript"/>
        </w:rPr>
        <w:footnoteReference w:id="87"/>
      </w:r>
      <w:r>
        <w:rPr>
          <w:rFonts w:cs="Times New Roman"/>
          <w:noProof/>
          <w:sz w:val="20"/>
        </w:rPr>
        <w:t xml:space="preserve"> and action under liability law (e.g. required remediation after damage from an accident using l</w:t>
      </w:r>
      <w:r>
        <w:rPr>
          <w:rFonts w:cs="Times New Roman"/>
          <w:noProof/>
          <w:sz w:val="20"/>
        </w:rPr>
        <w:t xml:space="preserve">iability rules) and contractual law (e.g. measures to require compliance with nature conservation contracts). Taken together, all of these interventions represent "compliance assurance" as shown in Figure 13. </w:t>
      </w:r>
    </w:p>
    <w:p w:rsidR="00B71C54" w:rsidRDefault="00465787">
      <w:pPr>
        <w:widowControl w:val="0"/>
        <w:spacing w:after="120" w:line="240" w:lineRule="auto"/>
        <w:jc w:val="both"/>
        <w:rPr>
          <w:rFonts w:cs="Times New Roman"/>
          <w:noProof/>
          <w:sz w:val="20"/>
        </w:rPr>
      </w:pPr>
      <w:r>
        <w:rPr>
          <w:rFonts w:cs="Times New Roman"/>
          <w:noProof/>
          <w:sz w:val="20"/>
        </w:rPr>
        <w:t>Best practice has moved towards a risk-based a</w:t>
      </w:r>
      <w:r>
        <w:rPr>
          <w:rFonts w:cs="Times New Roman"/>
          <w:noProof/>
          <w:sz w:val="20"/>
        </w:rPr>
        <w:t>pproach at strategic and operational levels in which the best mix of compliance monitoring, promotion and enforcement is directed at the most serious problems. Best practice also recognises the need for coordination and cooperation between different author</w:t>
      </w:r>
      <w:r>
        <w:rPr>
          <w:rFonts w:cs="Times New Roman"/>
          <w:noProof/>
          <w:sz w:val="20"/>
        </w:rPr>
        <w:t>ities to ensure consistency, avoid duplication of work and reduce administrative burden. Active participation in established pan-European networks of inspectors, police, prosecutors and judges, such as</w:t>
      </w:r>
      <w:r>
        <w:rPr>
          <w:rFonts w:cs="Times New Roman"/>
          <w:i/>
          <w:noProof/>
          <w:sz w:val="20"/>
        </w:rPr>
        <w:t xml:space="preserve"> IMPEL</w:t>
      </w:r>
      <w:r>
        <w:rPr>
          <w:rFonts w:cs="Times New Roman"/>
          <w:i/>
          <w:noProof/>
          <w:sz w:val="20"/>
          <w:vertAlign w:val="superscript"/>
        </w:rPr>
        <w:footnoteReference w:id="88"/>
      </w:r>
      <w:r>
        <w:rPr>
          <w:rFonts w:cs="Times New Roman"/>
          <w:i/>
          <w:noProof/>
          <w:sz w:val="20"/>
        </w:rPr>
        <w:t>, EUFJE</w:t>
      </w:r>
      <w:r>
        <w:rPr>
          <w:rFonts w:cs="Times New Roman"/>
          <w:i/>
          <w:noProof/>
          <w:sz w:val="20"/>
          <w:vertAlign w:val="superscript"/>
        </w:rPr>
        <w:footnoteReference w:id="89"/>
      </w:r>
      <w:r>
        <w:rPr>
          <w:rFonts w:cs="Times New Roman"/>
          <w:i/>
          <w:noProof/>
          <w:sz w:val="20"/>
        </w:rPr>
        <w:t>, ENPE</w:t>
      </w:r>
      <w:r>
        <w:rPr>
          <w:rFonts w:cs="Times New Roman"/>
          <w:i/>
          <w:noProof/>
          <w:sz w:val="20"/>
          <w:vertAlign w:val="superscript"/>
        </w:rPr>
        <w:footnoteReference w:id="90"/>
      </w:r>
      <w:r>
        <w:rPr>
          <w:rFonts w:cs="Times New Roman"/>
          <w:i/>
          <w:noProof/>
          <w:sz w:val="20"/>
        </w:rPr>
        <w:t xml:space="preserve"> and EnviCrimeNet</w:t>
      </w:r>
      <w:r>
        <w:rPr>
          <w:rFonts w:cs="Times New Roman"/>
          <w:i/>
          <w:noProof/>
          <w:sz w:val="20"/>
          <w:vertAlign w:val="superscript"/>
        </w:rPr>
        <w:footnoteReference w:id="91"/>
      </w:r>
      <w:r>
        <w:rPr>
          <w:rFonts w:cs="Times New Roman"/>
          <w:noProof/>
          <w:sz w:val="20"/>
        </w:rPr>
        <w:t>, is a valuable</w:t>
      </w:r>
      <w:r>
        <w:rPr>
          <w:rFonts w:cs="Times New Roman"/>
          <w:noProof/>
          <w:sz w:val="20"/>
        </w:rPr>
        <w:t xml:space="preserve"> tool for sharing experience and good practices.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71C54">
        <w:tc>
          <w:tcPr>
            <w:tcW w:w="4909" w:type="dxa"/>
          </w:tcPr>
          <w:p w:rsidR="00B71C54" w:rsidRDefault="00465787">
            <w:pPr>
              <w:widowControl w:val="0"/>
              <w:spacing w:after="120"/>
              <w:jc w:val="both"/>
              <w:rPr>
                <w:b/>
                <w:bCs/>
                <w:noProof/>
                <w:color w:val="1F497D" w:themeColor="text2"/>
              </w:rPr>
            </w:pPr>
            <w:r>
              <w:rPr>
                <w:b/>
                <w:bCs/>
                <w:noProof/>
                <w:color w:val="1F497D" w:themeColor="text2"/>
              </w:rPr>
              <w:t>Figure 13: Environmental compliance assurance</w:t>
            </w:r>
          </w:p>
          <w:p w:rsidR="00B71C54" w:rsidRDefault="00465787">
            <w:pPr>
              <w:widowControl w:val="0"/>
              <w:spacing w:after="120"/>
              <w:jc w:val="both"/>
              <w:rPr>
                <w:b/>
                <w:bCs/>
                <w:noProof/>
                <w:color w:val="1F497D" w:themeColor="text2"/>
              </w:rPr>
            </w:pPr>
            <w:r>
              <w:rPr>
                <w:noProof/>
                <w:lang w:eastAsia="en-GB"/>
              </w:rPr>
              <w:drawing>
                <wp:inline distT="0" distB="0" distL="0" distR="0" wp14:anchorId="543624AD" wp14:editId="3C29F164">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B71C54" w:rsidRDefault="00465787">
      <w:pPr>
        <w:widowControl w:val="0"/>
        <w:spacing w:after="120" w:line="240" w:lineRule="auto"/>
        <w:jc w:val="both"/>
        <w:rPr>
          <w:rFonts w:cs="Times New Roman"/>
          <w:noProof/>
          <w:sz w:val="20"/>
        </w:rPr>
      </w:pPr>
      <w:r>
        <w:rPr>
          <w:rFonts w:cs="Times New Roman"/>
          <w:noProof/>
          <w:sz w:val="20"/>
        </w:rPr>
        <w:t>Currently, there exist a number of sectoral obligations on inspections and the EU directive on environmental liability (ELD)</w:t>
      </w:r>
      <w:r>
        <w:rPr>
          <w:rFonts w:cs="Times New Roman"/>
          <w:noProof/>
          <w:sz w:val="20"/>
          <w:vertAlign w:val="superscript"/>
        </w:rPr>
        <w:t xml:space="preserve"> </w:t>
      </w:r>
      <w:r>
        <w:rPr>
          <w:rFonts w:cs="Times New Roman"/>
          <w:noProof/>
          <w:sz w:val="20"/>
          <w:vertAlign w:val="superscript"/>
        </w:rPr>
        <w:footnoteReference w:id="92"/>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existing strengths and weaknesses in each Memb</w:t>
      </w:r>
      <w:r>
        <w:rPr>
          <w:rFonts w:cs="Times New Roman"/>
          <w:noProof/>
          <w:sz w:val="20"/>
        </w:rPr>
        <w:t xml:space="preserve">er State. </w:t>
      </w:r>
    </w:p>
    <w:p w:rsidR="00B71C54" w:rsidRDefault="00465787">
      <w:pPr>
        <w:widowControl w:val="0"/>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key aspects of implementation of the ELD base</w:t>
      </w:r>
      <w:r>
        <w:rPr>
          <w:rFonts w:cs="Times New Roman"/>
          <w:noProof/>
          <w:sz w:val="20"/>
        </w:rPr>
        <w:t>d on the Commission's recently published implementation report and REFIT evaluation.</w:t>
      </w:r>
      <w:r>
        <w:rPr>
          <w:rFonts w:cs="Times New Roman"/>
          <w:noProof/>
          <w:sz w:val="20"/>
          <w:vertAlign w:val="superscript"/>
        </w:rPr>
        <w:footnoteReference w:id="93"/>
      </w:r>
      <w:r>
        <w:rPr>
          <w:rFonts w:cs="Times New Roman"/>
          <w:noProof/>
          <w:sz w:val="20"/>
        </w:rPr>
        <w:t xml:space="preserve"> </w:t>
      </w:r>
    </w:p>
    <w:p w:rsidR="00B71C54" w:rsidRDefault="00465787">
      <w:pPr>
        <w:widowControl w:val="0"/>
        <w:spacing w:after="0" w:line="240" w:lineRule="auto"/>
        <w:jc w:val="both"/>
        <w:rPr>
          <w:rFonts w:cs="Times New Roman"/>
          <w:noProof/>
          <w:sz w:val="20"/>
        </w:rPr>
      </w:pPr>
      <w:r>
        <w:rPr>
          <w:rFonts w:cs="Times New Roman"/>
          <w:noProof/>
          <w:sz w:val="20"/>
        </w:rPr>
        <w:t xml:space="preserve">France has established a range of positive measures to underpin compliance assurance, exemplified by the following: </w:t>
      </w:r>
    </w:p>
    <w:p w:rsidR="00B71C54" w:rsidRDefault="00465787">
      <w:pPr>
        <w:widowControl w:val="0"/>
        <w:numPr>
          <w:ilvl w:val="0"/>
          <w:numId w:val="27"/>
        </w:numPr>
        <w:suppressAutoHyphens/>
        <w:overflowPunct w:val="0"/>
        <w:spacing w:after="0" w:line="240" w:lineRule="auto"/>
        <w:contextualSpacing/>
        <w:jc w:val="both"/>
        <w:rPr>
          <w:rFonts w:cs="Times New Roman"/>
          <w:noProof/>
          <w:sz w:val="20"/>
        </w:rPr>
      </w:pPr>
      <w:r>
        <w:rPr>
          <w:rFonts w:cs="Times New Roman"/>
          <w:noProof/>
          <w:sz w:val="20"/>
        </w:rPr>
        <w:t>Preparation of annual national action plans with the</w:t>
      </w:r>
      <w:r>
        <w:rPr>
          <w:rFonts w:cs="Times New Roman"/>
          <w:noProof/>
          <w:sz w:val="20"/>
        </w:rPr>
        <w:t xml:space="preserve">matic priorities and multiannual strategic programmes for individual industrial sectors; </w:t>
      </w:r>
    </w:p>
    <w:p w:rsidR="00B71C54" w:rsidRDefault="00465787">
      <w:pPr>
        <w:widowControl w:val="0"/>
        <w:numPr>
          <w:ilvl w:val="0"/>
          <w:numId w:val="27"/>
        </w:numPr>
        <w:suppressAutoHyphens/>
        <w:overflowPunct w:val="0"/>
        <w:spacing w:after="0" w:line="240" w:lineRule="auto"/>
        <w:contextualSpacing/>
        <w:jc w:val="both"/>
        <w:rPr>
          <w:rFonts w:cs="Times New Roman"/>
          <w:noProof/>
          <w:sz w:val="20"/>
        </w:rPr>
      </w:pPr>
      <w:r>
        <w:rPr>
          <w:rFonts w:cs="Times New Roman"/>
          <w:noProof/>
          <w:sz w:val="20"/>
        </w:rPr>
        <w:t>Use of electronic databases at national and regional level for sharing inspections reports and measures taken to ensure compliance;</w:t>
      </w:r>
    </w:p>
    <w:p w:rsidR="00B71C54" w:rsidRDefault="00465787">
      <w:pPr>
        <w:widowControl w:val="0"/>
        <w:numPr>
          <w:ilvl w:val="0"/>
          <w:numId w:val="27"/>
        </w:numPr>
        <w:suppressAutoHyphens/>
        <w:overflowPunct w:val="0"/>
        <w:spacing w:after="0" w:line="240" w:lineRule="auto"/>
        <w:contextualSpacing/>
        <w:jc w:val="both"/>
        <w:rPr>
          <w:rFonts w:cs="Times New Roman"/>
          <w:noProof/>
          <w:sz w:val="20"/>
        </w:rPr>
      </w:pPr>
      <w:r>
        <w:rPr>
          <w:rFonts w:cs="Times New Roman"/>
          <w:noProof/>
          <w:sz w:val="20"/>
        </w:rPr>
        <w:t>Moves towards standardisation of t</w:t>
      </w:r>
      <w:r>
        <w:rPr>
          <w:rFonts w:cs="Times New Roman"/>
          <w:noProof/>
          <w:sz w:val="20"/>
        </w:rPr>
        <w:t xml:space="preserve">ools for industrial inspections, such as methodologies for site visits, checklists and formal internal procedures for response to accidents and complaints; </w:t>
      </w:r>
    </w:p>
    <w:p w:rsidR="00B71C54" w:rsidRDefault="00465787">
      <w:pPr>
        <w:widowControl w:val="0"/>
        <w:numPr>
          <w:ilvl w:val="0"/>
          <w:numId w:val="27"/>
        </w:numPr>
        <w:spacing w:after="0" w:line="240" w:lineRule="auto"/>
        <w:contextualSpacing/>
        <w:jc w:val="both"/>
        <w:rPr>
          <w:rFonts w:cs="Times New Roman"/>
          <w:noProof/>
          <w:sz w:val="20"/>
        </w:rPr>
      </w:pPr>
      <w:r>
        <w:rPr>
          <w:rFonts w:cs="Times New Roman"/>
          <w:noProof/>
          <w:sz w:val="20"/>
        </w:rPr>
        <w:t>Use of a set of performance indicators for evaluation of effectiveness of inspection services which</w:t>
      </w:r>
      <w:r>
        <w:rPr>
          <w:rFonts w:cs="Times New Roman"/>
          <w:noProof/>
          <w:sz w:val="20"/>
        </w:rPr>
        <w:t xml:space="preserve"> include parameters related not only to classic inspection work but also to enforcement activities and compliant handling</w:t>
      </w:r>
      <w:r>
        <w:rPr>
          <w:rFonts w:cs="Times New Roman"/>
          <w:noProof/>
          <w:sz w:val="20"/>
          <w:vertAlign w:val="superscript"/>
        </w:rPr>
        <w:footnoteReference w:id="94"/>
      </w:r>
    </w:p>
    <w:p w:rsidR="00B71C54" w:rsidRDefault="00465787">
      <w:pPr>
        <w:widowControl w:val="0"/>
        <w:numPr>
          <w:ilvl w:val="0"/>
          <w:numId w:val="27"/>
        </w:numPr>
        <w:spacing w:after="120" w:line="240" w:lineRule="auto"/>
        <w:contextualSpacing/>
        <w:jc w:val="both"/>
        <w:rPr>
          <w:rFonts w:cs="Times New Roman"/>
          <w:noProof/>
          <w:sz w:val="20"/>
        </w:rPr>
      </w:pPr>
      <w:r>
        <w:rPr>
          <w:rFonts w:cs="Times New Roman"/>
          <w:noProof/>
          <w:sz w:val="20"/>
        </w:rPr>
        <w:t>Support for technical specialisation, including training for police officers dealing with environmental crime</w:t>
      </w:r>
      <w:r>
        <w:rPr>
          <w:rFonts w:cs="Times New Roman"/>
          <w:noProof/>
          <w:sz w:val="20"/>
          <w:vertAlign w:val="superscript"/>
        </w:rPr>
        <w:footnoteReference w:id="95"/>
      </w:r>
      <w:r>
        <w:rPr>
          <w:rFonts w:cs="Times New Roman"/>
          <w:noProof/>
          <w:sz w:val="20"/>
        </w:rPr>
        <w:t xml:space="preserve">. </w:t>
      </w:r>
    </w:p>
    <w:p w:rsidR="00B71C54" w:rsidRDefault="00465787">
      <w:pPr>
        <w:widowControl w:val="0"/>
        <w:spacing w:before="240" w:after="0" w:line="240" w:lineRule="auto"/>
        <w:jc w:val="both"/>
        <w:rPr>
          <w:rFonts w:cs="Times New Roman"/>
          <w:noProof/>
          <w:sz w:val="20"/>
        </w:rPr>
      </w:pPr>
      <w:r>
        <w:rPr>
          <w:rFonts w:cs="Times New Roman"/>
          <w:noProof/>
          <w:sz w:val="20"/>
        </w:rPr>
        <w:t>Up-to-date informati</w:t>
      </w:r>
      <w:r>
        <w:rPr>
          <w:rFonts w:cs="Times New Roman"/>
          <w:noProof/>
          <w:sz w:val="20"/>
        </w:rPr>
        <w:t>on is lacking in relation to the following:</w:t>
      </w:r>
    </w:p>
    <w:p w:rsidR="00B71C54" w:rsidRDefault="00465787">
      <w:pPr>
        <w:widowControl w:val="0"/>
        <w:numPr>
          <w:ilvl w:val="0"/>
          <w:numId w:val="28"/>
        </w:numPr>
        <w:spacing w:after="0" w:line="240" w:lineRule="auto"/>
        <w:contextualSpacing/>
        <w:jc w:val="both"/>
        <w:rPr>
          <w:rFonts w:cs="Times New Roman"/>
          <w:noProof/>
          <w:sz w:val="20"/>
        </w:rPr>
      </w:pPr>
      <w:r>
        <w:rPr>
          <w:rFonts w:cs="Times New Roman"/>
          <w:noProof/>
          <w:sz w:val="20"/>
        </w:rPr>
        <w:t>the extent to which risk-based methods are used to direct compliance assurance relation to specific problem-areas highlighted elsewhere in this Country Report, i.e. illegal landfills, the threats to protected hab</w:t>
      </w:r>
      <w:r>
        <w:rPr>
          <w:rFonts w:cs="Times New Roman"/>
          <w:noProof/>
          <w:sz w:val="20"/>
        </w:rPr>
        <w:t>itat types and species, air quality breaches and the pressures on water quality from point and diffuse pollution, including deficient urban waste-water treatment infrastructure</w:t>
      </w:r>
      <w:r>
        <w:rPr>
          <w:rFonts w:cs="Times New Roman"/>
          <w:noProof/>
          <w:color w:val="000000" w:themeColor="text1"/>
          <w:sz w:val="20"/>
        </w:rPr>
        <w:t xml:space="preserve">. </w:t>
      </w:r>
    </w:p>
    <w:p w:rsidR="00B71C54" w:rsidRDefault="00465787">
      <w:pPr>
        <w:widowControl w:val="0"/>
        <w:spacing w:before="240" w:after="120" w:line="240" w:lineRule="auto"/>
        <w:jc w:val="both"/>
        <w:rPr>
          <w:rFonts w:cs="Times New Roman"/>
          <w:noProof/>
          <w:sz w:val="20"/>
        </w:rPr>
      </w:pPr>
      <w:r>
        <w:rPr>
          <w:rFonts w:cs="Times New Roman"/>
          <w:noProof/>
          <w:sz w:val="20"/>
        </w:rPr>
        <w:t>France has recognised the added value of structured mechanisms for inter-agency coordination. For instance, the OCLAESP, a national office located within the Gendarmerie, was established to co-ordinate enforcement on environmental and public health crime a</w:t>
      </w:r>
      <w:r>
        <w:rPr>
          <w:rFonts w:cs="Times New Roman"/>
          <w:noProof/>
          <w:sz w:val="20"/>
        </w:rPr>
        <w:t xml:space="preserve">cross enforcement agencies, including Customs and the National Hunting and Wildlife Agency (ONCFS). France is active within IMPEL and was amongst the founders of ENPE. </w:t>
      </w:r>
    </w:p>
    <w:p w:rsidR="00B71C54" w:rsidRDefault="00465787">
      <w:pPr>
        <w:widowControl w:val="0"/>
        <w:spacing w:after="120" w:line="240" w:lineRule="auto"/>
        <w:jc w:val="both"/>
        <w:rPr>
          <w:rFonts w:cs="Calibri"/>
          <w:noProof/>
          <w:color w:val="1F497D"/>
          <w:szCs w:val="26"/>
        </w:rPr>
      </w:pPr>
      <w:bookmarkStart w:id="57" w:name="_Toc454457667"/>
      <w:r>
        <w:rPr>
          <w:rFonts w:cs="Times New Roman"/>
          <w:noProof/>
          <w:sz w:val="20"/>
        </w:rPr>
        <w:t>For the reporting period 2007-2013, France has not reported one single incident of envi</w:t>
      </w:r>
      <w:r>
        <w:rPr>
          <w:rFonts w:cs="Times New Roman"/>
          <w:noProof/>
          <w:sz w:val="20"/>
        </w:rPr>
        <w:t>ronmental damage dealt with under the Environmental Liability Directive. The country has developed guidance for the application of the Directive with a strong focus on how to achieve effective remediation, but it applies a very high threshold of damage bef</w:t>
      </w:r>
      <w:r>
        <w:rPr>
          <w:rFonts w:cs="Times New Roman"/>
          <w:noProof/>
          <w:sz w:val="20"/>
        </w:rPr>
        <w:t xml:space="preserve">ore the Directive is considered to apply. There is no mandatory financial security and, while the availability of environmental liability insurance schemes continues to grow, evidence of take-up by operators is lacking. </w:t>
      </w:r>
    </w:p>
    <w:p w:rsidR="00B71C54" w:rsidRDefault="00465787">
      <w:pPr>
        <w:widowControl w:val="0"/>
        <w:spacing w:after="120" w:line="240" w:lineRule="auto"/>
        <w:jc w:val="both"/>
        <w:rPr>
          <w:rFonts w:cs="Times New Roman"/>
          <w:noProof/>
          <w:sz w:val="20"/>
        </w:rPr>
      </w:pPr>
      <w:r>
        <w:rPr>
          <w:rFonts w:cs="Calibri"/>
          <w:noProof/>
          <w:color w:val="1F497D"/>
          <w:szCs w:val="26"/>
        </w:rPr>
        <w:t>Suggested action</w:t>
      </w:r>
    </w:p>
    <w:p w:rsidR="00B71C54" w:rsidRDefault="00465787">
      <w:pPr>
        <w:pStyle w:val="NoSpacing"/>
        <w:widowControl w:val="0"/>
        <w:rPr>
          <w:noProof/>
        </w:rPr>
      </w:pPr>
      <w:r>
        <w:rPr>
          <w:noProof/>
        </w:rPr>
        <w:t>Improve transparen</w:t>
      </w:r>
      <w:r>
        <w:rPr>
          <w:noProof/>
        </w:rPr>
        <w:t>cy on the organisation and functioning of compliance assurance and on how significant risks are addressed, as outlined above.</w:t>
      </w:r>
    </w:p>
    <w:p w:rsidR="00B71C54" w:rsidRDefault="00465787">
      <w:pPr>
        <w:pStyle w:val="NoSpacing"/>
        <w:widowControl w:val="0"/>
        <w:spacing w:after="240"/>
        <w:rPr>
          <w:noProof/>
        </w:rPr>
      </w:pPr>
      <w:r>
        <w:rPr>
          <w:noProof/>
        </w:rPr>
        <w:t xml:space="preserve">The implementation of the Environmental Liability Directive (ELD) should be linked to the establishment of a national register of </w:t>
      </w:r>
      <w:r>
        <w:rPr>
          <w:noProof/>
        </w:rPr>
        <w:t>ELD incidents. It should moreover take further steps to ensure that the environmental liability insurance schemes keep growing in terms of offer and demand.</w:t>
      </w:r>
    </w:p>
    <w:p w:rsidR="00B71C54" w:rsidRDefault="00465787">
      <w:pPr>
        <w:widowControl w:val="0"/>
        <w:spacing w:after="120" w:line="240" w:lineRule="auto"/>
        <w:outlineLvl w:val="1"/>
        <w:rPr>
          <w:rFonts w:cs="Times New Roman"/>
          <w:b/>
          <w:noProof/>
          <w:color w:val="1F497D" w:themeColor="text2"/>
          <w:sz w:val="24"/>
          <w:szCs w:val="20"/>
        </w:rPr>
      </w:pPr>
      <w:bookmarkStart w:id="58" w:name="_Toc472694770"/>
      <w:r>
        <w:rPr>
          <w:rFonts w:cs="Times New Roman"/>
          <w:b/>
          <w:noProof/>
          <w:color w:val="1F497D" w:themeColor="text2"/>
          <w:sz w:val="24"/>
          <w:szCs w:val="20"/>
        </w:rPr>
        <w:t>Public participation and access to justice</w:t>
      </w:r>
      <w:bookmarkEnd w:id="57"/>
      <w:bookmarkEnd w:id="58"/>
    </w:p>
    <w:p w:rsidR="00B71C54" w:rsidRDefault="0046578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related EU legislation on public </w:t>
      </w:r>
      <w:r>
        <w:rPr>
          <w:rFonts w:cs="Times New Roman"/>
          <w:noProof/>
          <w:color w:val="FFFFFF" w:themeColor="background1"/>
          <w:sz w:val="20"/>
        </w:rPr>
        <w:t xml:space="preserve">participation and environmental impact assessment, and the case-law of the Court of Justice require that citizens and their associations should be able to participate in decision-making on projects and plans and should enjoy effective environmental access </w:t>
      </w:r>
      <w:r>
        <w:rPr>
          <w:rFonts w:cs="Times New Roman"/>
          <w:noProof/>
          <w:color w:val="FFFFFF" w:themeColor="background1"/>
          <w:sz w:val="20"/>
        </w:rPr>
        <w:t>to justice.</w:t>
      </w:r>
    </w:p>
    <w:p w:rsidR="00B71C54" w:rsidRDefault="00465787">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Aarhus Conven</w:t>
      </w:r>
      <w:r>
        <w:rPr>
          <w:rFonts w:cs="Times New Roman"/>
          <w:noProof/>
          <w:color w:val="000000" w:themeColor="text1"/>
          <w:sz w:val="20"/>
        </w:rPr>
        <w:t xml:space="preserve">tion"). </w:t>
      </w:r>
      <w:r>
        <w:rPr>
          <w:rFonts w:cs="Times New Roman"/>
          <w:noProof/>
          <w:sz w:val="20"/>
        </w:rPr>
        <w:t xml:space="preserve">Public participation in the administrative decision making process is an important element to ensure that the authority takes its decision on the best possible basis. The Commission intends to examine compliance with mandatory public participation </w:t>
      </w:r>
      <w:r>
        <w:rPr>
          <w:rFonts w:cs="Times New Roman"/>
          <w:noProof/>
          <w:sz w:val="20"/>
        </w:rPr>
        <w:t>requirements more systematically at a later stage.</w:t>
      </w:r>
    </w:p>
    <w:p w:rsidR="00B71C54" w:rsidRDefault="00465787">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court. It is a tool for de</w:t>
      </w:r>
      <w:r>
        <w:rPr>
          <w:rFonts w:cs="Times New Roman"/>
          <w:noProof/>
          <w:sz w:val="20"/>
        </w:rPr>
        <w:t>centralised implementation of EU environmental law.</w:t>
      </w:r>
    </w:p>
    <w:p w:rsidR="00B71C54" w:rsidRDefault="00465787">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which prohibitive costs r</w:t>
      </w:r>
      <w:r>
        <w:rPr>
          <w:rFonts w:cs="Times New Roman"/>
          <w:noProof/>
          <w:sz w:val="20"/>
        </w:rPr>
        <w:t>epresent a barrier.</w:t>
      </w:r>
    </w:p>
    <w:p w:rsidR="00B71C54" w:rsidRDefault="00465787">
      <w:pPr>
        <w:widowControl w:val="0"/>
        <w:spacing w:after="120" w:line="240" w:lineRule="auto"/>
        <w:jc w:val="both"/>
        <w:rPr>
          <w:rFonts w:cs="Calibri"/>
          <w:noProof/>
          <w:color w:val="1F497D"/>
          <w:szCs w:val="26"/>
        </w:rPr>
      </w:pPr>
      <w:bookmarkStart w:id="59" w:name="_Toc454457668"/>
      <w:r>
        <w:rPr>
          <w:rFonts w:cs="Times New Roman"/>
          <w:noProof/>
          <w:sz w:val="20"/>
        </w:rPr>
        <w:t>The French system of administrative appeal/judicial review in the environmental area is based on a clear set of rules that ensure legal certainty for all potential litigants in terms of predictability and transparency of rules related t</w:t>
      </w:r>
      <w:r>
        <w:rPr>
          <w:rFonts w:cs="Times New Roman"/>
          <w:noProof/>
          <w:sz w:val="20"/>
        </w:rPr>
        <w:t>o access to justice. However, the costs for court procedures remain high in particular due to mandatory legal representation before the courts of major jurisdiction. These costs may constitute a barrier to access to the court in particular for small NGO, i</w:t>
      </w:r>
      <w:r>
        <w:rPr>
          <w:rFonts w:cs="Times New Roman"/>
          <w:noProof/>
          <w:sz w:val="20"/>
        </w:rPr>
        <w:t>n case they do not qualify for legal aid</w:t>
      </w:r>
      <w:r>
        <w:rPr>
          <w:rFonts w:cs="Times New Roman"/>
          <w:noProof/>
          <w:sz w:val="20"/>
          <w:vertAlign w:val="superscript"/>
        </w:rPr>
        <w:t xml:space="preserve"> </w:t>
      </w:r>
      <w:r>
        <w:rPr>
          <w:rFonts w:cs="Times New Roman"/>
          <w:noProof/>
          <w:sz w:val="20"/>
          <w:vertAlign w:val="superscript"/>
        </w:rPr>
        <w:footnoteReference w:id="96"/>
      </w:r>
      <w:r>
        <w:rPr>
          <w:rFonts w:cs="Times New Roman"/>
          <w:noProof/>
          <w:sz w:val="20"/>
        </w:rPr>
        <w:t>.</w:t>
      </w:r>
    </w:p>
    <w:p w:rsidR="00B71C54" w:rsidRDefault="00465787">
      <w:pPr>
        <w:widowControl w:val="0"/>
        <w:spacing w:after="120" w:line="240" w:lineRule="auto"/>
        <w:jc w:val="both"/>
        <w:rPr>
          <w:rFonts w:cs="Times New Roman"/>
          <w:noProof/>
          <w:sz w:val="20"/>
          <w:szCs w:val="20"/>
        </w:rPr>
      </w:pPr>
      <w:r>
        <w:rPr>
          <w:rFonts w:cs="Calibri"/>
          <w:noProof/>
          <w:color w:val="1F497D"/>
          <w:szCs w:val="26"/>
        </w:rPr>
        <w:t>Suggested action</w:t>
      </w:r>
    </w:p>
    <w:p w:rsidR="00B71C54" w:rsidRDefault="00465787">
      <w:pPr>
        <w:pStyle w:val="NoSpacing"/>
        <w:widowControl w:val="0"/>
        <w:spacing w:after="240"/>
        <w:rPr>
          <w:noProof/>
        </w:rPr>
      </w:pPr>
      <w:r>
        <w:rPr>
          <w:noProof/>
        </w:rPr>
        <w:t>Evaluate the costs of legal challenges involving EU environmental law and pursue efforts in order to ensure that they are not prohibitively expensive</w:t>
      </w:r>
      <w:r>
        <w:rPr>
          <w:i/>
          <w:noProof/>
        </w:rPr>
        <w:t xml:space="preserve">. </w:t>
      </w:r>
    </w:p>
    <w:p w:rsidR="00B71C54" w:rsidRDefault="00B71C54">
      <w:pPr>
        <w:widowControl w:val="0"/>
        <w:spacing w:after="120" w:line="240" w:lineRule="auto"/>
        <w:outlineLvl w:val="1"/>
        <w:rPr>
          <w:rFonts w:cs="Times New Roman"/>
          <w:b/>
          <w:noProof/>
          <w:color w:val="1F497D" w:themeColor="text2"/>
          <w:sz w:val="24"/>
          <w:szCs w:val="20"/>
        </w:rPr>
      </w:pPr>
      <w:bookmarkStart w:id="60" w:name="_Toc472694771"/>
    </w:p>
    <w:p w:rsidR="00B71C54" w:rsidRDefault="00B71C54">
      <w:pPr>
        <w:widowControl w:val="0"/>
        <w:spacing w:after="120" w:line="240" w:lineRule="auto"/>
        <w:outlineLvl w:val="1"/>
        <w:rPr>
          <w:rFonts w:cs="Times New Roman"/>
          <w:b/>
          <w:noProof/>
          <w:color w:val="1F497D" w:themeColor="text2"/>
          <w:sz w:val="24"/>
          <w:szCs w:val="20"/>
        </w:rPr>
      </w:pPr>
    </w:p>
    <w:p w:rsidR="00B71C54" w:rsidRDefault="00B71C54">
      <w:pPr>
        <w:widowControl w:val="0"/>
        <w:spacing w:after="120" w:line="240" w:lineRule="auto"/>
        <w:outlineLvl w:val="1"/>
        <w:rPr>
          <w:rFonts w:cs="Times New Roman"/>
          <w:b/>
          <w:noProof/>
          <w:color w:val="1F497D" w:themeColor="text2"/>
          <w:sz w:val="24"/>
          <w:szCs w:val="20"/>
        </w:rPr>
      </w:pPr>
    </w:p>
    <w:p w:rsidR="00B71C54" w:rsidRDefault="00465787">
      <w:pPr>
        <w:widowControl w:val="0"/>
        <w:spacing w:after="120" w:line="240" w:lineRule="auto"/>
        <w:outlineLvl w:val="1"/>
        <w:rPr>
          <w:rFonts w:cs="Times New Roman"/>
          <w:b/>
          <w:noProof/>
          <w:color w:val="1F497D" w:themeColor="text2"/>
          <w:sz w:val="24"/>
          <w:szCs w:val="20"/>
        </w:rPr>
      </w:pPr>
      <w:r>
        <w:rPr>
          <w:rFonts w:cs="Times New Roman"/>
          <w:b/>
          <w:noProof/>
          <w:color w:val="1F497D" w:themeColor="text2"/>
          <w:sz w:val="24"/>
          <w:szCs w:val="20"/>
        </w:rPr>
        <w:t>Access to information and knowledge</w:t>
      </w:r>
      <w:bookmarkEnd w:id="60"/>
      <w:r>
        <w:rPr>
          <w:rFonts w:cs="Times New Roman"/>
          <w:b/>
          <w:noProof/>
          <w:color w:val="1F497D" w:themeColor="text2"/>
          <w:sz w:val="24"/>
          <w:szCs w:val="20"/>
        </w:rPr>
        <w:t xml:space="preserve"> </w:t>
      </w:r>
      <w:bookmarkEnd w:id="59"/>
      <w:r>
        <w:rPr>
          <w:rFonts w:cs="Times New Roman"/>
          <w:b/>
          <w:noProof/>
          <w:color w:val="1F497D" w:themeColor="text2"/>
          <w:sz w:val="24"/>
          <w:szCs w:val="20"/>
        </w:rPr>
        <w:t xml:space="preserve"> </w:t>
      </w:r>
    </w:p>
    <w:p w:rsidR="00B71C54" w:rsidRDefault="0046578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 environment, including on how Union environmental law is being implemented.</w:t>
      </w:r>
    </w:p>
    <w:p w:rsidR="00B71C54" w:rsidRDefault="00465787">
      <w:pPr>
        <w:widowControl w:val="0"/>
        <w:spacing w:after="120" w:line="240" w:lineRule="auto"/>
        <w:jc w:val="both"/>
        <w:rPr>
          <w:rFonts w:cs="Times New Roman"/>
          <w:noProof/>
          <w:sz w:val="20"/>
        </w:rPr>
      </w:pPr>
      <w:r>
        <w:rPr>
          <w:rFonts w:cs="Times New Roman"/>
          <w:noProof/>
          <w:sz w:val="20"/>
        </w:rPr>
        <w:t>It is of cr</w:t>
      </w:r>
      <w:r>
        <w:rPr>
          <w:rFonts w:cs="Times New Roman"/>
          <w:noProof/>
          <w:sz w:val="20"/>
        </w:rPr>
        <w:t>ucial importance to public authorities, the public and business that environmental information is shared in an efficient and effective way. This covers reporting by businesses and public authorities and active dissemination to the public, increasingly thro</w:t>
      </w:r>
      <w:r>
        <w:rPr>
          <w:rFonts w:cs="Times New Roman"/>
          <w:noProof/>
          <w:sz w:val="20"/>
        </w:rPr>
        <w:t>ugh electronic means.</w:t>
      </w:r>
    </w:p>
    <w:p w:rsidR="00B71C54" w:rsidRDefault="00465787">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97"/>
      </w:r>
      <w:r>
        <w:rPr>
          <w:rFonts w:cs="Times New Roman"/>
          <w:noProof/>
          <w:sz w:val="20"/>
        </w:rPr>
        <w:t>, the Access to Environmental Information Directive</w:t>
      </w:r>
      <w:r>
        <w:rPr>
          <w:rFonts w:cs="Times New Roman"/>
          <w:noProof/>
          <w:sz w:val="20"/>
          <w:vertAlign w:val="superscript"/>
        </w:rPr>
        <w:footnoteReference w:id="98"/>
      </w:r>
      <w:r>
        <w:rPr>
          <w:rFonts w:cs="Times New Roman"/>
          <w:noProof/>
          <w:sz w:val="20"/>
        </w:rPr>
        <w:t xml:space="preserve"> and the INSPIRE Directive</w:t>
      </w:r>
      <w:r>
        <w:rPr>
          <w:rFonts w:cs="Times New Roman"/>
          <w:noProof/>
          <w:sz w:val="20"/>
          <w:vertAlign w:val="superscript"/>
        </w:rPr>
        <w:footnoteReference w:id="99"/>
      </w:r>
      <w:r>
        <w:rPr>
          <w:rFonts w:cs="Times New Roman"/>
          <w:noProof/>
          <w:sz w:val="20"/>
        </w:rPr>
        <w:t xml:space="preserve"> together create a legal foundation for the sharing of environmental information between public authorities and with the public. They</w:t>
      </w:r>
      <w:r>
        <w:rPr>
          <w:rFonts w:cs="Times New Roman"/>
          <w:noProof/>
          <w:sz w:val="20"/>
        </w:rPr>
        <w:t xml:space="preserve"> also represent the green part of the ongoing EU e-Government Action Plan</w:t>
      </w:r>
      <w:r>
        <w:rPr>
          <w:rFonts w:cs="Times New Roman"/>
          <w:noProof/>
          <w:sz w:val="20"/>
          <w:vertAlign w:val="superscript"/>
        </w:rPr>
        <w:footnoteReference w:id="100"/>
      </w:r>
      <w:r>
        <w:rPr>
          <w:rFonts w:cs="Times New Roman"/>
          <w:noProof/>
          <w:sz w:val="20"/>
        </w:rPr>
        <w:t>. The first two instruments create obligations to provide information to the public, both on request and actively. The INSPIRE Directive is a pioneering instrument for electronic dat</w:t>
      </w:r>
      <w:r>
        <w:rPr>
          <w:rFonts w:cs="Times New Roman"/>
          <w:noProof/>
          <w:sz w:val="20"/>
        </w:rPr>
        <w:t>a-sharing between public authorities who can vary in their data-sharing policies, e.g. on whether access to data is for free. The INSPIRE Directive sets up a geoportal which indicates the level of shared spatial data in each Member State – i.e. data relate</w:t>
      </w:r>
      <w:r>
        <w:rPr>
          <w:rFonts w:cs="Times New Roman"/>
          <w:noProof/>
          <w:sz w:val="20"/>
        </w:rPr>
        <w:t xml:space="preserve">d to specific locations, such as air quality monitoring data. Amongst other benefits it facilitates the public authorities' reporting obligations. </w:t>
      </w:r>
    </w:p>
    <w:p w:rsidR="00B71C54" w:rsidRDefault="00465787">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w:t>
      </w:r>
      <w:r>
        <w:rPr>
          <w:rFonts w:cs="Times New Roman"/>
          <w:noProof/>
          <w:sz w:val="20"/>
        </w:rPr>
        <w:t xml:space="preserve">s) as well as data-sharing policies ('open data') have been systematically reviewed. </w:t>
      </w:r>
    </w:p>
    <w:p w:rsidR="00B71C54" w:rsidRDefault="00465787">
      <w:pPr>
        <w:widowControl w:val="0"/>
        <w:spacing w:after="120" w:line="240" w:lineRule="auto"/>
        <w:jc w:val="both"/>
        <w:rPr>
          <w:rFonts w:cs="Times New Roman"/>
          <w:noProof/>
          <w:sz w:val="20"/>
        </w:rPr>
      </w:pPr>
      <w:r>
        <w:rPr>
          <w:rFonts w:cs="Times New Roman"/>
          <w:noProof/>
          <w:sz w:val="20"/>
        </w:rPr>
        <w:t>The 2016  OECD Environmental Performance Reviews  states that "access to environmental information is of good quality: it is supported both by the role played by MEEM’s [</w:t>
      </w:r>
      <w:r>
        <w:rPr>
          <w:rFonts w:cs="Times New Roman"/>
          <w:noProof/>
          <w:sz w:val="20"/>
        </w:rPr>
        <w:t>ministry in charge of environment] Observation and Statistics Department in circulating information and by the many online data portals set up in recent years</w:t>
      </w:r>
    </w:p>
    <w:p w:rsidR="00B71C54" w:rsidRDefault="00465787">
      <w:pPr>
        <w:widowControl w:val="0"/>
        <w:spacing w:after="120" w:line="240" w:lineRule="auto"/>
        <w:jc w:val="both"/>
        <w:rPr>
          <w:rFonts w:cs="Times New Roman"/>
          <w:noProof/>
          <w:sz w:val="20"/>
        </w:rPr>
      </w:pPr>
      <w:r>
        <w:rPr>
          <w:rFonts w:cs="Times New Roman"/>
          <w:noProof/>
          <w:sz w:val="20"/>
        </w:rPr>
        <w:t xml:space="preserve">France's performance on the implementation of the INSPIRE Directive as enabling framework to </w:t>
      </w:r>
      <w:r>
        <w:rPr>
          <w:rFonts w:cs="Times New Roman"/>
          <w:noProof/>
          <w:sz w:val="20"/>
        </w:rPr>
        <w:t>actively disseminate environmental information to the public is good. France has indicated in the 3-yearly INSPIRE implementation report</w:t>
      </w:r>
      <w:r>
        <w:rPr>
          <w:rFonts w:cs="Times New Roman"/>
          <w:noProof/>
          <w:sz w:val="20"/>
          <w:vertAlign w:val="superscript"/>
        </w:rPr>
        <w:footnoteReference w:id="101"/>
      </w:r>
      <w:r>
        <w:rPr>
          <w:rFonts w:cs="Times New Roman"/>
          <w:noProof/>
          <w:sz w:val="20"/>
        </w:rPr>
        <w:t xml:space="preserve"> that the necessary data-sharing policies allowing access and use of spatial data by national administrations, other Me</w:t>
      </w:r>
      <w:r>
        <w:rPr>
          <w:rFonts w:cs="Times New Roman"/>
          <w:noProof/>
          <w:sz w:val="20"/>
        </w:rPr>
        <w:t>mber States' administrations and EU institutions without procedural obstacles are available and implemented. No fundamental obstacles have been identified that impede data-sharing between authorities. The coming years France is likely to adopt an open data</w:t>
      </w:r>
      <w:r>
        <w:rPr>
          <w:rFonts w:cs="Times New Roman"/>
          <w:noProof/>
          <w:sz w:val="20"/>
        </w:rPr>
        <w:t xml:space="preserve"> policy as part of "Towards a digital Republic" project that is currently under debate in the French Parliament.</w:t>
      </w:r>
    </w:p>
    <w:p w:rsidR="00B71C54" w:rsidRDefault="00465787">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02"/>
      </w:r>
      <w:r>
        <w:rPr>
          <w:rFonts w:cs="Times New Roman"/>
          <w:noProof/>
          <w:sz w:val="20"/>
        </w:rPr>
        <w:t xml:space="preserve"> issued by France and the spatial information that France has published on the INSPIRE geoportal</w:t>
      </w:r>
      <w:r>
        <w:rPr>
          <w:rFonts w:cs="Times New Roman"/>
          <w:noProof/>
          <w:sz w:val="20"/>
          <w:vertAlign w:val="superscript"/>
        </w:rPr>
        <w:footnoteReference w:id="103"/>
      </w:r>
      <w:r>
        <w:rPr>
          <w:rFonts w:cs="Times New Roman"/>
          <w:noProof/>
          <w:sz w:val="20"/>
        </w:rPr>
        <w:t xml:space="preserve"> indicate th</w:t>
      </w:r>
      <w:r>
        <w:rPr>
          <w:rFonts w:cs="Times New Roman"/>
          <w:noProof/>
          <w:sz w:val="20"/>
        </w:rPr>
        <w:t>at not all spatial information needed for the evaluation and implementation of EU environmental law has been made available or is accessible. The larger part of this missing spatial information consists of the environmental data required to be made availab</w:t>
      </w:r>
      <w:r>
        <w:rPr>
          <w:rFonts w:cs="Times New Roman"/>
          <w:noProof/>
          <w:sz w:val="20"/>
        </w:rPr>
        <w:t>le under the existing reporting and monitoring regulations of EU environmental law.</w:t>
      </w:r>
    </w:p>
    <w:p w:rsidR="00B71C54" w:rsidRDefault="0046578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71C54" w:rsidRDefault="00465787">
      <w:pPr>
        <w:pStyle w:val="NoSpacing"/>
        <w:widowControl w:val="0"/>
        <w:rPr>
          <w:noProof/>
        </w:rPr>
      </w:pPr>
      <w:r>
        <w:rPr>
          <w:noProof/>
        </w:rPr>
        <w:t>Identify and document all spatial data sets required for the implementation of environmental law, and make the data and documentation at least accessible '</w:t>
      </w:r>
      <w:r>
        <w:rPr>
          <w:noProof/>
        </w:rPr>
        <w:t>as is' to other public authorities and the public through the digital services foreseen in the INSPIRE Directive.</w:t>
      </w:r>
      <w:bookmarkEnd w:id="53"/>
      <w:r>
        <w:rPr>
          <w:noProof/>
        </w:rPr>
        <w:t xml:space="preserve"> </w:t>
      </w:r>
    </w:p>
    <w:p w:rsidR="00B71C54" w:rsidRDefault="00B71C54">
      <w:pPr>
        <w:widowControl w:val="0"/>
        <w:spacing w:line="240" w:lineRule="auto"/>
        <w:rPr>
          <w:noProof/>
        </w:rPr>
      </w:pPr>
    </w:p>
    <w:p w:rsidR="00B71C54" w:rsidRDefault="00B71C54">
      <w:pPr>
        <w:widowControl w:val="0"/>
        <w:suppressLineNumbers/>
        <w:spacing w:line="240" w:lineRule="auto"/>
        <w:jc w:val="center"/>
        <w:rPr>
          <w:noProof/>
        </w:rPr>
      </w:pPr>
    </w:p>
    <w:sectPr w:rsidR="00B71C54">
      <w:headerReference w:type="even" r:id="rId127"/>
      <w:headerReference w:type="default" r:id="rId128"/>
      <w:footerReference w:type="even" r:id="rId129"/>
      <w:footerReference w:type="default" r:id="rId130"/>
      <w:headerReference w:type="first" r:id="rId131"/>
      <w:footerReference w:type="first" r:id="rId132"/>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C54" w:rsidRDefault="00465787">
      <w:pPr>
        <w:spacing w:after="0" w:line="240" w:lineRule="auto"/>
      </w:pPr>
      <w:r>
        <w:separator/>
      </w:r>
    </w:p>
  </w:endnote>
  <w:endnote w:type="continuationSeparator" w:id="0">
    <w:p w:rsidR="00B71C54" w:rsidRDefault="00465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87" w:rsidRPr="00465787" w:rsidRDefault="00465787" w:rsidP="0046578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2016 – France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2016 – France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87" w:rsidRPr="00465787" w:rsidRDefault="00465787" w:rsidP="00465787">
    <w:pPr>
      <w:pStyle w:val="FooterCoverPage"/>
      <w:rPr>
        <w:rFonts w:ascii="Arial" w:hAnsi="Arial" w:cs="Arial"/>
        <w:b/>
        <w:sz w:val="48"/>
      </w:rPr>
    </w:pPr>
    <w:r w:rsidRPr="00465787">
      <w:rPr>
        <w:rFonts w:ascii="Arial" w:hAnsi="Arial" w:cs="Arial"/>
        <w:b/>
        <w:sz w:val="48"/>
      </w:rPr>
      <w:t>EN</w:t>
    </w:r>
    <w:r w:rsidRPr="00465787">
      <w:rPr>
        <w:rFonts w:ascii="Arial" w:hAnsi="Arial" w:cs="Arial"/>
        <w:b/>
        <w:sz w:val="48"/>
      </w:rPr>
      <w:tab/>
    </w:r>
    <w:r w:rsidRPr="00465787">
      <w:rPr>
        <w:rFonts w:ascii="Arial" w:hAnsi="Arial" w:cs="Arial"/>
        <w:b/>
        <w:sz w:val="48"/>
      </w:rPr>
      <w:tab/>
    </w:r>
    <w:fldSimple w:instr=" DOCVARIABLE &quot;LW_Confidence&quot; \* MERGEFORMAT ">
      <w:r>
        <w:t xml:space="preserve"> </w:t>
      </w:r>
    </w:fldSimple>
    <w:r w:rsidRPr="00465787">
      <w:tab/>
    </w:r>
    <w:r w:rsidRPr="00465787">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2016 – France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87" w:rsidRPr="00465787" w:rsidRDefault="00465787" w:rsidP="00465787">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2016 – France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2016 – France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ind w:left="2880"/>
    </w:pPr>
    <w:r>
      <w:t>Environmental Implementation Report – France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465787">
    <w:pPr>
      <w:pStyle w:val="Footer"/>
      <w:jc w:val="center"/>
    </w:pPr>
    <w:r>
      <w:t xml:space="preserve"> Environmental Implementation Report – France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C54" w:rsidRDefault="00465787">
      <w:pPr>
        <w:spacing w:after="0" w:line="240" w:lineRule="auto"/>
      </w:pPr>
      <w:r>
        <w:separator/>
      </w:r>
    </w:p>
  </w:footnote>
  <w:footnote w:type="continuationSeparator" w:id="0">
    <w:p w:rsidR="00B71C54" w:rsidRDefault="00465787">
      <w:pPr>
        <w:spacing w:after="0" w:line="240" w:lineRule="auto"/>
      </w:pPr>
      <w:r>
        <w:continuationSeparator/>
      </w:r>
    </w:p>
  </w:footnote>
  <w:footnote w:id="1">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"Delivering the benefits of EU environmental policies through a regular Environmental Implementation Review".</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B71C54" w:rsidRDefault="00465787">
      <w:pPr>
        <w:pStyle w:val="FootnoteText"/>
        <w:keepLines/>
        <w:widowControl w:val="0"/>
        <w:ind w:left="113" w:hanging="113"/>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Decision No. 1386/2</w:t>
      </w:r>
      <w:r>
        <w:rPr>
          <w:rFonts w:asciiTheme="minorHAnsi" w:hAnsiTheme="minorHAnsi"/>
          <w:sz w:val="16"/>
          <w:szCs w:val="16"/>
        </w:rPr>
        <w:t>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B71C54" w:rsidRDefault="00465787">
      <w:pPr>
        <w:pStyle w:val="FootnoteText"/>
        <w:keepLines/>
        <w:widowControl w:val="0"/>
        <w:tabs>
          <w:tab w:val="left" w:pos="142"/>
        </w:tabs>
        <w:ind w:left="113" w:hanging="113"/>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B71C54" w:rsidRDefault="00465787">
      <w:pPr>
        <w:pStyle w:val="FootnoteText"/>
        <w:keepLines/>
        <w:widowControl w:val="0"/>
        <w:ind w:left="113" w:hanging="113"/>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p>
  </w:footnote>
  <w:footnote w:id="6">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7">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5"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6"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9">
    <w:p w:rsidR="00B71C54" w:rsidRDefault="00465787">
      <w:pPr>
        <w:spacing w:after="0"/>
        <w:ind w:left="113" w:hanging="113"/>
        <w:rPr>
          <w:sz w:val="16"/>
          <w:szCs w:val="16"/>
        </w:rPr>
      </w:pPr>
      <w:r>
        <w:rPr>
          <w:rStyle w:val="Caractresdenotedebasdepage"/>
          <w:sz w:val="16"/>
          <w:szCs w:val="16"/>
        </w:rPr>
        <w:footnoteRef/>
      </w:r>
      <w:r>
        <w:rPr>
          <w:sz w:val="16"/>
          <w:szCs w:val="16"/>
        </w:rPr>
        <w:t xml:space="preserve"> The Flash 426 Eurobarometer defines "green job" as a job that directly deals with information, technologies, or materials that preserves or restores environmental quality. This requires sp</w:t>
      </w:r>
      <w:r>
        <w:rPr>
          <w:sz w:val="16"/>
          <w:szCs w:val="16"/>
        </w:rPr>
        <w:t>ecialised skills, knowledge, training, or experience (e.g. verifying compliance with environmental legislation, monitoring resource efficiency within the company, promoting and selling green products and services).</w:t>
      </w:r>
    </w:p>
  </w:footnote>
  <w:footnote w:id="10">
    <w:p w:rsidR="00B71C54" w:rsidRDefault="00465787">
      <w:pPr>
        <w:pStyle w:val="FootnoteText"/>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http://ec.europa.eu/COMMFrontOffice/publ</w:t>
      </w:r>
      <w:r>
        <w:rPr>
          <w:rFonts w:asciiTheme="minorHAnsi" w:hAnsiTheme="minorHAnsi"/>
          <w:sz w:val="16"/>
          <w:szCs w:val="16"/>
          <w:lang w:val="fr-BE"/>
        </w:rPr>
        <w:t xml:space="preserve">icopinion/index.cfm/Survey/getSurveyDetail/instruments/FLASH/surveyKy/2088 report page 126 </w:t>
      </w:r>
    </w:p>
  </w:footnote>
  <w:footnote w:id="11">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2">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w:t>
      </w:r>
      <w:r>
        <w:rPr>
          <w:rFonts w:asciiTheme="minorHAnsi" w:hAnsiTheme="minorHAnsi"/>
          <w:sz w:val="16"/>
          <w:szCs w:val="16"/>
        </w:rPr>
        <w:t>vention Programmes</w:t>
      </w:r>
    </w:p>
  </w:footnote>
  <w:footnote w:id="13">
    <w:p w:rsidR="00B71C54" w:rsidRDefault="00465787">
      <w:pPr>
        <w:spacing w:after="0"/>
        <w:ind w:left="113" w:hanging="113"/>
        <w:rPr>
          <w:sz w:val="16"/>
          <w:szCs w:val="16"/>
        </w:rPr>
      </w:pPr>
      <w:r>
        <w:rPr>
          <w:rStyle w:val="Caractresdenotedebasdepage"/>
          <w:sz w:val="16"/>
          <w:szCs w:val="16"/>
          <w:vertAlign w:val="superscript"/>
        </w:rPr>
        <w:footnoteRef/>
      </w:r>
      <w:r>
        <w:rPr>
          <w:sz w:val="16"/>
          <w:szCs w:val="16"/>
          <w:vertAlign w:val="superscript"/>
        </w:rPr>
        <w:t xml:space="preserve"> </w:t>
      </w:r>
      <w:r>
        <w:rPr>
          <w:sz w:val="16"/>
          <w:szCs w:val="16"/>
        </w:rPr>
        <w:t>Municipal waste consists of waste collected by or on behalf of municipal authorities, or directly by the private sector (business or private non-profit institutions) not on behalf of municipalities.</w:t>
      </w:r>
    </w:p>
  </w:footnote>
  <w:footnote w:id="14">
    <w:p w:rsidR="00B71C54" w:rsidRDefault="00465787">
      <w:pPr>
        <w:spacing w:after="0"/>
        <w:ind w:left="113" w:hanging="113"/>
        <w:rPr>
          <w:sz w:val="16"/>
          <w:szCs w:val="16"/>
        </w:rPr>
      </w:pPr>
      <w:r>
        <w:rPr>
          <w:rStyle w:val="Caractresdenotedebasdepage"/>
          <w:sz w:val="16"/>
          <w:szCs w:val="16"/>
          <w:vertAlign w:val="superscript"/>
        </w:rPr>
        <w:footnoteRef/>
      </w:r>
      <w:r>
        <w:rPr>
          <w:bCs/>
          <w:sz w:val="16"/>
          <w:szCs w:val="16"/>
          <w:vertAlign w:val="superscript"/>
        </w:rPr>
        <w:t xml:space="preserve"> </w:t>
      </w:r>
      <w:r>
        <w:rPr>
          <w:sz w:val="16"/>
          <w:szCs w:val="16"/>
        </w:rPr>
        <w:t xml:space="preserve">Eurostat, </w:t>
      </w:r>
      <w:hyperlink r:id="rId8" w:history="1">
        <w:r>
          <w:rPr>
            <w:rStyle w:val="Hyperlink"/>
            <w:sz w:val="16"/>
            <w:szCs w:val="16"/>
          </w:rPr>
          <w:t>Municipal waste and treatment, by type of treatment method,</w:t>
        </w:r>
      </w:hyperlink>
      <w:r>
        <w:rPr>
          <w:sz w:val="16"/>
          <w:szCs w:val="16"/>
        </w:rPr>
        <w:t xml:space="preserve"> accessed October 2016</w:t>
      </w:r>
    </w:p>
  </w:footnote>
  <w:footnote w:id="15">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9" w:history="1">
        <w:r>
          <w:rPr>
            <w:rStyle w:val="Hyperlink"/>
            <w:sz w:val="16"/>
            <w:szCs w:val="16"/>
          </w:rPr>
          <w:t>Municipal waste and treatment, by type of treatment method,</w:t>
        </w:r>
      </w:hyperlink>
      <w:r>
        <w:rPr>
          <w:sz w:val="16"/>
          <w:szCs w:val="16"/>
        </w:rPr>
        <w:t xml:space="preserve"> accessed October 2016</w:t>
      </w:r>
    </w:p>
  </w:footnote>
  <w:footnote w:id="16">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0"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17">
    <w:p w:rsidR="00B71C54" w:rsidRDefault="00465787">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Commissariat Général au Developpement Durable : "Indicateurs nationaux de la transition écologique vers un développement durable 2015-2020 : premier état des lieux, Etudes et documents n°</w:t>
      </w:r>
      <w:r>
        <w:rPr>
          <w:rFonts w:asciiTheme="minorHAnsi" w:hAnsiTheme="minorHAnsi"/>
          <w:sz w:val="16"/>
          <w:szCs w:val="16"/>
          <w:lang w:val="fr-BE"/>
        </w:rPr>
        <w:t>142, mars 2016, p.17.</w:t>
      </w:r>
    </w:p>
  </w:footnote>
  <w:footnote w:id="1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19">
    <w:p w:rsidR="00B71C54" w:rsidRDefault="00465787">
      <w:pPr>
        <w:widowControl w:val="0"/>
        <w:autoSpaceDE w:val="0"/>
        <w:autoSpaceDN w:val="0"/>
        <w:adjustRightInd w:val="0"/>
        <w:spacing w:after="0"/>
        <w:ind w:left="113" w:hanging="113"/>
        <w:rPr>
          <w:sz w:val="16"/>
          <w:szCs w:val="16"/>
          <w:lang w:val="fr-BE"/>
        </w:rPr>
      </w:pPr>
      <w:r>
        <w:rPr>
          <w:rStyle w:val="FootnoteReference"/>
          <w:sz w:val="16"/>
          <w:szCs w:val="16"/>
        </w:rPr>
        <w:footnoteRef/>
      </w:r>
      <w:r>
        <w:rPr>
          <w:sz w:val="16"/>
          <w:szCs w:val="16"/>
          <w:lang w:val="fr-BE"/>
        </w:rPr>
        <w:t xml:space="preserve"> Les éco-orga</w:t>
      </w:r>
      <w:r>
        <w:rPr>
          <w:sz w:val="16"/>
          <w:szCs w:val="16"/>
          <w:lang w:val="fr-BE"/>
        </w:rPr>
        <w:t xml:space="preserve">nismes: un dispositif original à consolider (2016) </w:t>
      </w:r>
      <w:hyperlink r:id="rId11" w:history="1">
        <w:r>
          <w:rPr>
            <w:rStyle w:val="Hyperlink"/>
            <w:sz w:val="16"/>
            <w:szCs w:val="16"/>
            <w:lang w:val="fr-BE"/>
          </w:rPr>
          <w:t>report by the French Court of Auditors.</w:t>
        </w:r>
      </w:hyperlink>
      <w:r>
        <w:rPr>
          <w:sz w:val="16"/>
          <w:szCs w:val="16"/>
          <w:lang w:val="fr-BE"/>
        </w:rPr>
        <w:t xml:space="preserve"> </w:t>
      </w:r>
    </w:p>
  </w:footnote>
  <w:footnote w:id="20">
    <w:p w:rsidR="00B71C54" w:rsidRDefault="00465787">
      <w:pPr>
        <w:widowControl w:val="0"/>
        <w:autoSpaceDE w:val="0"/>
        <w:autoSpaceDN w:val="0"/>
        <w:adjustRightInd w:val="0"/>
        <w:spacing w:after="0"/>
        <w:ind w:left="113" w:hanging="113"/>
        <w:rPr>
          <w:sz w:val="16"/>
          <w:szCs w:val="16"/>
          <w:lang w:val="fr-BE"/>
        </w:rPr>
      </w:pPr>
      <w:r>
        <w:rPr>
          <w:rStyle w:val="FootnoteReference"/>
          <w:sz w:val="16"/>
          <w:szCs w:val="16"/>
        </w:rPr>
        <w:footnoteRef/>
      </w:r>
      <w:r>
        <w:rPr>
          <w:sz w:val="16"/>
          <w:szCs w:val="16"/>
          <w:lang w:val="fr-FR"/>
        </w:rPr>
        <w:t xml:space="preserve"> </w:t>
      </w:r>
      <w:r>
        <w:rPr>
          <w:sz w:val="16"/>
          <w:szCs w:val="16"/>
          <w:lang w:val="fr-BE"/>
        </w:rPr>
        <w:t xml:space="preserve">Quel potential d'emplois pour une économie circulaire? </w:t>
      </w:r>
      <w:r>
        <w:rPr>
          <w:sz w:val="16"/>
          <w:szCs w:val="16"/>
          <w:lang w:val="fr-BE"/>
        </w:rPr>
        <w:t>(2015),</w:t>
      </w:r>
      <w:hyperlink r:id="rId12" w:history="1">
        <w:r>
          <w:rPr>
            <w:rStyle w:val="Hyperlink"/>
            <w:sz w:val="16"/>
            <w:szCs w:val="16"/>
            <w:lang w:val="fr-BE"/>
          </w:rPr>
          <w:t xml:space="preserve"> study by Institut de l'Economie Circulaire.</w:t>
        </w:r>
      </w:hyperlink>
      <w:r>
        <w:rPr>
          <w:sz w:val="16"/>
          <w:szCs w:val="16"/>
          <w:lang w:val="fr-BE"/>
        </w:rPr>
        <w:t xml:space="preserve"> </w:t>
      </w:r>
    </w:p>
  </w:footnote>
  <w:footnote w:id="21">
    <w:p w:rsidR="00B71C54" w:rsidRDefault="00465787">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13" w:history="1">
        <w:r>
          <w:rPr>
            <w:rStyle w:val="Hyperlink"/>
            <w:rFonts w:asciiTheme="minorHAnsi" w:hAnsiTheme="minorHAnsi"/>
            <w:sz w:val="16"/>
            <w:szCs w:val="16"/>
            <w:lang w:val="fr-BE"/>
          </w:rPr>
          <w:t xml:space="preserve">Décret n° 2016-811 du 17 juin 2016 relatif au plan régional de prévention et de gestion des déchets </w:t>
        </w:r>
      </w:hyperlink>
      <w:r>
        <w:rPr>
          <w:rFonts w:asciiTheme="minorHAnsi" w:hAnsiTheme="minorHAnsi"/>
          <w:sz w:val="16"/>
          <w:szCs w:val="16"/>
          <w:lang w:val="fr-BE"/>
        </w:rPr>
        <w:t xml:space="preserve"> </w:t>
      </w:r>
    </w:p>
  </w:footnote>
  <w:footnote w:id="22">
    <w:p w:rsidR="00B71C54" w:rsidRDefault="00465787">
      <w:pPr>
        <w:pStyle w:val="FootnoteText"/>
        <w:widowControl w:val="0"/>
        <w:ind w:left="113" w:hanging="113"/>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w:t>
      </w:r>
      <w:r>
        <w:rPr>
          <w:rFonts w:asciiTheme="minorHAnsi" w:hAnsiTheme="minorHAnsi"/>
          <w:sz w:val="16"/>
          <w:szCs w:val="16"/>
        </w:rPr>
        <w:t xml:space="preserve">irective whereas Special Areas of Protection (SPAs) are designated pursuant to the Birds Directive; figures of coverage do not add up due to the fact that some SCIs and SPAs overlap. Special Areas of Conservation (SACs) </w:t>
      </w:r>
      <w:r>
        <w:rPr>
          <w:rFonts w:asciiTheme="minorHAnsi" w:hAnsiTheme="minorHAnsi"/>
          <w:sz w:val="16"/>
          <w:szCs w:val="16"/>
          <w:lang w:val="en"/>
        </w:rPr>
        <w:t>means a SCI designated by the Member</w:t>
      </w:r>
      <w:r>
        <w:rPr>
          <w:rFonts w:asciiTheme="minorHAnsi" w:hAnsiTheme="minorHAnsi"/>
          <w:sz w:val="16"/>
          <w:szCs w:val="16"/>
          <w:lang w:val="en"/>
        </w:rPr>
        <w:t xml:space="preserve"> States.</w:t>
      </w:r>
    </w:p>
  </w:footnote>
  <w:footnote w:id="23">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represented by the sites designated to date. This is expressed as a percentage of species and h</w:t>
      </w:r>
      <w:r>
        <w:rPr>
          <w:rFonts w:asciiTheme="minorHAnsi" w:hAnsiTheme="minorHAnsi"/>
          <w:sz w:val="16"/>
          <w:szCs w:val="16"/>
        </w:rPr>
        <w:t xml:space="preserve">abitats for which further areas need to be designated in order to complete the network in that country. </w:t>
      </w:r>
      <w:hyperlink r:id="rId14"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w:t>
      </w:r>
      <w:r>
        <w:rPr>
          <w:rFonts w:asciiTheme="minorHAnsi" w:hAnsiTheme="minorHAnsi"/>
          <w:sz w:val="16"/>
          <w:szCs w:val="16"/>
        </w:rPr>
        <w:t>ect the situation up until December 2013.</w:t>
      </w:r>
    </w:p>
  </w:footnote>
  <w:footnote w:id="24">
    <w:p w:rsidR="00B71C54" w:rsidRDefault="00465787">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percentages in Figure 5 refer to percentages of the total number of assessments (one assessment covering 1 species or 1 habitat in a given biographical region with the Member State); if a habitat type or a </w:t>
      </w:r>
      <w:r>
        <w:rPr>
          <w:sz w:val="16"/>
          <w:szCs w:val="16"/>
        </w:rPr>
        <w:t>species occurs in more than 1 Biogeographic region within a given Member State, there will be as many individual assessments as there are Biogeographic regions with an occurrence of that species or habitat in this Member State.</w:t>
      </w:r>
    </w:p>
  </w:footnote>
  <w:footnote w:id="25">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w:t>
      </w:r>
      <w:r>
        <w:rPr>
          <w:rFonts w:asciiTheme="minorHAnsi" w:hAnsiTheme="minorHAnsi"/>
          <w:sz w:val="16"/>
          <w:szCs w:val="16"/>
        </w:rPr>
        <w:t>al assessment.</w:t>
      </w:r>
    </w:p>
  </w:footnote>
  <w:footnote w:id="26">
    <w:p w:rsidR="00B71C54" w:rsidRDefault="00465787">
      <w:pPr>
        <w:widowControl w:val="0"/>
        <w:spacing w:after="0" w:line="240" w:lineRule="auto"/>
        <w:ind w:left="113" w:hanging="113"/>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Directive.</w:t>
      </w:r>
      <w:hyperlink r:id="rId15" w:history="1"/>
    </w:p>
  </w:footnote>
  <w:footnote w:id="27">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w:t>
      </w:r>
      <w:r>
        <w:rPr>
          <w:rFonts w:asciiTheme="minorHAnsi" w:hAnsiTheme="minorHAnsi"/>
          <w:sz w:val="16"/>
          <w:szCs w:val="16"/>
        </w:rPr>
        <w:t xml:space="preserve">rmation is based on Article 17 of the Habitats Directive reporting - national summary of </w:t>
      </w:r>
      <w:hyperlink r:id="rId16" w:history="1">
        <w:r>
          <w:rPr>
            <w:rStyle w:val="Hyperlink"/>
            <w:rFonts w:asciiTheme="minorHAnsi" w:hAnsiTheme="minorHAnsi"/>
            <w:sz w:val="16"/>
            <w:szCs w:val="16"/>
          </w:rPr>
          <w:t>France</w:t>
        </w:r>
      </w:hyperlink>
    </w:p>
  </w:footnote>
  <w:footnote w:id="2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w:t>
      </w:r>
      <w:r>
        <w:rPr>
          <w:rFonts w:asciiTheme="minorHAnsi" w:hAnsiTheme="minorHAnsi"/>
          <w:sz w:val="16"/>
          <w:szCs w:val="16"/>
        </w:rPr>
        <w:t xml:space="preserve"> data is complicated by the fact that Bulgaria and Romania were not covered by the 2007 reporting cycle, that the ‘unknown’ assessments have strongly diminished particularly for species, and that some reported changes are not genuine as they result from im</w:t>
      </w:r>
      <w:r>
        <w:rPr>
          <w:rFonts w:asciiTheme="minorHAnsi" w:hAnsiTheme="minorHAnsi"/>
          <w:sz w:val="16"/>
          <w:szCs w:val="16"/>
        </w:rPr>
        <w:t>proved data/ monitoring methods.</w:t>
      </w:r>
    </w:p>
  </w:footnote>
  <w:footnote w:id="29">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national summary of </w:t>
      </w:r>
      <w:hyperlink r:id="rId17" w:history="1">
        <w:r>
          <w:rPr>
            <w:rStyle w:val="Hyperlink"/>
            <w:rFonts w:asciiTheme="minorHAnsi" w:hAnsiTheme="minorHAnsi"/>
            <w:sz w:val="16"/>
            <w:szCs w:val="16"/>
          </w:rPr>
          <w:t>France</w:t>
        </w:r>
      </w:hyperlink>
    </w:p>
  </w:footnote>
  <w:footnote w:id="30">
    <w:p w:rsidR="00B71C54" w:rsidRDefault="00465787">
      <w:pPr>
        <w:pStyle w:val="FootnoteText"/>
        <w:ind w:left="113" w:hanging="113"/>
        <w:rPr>
          <w:rFonts w:asciiTheme="minorHAnsi" w:hAnsiTheme="minorHAnsi"/>
          <w:sz w:val="16"/>
          <w:szCs w:val="16"/>
        </w:rPr>
      </w:pPr>
      <w:r>
        <w:rPr>
          <w:rStyle w:val="Caractresdenotedebasdepage"/>
          <w:rFonts w:asciiTheme="minorHAnsi" w:hAnsiTheme="minorHAnsi"/>
          <w:sz w:val="16"/>
          <w:szCs w:val="16"/>
        </w:rPr>
        <w:footnoteRef/>
      </w:r>
      <w:r>
        <w:rPr>
          <w:rFonts w:asciiTheme="minorHAnsi" w:hAnsiTheme="minorHAnsi"/>
          <w:sz w:val="16"/>
          <w:szCs w:val="16"/>
        </w:rPr>
        <w:t xml:space="preserve"> See </w:t>
      </w:r>
      <w:hyperlink r:id="rId18" w:history="1">
        <w:r>
          <w:rPr>
            <w:rStyle w:val="Hyperlink"/>
            <w:rFonts w:asciiTheme="minorHAnsi" w:hAnsiTheme="minorHAnsi"/>
            <w:sz w:val="16"/>
            <w:szCs w:val="16"/>
          </w:rPr>
          <w:t>http://agriculture.gouv.fr/sites/minagri/files/1608-ae-synthese-agroforesterie-gb-bd.pdf</w:t>
        </w:r>
      </w:hyperlink>
    </w:p>
  </w:footnote>
  <w:footnote w:id="31">
    <w:p w:rsidR="00B71C54" w:rsidRDefault="00465787">
      <w:pPr>
        <w:spacing w:after="0"/>
        <w:ind w:left="113" w:hanging="113"/>
        <w:rPr>
          <w:sz w:val="16"/>
          <w:szCs w:val="16"/>
        </w:rPr>
      </w:pPr>
      <w:r>
        <w:rPr>
          <w:rStyle w:val="Caractresdenotedebasdepage"/>
          <w:sz w:val="16"/>
          <w:szCs w:val="16"/>
        </w:rPr>
        <w:footnoteRef/>
      </w:r>
    </w:p>
    <w:p w:rsidR="00B71C54" w:rsidRDefault="00465787">
      <w:pPr>
        <w:pStyle w:val="FootnoteText2"/>
        <w:pageBreakBefore/>
        <w:widowControl w:val="0"/>
        <w:ind w:left="113" w:hanging="113"/>
        <w:jc w:val="left"/>
        <w:rPr>
          <w:rFonts w:asciiTheme="minorHAnsi" w:hAnsiTheme="minorHAnsi"/>
          <w:sz w:val="16"/>
          <w:szCs w:val="16"/>
        </w:rPr>
      </w:pPr>
      <w:r>
        <w:rPr>
          <w:rFonts w:asciiTheme="minorHAnsi" w:hAnsiTheme="minorHAnsi"/>
          <w:sz w:val="16"/>
          <w:szCs w:val="16"/>
        </w:rPr>
        <w:tab/>
        <w:t>Ecosystem services are benefits provided by nature such as food, clean water and pollinatio</w:t>
      </w:r>
      <w:r>
        <w:rPr>
          <w:rFonts w:asciiTheme="minorHAnsi" w:hAnsiTheme="minorHAnsi"/>
          <w:sz w:val="16"/>
          <w:szCs w:val="16"/>
        </w:rPr>
        <w:t>n on which human society depends.</w:t>
      </w:r>
    </w:p>
  </w:footnote>
  <w:footnote w:id="32">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19" w:history="1">
        <w:r>
          <w:rPr>
            <w:rStyle w:val="Hyperlink"/>
            <w:rFonts w:asciiTheme="minorHAnsi" w:hAnsiTheme="minorHAnsi"/>
            <w:sz w:val="16"/>
            <w:szCs w:val="16"/>
          </w:rPr>
          <w:t>COM/2013/0249</w:t>
        </w:r>
      </w:hyperlink>
    </w:p>
  </w:footnote>
  <w:footnote w:id="33">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0"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34">
    <w:p w:rsidR="00B71C54" w:rsidRDefault="00465787">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 xml:space="preserve">European Environment Agency, 2016. </w:t>
      </w:r>
      <w:hyperlink r:id="rId21" w:history="1">
        <w:r>
          <w:rPr>
            <w:rStyle w:val="Hyperlink"/>
            <w:sz w:val="16"/>
            <w:szCs w:val="16"/>
          </w:rPr>
          <w:t>Imperviousness and imperviousness change</w:t>
        </w:r>
      </w:hyperlink>
      <w:r>
        <w:rPr>
          <w:rStyle w:val="Hyperlink"/>
          <w:sz w:val="16"/>
          <w:szCs w:val="16"/>
        </w:rPr>
        <w:t>, Figure 1</w:t>
      </w:r>
    </w:p>
  </w:footnote>
  <w:footnote w:id="35">
    <w:p w:rsidR="00B71C54" w:rsidRDefault="00465787">
      <w:pPr>
        <w:pStyle w:val="FootnoteText"/>
        <w:widowControl w:val="0"/>
        <w:ind w:left="170" w:hanging="170"/>
        <w:outlineLvl w:val="4"/>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Eurostat,</w:t>
      </w:r>
      <w:hyperlink r:id="rId22" w:history="1">
        <w:r>
          <w:rPr>
            <w:rStyle w:val="Hyperlink"/>
            <w:sz w:val="16"/>
            <w:szCs w:val="16"/>
          </w:rPr>
          <w:t xml:space="preserve"> Soil water erosion rate</w:t>
        </w:r>
      </w:hyperlink>
      <w:r>
        <w:rPr>
          <w:sz w:val="16"/>
          <w:szCs w:val="16"/>
        </w:rPr>
        <w:t>, Figure 2, accessed November 2016</w:t>
      </w:r>
    </w:p>
  </w:footnote>
  <w:footnote w:id="36">
    <w:p w:rsidR="00B71C54" w:rsidRDefault="00465787">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sz w:val="16"/>
          <w:szCs w:val="16"/>
        </w:rPr>
        <w:t>European Environment Agency, 2016. Land cover 2012 and changes country analysis [publication forthcoming]</w:t>
      </w:r>
    </w:p>
  </w:footnote>
  <w:footnote w:id="37">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3" w:history="1">
        <w:r>
          <w:rPr>
            <w:rStyle w:val="Hyperlink"/>
            <w:rFonts w:asciiTheme="minorHAnsi" w:hAnsiTheme="minorHAnsi"/>
            <w:sz w:val="16"/>
            <w:szCs w:val="16"/>
          </w:rPr>
          <w:t>Marine Strategy Framework Directive 2008/56/EC</w:t>
        </w:r>
      </w:hyperlink>
    </w:p>
  </w:footnote>
  <w:footnote w:id="3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provide ecologically diverse and dynamic oceans</w:t>
      </w:r>
      <w:r>
        <w:rPr>
          <w:rFonts w:asciiTheme="minorHAnsi" w:hAnsiTheme="minorHAnsi"/>
          <w:sz w:val="16"/>
          <w:szCs w:val="16"/>
        </w:rPr>
        <w:t xml:space="preserve"> and seas which are clean, healthy and productive”</w:t>
      </w:r>
    </w:p>
  </w:footnote>
  <w:footnote w:id="39">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2016, France has indicated that In 2016 its French marine protected areas covered 88133 square kilometres of its marine waters, with 13650 square kilometres in the North Sea, 1695 square kilometres i</w:t>
      </w:r>
      <w:r>
        <w:rPr>
          <w:rFonts w:asciiTheme="minorHAnsi" w:hAnsiTheme="minorHAnsi"/>
          <w:sz w:val="16"/>
          <w:szCs w:val="16"/>
        </w:rPr>
        <w:t>n the Celtic Sea, 21938 square kilometres in the Bay of Biscay and Iberian coast and 50850 square kilometres in the Western Mediterranean Sea.</w:t>
      </w:r>
    </w:p>
  </w:footnote>
  <w:footnote w:id="40">
    <w:p w:rsidR="00B71C54" w:rsidRDefault="00465787">
      <w:pPr>
        <w:pStyle w:val="FootnoteText"/>
        <w:widowControl w:val="0"/>
        <w:ind w:left="113" w:hanging="113"/>
        <w:rPr>
          <w:rFonts w:asciiTheme="minorHAnsi" w:hAnsiTheme="minorHAnsi" w:cstheme="minorHAnsi"/>
          <w:sz w:val="16"/>
          <w:szCs w:val="16"/>
        </w:rPr>
      </w:pPr>
      <w:r>
        <w:rPr>
          <w:rStyle w:val="Caractresdenotedebasdepage"/>
          <w:rFonts w:asciiTheme="minorHAnsi" w:hAnsiTheme="minorHAnsi"/>
          <w:sz w:val="16"/>
          <w:szCs w:val="16"/>
        </w:rPr>
        <w:footnoteRef/>
      </w:r>
      <w:r>
        <w:rPr>
          <w:rFonts w:asciiTheme="minorHAnsi" w:hAnsiTheme="minorHAnsi" w:cstheme="minorHAnsi"/>
          <w:sz w:val="16"/>
          <w:szCs w:val="16"/>
        </w:rPr>
        <w:t>Commission Staff Working Document Accompanying the Commission Report on "The first phase of implementation of th</w:t>
      </w:r>
      <w:r>
        <w:rPr>
          <w:rFonts w:asciiTheme="minorHAnsi" w:hAnsiTheme="minorHAnsi" w:cstheme="minorHAnsi"/>
          <w:sz w:val="16"/>
          <w:szCs w:val="16"/>
        </w:rPr>
        <w:t>e Marine Strategy Framework Directive (2008/56/EC) - The European Commission's assessment and guidance" (</w:t>
      </w:r>
      <w:hyperlink r:id="rId24" w:history="1">
        <w:r>
          <w:rPr>
            <w:rStyle w:val="Hyperlink"/>
            <w:rFonts w:asciiTheme="minorHAnsi" w:hAnsiTheme="minorHAnsi" w:cstheme="minorHAnsi"/>
            <w:sz w:val="16"/>
            <w:szCs w:val="16"/>
          </w:rPr>
          <w:t>SWD(21014) 049 final</w:t>
        </w:r>
      </w:hyperlink>
      <w:r>
        <w:rPr>
          <w:rFonts w:asciiTheme="minorHAnsi" w:hAnsiTheme="minorHAnsi" w:cstheme="minorHAnsi"/>
          <w:sz w:val="16"/>
          <w:szCs w:val="16"/>
        </w:rPr>
        <w:t xml:space="preserve"> and </w:t>
      </w:r>
      <w:hyperlink r:id="rId25" w:history="1">
        <w:r>
          <w:rPr>
            <w:rStyle w:val="Hyperlink"/>
            <w:rFonts w:asciiTheme="minorHAnsi" w:hAnsiTheme="minorHAnsi" w:cstheme="minorHAnsi"/>
            <w:sz w:val="16"/>
            <w:szCs w:val="16"/>
          </w:rPr>
          <w:t>COM(2014)097 final</w:t>
        </w:r>
      </w:hyperlink>
      <w:r>
        <w:rPr>
          <w:rFonts w:asciiTheme="minorHAnsi" w:hAnsiTheme="minorHAnsi" w:cstheme="minorHAnsi"/>
          <w:sz w:val="16"/>
          <w:szCs w:val="16"/>
        </w:rPr>
        <w:t>)</w:t>
      </w:r>
      <w:hyperlink r:id="rId26" w:history="1">
        <w:r>
          <w:rPr>
            <w:rStyle w:val="Hyperlink"/>
            <w:rFonts w:asciiTheme="minorHAnsi" w:hAnsiTheme="minorHAnsi" w:cstheme="minorHAnsi"/>
            <w:sz w:val="16"/>
            <w:szCs w:val="16"/>
          </w:rPr>
          <w:t>SWD(21014) 049 final</w:t>
        </w:r>
      </w:hyperlink>
      <w:r>
        <w:rPr>
          <w:rFonts w:asciiTheme="minorHAnsi" w:hAnsiTheme="minorHAnsi" w:cstheme="minorHAnsi"/>
          <w:sz w:val="16"/>
          <w:szCs w:val="16"/>
        </w:rPr>
        <w:t xml:space="preserve"> and </w:t>
      </w:r>
      <w:hyperlink r:id="rId27" w:history="1">
        <w:r>
          <w:rPr>
            <w:rStyle w:val="Hyperlink"/>
            <w:rFonts w:asciiTheme="minorHAnsi" w:hAnsiTheme="minorHAnsi" w:cstheme="minorHAnsi"/>
            <w:sz w:val="16"/>
            <w:szCs w:val="16"/>
          </w:rPr>
          <w:t>COM(2014)097 final</w:t>
        </w:r>
      </w:hyperlink>
      <w:r>
        <w:rPr>
          <w:rFonts w:asciiTheme="minorHAnsi" w:hAnsiTheme="minorHAnsi" w:cstheme="minorHAnsi"/>
          <w:sz w:val="16"/>
          <w:szCs w:val="16"/>
        </w:rPr>
        <w:t>)</w:t>
      </w:r>
    </w:p>
    <w:p w:rsidR="00B71C54" w:rsidRDefault="00465787">
      <w:pPr>
        <w:spacing w:after="0"/>
        <w:ind w:left="113" w:hanging="113"/>
        <w:rPr>
          <w:sz w:val="16"/>
          <w:szCs w:val="16"/>
        </w:rPr>
      </w:pPr>
      <w:r>
        <w:rPr>
          <w:sz w:val="16"/>
          <w:szCs w:val="16"/>
        </w:rPr>
        <w:t xml:space="preserve">  </w:t>
      </w:r>
      <w:hyperlink r:id="rId28" w:history="1">
        <w:r>
          <w:rPr>
            <w:rStyle w:val="Hyperlink"/>
            <w:vanish/>
            <w:sz w:val="16"/>
            <w:szCs w:val="16"/>
          </w:rPr>
          <w:t>COM(2014)097</w:t>
        </w:r>
      </w:hyperlink>
    </w:p>
  </w:footnote>
  <w:footnote w:id="41">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29" w:history="1">
        <w:r>
          <w:rPr>
            <w:rStyle w:val="Hyperlink"/>
            <w:rFonts w:asciiTheme="minorHAnsi" w:hAnsiTheme="minorHAnsi"/>
            <w:sz w:val="16"/>
            <w:szCs w:val="16"/>
          </w:rPr>
          <w:t>Air Quality Standards</w:t>
        </w:r>
      </w:hyperlink>
      <w:r>
        <w:rPr>
          <w:rFonts w:asciiTheme="minorHAnsi" w:hAnsiTheme="minorHAnsi"/>
          <w:sz w:val="16"/>
          <w:szCs w:val="16"/>
        </w:rPr>
        <w:t xml:space="preserve"> </w:t>
      </w:r>
    </w:p>
  </w:footnote>
  <w:footnote w:id="42">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0"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31" w:history="1">
        <w:r>
          <w:rPr>
            <w:rStyle w:val="Hyperlink"/>
            <w:rFonts w:asciiTheme="minorHAnsi" w:hAnsiTheme="minorHAnsi"/>
            <w:sz w:val="16"/>
            <w:szCs w:val="16"/>
          </w:rPr>
          <w:t>Air pollutant emissions data viewer (NEC Directive)</w:t>
        </w:r>
      </w:hyperlink>
    </w:p>
  </w:footnote>
  <w:footnote w:id="43">
    <w:p w:rsidR="00B71C54" w:rsidRDefault="0046578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32"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33"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44">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w:t>
      </w:r>
      <w:r>
        <w:rPr>
          <w:rFonts w:asciiTheme="minorHAnsi" w:hAnsiTheme="minorHAnsi"/>
          <w:sz w:val="16"/>
          <w:szCs w:val="16"/>
        </w:rPr>
        <w:t>articulate matter (PM) is a mixture of aerosol particles (solid and liquid) covering a wide range of sizes and chemical compositions. PM10 (PM2.5) refers to particles with a diameter of 10 (2.5) micrometres or less. PM is emitted from many human sources, i</w:t>
      </w:r>
      <w:r>
        <w:rPr>
          <w:rFonts w:asciiTheme="minorHAnsi" w:hAnsiTheme="minorHAnsi"/>
          <w:sz w:val="16"/>
          <w:szCs w:val="16"/>
        </w:rPr>
        <w:t>ncluding combustion.</w:t>
      </w:r>
    </w:p>
  </w:footnote>
  <w:footnote w:id="45">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action and it is also a greenhouse gas.</w:t>
      </w:r>
    </w:p>
  </w:footnote>
  <w:footnote w:id="46">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NOx is emitted during fuel combustion e.g. from industrial facilities and the road transport sector. NOx is a group of gases comprising nitrogen m</w:t>
      </w:r>
      <w:r>
        <w:rPr>
          <w:rFonts w:asciiTheme="minorHAnsi" w:hAnsiTheme="minorHAnsi"/>
          <w:sz w:val="16"/>
          <w:szCs w:val="16"/>
        </w:rPr>
        <w:t>onoxide (NO) and nitrogen dioxide (NO2).</w:t>
      </w:r>
    </w:p>
  </w:footnote>
  <w:footnote w:id="47">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eastAsia="en-GB"/>
        </w:rPr>
        <w:t xml:space="preserve">European Environment Agency, 2016. </w:t>
      </w:r>
      <w:hyperlink r:id="rId34" w:history="1">
        <w:r>
          <w:rPr>
            <w:rStyle w:val="Hyperlink"/>
            <w:rFonts w:asciiTheme="minorHAnsi" w:hAnsiTheme="minorHAnsi"/>
            <w:sz w:val="16"/>
            <w:szCs w:val="16"/>
            <w:lang w:eastAsia="en-GB"/>
          </w:rPr>
          <w:t>Air Quality in Europe – 2016 Report</w:t>
        </w:r>
      </w:hyperlink>
      <w:r>
        <w:rPr>
          <w:rFonts w:asciiTheme="minorHAnsi" w:hAnsiTheme="minorHAnsi"/>
          <w:sz w:val="16"/>
          <w:szCs w:val="16"/>
          <w:lang w:eastAsia="en-GB"/>
        </w:rPr>
        <w:t xml:space="preserve">. (Table 10.2, please see details in this report as regards </w:t>
      </w:r>
      <w:r>
        <w:rPr>
          <w:rFonts w:asciiTheme="minorHAnsi" w:hAnsiTheme="minorHAnsi"/>
          <w:sz w:val="16"/>
          <w:szCs w:val="16"/>
          <w:lang w:eastAsia="en-GB"/>
        </w:rPr>
        <w:t>the underpinning   methodology)</w:t>
      </w:r>
    </w:p>
  </w:footnote>
  <w:footnote w:id="4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Based on European Environment Agency, 2016. </w:t>
      </w:r>
      <w:hyperlink r:id="rId35"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 (Figures 4.1, 5.1 and 6.1)</w:t>
      </w:r>
    </w:p>
  </w:footnote>
  <w:footnote w:id="49">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6" w:history="1">
        <w:r>
          <w:rPr>
            <w:rStyle w:val="Hyperlink"/>
            <w:rFonts w:asciiTheme="minorHAnsi" w:hAnsiTheme="minorHAnsi"/>
            <w:sz w:val="16"/>
            <w:szCs w:val="16"/>
          </w:rPr>
          <w:t>The EEA/Eionet Air Quality Portal</w:t>
        </w:r>
      </w:hyperlink>
      <w:r>
        <w:rPr>
          <w:rFonts w:asciiTheme="minorHAnsi" w:hAnsiTheme="minorHAnsi"/>
          <w:sz w:val="16"/>
          <w:szCs w:val="16"/>
        </w:rPr>
        <w:t xml:space="preserve"> and the related Central Data Repository</w:t>
      </w:r>
    </w:p>
  </w:footnote>
  <w:footnote w:id="50">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37"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w:t>
      </w:r>
      <w:r>
        <w:rPr>
          <w:rFonts w:asciiTheme="minorHAnsi" w:hAnsiTheme="minorHAnsi"/>
          <w:sz w:val="16"/>
          <w:szCs w:val="16"/>
        </w:rPr>
        <w:t>ean Commission Integrated Clean Air Package (2013)</w:t>
      </w:r>
    </w:p>
  </w:footnote>
  <w:footnote w:id="51">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Under the provisions of the revised National Emission Ceilings Directive, Member States now may apply for emission inventory adjustments. Pending evaluation of any adjustment application, Member States s</w:t>
      </w:r>
      <w:r>
        <w:rPr>
          <w:rFonts w:asciiTheme="minorHAnsi" w:hAnsiTheme="minorHAnsi"/>
          <w:sz w:val="16"/>
          <w:szCs w:val="16"/>
        </w:rPr>
        <w:t>hould keep emissions under close control with a view to further reductions.</w:t>
      </w:r>
    </w:p>
  </w:footnote>
  <w:footnote w:id="52">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w:t>
      </w:r>
      <w:hyperlink r:id="rId38" w:history="1">
        <w:r>
          <w:rPr>
            <w:rStyle w:val="Hyperlink"/>
            <w:rFonts w:asciiTheme="minorHAnsi" w:hAnsiTheme="minorHAnsi"/>
            <w:sz w:val="16"/>
            <w:szCs w:val="16"/>
          </w:rPr>
          <w:t>,</w:t>
        </w:r>
        <w:r>
          <w:rPr>
            <w:rStyle w:val="Hyperlink"/>
            <w:rFonts w:asciiTheme="minorHAnsi" w:hAnsiTheme="minorHAnsi"/>
            <w:sz w:val="16"/>
            <w:szCs w:val="16"/>
          </w:rPr>
          <w:t xml:space="preserve"> Burden of disease from environmental noise</w:t>
        </w:r>
      </w:hyperlink>
      <w:r>
        <w:rPr>
          <w:rFonts w:asciiTheme="minorHAnsi" w:hAnsiTheme="minorHAnsi"/>
          <w:sz w:val="16"/>
          <w:szCs w:val="16"/>
        </w:rPr>
        <w:t>, Fritschi, L., Brown, A.L., Kim, R., Schwela, D., Kephalopoulos, S. (eds), World Health Organization, Regional Office for Europe, Copenhagen, Denmark</w:t>
      </w:r>
    </w:p>
  </w:footnote>
  <w:footnote w:id="53">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w:t>
      </w:r>
      <w:r>
        <w:rPr>
          <w:rFonts w:asciiTheme="minorHAnsi" w:hAnsiTheme="minorHAnsi"/>
          <w:sz w:val="16"/>
          <w:szCs w:val="16"/>
        </w:rPr>
        <w:t xml:space="preserve">blish, every 5 years, noise maps and noise management action plans for agglomerations with more than 100,000 inhabitants, and for major roads, railways and airports. </w:t>
      </w:r>
    </w:p>
  </w:footnote>
  <w:footnote w:id="54">
    <w:p w:rsidR="00B71C54" w:rsidRDefault="00465787">
      <w:pPr>
        <w:pStyle w:val="FootnoteText"/>
        <w:widowControl w:val="0"/>
        <w:ind w:left="113" w:hanging="113"/>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39"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0"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41"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2"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43" w:history="1">
        <w:r>
          <w:rPr>
            <w:rStyle w:val="Hyperlink"/>
            <w:rFonts w:asciiTheme="minorHAnsi" w:hAnsiTheme="minorHAnsi"/>
            <w:sz w:val="16"/>
            <w:szCs w:val="16"/>
          </w:rPr>
          <w:t>Nitrates</w:t>
        </w:r>
        <w:r>
          <w:rPr>
            <w:rStyle w:val="Hyperlink"/>
            <w:rFonts w:asciiTheme="minorHAnsi" w:hAnsiTheme="minorHAnsi"/>
            <w:sz w:val="16"/>
            <w:szCs w:val="16"/>
          </w:rPr>
          <w:t xml:space="preserve"> Directive (91/676/EEC)</w:t>
        </w:r>
      </w:hyperlink>
      <w:r>
        <w:rPr>
          <w:rFonts w:asciiTheme="minorHAnsi" w:hAnsiTheme="minorHAnsi"/>
          <w:sz w:val="16"/>
          <w:szCs w:val="16"/>
        </w:rPr>
        <w:t xml:space="preserve"> and the </w:t>
      </w:r>
      <w:hyperlink r:id="rId44" w:history="1">
        <w:r>
          <w:rPr>
            <w:rStyle w:val="Hyperlink"/>
            <w:rFonts w:asciiTheme="minorHAnsi" w:hAnsiTheme="minorHAnsi"/>
            <w:sz w:val="16"/>
            <w:szCs w:val="16"/>
          </w:rPr>
          <w:t>Floods Directive (2007/60/EC)</w:t>
        </w:r>
      </w:hyperlink>
    </w:p>
  </w:footnote>
  <w:footnote w:id="55">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in terms of the quality of the biologica</w:t>
      </w:r>
      <w:r>
        <w:rPr>
          <w:rFonts w:asciiTheme="minorHAnsi" w:hAnsiTheme="minorHAnsi"/>
          <w:sz w:val="16"/>
          <w:szCs w:val="16"/>
        </w:rPr>
        <w:t>l community, the hydrological characteristics and the chemical characteristics.</w:t>
      </w:r>
    </w:p>
  </w:footnote>
  <w:footnote w:id="56">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w:t>
      </w:r>
    </w:p>
  </w:footnote>
  <w:footnote w:id="57">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w:t>
      </w:r>
      <w:r>
        <w:rPr>
          <w:rFonts w:asciiTheme="minorHAnsi" w:hAnsiTheme="minorHAnsi"/>
          <w:sz w:val="16"/>
          <w:szCs w:val="16"/>
        </w:rPr>
        <w:t>iffuse pollution comes from widespread activities with no one discrete source, e.g. acid rain, pesticides, urban run-off, etc.</w:t>
      </w:r>
    </w:p>
  </w:footnote>
  <w:footnote w:id="5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buildi</w:t>
      </w:r>
      <w:r>
        <w:rPr>
          <w:rFonts w:asciiTheme="minorHAnsi" w:hAnsiTheme="minorHAnsi"/>
          <w:sz w:val="16"/>
          <w:szCs w:val="16"/>
        </w:rPr>
        <w:t>ng of dams to create reservoirs.</w:t>
      </w:r>
    </w:p>
  </w:footnote>
  <w:footnote w:id="59">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in terms of compliance with all the quality standards established for chemical substances at European level.</w:t>
      </w:r>
    </w:p>
  </w:footnote>
  <w:footnote w:id="60">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ECJ ruling C-193/12 of 13/06/2013 on NVZ desi</w:t>
      </w:r>
      <w:r>
        <w:rPr>
          <w:rFonts w:asciiTheme="minorHAnsi" w:hAnsiTheme="minorHAnsi"/>
          <w:sz w:val="16"/>
          <w:szCs w:val="16"/>
        </w:rPr>
        <w:t>gnation in France and ECJ ruling C</w:t>
      </w:r>
      <w:r>
        <w:rPr>
          <w:rFonts w:asciiTheme="minorHAnsi" w:hAnsiTheme="minorHAnsi"/>
          <w:sz w:val="16"/>
          <w:szCs w:val="16"/>
        </w:rPr>
        <w:noBreakHyphen/>
        <w:t xml:space="preserve">237/12 of 4/09/2014 on the Action programmes. </w:t>
      </w:r>
    </w:p>
  </w:footnote>
  <w:footnote w:id="61">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Commission's </w:t>
      </w:r>
      <w:hyperlink r:id="rId45" w:history="1">
        <w:r>
          <w:rPr>
            <w:rStyle w:val="Hyperlink"/>
            <w:rFonts w:asciiTheme="minorHAnsi" w:hAnsiTheme="minorHAnsi"/>
            <w:sz w:val="16"/>
            <w:szCs w:val="16"/>
          </w:rPr>
          <w:t>Synthesis Report on the Quality of Drinking Water in the Union examining Me</w:t>
        </w:r>
        <w:r>
          <w:rPr>
            <w:rStyle w:val="Hyperlink"/>
            <w:rFonts w:asciiTheme="minorHAnsi" w:hAnsiTheme="minorHAnsi"/>
            <w:sz w:val="16"/>
            <w:szCs w:val="16"/>
          </w:rPr>
          <w:t>mber States' reports for the 2011-2013 period</w:t>
        </w:r>
      </w:hyperlink>
      <w:r>
        <w:rPr>
          <w:rFonts w:asciiTheme="minorHAnsi" w:hAnsiTheme="minorHAnsi"/>
          <w:sz w:val="16"/>
          <w:szCs w:val="16"/>
        </w:rPr>
        <w:t>, foreseen under Article 13(5) of Directive 98/83/EC; COM(2016)666</w:t>
      </w:r>
    </w:p>
  </w:footnote>
  <w:footnote w:id="62">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w:t>
      </w:r>
      <w:r>
        <w:rPr>
          <w:rFonts w:asciiTheme="minorHAnsi" w:hAnsiTheme="minorHAnsi"/>
          <w:color w:val="1F497D"/>
          <w:sz w:val="16"/>
          <w:szCs w:val="16"/>
        </w:rPr>
        <w:t xml:space="preserve"> </w:t>
      </w:r>
      <w:hyperlink r:id="rId46" w:history="1">
        <w:r>
          <w:rPr>
            <w:rStyle w:val="Hyperlink"/>
            <w:rFonts w:asciiTheme="minorHAnsi" w:hAnsiTheme="minorHAnsi"/>
            <w:sz w:val="16"/>
            <w:szCs w:val="16"/>
          </w:rPr>
          <w:t xml:space="preserve">European bathing </w:t>
        </w:r>
        <w:r>
          <w:rPr>
            <w:rStyle w:val="Hyperlink"/>
            <w:rFonts w:asciiTheme="minorHAnsi" w:hAnsiTheme="minorHAnsi"/>
            <w:sz w:val="16"/>
            <w:szCs w:val="16"/>
          </w:rPr>
          <w:t>water quality in 2015</w:t>
        </w:r>
      </w:hyperlink>
    </w:p>
  </w:footnote>
  <w:footnote w:id="63">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footnote 55.</w:t>
      </w:r>
    </w:p>
  </w:footnote>
  <w:footnote w:id="64">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Implementation Status and the Programmes for Implementation of the Urban Waste Water Directive </w:t>
      </w:r>
      <w:hyperlink r:id="rId47"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48" w:history="1">
        <w:r>
          <w:rPr>
            <w:rStyle w:val="Hyperlink"/>
            <w:rFonts w:asciiTheme="minorHAnsi" w:hAnsiTheme="minorHAnsi"/>
            <w:sz w:val="16"/>
            <w:szCs w:val="16"/>
          </w:rPr>
          <w:t>(SWD(2016)45 final</w:t>
        </w:r>
      </w:hyperlink>
      <w:r>
        <w:rPr>
          <w:rFonts w:asciiTheme="minorHAnsi" w:hAnsiTheme="minorHAnsi"/>
          <w:sz w:val="16"/>
          <w:szCs w:val="16"/>
        </w:rPr>
        <w:t>).</w:t>
      </w:r>
    </w:p>
  </w:footnote>
  <w:footnote w:id="65">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footnote 57. </w:t>
      </w:r>
    </w:p>
  </w:footnote>
  <w:footnote w:id="66">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9" w:history="1">
        <w:r>
          <w:rPr>
            <w:rStyle w:val="Hyperlink"/>
            <w:rFonts w:asciiTheme="minorHAnsi" w:hAnsiTheme="minorHAnsi"/>
            <w:sz w:val="16"/>
            <w:szCs w:val="16"/>
          </w:rPr>
          <w:t>Urban environment</w:t>
        </w:r>
      </w:hyperlink>
    </w:p>
  </w:footnote>
  <w:footnote w:id="67">
    <w:p w:rsidR="00B71C54" w:rsidRDefault="00465787">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50" w:history="1">
        <w:r>
          <w:rPr>
            <w:rStyle w:val="Hyperlink"/>
            <w:rFonts w:asciiTheme="minorHAnsi" w:hAnsiTheme="minorHAnsi"/>
            <w:sz w:val="16"/>
            <w:szCs w:val="16"/>
          </w:rPr>
          <w:t>http://urbanagendaforthe.eu/</w:t>
        </w:r>
      </w:hyperlink>
    </w:p>
  </w:footnote>
  <w:footnote w:id="68">
    <w:p w:rsidR="00B71C54" w:rsidRDefault="00465787">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1" w:history="1">
        <w:r>
          <w:rPr>
            <w:rStyle w:val="Hyperlink"/>
            <w:rFonts w:asciiTheme="minorHAnsi" w:hAnsiTheme="minorHAnsi"/>
            <w:sz w:val="16"/>
            <w:szCs w:val="16"/>
          </w:rPr>
          <w:t xml:space="preserve">Urban </w:t>
        </w:r>
        <w:r>
          <w:rPr>
            <w:rStyle w:val="Hyperlink"/>
            <w:rFonts w:asciiTheme="minorHAnsi" w:hAnsiTheme="minorHAnsi"/>
            <w:sz w:val="16"/>
            <w:szCs w:val="16"/>
          </w:rPr>
          <w:t>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EUROCITIES, ICLEI, CEMR, Committee of the Regions, Covenant of Mayo</w:t>
      </w:r>
      <w:r>
        <w:rPr>
          <w:rFonts w:asciiTheme="minorHAnsi" w:hAnsiTheme="minorHAnsi"/>
          <w:sz w:val="16"/>
          <w:szCs w:val="16"/>
        </w:rPr>
        <w:t>rs and others.</w:t>
      </w:r>
    </w:p>
  </w:footnote>
  <w:footnote w:id="69">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Protocol on Access to Genetic Resources and the Fair and Equitable Sharing of Benefits Arising from their Utilization to the Convention on Biological Diversity.</w:t>
      </w:r>
    </w:p>
  </w:footnote>
  <w:footnote w:id="70">
    <w:p w:rsidR="00B71C54" w:rsidRDefault="00465787">
      <w:pPr>
        <w:spacing w:after="0"/>
        <w:ind w:left="113" w:hanging="113"/>
        <w:rPr>
          <w:sz w:val="16"/>
          <w:szCs w:val="16"/>
        </w:rPr>
      </w:pPr>
      <w:r>
        <w:rPr>
          <w:rStyle w:val="FootnoteReference"/>
          <w:sz w:val="16"/>
          <w:szCs w:val="16"/>
        </w:rPr>
        <w:footnoteRef/>
      </w:r>
      <w:r>
        <w:rPr>
          <w:sz w:val="16"/>
          <w:szCs w:val="16"/>
        </w:rPr>
        <w:t xml:space="preserve"> </w:t>
      </w:r>
      <w:r>
        <w:rPr>
          <w:rFonts w:eastAsia="Calibri" w:cs="Calibri"/>
          <w:sz w:val="16"/>
          <w:szCs w:val="16"/>
        </w:rPr>
        <w:t xml:space="preserve">Eunomia Research and Consulting, IEEP, Aarhus University, ENT, 2016. </w:t>
      </w:r>
      <w:hyperlink r:id="rId52" w:history="1">
        <w:r>
          <w:rPr>
            <w:rFonts w:eastAsia="Calibri" w:cs="Calibri"/>
            <w:color w:val="0000FF"/>
            <w:sz w:val="16"/>
            <w:szCs w:val="16"/>
            <w:u w:val="single"/>
          </w:rPr>
          <w:t>Study on Assessing the Environmental Fiscal Reform Potential for the EU28</w:t>
        </w:r>
      </w:hyperlink>
      <w:r>
        <w:rPr>
          <w:rFonts w:eastAsia="Calibri" w:cs="Calibri"/>
          <w:color w:val="0000FF"/>
          <w:sz w:val="16"/>
          <w:szCs w:val="16"/>
        </w:rPr>
        <w:t xml:space="preserve">. </w:t>
      </w:r>
      <w:r>
        <w:rPr>
          <w:rFonts w:eastAsia="Calibri" w:cs="Calibri"/>
          <w:sz w:val="16"/>
          <w:szCs w:val="16"/>
        </w:rPr>
        <w:t xml:space="preserve">N.B. National governments are responsible for setting tax </w:t>
      </w:r>
      <w:r>
        <w:rPr>
          <w:rFonts w:eastAsia="Calibri" w:cs="Calibri"/>
          <w:sz w:val="16"/>
          <w:szCs w:val="16"/>
        </w:rPr>
        <w:t xml:space="preserve">rates within the EU Single Market rules and this report is not suggesting concrete changes as to the level of environmental taxation. It merely presents the findings of the 2016 study by Eunomia </w:t>
      </w:r>
      <w:r>
        <w:rPr>
          <w:rFonts w:eastAsia="Calibri" w:cs="Calibri"/>
          <w:i/>
          <w:iCs/>
          <w:sz w:val="16"/>
          <w:szCs w:val="16"/>
        </w:rPr>
        <w:t>et al</w:t>
      </w:r>
      <w:r>
        <w:rPr>
          <w:rFonts w:eastAsia="Calibri" w:cs="Calibri"/>
          <w:sz w:val="16"/>
          <w:szCs w:val="16"/>
        </w:rPr>
        <w:t xml:space="preserve"> on the potential benefits various environmental taxes c</w:t>
      </w:r>
      <w:r>
        <w:rPr>
          <w:rFonts w:eastAsia="Calibri" w:cs="Calibri"/>
          <w:sz w:val="16"/>
          <w:szCs w:val="16"/>
        </w:rPr>
        <w:t>ould bring. It is then for the national authorities to assess this study and their concrete impacts in the national context. A first step in this respect, already done by a number of Member States, is to set up expert groups to assess these and make specif</w:t>
      </w:r>
      <w:r>
        <w:rPr>
          <w:rFonts w:eastAsia="Calibri" w:cs="Calibri"/>
          <w:sz w:val="16"/>
          <w:szCs w:val="16"/>
        </w:rPr>
        <w:t>ic proposals.</w:t>
      </w:r>
    </w:p>
  </w:footnote>
  <w:footnote w:id="71">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benchmarking to a successful taxation practice in another Member State.</w:t>
      </w:r>
    </w:p>
  </w:footnote>
  <w:footnote w:id="72">
    <w:p w:rsidR="00B71C54" w:rsidRDefault="00465787">
      <w:pPr>
        <w:pStyle w:val="FootnoteText"/>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53"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October 2016</w:t>
      </w:r>
    </w:p>
  </w:footnote>
  <w:footnote w:id="73">
    <w:p w:rsidR="00B71C54" w:rsidRDefault="00465787">
      <w:pPr>
        <w:pStyle w:val="FootnoteText"/>
        <w:ind w:left="113" w:hanging="113"/>
        <w:rPr>
          <w:rFonts w:asciiTheme="minorHAnsi" w:hAnsiTheme="minorHAnsi"/>
          <w:sz w:val="16"/>
          <w:szCs w:val="16"/>
          <w:lang w:val="fr-FR"/>
        </w:rPr>
      </w:pPr>
      <w:r>
        <w:rPr>
          <w:rStyle w:val="FootnoteReference"/>
          <w:rFonts w:asciiTheme="minorHAnsi" w:hAnsiTheme="minorHAnsi"/>
          <w:sz w:val="16"/>
          <w:szCs w:val="16"/>
        </w:rPr>
        <w:footnoteRef/>
      </w:r>
      <w:r>
        <w:rPr>
          <w:rStyle w:val="FootnoteReference"/>
          <w:rFonts w:asciiTheme="minorHAnsi" w:hAnsiTheme="minorHAnsi"/>
          <w:sz w:val="16"/>
          <w:szCs w:val="16"/>
          <w:lang w:val="fr-BE"/>
        </w:rPr>
        <w:t xml:space="preserve"> </w:t>
      </w:r>
      <w:r>
        <w:rPr>
          <w:rFonts w:asciiTheme="minorHAnsi" w:hAnsiTheme="minorHAnsi" w:cs="Calibri"/>
          <w:sz w:val="16"/>
          <w:szCs w:val="16"/>
          <w:lang w:val="fr-BE"/>
        </w:rPr>
        <w:t>Examen environnementaux d</w:t>
      </w:r>
      <w:r>
        <w:rPr>
          <w:rFonts w:asciiTheme="minorHAnsi" w:hAnsiTheme="minorHAnsi" w:cs="Calibri"/>
          <w:sz w:val="16"/>
          <w:szCs w:val="16"/>
          <w:lang w:val="fr-BE"/>
        </w:rPr>
        <w:t>e l'OCDE, France, 2016, p. 147.</w:t>
      </w:r>
    </w:p>
  </w:footnote>
  <w:footnote w:id="74">
    <w:p w:rsidR="00B71C54" w:rsidRDefault="00465787">
      <w:pPr>
        <w:pStyle w:val="FootnoteText"/>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r>
        <w:rPr>
          <w:rFonts w:asciiTheme="minorHAnsi" w:hAnsiTheme="minorHAnsi" w:cs="Calibri"/>
          <w:sz w:val="16"/>
          <w:szCs w:val="16"/>
          <w:lang w:val="fr-BE"/>
        </w:rPr>
        <w:t>Eurostat</w:t>
      </w:r>
      <w:r>
        <w:rPr>
          <w:rFonts w:asciiTheme="minorHAnsi" w:hAnsiTheme="minorHAnsi"/>
          <w:sz w:val="16"/>
          <w:szCs w:val="16"/>
          <w:lang w:val="fr-BE"/>
        </w:rPr>
        <w:t xml:space="preserve">, </w:t>
      </w:r>
      <w:hyperlink r:id="rId54"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June 2016</w:t>
      </w:r>
    </w:p>
  </w:footnote>
  <w:footnote w:id="75">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55" w:history="1">
        <w:r>
          <w:rPr>
            <w:rStyle w:val="Hyperlink"/>
            <w:rFonts w:asciiTheme="minorHAnsi" w:hAnsiTheme="minorHAnsi"/>
            <w:sz w:val="16"/>
            <w:szCs w:val="16"/>
          </w:rPr>
          <w:t>Public procurement</w:t>
        </w:r>
      </w:hyperlink>
    </w:p>
  </w:footnote>
  <w:footnote w:id="76">
    <w:p w:rsidR="00B71C54" w:rsidRDefault="00465787">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56"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 verifiable, justifiable and ambitious environmental criteria for products and services, based on a life-cycle approach a</w:t>
      </w:r>
      <w:r>
        <w:rPr>
          <w:sz w:val="16"/>
          <w:szCs w:val="16"/>
          <w:lang w:val="en"/>
        </w:rPr>
        <w:t>nd scientific evidence base.</w:t>
      </w:r>
    </w:p>
  </w:footnote>
  <w:footnote w:id="77">
    <w:p w:rsidR="00B71C54" w:rsidRDefault="00465787">
      <w:pPr>
        <w:pStyle w:val="FootnoteText"/>
        <w:ind w:left="113" w:hanging="113"/>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ESIF comprises five funds – the European Regional Development Funds (ERDF), the Cohesion Fund (CF), the European Social Fund (ESF), the European Agricultural Fund for Rural Development (EAFRD), and the European Maritime and F</w:t>
      </w:r>
      <w:r>
        <w:rPr>
          <w:rFonts w:asciiTheme="minorHAnsi" w:hAnsiTheme="minorHAnsi" w:cstheme="minorHAnsi"/>
          <w:sz w:val="16"/>
          <w:szCs w:val="16"/>
        </w:rPr>
        <w:t>isheries Fund (EMFF). The ERDF, the CF and the ESF together form the Cohesion Policy funds.</w:t>
      </w:r>
    </w:p>
  </w:footnote>
  <w:footnote w:id="78">
    <w:p w:rsidR="00B71C54" w:rsidRDefault="00465787">
      <w:pPr>
        <w:pStyle w:val="FootnoteText"/>
        <w:widowControl w:val="0"/>
        <w:ind w:left="113" w:hanging="113"/>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Investment Bank, 2016 </w:t>
      </w:r>
      <w:hyperlink r:id="rId57" w:history="1">
        <w:r>
          <w:rPr>
            <w:rStyle w:val="Hyperlink"/>
            <w:rFonts w:asciiTheme="minorHAnsi" w:hAnsiTheme="minorHAnsi" w:cstheme="minorHAnsi"/>
            <w:sz w:val="16"/>
            <w:szCs w:val="16"/>
          </w:rPr>
          <w:t>European Fund for Strategic Investments</w:t>
        </w:r>
      </w:hyperlink>
    </w:p>
  </w:footnote>
  <w:footnote w:id="79">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Final data for the period 2007-2013 will only be</w:t>
      </w:r>
      <w:r>
        <w:rPr>
          <w:rFonts w:asciiTheme="minorHAnsi" w:hAnsiTheme="minorHAnsi"/>
          <w:sz w:val="16"/>
          <w:szCs w:val="16"/>
        </w:rPr>
        <w:t xml:space="preserve"> available at the end of 2017.  </w:t>
      </w:r>
    </w:p>
  </w:footnote>
  <w:footnote w:id="80">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58" w:history="1">
        <w:r>
          <w:rPr>
            <w:rStyle w:val="Hyperlink"/>
            <w:rFonts w:asciiTheme="minorHAnsi" w:hAnsiTheme="minorHAnsi"/>
            <w:sz w:val="16"/>
            <w:szCs w:val="16"/>
          </w:rPr>
          <w:t>European Structural and Investment Funds Data By Country</w:t>
        </w:r>
      </w:hyperlink>
    </w:p>
  </w:footnote>
  <w:footnote w:id="81">
    <w:p w:rsidR="00B71C54" w:rsidRDefault="00465787">
      <w:pPr>
        <w:widowControl w:val="0"/>
        <w:spacing w:after="0"/>
        <w:ind w:left="113" w:hanging="113"/>
        <w:rPr>
          <w:b/>
          <w:sz w:val="16"/>
          <w:szCs w:val="16"/>
        </w:rPr>
      </w:pPr>
      <w:r>
        <w:rPr>
          <w:rStyle w:val="FootnoteReference"/>
          <w:sz w:val="16"/>
          <w:szCs w:val="16"/>
        </w:rPr>
        <w:footnoteRef/>
      </w:r>
      <w:r>
        <w:rPr>
          <w:sz w:val="16"/>
          <w:szCs w:val="16"/>
        </w:rPr>
        <w:t xml:space="preserve"> The Commission has work ongoing to improve the country-specific knowledge about q</w:t>
      </w:r>
      <w:r>
        <w:rPr>
          <w:sz w:val="16"/>
          <w:szCs w:val="16"/>
        </w:rPr>
        <w:t>uality and functioning of the administrative systems of Member States.</w:t>
      </w:r>
    </w:p>
  </w:footnote>
  <w:footnote w:id="82">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Charron N., 2013. </w:t>
      </w:r>
      <w:hyperlink r:id="rId59" w:history="1">
        <w:r>
          <w:rPr>
            <w:rStyle w:val="Hyperlink"/>
            <w:rFonts w:asciiTheme="minorHAnsi" w:hAnsiTheme="minorHAnsi"/>
            <w:sz w:val="16"/>
            <w:szCs w:val="16"/>
          </w:rPr>
          <w:t>European Quality of Government Index (EQI)</w:t>
        </w:r>
      </w:hyperlink>
    </w:p>
  </w:footnote>
  <w:footnote w:id="83">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w:t>
      </w:r>
      <w:r>
        <w:rPr>
          <w:rFonts w:asciiTheme="minorHAnsi" w:hAnsiTheme="minorHAnsi"/>
          <w:sz w:val="16"/>
          <w:szCs w:val="16"/>
        </w:rPr>
        <w:t>rovides that "Environmental protection requirements must be integrated into the definition and implementation of the Union's policies and activities, in particular with a view to promoting sustainable development."</w:t>
      </w:r>
    </w:p>
  </w:footnote>
  <w:footnote w:id="84">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transposition of Directive 2014/52/</w:t>
      </w:r>
      <w:r>
        <w:rPr>
          <w:rFonts w:asciiTheme="minorHAnsi" w:hAnsiTheme="minorHAnsi"/>
          <w:sz w:val="16"/>
          <w:szCs w:val="16"/>
        </w:rPr>
        <w:t>EU is due in May 2017.</w:t>
      </w:r>
    </w:p>
  </w:footnote>
  <w:footnote w:id="85">
    <w:p w:rsidR="00B71C54" w:rsidRDefault="00465787">
      <w:pPr>
        <w:pStyle w:val="FootnoteText"/>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Commission notice — </w:t>
      </w:r>
      <w:hyperlink r:id="rId60" w:history="1">
        <w:r>
          <w:rPr>
            <w:rStyle w:val="Hyperlink"/>
            <w:rFonts w:asciiTheme="minorHAnsi" w:hAnsiTheme="minorHAnsi"/>
            <w:sz w:val="16"/>
            <w:szCs w:val="16"/>
          </w:rPr>
          <w:t>Commission guidance document on streamlining environmental assessments conducted under Article 2(3)</w:t>
        </w:r>
        <w:r>
          <w:rPr>
            <w:rStyle w:val="Hyperlink"/>
            <w:rFonts w:asciiTheme="minorHAnsi" w:hAnsiTheme="minorHAnsi"/>
            <w:sz w:val="16"/>
            <w:szCs w:val="16"/>
          </w:rPr>
          <w:t xml:space="preserve">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86">
    <w:p w:rsidR="00B71C54" w:rsidRDefault="00465787">
      <w:pPr>
        <w:pStyle w:val="FootnoteText"/>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Examen environnementaux de l'OCDE, France, 2016, p. 17.</w:t>
      </w:r>
    </w:p>
  </w:footnote>
  <w:footnote w:id="87">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61" w:history="1">
        <w:r>
          <w:rPr>
            <w:rStyle w:val="Hyperlink"/>
            <w:rFonts w:asciiTheme="minorHAnsi" w:hAnsiTheme="minorHAnsi"/>
            <w:sz w:val="16"/>
            <w:szCs w:val="16"/>
          </w:rPr>
          <w:t>Environmental Crime Directive 2008/99/EC</w:t>
        </w:r>
      </w:hyperlink>
      <w:r>
        <w:rPr>
          <w:rFonts w:asciiTheme="minorHAnsi" w:hAnsiTheme="minorHAnsi"/>
          <w:sz w:val="16"/>
          <w:szCs w:val="16"/>
        </w:rPr>
        <w:t xml:space="preserve"> .</w:t>
      </w:r>
    </w:p>
  </w:footnote>
  <w:footnote w:id="8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2" w:history="1"/>
      <w:r>
        <w:rPr>
          <w:rFonts w:asciiTheme="minorHAnsi" w:hAnsiTheme="minorHAnsi"/>
          <w:sz w:val="16"/>
          <w:szCs w:val="16"/>
        </w:rPr>
        <w:t xml:space="preserve"> </w:t>
      </w:r>
      <w:hyperlink r:id="rId63" w:history="1">
        <w:r>
          <w:rPr>
            <w:rStyle w:val="Hyperlink"/>
            <w:rFonts w:asciiTheme="minorHAnsi" w:hAnsiTheme="minorHAnsi"/>
            <w:sz w:val="16"/>
            <w:szCs w:val="16"/>
          </w:rPr>
          <w:t xml:space="preserve">European Union Network for the </w:t>
        </w:r>
        <w:r>
          <w:rPr>
            <w:rStyle w:val="Hyperlink"/>
            <w:rFonts w:asciiTheme="minorHAnsi" w:hAnsiTheme="minorHAnsi"/>
            <w:sz w:val="16"/>
            <w:szCs w:val="16"/>
          </w:rPr>
          <w:t>Implementation and Enforcement of Environmental Law</w:t>
        </w:r>
      </w:hyperlink>
    </w:p>
  </w:footnote>
  <w:footnote w:id="89">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4" w:history="1"/>
      <w:r>
        <w:rPr>
          <w:rFonts w:asciiTheme="minorHAnsi" w:hAnsiTheme="minorHAnsi"/>
          <w:sz w:val="16"/>
          <w:szCs w:val="16"/>
        </w:rPr>
        <w:t xml:space="preserve"> </w:t>
      </w:r>
      <w:hyperlink r:id="rId65" w:history="1">
        <w:r>
          <w:rPr>
            <w:rStyle w:val="Hyperlink"/>
            <w:rFonts w:asciiTheme="minorHAnsi" w:hAnsiTheme="minorHAnsi"/>
            <w:sz w:val="16"/>
            <w:szCs w:val="16"/>
          </w:rPr>
          <w:t>European Union Forum of judges for the environment</w:t>
        </w:r>
      </w:hyperlink>
    </w:p>
  </w:footnote>
  <w:footnote w:id="90">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6" w:history="1"/>
      <w:hyperlink r:id="rId67" w:history="1">
        <w:r>
          <w:rPr>
            <w:rStyle w:val="Hyperlink"/>
            <w:rFonts w:asciiTheme="minorHAnsi" w:hAnsiTheme="minorHAnsi"/>
            <w:sz w:val="16"/>
            <w:szCs w:val="16"/>
          </w:rPr>
          <w:t>The European Network of Prosecutors for the Environment</w:t>
        </w:r>
      </w:hyperlink>
    </w:p>
  </w:footnote>
  <w:footnote w:id="91">
    <w:p w:rsidR="00B71C54" w:rsidRDefault="00465787">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68" w:history="1">
        <w:r>
          <w:rPr>
            <w:rStyle w:val="Hyperlink"/>
            <w:rFonts w:asciiTheme="minorHAnsi" w:hAnsiTheme="minorHAnsi"/>
            <w:sz w:val="16"/>
            <w:szCs w:val="16"/>
            <w:lang w:val="fr-BE"/>
          </w:rPr>
          <w:t>EnviCrimeNet</w:t>
        </w:r>
      </w:hyperlink>
    </w:p>
  </w:footnote>
  <w:footnote w:id="92">
    <w:p w:rsidR="00B71C54" w:rsidRDefault="00465787">
      <w:pPr>
        <w:pStyle w:val="FootnoteText"/>
        <w:widowControl w:val="0"/>
        <w:ind w:left="113" w:hanging="113"/>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Union, </w:t>
      </w:r>
      <w:hyperlink r:id="rId69" w:history="1">
        <w:r>
          <w:rPr>
            <w:rStyle w:val="Hyperlink"/>
            <w:rFonts w:asciiTheme="minorHAnsi" w:hAnsiTheme="minorHAnsi"/>
            <w:sz w:val="16"/>
            <w:szCs w:val="16"/>
            <w:lang w:val="fr-BE"/>
          </w:rPr>
          <w:t>En</w:t>
        </w:r>
        <w:r>
          <w:rPr>
            <w:rStyle w:val="Hyperlink"/>
            <w:rFonts w:asciiTheme="minorHAnsi" w:hAnsiTheme="minorHAnsi"/>
            <w:sz w:val="16"/>
            <w:szCs w:val="16"/>
            <w:lang w:val="fr-BE"/>
          </w:rPr>
          <w:t>vironmental Liability Directive 2004/35/CE</w:t>
        </w:r>
      </w:hyperlink>
    </w:p>
  </w:footnote>
  <w:footnote w:id="93">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0" w:history="1">
        <w:r>
          <w:rPr>
            <w:rStyle w:val="Hyperlink"/>
            <w:rFonts w:asciiTheme="minorHAnsi" w:hAnsiTheme="minorHAnsi"/>
            <w:sz w:val="16"/>
            <w:szCs w:val="16"/>
          </w:rPr>
          <w:t>COM(2016)204 final</w:t>
        </w:r>
      </w:hyperlink>
      <w:r>
        <w:rPr>
          <w:rFonts w:asciiTheme="minorHAnsi" w:hAnsiTheme="minorHAnsi"/>
          <w:sz w:val="16"/>
          <w:szCs w:val="16"/>
        </w:rPr>
        <w:t xml:space="preserve"> and </w:t>
      </w:r>
      <w:hyperlink r:id="rId71"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guidance, training and ELD registers; and for financial security to be available in ca</w:t>
      </w:r>
      <w:r>
        <w:rPr>
          <w:rFonts w:asciiTheme="minorHAnsi" w:hAnsiTheme="minorHAnsi"/>
          <w:sz w:val="16"/>
          <w:szCs w:val="16"/>
        </w:rPr>
        <w:t>se events or incidents generate remediation costs.</w:t>
      </w:r>
    </w:p>
  </w:footnote>
  <w:footnote w:id="94">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for details, 'Ensuring Environmental Compliance. Trends and Good Practices', OECD 2009, p. 113f. </w:t>
      </w:r>
    </w:p>
  </w:footnote>
  <w:footnote w:id="95">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instance, within the Gendarmerie itself, about 800 officers across the country have received sp</w:t>
      </w:r>
      <w:r>
        <w:rPr>
          <w:rFonts w:asciiTheme="minorHAnsi" w:hAnsiTheme="minorHAnsi"/>
          <w:sz w:val="16"/>
          <w:szCs w:val="16"/>
        </w:rPr>
        <w:t xml:space="preserve">ecialised training on wildlife crime. See 'Ensuring Environmental Compliance. Trends and Good Practices', OECD 2009, p. 115 and 123. </w:t>
      </w:r>
    </w:p>
  </w:footnote>
  <w:footnote w:id="96">
    <w:p w:rsidR="00B71C54" w:rsidRDefault="00465787">
      <w:pPr>
        <w:spacing w:after="0"/>
        <w:ind w:left="113" w:hanging="113"/>
        <w:rPr>
          <w:sz w:val="16"/>
          <w:szCs w:val="16"/>
        </w:rPr>
      </w:pPr>
      <w:r>
        <w:rPr>
          <w:rStyle w:val="Caractresdenotedebasdepage"/>
          <w:sz w:val="16"/>
          <w:szCs w:val="16"/>
        </w:rPr>
        <w:footnoteRef/>
      </w:r>
    </w:p>
    <w:p w:rsidR="00B71C54" w:rsidRDefault="00465787">
      <w:pPr>
        <w:pStyle w:val="FootnoteText2"/>
        <w:pageBreakBefore/>
        <w:widowControl w:val="0"/>
        <w:ind w:left="113" w:hanging="113"/>
        <w:jc w:val="left"/>
        <w:rPr>
          <w:rFonts w:asciiTheme="minorHAnsi" w:hAnsiTheme="minorHAnsi"/>
          <w:sz w:val="16"/>
          <w:szCs w:val="16"/>
        </w:rPr>
      </w:pPr>
      <w:r>
        <w:rPr>
          <w:rFonts w:asciiTheme="minorHAnsi" w:hAnsiTheme="minorHAnsi"/>
          <w:sz w:val="16"/>
          <w:szCs w:val="16"/>
        </w:rPr>
        <w:tab/>
        <w:t>See study on access to justice in environmental matters: http://ec.europa.eu/environment/aarhus/access_studies.htm#</w:t>
      </w:r>
      <w:hyperlink r:id="rId72" w:history="1">
        <w:r>
          <w:rPr>
            <w:rStyle w:val="Hyperlink"/>
            <w:rFonts w:asciiTheme="minorHAnsi" w:hAnsiTheme="minorHAnsi"/>
            <w:vanish/>
            <w:sz w:val="16"/>
            <w:szCs w:val="16"/>
          </w:rPr>
          <w:t>study on access to justice in environmental matters</w:t>
        </w:r>
      </w:hyperlink>
    </w:p>
  </w:footnote>
  <w:footnote w:id="97">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3" w:history="1"/>
      <w:r>
        <w:rPr>
          <w:rFonts w:asciiTheme="minorHAnsi" w:hAnsiTheme="minorHAnsi"/>
          <w:sz w:val="16"/>
          <w:szCs w:val="16"/>
        </w:rPr>
        <w:t xml:space="preserve">European Union, </w:t>
      </w:r>
      <w:hyperlink r:id="rId74" w:history="1">
        <w:r>
          <w:rPr>
            <w:rStyle w:val="Hyperlink"/>
            <w:rFonts w:asciiTheme="minorHAnsi" w:hAnsiTheme="minorHAnsi"/>
            <w:sz w:val="16"/>
            <w:szCs w:val="16"/>
          </w:rPr>
          <w:t>Directive 2003/4/EC on public access to environmental information</w:t>
        </w:r>
      </w:hyperlink>
    </w:p>
  </w:footnote>
  <w:footnote w:id="98">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5" w:history="1"/>
      <w:r>
        <w:rPr>
          <w:rFonts w:asciiTheme="minorHAnsi" w:hAnsiTheme="minorHAnsi"/>
          <w:sz w:val="16"/>
          <w:szCs w:val="16"/>
        </w:rPr>
        <w:t xml:space="preserve"> European Union, </w:t>
      </w:r>
      <w:hyperlink r:id="rId76"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p>
  </w:footnote>
  <w:footnote w:id="99">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7" w:history="1">
        <w:r>
          <w:rPr>
            <w:rStyle w:val="Hyperlink"/>
            <w:rFonts w:asciiTheme="minorHAnsi" w:hAnsiTheme="minorHAnsi"/>
            <w:sz w:val="16"/>
            <w:szCs w:val="16"/>
          </w:rPr>
          <w:t>http://inspire.ec.europa.eu</w:t>
        </w:r>
      </w:hyperlink>
      <w:r>
        <w:rPr>
          <w:rFonts w:asciiTheme="minorHAnsi" w:hAnsiTheme="minorHAnsi"/>
          <w:sz w:val="16"/>
          <w:szCs w:val="16"/>
        </w:rPr>
        <w:t xml:space="preserve"> </w:t>
      </w:r>
    </w:p>
  </w:footnote>
  <w:footnote w:id="100">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eGovernment Action Plan 2016-2020 Accelerating the digital transformation of government </w:t>
      </w:r>
      <w:hyperlink r:id="rId78" w:history="1">
        <w:r>
          <w:rPr>
            <w:rStyle w:val="Hyperlink"/>
            <w:rFonts w:asciiTheme="minorHAnsi" w:hAnsiTheme="minorHAnsi"/>
            <w:sz w:val="16"/>
            <w:szCs w:val="16"/>
          </w:rPr>
          <w:t>COM(2016) 179</w:t>
        </w:r>
      </w:hyperlink>
      <w:r>
        <w:rPr>
          <w:rFonts w:asciiTheme="minorHAnsi" w:hAnsiTheme="minorHAnsi"/>
          <w:sz w:val="16"/>
          <w:szCs w:val="16"/>
        </w:rPr>
        <w:t xml:space="preserve"> final  </w:t>
      </w:r>
    </w:p>
  </w:footnote>
  <w:footnote w:id="101">
    <w:p w:rsidR="00B71C54" w:rsidRDefault="00465787">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79" w:history="1">
        <w:r>
          <w:rPr>
            <w:rStyle w:val="Hyperlink"/>
            <w:rFonts w:asciiTheme="minorHAnsi" w:hAnsiTheme="minorHAnsi"/>
            <w:sz w:val="16"/>
            <w:szCs w:val="16"/>
          </w:rPr>
          <w:t>INSPIRE reports</w:t>
        </w:r>
      </w:hyperlink>
    </w:p>
  </w:footnote>
  <w:footnote w:id="102">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0" w:history="1">
        <w:r>
          <w:rPr>
            <w:rStyle w:val="Hyperlink"/>
            <w:rFonts w:asciiTheme="minorHAnsi" w:hAnsiTheme="minorHAnsi"/>
            <w:sz w:val="16"/>
            <w:szCs w:val="16"/>
          </w:rPr>
          <w:t>Inspire indicator trends</w:t>
        </w:r>
      </w:hyperlink>
    </w:p>
  </w:footnote>
  <w:footnote w:id="103">
    <w:p w:rsidR="00B71C54" w:rsidRDefault="00465787">
      <w:pPr>
        <w:pStyle w:val="FootnoteText"/>
        <w:widowControl w:val="0"/>
        <w:ind w:left="113" w:hanging="113"/>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1" w:history="1">
        <w:r>
          <w:rPr>
            <w:rStyle w:val="Hyperlink"/>
            <w:rFonts w:asciiTheme="minorHAnsi" w:hAnsiTheme="minorHAnsi"/>
            <w:sz w:val="16"/>
            <w:szCs w:val="16"/>
          </w:rPr>
          <w:t xml:space="preserve">Inspire Resources Summary Report </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87" w:rsidRPr="00465787" w:rsidRDefault="00465787" w:rsidP="004657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87" w:rsidRPr="00465787" w:rsidRDefault="00465787" w:rsidP="00465787">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16</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87" w:rsidRPr="00465787" w:rsidRDefault="00465787" w:rsidP="00465787">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25</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26</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30</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B71C54" w:rsidRDefault="00B71C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C54" w:rsidRDefault="00B71C5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hideMark/>
        </w:tcPr>
        <w:p w:rsidR="00B71C54" w:rsidRDefault="00465787">
          <w:pPr>
            <w:pStyle w:val="Header"/>
            <w:spacing w:line="276" w:lineRule="auto"/>
            <w:jc w:val="right"/>
            <w:rPr>
              <w:rFonts w:cstheme="minorHAnsi"/>
              <w:b/>
              <w:bCs/>
              <w:color w:val="1F497D" w:themeColor="text2"/>
            </w:rPr>
          </w:pPr>
          <w:r>
            <w:rPr>
              <w:rFonts w:cstheme="minorHAnsi"/>
              <w:b/>
              <w:bCs/>
              <w:color w:val="1F497D" w:themeColor="text2"/>
            </w:rPr>
            <w:t>France</w:t>
          </w:r>
        </w:p>
      </w:tc>
      <w:tc>
        <w:tcPr>
          <w:tcW w:w="1152" w:type="dxa"/>
          <w:tcBorders>
            <w:top w:val="nil"/>
            <w:left w:val="single" w:sz="6" w:space="0" w:color="000000" w:themeColor="text1"/>
            <w:bottom w:val="nil"/>
            <w:right w:val="nil"/>
          </w:tcBorders>
          <w:hideMark/>
        </w:tcPr>
        <w:p w:rsidR="00B71C54" w:rsidRDefault="0046578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B71C54" w:rsidRDefault="00B71C54">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71C54">
      <w:tc>
        <w:tcPr>
          <w:tcW w:w="0" w:type="auto"/>
          <w:tcBorders>
            <w:top w:val="nil"/>
            <w:left w:val="nil"/>
            <w:bottom w:val="nil"/>
            <w:right w:val="single" w:sz="6" w:space="0" w:color="000000" w:themeColor="text1"/>
          </w:tcBorders>
        </w:tcPr>
        <w:p w:rsidR="00B71C54" w:rsidRDefault="00B71C5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71C54" w:rsidRDefault="00B71C54">
          <w:pPr>
            <w:pStyle w:val="Header"/>
            <w:spacing w:line="276" w:lineRule="auto"/>
            <w:rPr>
              <w:rFonts w:cstheme="minorHAnsi"/>
              <w:b/>
              <w:bCs/>
              <w:color w:val="1F497D" w:themeColor="text2"/>
            </w:rPr>
          </w:pPr>
        </w:p>
      </w:tc>
    </w:tr>
  </w:tbl>
  <w:p w:rsidR="00B71C54" w:rsidRDefault="00B71C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0"/>
        </w:tabs>
        <w:ind w:left="360" w:hanging="360"/>
      </w:pPr>
      <w:rPr>
        <w:rFonts w:ascii="Symbol" w:hAnsi="Symbol" w:cs="Symbol"/>
        <w:color w:val="000000"/>
        <w:sz w:val="22"/>
        <w:lang w:eastAsia="ja-JP"/>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360" w:hanging="360"/>
      </w:pPr>
      <w:rPr>
        <w:rFonts w:ascii="Courier New" w:hAnsi="Courier New" w:cs="Courier New"/>
        <w:color w:val="00000A"/>
      </w:rPr>
    </w:lvl>
    <w:lvl w:ilvl="1">
      <w:start w:val="1"/>
      <w:numFmt w:val="bullet"/>
      <w:lvlText w:val="o"/>
      <w:lvlJc w:val="left"/>
      <w:pPr>
        <w:tabs>
          <w:tab w:val="num" w:pos="0"/>
        </w:tabs>
        <w:ind w:left="1080" w:hanging="360"/>
      </w:pPr>
      <w:rPr>
        <w:rFonts w:ascii="Courier New" w:hAnsi="Courier New" w:cs="Courier New"/>
        <w:color w:val="00000A"/>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A"/>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A"/>
      </w:rPr>
    </w:lvl>
    <w:lvl w:ilvl="8">
      <w:start w:val="1"/>
      <w:numFmt w:val="bullet"/>
      <w:lvlText w:val=""/>
      <w:lvlJc w:val="left"/>
      <w:pPr>
        <w:tabs>
          <w:tab w:val="num" w:pos="0"/>
        </w:tabs>
        <w:ind w:left="6120" w:hanging="360"/>
      </w:pPr>
      <w:rPr>
        <w:rFonts w:ascii="Wingdings" w:hAnsi="Wingdings" w:cs="Wingdings"/>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0822FD"/>
    <w:multiLevelType w:val="multilevel"/>
    <w:tmpl w:val="0D8298F6"/>
    <w:lvl w:ilvl="0">
      <w:start w:val="1"/>
      <w:numFmt w:val="bullet"/>
      <w:lvlText w:val=""/>
      <w:lvlJc w:val="left"/>
      <w:pPr>
        <w:tabs>
          <w:tab w:val="num" w:pos="0"/>
        </w:tabs>
        <w:ind w:left="360" w:hanging="360"/>
      </w:pPr>
      <w:rPr>
        <w:rFonts w:ascii="Wingdings" w:hAnsi="Wingdings" w:hint="default"/>
        <w:color w:val="000000"/>
        <w:sz w:val="22"/>
        <w:lang w:eastAsia="ja-JP"/>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nsid w:val="1B750BA7"/>
    <w:multiLevelType w:val="hybridMultilevel"/>
    <w:tmpl w:val="4BD6DBE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0">
    <w:nsid w:val="2E773B93"/>
    <w:multiLevelType w:val="hybridMultilevel"/>
    <w:tmpl w:val="7D00E6E0"/>
    <w:lvl w:ilvl="0" w:tplc="2ABCD1E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3F75398D"/>
    <w:multiLevelType w:val="hybridMultilevel"/>
    <w:tmpl w:val="50A67470"/>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17A383C"/>
    <w:multiLevelType w:val="hybridMultilevel"/>
    <w:tmpl w:val="2C844E1C"/>
    <w:lvl w:ilvl="0" w:tplc="E54659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9EF108E"/>
    <w:multiLevelType w:val="hybridMultilevel"/>
    <w:tmpl w:val="3F4C9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5">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D0A17C8"/>
    <w:multiLevelType w:val="hybridMultilevel"/>
    <w:tmpl w:val="227C486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F8700F4"/>
    <w:multiLevelType w:val="hybridMultilevel"/>
    <w:tmpl w:val="6C6A815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88D24AC"/>
    <w:multiLevelType w:val="hybridMultilevel"/>
    <w:tmpl w:val="3BB27994"/>
    <w:lvl w:ilvl="0" w:tplc="6A4E973E">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4">
    <w:nsid w:val="6F613CA2"/>
    <w:multiLevelType w:val="hybridMultilevel"/>
    <w:tmpl w:val="80CA54A6"/>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19"/>
  </w:num>
  <w:num w:numId="3">
    <w:abstractNumId w:val="31"/>
  </w:num>
  <w:num w:numId="4">
    <w:abstractNumId w:val="25"/>
  </w:num>
  <w:num w:numId="5">
    <w:abstractNumId w:val="17"/>
  </w:num>
  <w:num w:numId="6">
    <w:abstractNumId w:val="13"/>
  </w:num>
  <w:num w:numId="7">
    <w:abstractNumId w:val="36"/>
  </w:num>
  <w:num w:numId="8">
    <w:abstractNumId w:val="24"/>
  </w:num>
  <w:num w:numId="9">
    <w:abstractNumId w:val="11"/>
  </w:num>
  <w:num w:numId="10">
    <w:abstractNumId w:val="9"/>
  </w:num>
  <w:num w:numId="11">
    <w:abstractNumId w:val="6"/>
  </w:num>
  <w:num w:numId="12">
    <w:abstractNumId w:val="4"/>
  </w:num>
  <w:num w:numId="13">
    <w:abstractNumId w:val="28"/>
  </w:num>
  <w:num w:numId="14">
    <w:abstractNumId w:val="30"/>
  </w:num>
  <w:num w:numId="15">
    <w:abstractNumId w:val="29"/>
  </w:num>
  <w:num w:numId="16">
    <w:abstractNumId w:val="33"/>
  </w:num>
  <w:num w:numId="17">
    <w:abstractNumId w:val="8"/>
  </w:num>
  <w:num w:numId="18">
    <w:abstractNumId w:val="16"/>
  </w:num>
  <w:num w:numId="19">
    <w:abstractNumId w:val="20"/>
  </w:num>
  <w:num w:numId="20">
    <w:abstractNumId w:val="18"/>
  </w:num>
  <w:num w:numId="21">
    <w:abstractNumId w:val="3"/>
  </w:num>
  <w:num w:numId="22">
    <w:abstractNumId w:val="21"/>
  </w:num>
  <w:num w:numId="23">
    <w:abstractNumId w:val="22"/>
  </w:num>
  <w:num w:numId="24">
    <w:abstractNumId w:val="14"/>
  </w:num>
  <w:num w:numId="25">
    <w:abstractNumId w:val="23"/>
  </w:num>
  <w:num w:numId="26">
    <w:abstractNumId w:val="27"/>
  </w:num>
  <w:num w:numId="27">
    <w:abstractNumId w:val="10"/>
  </w:num>
  <w:num w:numId="28">
    <w:abstractNumId w:val="26"/>
  </w:num>
  <w:num w:numId="29">
    <w:abstractNumId w:val="0"/>
  </w:num>
  <w:num w:numId="30">
    <w:abstractNumId w:val="2"/>
  </w:num>
  <w:num w:numId="31">
    <w:abstractNumId w:val="1"/>
  </w:num>
  <w:num w:numId="32">
    <w:abstractNumId w:val="7"/>
  </w:num>
  <w:num w:numId="33">
    <w:abstractNumId w:val="12"/>
  </w:num>
  <w:num w:numId="34">
    <w:abstractNumId w:val="5"/>
  </w:num>
  <w:num w:numId="35">
    <w:abstractNumId w:val="34"/>
  </w:num>
  <w:num w:numId="36">
    <w:abstractNumId w:val="32"/>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FD298CE557854F598D3FC5F4DC5E440A"/>
    <w:docVar w:name="LW_CROSSREFERENCE" w:val="{COM(2017) 63 final}_x000a_{SWD(2017) 33 - 43 final}_x000a_{SWD(2017) 45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44"/>
    <w:docVar w:name="LW_REF.INTERNE" w:val="&lt;UNUSED&gt;"/>
    <w:docVar w:name="LW_SUPERTITRE" w:val="&lt;UNUSED&gt;"/>
    <w:docVar w:name="LW_TITRE.OBJ.CP" w:val="The EU Environmental Implementation Review_x000b_Country Report - FRANCE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B71C54"/>
    <w:rsid w:val="00465787"/>
    <w:rsid w:val="00B71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6"/>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mmentTextChar1">
    <w:name w:val="Comment Text Char1"/>
    <w:uiPriority w:val="99"/>
    <w:semiHidden/>
    <w:rPr>
      <w:rFonts w:ascii="Calibri" w:eastAsia="Calibri" w:hAnsi="Calibri"/>
      <w:color w:val="00000A"/>
      <w:kern w:val="1"/>
      <w:lang w:eastAsia="en-US"/>
    </w:rPr>
  </w:style>
  <w:style w:type="character" w:customStyle="1" w:styleId="Marquedecommentaire1">
    <w:name w:val="Marque de commentaire1"/>
    <w:rPr>
      <w:sz w:val="16"/>
      <w:szCs w:val="16"/>
    </w:rPr>
  </w:style>
  <w:style w:type="character" w:customStyle="1" w:styleId="Caractresdenotedebasdepage">
    <w:name w:val="Caractères de note de bas de page"/>
  </w:style>
  <w:style w:type="paragraph" w:customStyle="1" w:styleId="FootnoteText2">
    <w:name w:val="Footnote Text2"/>
    <w:basedOn w:val="Normal"/>
    <w:pPr>
      <w:suppressAutoHyphens/>
      <w:overflowPunct w:val="0"/>
      <w:spacing w:after="0" w:line="240" w:lineRule="auto"/>
      <w:jc w:val="both"/>
    </w:pPr>
    <w:rPr>
      <w:rFonts w:ascii="Calibri" w:eastAsia="Calibri" w:hAnsi="Calibri" w:cs="Times New Roman"/>
      <w:color w:val="00000A"/>
      <w:kern w:val="1"/>
      <w:sz w:val="18"/>
      <w:szCs w:val="20"/>
    </w:rPr>
  </w:style>
  <w:style w:type="character" w:customStyle="1" w:styleId="FootnoteReference1">
    <w:name w:val="Footnote Reference1"/>
    <w:rPr>
      <w:vertAlign w:val="superscript"/>
    </w:rPr>
  </w:style>
  <w:style w:type="character" w:customStyle="1" w:styleId="Appelnotedebasdep1">
    <w:name w:val="Appel note de bas de p.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6"/>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mmentTextChar1">
    <w:name w:val="Comment Text Char1"/>
    <w:uiPriority w:val="99"/>
    <w:semiHidden/>
    <w:rPr>
      <w:rFonts w:ascii="Calibri" w:eastAsia="Calibri" w:hAnsi="Calibri"/>
      <w:color w:val="00000A"/>
      <w:kern w:val="1"/>
      <w:lang w:eastAsia="en-US"/>
    </w:rPr>
  </w:style>
  <w:style w:type="character" w:customStyle="1" w:styleId="Marquedecommentaire1">
    <w:name w:val="Marque de commentaire1"/>
    <w:rPr>
      <w:sz w:val="16"/>
      <w:szCs w:val="16"/>
    </w:rPr>
  </w:style>
  <w:style w:type="character" w:customStyle="1" w:styleId="Caractresdenotedebasdepage">
    <w:name w:val="Caractères de note de bas de page"/>
  </w:style>
  <w:style w:type="paragraph" w:customStyle="1" w:styleId="FootnoteText2">
    <w:name w:val="Footnote Text2"/>
    <w:basedOn w:val="Normal"/>
    <w:pPr>
      <w:suppressAutoHyphens/>
      <w:overflowPunct w:val="0"/>
      <w:spacing w:after="0" w:line="240" w:lineRule="auto"/>
      <w:jc w:val="both"/>
    </w:pPr>
    <w:rPr>
      <w:rFonts w:ascii="Calibri" w:eastAsia="Calibri" w:hAnsi="Calibri" w:cs="Times New Roman"/>
      <w:color w:val="00000A"/>
      <w:kern w:val="1"/>
      <w:sz w:val="18"/>
      <w:szCs w:val="20"/>
    </w:rPr>
  </w:style>
  <w:style w:type="character" w:customStyle="1" w:styleId="FootnoteReference1">
    <w:name w:val="Footnote Reference1"/>
    <w:rPr>
      <w:vertAlign w:val="superscript"/>
    </w:rPr>
  </w:style>
  <w:style w:type="character" w:customStyle="1" w:styleId="Appelnotedebasdep1">
    <w:name w:val="Appel note de bas de p.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44348">
      <w:bodyDiv w:val="1"/>
      <w:marLeft w:val="0"/>
      <w:marRight w:val="0"/>
      <w:marTop w:val="0"/>
      <w:marBottom w:val="0"/>
      <w:divBdr>
        <w:top w:val="none" w:sz="0" w:space="0" w:color="auto"/>
        <w:left w:val="none" w:sz="0" w:space="0" w:color="auto"/>
        <w:bottom w:val="none" w:sz="0" w:space="0" w:color="auto"/>
        <w:right w:val="none" w:sz="0" w:space="0" w:color="auto"/>
      </w:divBdr>
    </w:div>
    <w:div w:id="326636814">
      <w:bodyDiv w:val="1"/>
      <w:marLeft w:val="0"/>
      <w:marRight w:val="0"/>
      <w:marTop w:val="0"/>
      <w:marBottom w:val="0"/>
      <w:divBdr>
        <w:top w:val="none" w:sz="0" w:space="0" w:color="auto"/>
        <w:left w:val="none" w:sz="0" w:space="0" w:color="auto"/>
        <w:bottom w:val="none" w:sz="0" w:space="0" w:color="auto"/>
        <w:right w:val="none" w:sz="0" w:space="0" w:color="auto"/>
      </w:divBdr>
    </w:div>
    <w:div w:id="474957732">
      <w:bodyDiv w:val="1"/>
      <w:marLeft w:val="0"/>
      <w:marRight w:val="0"/>
      <w:marTop w:val="0"/>
      <w:marBottom w:val="0"/>
      <w:divBdr>
        <w:top w:val="none" w:sz="0" w:space="0" w:color="auto"/>
        <w:left w:val="none" w:sz="0" w:space="0" w:color="auto"/>
        <w:bottom w:val="none" w:sz="0" w:space="0" w:color="auto"/>
        <w:right w:val="none" w:sz="0" w:space="0" w:color="auto"/>
      </w:divBdr>
    </w:div>
    <w:div w:id="801464479">
      <w:bodyDiv w:val="1"/>
      <w:marLeft w:val="0"/>
      <w:marRight w:val="0"/>
      <w:marTop w:val="0"/>
      <w:marBottom w:val="0"/>
      <w:divBdr>
        <w:top w:val="none" w:sz="0" w:space="0" w:color="auto"/>
        <w:left w:val="none" w:sz="0" w:space="0" w:color="auto"/>
        <w:bottom w:val="none" w:sz="0" w:space="0" w:color="auto"/>
        <w:right w:val="none" w:sz="0" w:space="0" w:color="auto"/>
      </w:divBdr>
    </w:div>
    <w:div w:id="1326276306">
      <w:bodyDiv w:val="1"/>
      <w:marLeft w:val="0"/>
      <w:marRight w:val="0"/>
      <w:marTop w:val="0"/>
      <w:marBottom w:val="0"/>
      <w:divBdr>
        <w:top w:val="none" w:sz="0" w:space="0" w:color="auto"/>
        <w:left w:val="none" w:sz="0" w:space="0" w:color="auto"/>
        <w:bottom w:val="none" w:sz="0" w:space="0" w:color="auto"/>
        <w:right w:val="none" w:sz="0" w:space="0" w:color="auto"/>
      </w:divBdr>
    </w:div>
    <w:div w:id="1603225955">
      <w:bodyDiv w:val="1"/>
      <w:marLeft w:val="0"/>
      <w:marRight w:val="0"/>
      <w:marTop w:val="0"/>
      <w:marBottom w:val="0"/>
      <w:divBdr>
        <w:top w:val="none" w:sz="0" w:space="0" w:color="auto"/>
        <w:left w:val="none" w:sz="0" w:space="0" w:color="auto"/>
        <w:bottom w:val="none" w:sz="0" w:space="0" w:color="auto"/>
        <w:right w:val="none" w:sz="0" w:space="0" w:color="auto"/>
      </w:divBdr>
    </w:div>
    <w:div w:id="1663847568">
      <w:bodyDiv w:val="1"/>
      <w:marLeft w:val="0"/>
      <w:marRight w:val="0"/>
      <w:marTop w:val="0"/>
      <w:marBottom w:val="0"/>
      <w:divBdr>
        <w:top w:val="none" w:sz="0" w:space="0" w:color="auto"/>
        <w:left w:val="none" w:sz="0" w:space="0" w:color="auto"/>
        <w:bottom w:val="none" w:sz="0" w:space="0" w:color="auto"/>
        <w:right w:val="none" w:sz="0" w:space="0" w:color="auto"/>
      </w:divBdr>
    </w:div>
    <w:div w:id="1687511692">
      <w:bodyDiv w:val="1"/>
      <w:marLeft w:val="0"/>
      <w:marRight w:val="0"/>
      <w:marTop w:val="0"/>
      <w:marBottom w:val="0"/>
      <w:divBdr>
        <w:top w:val="none" w:sz="0" w:space="0" w:color="auto"/>
        <w:left w:val="none" w:sz="0" w:space="0" w:color="auto"/>
        <w:bottom w:val="none" w:sz="0" w:space="0" w:color="auto"/>
        <w:right w:val="none" w:sz="0" w:space="0" w:color="auto"/>
      </w:divBdr>
    </w:div>
    <w:div w:id="1875578457">
      <w:bodyDiv w:val="1"/>
      <w:marLeft w:val="0"/>
      <w:marRight w:val="0"/>
      <w:marTop w:val="0"/>
      <w:marBottom w:val="0"/>
      <w:divBdr>
        <w:top w:val="none" w:sz="0" w:space="0" w:color="auto"/>
        <w:left w:val="none" w:sz="0" w:space="0" w:color="auto"/>
        <w:bottom w:val="none" w:sz="0" w:space="0" w:color="auto"/>
        <w:right w:val="none" w:sz="0" w:space="0" w:color="auto"/>
      </w:divBdr>
    </w:div>
    <w:div w:id="194900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jpeg"/><Relationship Id="rId84" Type="http://schemas.openxmlformats.org/officeDocument/2006/relationships/image" Target="media/image14.png"/><Relationship Id="rId89" Type="http://schemas.openxmlformats.org/officeDocument/2006/relationships/footer" Target="footer31.xml"/><Relationship Id="rId112" Type="http://schemas.openxmlformats.org/officeDocument/2006/relationships/footer" Target="footer42.xml"/><Relationship Id="rId133" Type="http://schemas.openxmlformats.org/officeDocument/2006/relationships/fontTable" Target="fontTable.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header" Target="header27.xml"/><Relationship Id="rId79" Type="http://schemas.openxmlformats.org/officeDocument/2006/relationships/footer" Target="footer29.xml"/><Relationship Id="rId102" Type="http://schemas.openxmlformats.org/officeDocument/2006/relationships/header" Target="header38.xml"/><Relationship Id="rId123" Type="http://schemas.openxmlformats.org/officeDocument/2006/relationships/header" Target="header48.xml"/><Relationship Id="rId128" Type="http://schemas.openxmlformats.org/officeDocument/2006/relationships/header" Target="header50.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footer" Target="footer3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header" Target="header21.xm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header" Target="header29.xml"/><Relationship Id="rId100" Type="http://schemas.openxmlformats.org/officeDocument/2006/relationships/image" Target="media/image17.png"/><Relationship Id="rId105" Type="http://schemas.openxmlformats.org/officeDocument/2006/relationships/header" Target="header39.xml"/><Relationship Id="rId113" Type="http://schemas.openxmlformats.org/officeDocument/2006/relationships/header" Target="header43.xml"/><Relationship Id="rId118" Type="http://schemas.openxmlformats.org/officeDocument/2006/relationships/footer" Target="footer45.xml"/><Relationship Id="rId126" Type="http://schemas.openxmlformats.org/officeDocument/2006/relationships/image" Target="media/image19.jpe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hyperlink" Target="http://assainissement.developpement-durable.gouv.fr/" TargetMode="Externa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footer" Target="foot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tiff"/><Relationship Id="rId103" Type="http://schemas.openxmlformats.org/officeDocument/2006/relationships/footer" Target="footer37.xml"/><Relationship Id="rId108" Type="http://schemas.openxmlformats.org/officeDocument/2006/relationships/header" Target="header41.xml"/><Relationship Id="rId116" Type="http://schemas.openxmlformats.org/officeDocument/2006/relationships/footer" Target="footer44.xml"/><Relationship Id="rId124" Type="http://schemas.openxmlformats.org/officeDocument/2006/relationships/footer" Target="footer48.xml"/><Relationship Id="rId129" Type="http://schemas.openxmlformats.org/officeDocument/2006/relationships/footer" Target="footer49.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image" Target="media/image13.jpeg"/><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eader" Target="header42.xml"/><Relationship Id="rId132"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footer" Target="footer39.xml"/><Relationship Id="rId114" Type="http://schemas.openxmlformats.org/officeDocument/2006/relationships/header" Target="header44.xml"/><Relationship Id="rId119" Type="http://schemas.openxmlformats.org/officeDocument/2006/relationships/header" Target="header46.xml"/><Relationship Id="rId127" Type="http://schemas.openxmlformats.org/officeDocument/2006/relationships/header" Target="header49.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png"/><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image" Target="media/image15.jpeg"/><Relationship Id="rId94" Type="http://schemas.openxmlformats.org/officeDocument/2006/relationships/header" Target="header35.xml"/><Relationship Id="rId99" Type="http://schemas.openxmlformats.org/officeDocument/2006/relationships/image" Target="media/image16.png"/><Relationship Id="rId101" Type="http://schemas.openxmlformats.org/officeDocument/2006/relationships/header" Target="header37.xml"/><Relationship Id="rId122" Type="http://schemas.openxmlformats.org/officeDocument/2006/relationships/footer" Target="footer47.xml"/><Relationship Id="rId130" Type="http://schemas.openxmlformats.org/officeDocument/2006/relationships/footer" Target="footer50.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header" Target="header28.xml"/><Relationship Id="rId97" Type="http://schemas.openxmlformats.org/officeDocument/2006/relationships/header" Target="header36.xml"/><Relationship Id="rId104" Type="http://schemas.openxmlformats.org/officeDocument/2006/relationships/footer" Target="footer38.xml"/><Relationship Id="rId120" Type="http://schemas.openxmlformats.org/officeDocument/2006/relationships/header" Target="header47.xml"/><Relationship Id="rId125"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1.xml"/><Relationship Id="rId110" Type="http://schemas.openxmlformats.org/officeDocument/2006/relationships/footer" Target="footer41.xml"/><Relationship Id="rId115" Type="http://schemas.openxmlformats.org/officeDocument/2006/relationships/footer" Target="footer43.xml"/><Relationship Id="rId131" Type="http://schemas.openxmlformats.org/officeDocument/2006/relationships/header" Target="header51.xml"/><Relationship Id="rId61" Type="http://schemas.openxmlformats.org/officeDocument/2006/relationships/footer" Target="footer23.xml"/><Relationship Id="rId82" Type="http://schemas.openxmlformats.org/officeDocument/2006/relationships/image" Target="media/image12.png"/><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s://www.legifrance.gouv.fr/affichTexte.do?cidTexte=JORFTEXT000032724719&amp;dateTexte=&amp;categorieLien=id" TargetMode="External"/><Relationship Id="rId18" Type="http://schemas.openxmlformats.org/officeDocument/2006/relationships/hyperlink" Target="http://agriculture.gouv.fr/sites/minagri/files/1608-ae-synthese-agroforesterie-gb-bd.pdf" TargetMode="External"/><Relationship Id="rId26"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39" Type="http://schemas.openxmlformats.org/officeDocument/2006/relationships/hyperlink" Target="http://eur-lex.europa.eu/legal-content/EN/TXT/?qid=1481623908600&amp;uri=CELEX:32006L0007" TargetMode="External"/><Relationship Id="rId21" Type="http://schemas.openxmlformats.org/officeDocument/2006/relationships/hyperlink" Target="http://www.eea.europa.eu/data-and-maps/indicators/imperviousness-change/assessment" TargetMode="External"/><Relationship Id="rId34" Type="http://schemas.openxmlformats.org/officeDocument/2006/relationships/hyperlink" Target="http://www.eea.europa.eu/publications/air-quality-in-europe-2016" TargetMode="External"/><Relationship Id="rId42" Type="http://schemas.openxmlformats.org/officeDocument/2006/relationships/hyperlink" Target="http://eur-lex.europa.eu/legal-content/EN/TXT/?qid=1481624135097&amp;uri=CELEX:32000L0060" TargetMode="External"/><Relationship Id="rId47" Type="http://schemas.openxmlformats.org/officeDocument/2006/relationships/hyperlink" Target="http://eur-lex.europa.eu/legal-content/EN/TXT/?uri=CELEX%3A52016DC0105" TargetMode="External"/><Relationship Id="rId50" Type="http://schemas.openxmlformats.org/officeDocument/2006/relationships/hyperlink" Target="http://urbanagendaforthe.eu/" TargetMode="External"/><Relationship Id="rId55" Type="http://schemas.openxmlformats.org/officeDocument/2006/relationships/hyperlink" Target="http://ec.europa.eu/internal_market/scoreboard/performance_per_policy_area/public_procurement/index_en.htm" TargetMode="External"/><Relationship Id="rId63" Type="http://schemas.openxmlformats.org/officeDocument/2006/relationships/hyperlink" Target="http://www.impel.eu" TargetMode="External"/><Relationship Id="rId68" Type="http://schemas.openxmlformats.org/officeDocument/2006/relationships/hyperlink" Target="http://envicrimenet.com/" TargetMode="External"/><Relationship Id="rId76" Type="http://schemas.openxmlformats.org/officeDocument/2006/relationships/hyperlink" Target="http://eur-lex.europa.eu/LexUriServ/LexUriServ.do?uri=CELEX:32007L0002:EN:NOT" TargetMode="External"/><Relationship Id="rId7" Type="http://schemas.openxmlformats.org/officeDocument/2006/relationships/hyperlink" Target="https://ec.europa.eu/environment/ecoap/scoreboard_en" TargetMode="External"/><Relationship Id="rId71" Type="http://schemas.openxmlformats.org/officeDocument/2006/relationships/hyperlink" Target="http://eur-lex.europa.eu/legal-content/EN/TXT/?uri=CELEX%3A52016SC0121"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circabc.europa.eu/sd/a/67dea730-ef3d-4591-b637-a2be87c70d36/FR_20140527.pdf" TargetMode="External"/><Relationship Id="rId29" Type="http://schemas.openxmlformats.org/officeDocument/2006/relationships/hyperlink" Target="http://ec.europa.eu/environment/air/quality/standards.htm" TargetMode="External"/><Relationship Id="rId11" Type="http://schemas.openxmlformats.org/officeDocument/2006/relationships/hyperlink" Target="https://www.ccomptes.fr/Accueil/Publications/Publications/Rapport-public-annuel-2016" TargetMode="External"/><Relationship Id="rId24"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32" Type="http://schemas.openxmlformats.org/officeDocument/2006/relationships/hyperlink" Target="http://eur-lex.europa.eu/legal-content/EN/TXT/?uri=celex:32001L0081" TargetMode="External"/><Relationship Id="rId37" Type="http://schemas.openxmlformats.org/officeDocument/2006/relationships/hyperlink" Target="http://ec.europa.eu/environment/archives/air/pdf/Impact_assessment_en.pdf" TargetMode="External"/><Relationship Id="rId40" Type="http://schemas.openxmlformats.org/officeDocument/2006/relationships/hyperlink" Target="http://eur-lex.europa.eu/legal-content/EN/ALL/?uri=CELEX%3A31991L0271" TargetMode="External"/><Relationship Id="rId45" Type="http://schemas.openxmlformats.org/officeDocument/2006/relationships/hyperlink" Target="http://ec.europa.eu/environment/water/water-drink/reporting_en.html" TargetMode="External"/><Relationship Id="rId53" Type="http://schemas.openxmlformats.org/officeDocument/2006/relationships/hyperlink" Target="http://ec.europa.eu/eurostat/tgm/table.do?tab=table&amp;init=1&amp;language=en&amp;pcode=t2020_rt320&amp;plugin=1http://ec.europa.eu/eurostat/en/web/products-datasets/-/T2020_RT320" TargetMode="External"/><Relationship Id="rId58" Type="http://schemas.openxmlformats.org/officeDocument/2006/relationships/hyperlink" Target="https://cohesiondata.ec.europa.eu/countries" TargetMode="External"/><Relationship Id="rId66" Type="http://schemas.openxmlformats.org/officeDocument/2006/relationships/hyperlink" Target="http://www.environmentalprosecutors.eu" TargetMode="External"/><Relationship Id="rId74" Type="http://schemas.openxmlformats.org/officeDocument/2006/relationships/hyperlink" Target="http://eur-lex.europa.eu/legal-content/GA/ALL/?uri=CELEX:32003L0004" TargetMode="External"/><Relationship Id="rId79" Type="http://schemas.openxmlformats.org/officeDocument/2006/relationships/hyperlink" Target="http://inspire.ec.europa.eu/index.cfm/pageid/182" TargetMode="External"/><Relationship Id="rId5" Type="http://schemas.openxmlformats.org/officeDocument/2006/relationships/hyperlink" Target="http://ec.europa.eu/eurostat/tgm/table.do?tab=table&amp;init=1&amp;language=en&amp;pcode=tsdpc100&amp;plugin=1" TargetMode="External"/><Relationship Id="rId61" Type="http://schemas.openxmlformats.org/officeDocument/2006/relationships/hyperlink" Target="http://eur-lex.europa.eu/legal-content/EN/TXT/?qid=1481620360238&amp;uri=CELEX:32008L0099" TargetMode="External"/><Relationship Id="rId10" Type="http://schemas.openxmlformats.org/officeDocument/2006/relationships/hyperlink" Target="http://ec.europa.eu/eurostat/tgm/table.do?tab=table&amp;init=1&amp;language=en&amp;pcode=t2020_rt120&amp;plugin=1" TargetMode="External"/><Relationship Id="rId19" Type="http://schemas.openxmlformats.org/officeDocument/2006/relationships/hyperlink" Target="http://eur-lex.europa.eu/legal-content/EN/TXT/?uri=CELEX:52013DC0249" TargetMode="External"/><Relationship Id="rId31" Type="http://schemas.openxmlformats.org/officeDocument/2006/relationships/hyperlink" Target="http://www.eea.europa.eu/data-and-maps/data/data-viewers/emissions-nec-directive-viewer" TargetMode="External"/><Relationship Id="rId44" Type="http://schemas.openxmlformats.org/officeDocument/2006/relationships/hyperlink" Target="http://eur-lex.europa.eu/legal-content/EN/TXT/?uri=CELEX:32007L0060" TargetMode="External"/><Relationship Id="rId52" Type="http://schemas.openxmlformats.org/officeDocument/2006/relationships/hyperlink" Target="http://ec.europa.eu/environment/integration/green_semester/pdf/Eunomia%20EFR%20Final%20Report%20MAIN%20REPORT.pdf" TargetMode="External"/><Relationship Id="rId60" Type="http://schemas.openxmlformats.org/officeDocument/2006/relationships/hyperlink" Target="http://eur-lex.europa.eu/legal-content/EN/TXT/?uri=OJ:C:2016:273:TOC" TargetMode="External"/><Relationship Id="rId65" Type="http://schemas.openxmlformats.org/officeDocument/2006/relationships/hyperlink" Target="http://www.eufje.org" TargetMode="External"/><Relationship Id="rId73" Type="http://schemas.openxmlformats.org/officeDocument/2006/relationships/hyperlink" Target="http://ec.europa.eu/environment/aarhus/" TargetMode="External"/><Relationship Id="rId78" Type="http://schemas.openxmlformats.org/officeDocument/2006/relationships/hyperlink" Target="https://ec.europa.eu/digital-single-market/en/news/communication-eu-egovernment-action-plan-2016-2020-accelerating-digital-transformation" TargetMode="External"/><Relationship Id="rId81" Type="http://schemas.openxmlformats.org/officeDocument/2006/relationships/hyperlink" Target="http://inspire-geoportal.ec.europa.eu/resources/INSPIREResourcesReports/resourcesReport_2016-05-09/"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urostat/tgm/table.do?tab=table&amp;init=1&amp;plugin=1&amp;language=en&amp;pcode=tsdpc240" TargetMode="External"/><Relationship Id="rId14" Type="http://schemas.openxmlformats.org/officeDocument/2006/relationships/hyperlink" Target="http://ec.europa.eu/environment/nature/info/pubs/docs/nat2000newsl/nat37_en.pdf" TargetMode="External"/><Relationship Id="rId22" Type="http://schemas.openxmlformats.org/officeDocument/2006/relationships/hyperlink" Target="http://ec.europa.eu/eurostat/statistics-explained/index.php/Agri-environmental_indicator_-_soil_erosion" TargetMode="External"/><Relationship Id="rId27"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0" Type="http://schemas.openxmlformats.org/officeDocument/2006/relationships/hyperlink" Target="http://cdr.eionet.europa.eu/"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EN/TXT/?uri=CELEX%3A31991L0676" TargetMode="External"/><Relationship Id="rId48" Type="http://schemas.openxmlformats.org/officeDocument/2006/relationships/hyperlink" Target="http://eur-lex.europa.eu/legal-content/EN/TXT/?uri=CELEX:52016SC0045" TargetMode="External"/><Relationship Id="rId56" Type="http://schemas.openxmlformats.org/officeDocument/2006/relationships/hyperlink" Target="http://eur-lex.europa.eu/legal-content/EN/TXT/?uri=CELEX:52008DC0400http://eur-lex.europa.eu/legal-content/EN/TXT/?uri=CELEX:52008DC0400" TargetMode="External"/><Relationship Id="rId64" Type="http://schemas.openxmlformats.org/officeDocument/2006/relationships/hyperlink" Target="http://www.eufje.org" TargetMode="External"/><Relationship Id="rId69" Type="http://schemas.openxmlformats.org/officeDocument/2006/relationships/hyperlink" Target="http://eur-lex.europa.eu/legal-content/EN/TXT/?uri=CELEX%3A32004L0035" TargetMode="External"/><Relationship Id="rId77" Type="http://schemas.openxmlformats.org/officeDocument/2006/relationships/hyperlink" Target="http://inspire.ec.europa.eu" TargetMode="External"/><Relationship Id="rId8" Type="http://schemas.openxmlformats.org/officeDocument/2006/relationships/hyperlink" Target="http://ec.europa.eu/eurostat/tgm/table.do?tab=table&amp;init=1&amp;plugin=1&amp;language=en&amp;pcode=tsdpc240" TargetMode="External"/><Relationship Id="rId51" Type="http://schemas.openxmlformats.org/officeDocument/2006/relationships/hyperlink" Target="http://ec.europa.eu/environment/urban/tool.htm" TargetMode="External"/><Relationship Id="rId72" Type="http://schemas.openxmlformats.org/officeDocument/2006/relationships/hyperlink" Target="http://ec.europa.eu/environment/aarhus/access_studies.htm" TargetMode="External"/><Relationship Id="rId80" Type="http://schemas.openxmlformats.org/officeDocument/2006/relationships/hyperlink" Target="http://inspire.ec.europa.eu/portfolio/inspire-dashboard"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www.institut-economie-circulaire.fr/Etude-l-L-Institut-publie-une-etude-sur-le-potentiel-d-emplois-en-economie-circulaire_a867.html" TargetMode="External"/><Relationship Id="rId17" Type="http://schemas.openxmlformats.org/officeDocument/2006/relationships/hyperlink" Target="https://circabc.europa.eu/sd/a/426bd5bd-3bff-4d02-8183-417710a0d283/FR_A12NatSum_20141031.pdf" TargetMode="External"/><Relationship Id="rId25"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3" Type="http://schemas.openxmlformats.org/officeDocument/2006/relationships/hyperlink" Target="http://eur-lex.europa.eu/legal-content/EN/TXT/?uri=uriserv:OJ.L_.2016.344.01.0001.01.ENG&amp;toc=OJ:L:2016:344:TOC" TargetMode="External"/><Relationship Id="rId38" Type="http://schemas.openxmlformats.org/officeDocument/2006/relationships/hyperlink" Target="http://www.euro.who.int/en/media-centre/sections/press-releases/2011/03/new-evidence-from-who-on-health-effects-of-traffic-related-noise-in-europe;" TargetMode="External"/><Relationship Id="rId46" Type="http://schemas.openxmlformats.org/officeDocument/2006/relationships/hyperlink" Target="http://www.eea.europa.eu/publications/european-bathing-water-quality-2015" TargetMode="External"/><Relationship Id="rId59" Type="http://schemas.openxmlformats.org/officeDocument/2006/relationships/hyperlink" Target="https://nicholascharron.wordpress.com/european-quality-of-government-index-eqi/" TargetMode="External"/><Relationship Id="rId67" Type="http://schemas.openxmlformats.org/officeDocument/2006/relationships/hyperlink" Target="http://www.environmentalprosecutors.eu" TargetMode="External"/><Relationship Id="rId20" Type="http://schemas.openxmlformats.org/officeDocument/2006/relationships/hyperlink" Target="http://land.copernicus.eu/pan-european/corine-land-cover/lcc-2006-2012/view" TargetMode="External"/><Relationship Id="rId41" Type="http://schemas.openxmlformats.org/officeDocument/2006/relationships/hyperlink" Target="http://eur-lex.europa.eu/legal-content/EN/TXT/?uri=CELEX%3A31998L0083" TargetMode="External"/><Relationship Id="rId54" Type="http://schemas.openxmlformats.org/officeDocument/2006/relationships/hyperlink" Target="http://ec.europa.eu/eurostat/en/web/products-datasets/-/T2020_RT320" TargetMode="External"/><Relationship Id="rId62" Type="http://schemas.openxmlformats.org/officeDocument/2006/relationships/hyperlink" Target="http://www.impel.eu" TargetMode="External"/><Relationship Id="rId70" Type="http://schemas.openxmlformats.org/officeDocument/2006/relationships/hyperlink" Target="https://ec.europa.eu/transparency/regdoc/rep/1/2016/EN/1-2016-204-EN-F1-1.PDF" TargetMode="External"/><Relationship Id="rId75" Type="http://schemas.openxmlformats.org/officeDocument/2006/relationships/hyperlink" Target="http://data.europa.eu/eli/dir/2003/4/oj"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s://circabc.europa.eu/faces/jsp/extension/wai/navigation/container.jsp" TargetMode="External"/><Relationship Id="rId23" Type="http://schemas.openxmlformats.org/officeDocument/2006/relationships/hyperlink" Target="http://eur-lex.europa.eu/legal-content/EN/TXT/?uri=CELEX%3A32008L0056" TargetMode="External"/><Relationship Id="rId28"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6" Type="http://schemas.openxmlformats.org/officeDocument/2006/relationships/hyperlink" Target="http://www.eionet.europa.eu/aqportal" TargetMode="External"/><Relationship Id="rId49" Type="http://schemas.openxmlformats.org/officeDocument/2006/relationships/hyperlink" Target="http://www.eea.europa.eu/themes/urban" TargetMode="External"/><Relationship Id="rId57" Type="http://schemas.openxmlformats.org/officeDocument/2006/relationships/hyperlink" Target="http://www.eib.org/ef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B1454-265B-433A-A06C-37CBE094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14492</Words>
  <Characters>82760</Characters>
  <Application>Microsoft Office Word</Application>
  <DocSecurity>0</DocSecurity>
  <Lines>2074</Lines>
  <Paragraphs>354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2016-11-10T10:41:00Z</cp:lastPrinted>
  <dcterms:created xsi:type="dcterms:W3CDTF">2017-01-24T09:52:00Z</dcterms:created>
  <dcterms:modified xsi:type="dcterms:W3CDTF">2017-02-02T18:01:00Z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