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319" w:rsidRDefault="00324889" w:rsidP="0032488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924C5C7A18C4D06A5C8ACE45B95256D" style="width:450.75pt;height:498.75pt">
            <v:imagedata r:id="rId9" o:title=""/>
          </v:shape>
        </w:pict>
      </w:r>
    </w:p>
    <w:bookmarkEnd w:id="0"/>
    <w:p w:rsidR="00341319" w:rsidRDefault="00341319">
      <w:pPr>
        <w:rPr>
          <w:noProof/>
        </w:rPr>
        <w:sectPr w:rsidR="00341319" w:rsidSect="0032488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341319" w:rsidRDefault="00341319">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24889">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341319" w:rsidRDefault="00341319">
      <w:pPr>
        <w:widowControl w:val="0"/>
        <w:tabs>
          <w:tab w:val="right" w:leader="dot" w:pos="8640"/>
        </w:tabs>
        <w:spacing w:before="120" w:after="120" w:line="240" w:lineRule="auto"/>
        <w:ind w:left="482" w:right="720" w:hanging="482"/>
        <w:rPr>
          <w:rFonts w:eastAsia="Times New Roman" w:cs="Times New Roman"/>
          <w:noProof/>
          <w:szCs w:val="20"/>
        </w:rPr>
      </w:pPr>
    </w:p>
    <w:p w:rsidR="00341319" w:rsidRDefault="00324889">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341319" w:rsidRDefault="00341319">
      <w:pPr>
        <w:widowControl w:val="0"/>
        <w:tabs>
          <w:tab w:val="right" w:leader="dot" w:pos="8640"/>
        </w:tabs>
        <w:spacing w:before="120" w:after="120" w:line="240" w:lineRule="auto"/>
        <w:ind w:left="482" w:right="720" w:hanging="482"/>
        <w:rPr>
          <w:rFonts w:eastAsia="Times New Roman" w:cs="Times New Roman"/>
          <w:noProof/>
          <w:szCs w:val="20"/>
        </w:rPr>
      </w:pPr>
    </w:p>
    <w:p w:rsidR="00341319" w:rsidRDefault="00324889">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p.13 – ©gehringj/iStock, p.20 – ©Peeter Viisimaa/iStock, p.22 – ©hraska/iStock, p.28 – ©onairda/iStock</w:t>
      </w:r>
    </w:p>
    <w:p w:rsidR="00341319" w:rsidRDefault="00324889">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reproduction or use of these photos, </w:t>
      </w:r>
      <w:r>
        <w:rPr>
          <w:rFonts w:eastAsia="Times New Roman" w:cs="Times New Roman"/>
          <w:noProof/>
          <w:szCs w:val="20"/>
        </w:rPr>
        <w:t>permission must be sought directly from the copyright holder.</w:t>
      </w:r>
    </w:p>
    <w:p w:rsidR="00341319" w:rsidRDefault="00341319">
      <w:pPr>
        <w:widowControl w:val="0"/>
        <w:tabs>
          <w:tab w:val="right" w:leader="dot" w:pos="8640"/>
        </w:tabs>
        <w:spacing w:before="120" w:after="120" w:line="240" w:lineRule="auto"/>
        <w:jc w:val="both"/>
        <w:rPr>
          <w:rFonts w:eastAsia="Times New Roman" w:cs="Times New Roman"/>
          <w:noProof/>
          <w:szCs w:val="20"/>
        </w:rPr>
      </w:pPr>
    </w:p>
    <w:p w:rsidR="00341319" w:rsidRDefault="00324889">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341319" w:rsidRDefault="00324889">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341319" w:rsidRDefault="00324889">
      <w:pPr>
        <w:widowControl w:val="0"/>
        <w:spacing w:before="240" w:after="120" w:line="240" w:lineRule="auto"/>
        <w:ind w:left="113" w:hanging="113"/>
        <w:jc w:val="center"/>
        <w:rPr>
          <w:rFonts w:eastAsia="Times New Roman"/>
          <w:b/>
          <w:noProof/>
          <w:szCs w:val="24"/>
          <w:lang w:eastAsia="ja-JP"/>
        </w:rPr>
      </w:pPr>
      <w:r>
        <w:rPr>
          <w:rFonts w:eastAsia="Times New Roman"/>
          <w:b/>
          <w:noProof/>
          <w:szCs w:val="24"/>
          <w:lang w:eastAsia="ja-JP"/>
        </w:rPr>
        <w:lastRenderedPageBreak/>
        <w:t>Table of Content</w:t>
      </w:r>
    </w:p>
    <w:sdt>
      <w:sdtPr>
        <w:rPr>
          <w:rFonts w:ascii="Times New Roman" w:hAnsi="Times New Roman" w:cs="Times New Roman"/>
          <w:b/>
          <w:bCs/>
          <w:caps/>
          <w:noProof/>
          <w:sz w:val="20"/>
          <w:szCs w:val="20"/>
          <w:lang w:val="it-IT"/>
        </w:rPr>
        <w:id w:val="-879861111"/>
        <w:docPartObj>
          <w:docPartGallery w:val="Table of Contents"/>
          <w:docPartUnique/>
        </w:docPartObj>
      </w:sdtPr>
      <w:sdtEndPr>
        <w:rPr>
          <w:rFonts w:asciiTheme="minorHAnsi" w:hAnsiTheme="minorHAnsi"/>
          <w:b w:val="0"/>
          <w:bCs w:val="0"/>
          <w:caps w:val="0"/>
          <w:szCs w:val="22"/>
        </w:rPr>
      </w:sdtEndPr>
      <w:sdtContent>
        <w:p w:rsidR="00341319" w:rsidRDefault="00341319">
          <w:pPr>
            <w:widowControl w:val="0"/>
            <w:spacing w:after="0" w:line="240" w:lineRule="auto"/>
            <w:jc w:val="both"/>
            <w:rPr>
              <w:rFonts w:ascii="Times New Roman" w:hAnsi="Times New Roman" w:cs="Times New Roman"/>
              <w:noProof/>
              <w:sz w:val="20"/>
              <w:szCs w:val="20"/>
            </w:rPr>
          </w:pPr>
        </w:p>
        <w:p w:rsidR="00341319" w:rsidRDefault="00324889">
          <w:pPr>
            <w:pStyle w:val="TOC1"/>
            <w:rPr>
              <w:rFonts w:asciiTheme="minorHAnsi" w:eastAsiaTheme="minorEastAsia" w:hAnsiTheme="minorHAnsi" w:cstheme="minorBidi"/>
              <w:caps w:val="0"/>
              <w:noProof/>
              <w:sz w:val="22"/>
              <w:szCs w:val="22"/>
              <w:lang w:eastAsia="en-GB"/>
            </w:rPr>
          </w:pPr>
          <w:r>
            <w:rPr>
              <w:rFonts w:eastAsiaTheme="minorEastAsia"/>
              <w:noProof/>
              <w:lang w:val="en-US" w:eastAsia="ja-JP"/>
            </w:rPr>
            <w:fldChar w:fldCharType="begin"/>
          </w:r>
          <w:r>
            <w:rPr>
              <w:rFonts w:eastAsiaTheme="minorEastAsia"/>
              <w:noProof/>
              <w:lang w:val="en-US" w:eastAsia="ja-JP"/>
            </w:rPr>
            <w:instrText xml:space="preserve"> TOC \o "1-2" \h \z \u </w:instrText>
          </w:r>
          <w:r>
            <w:rPr>
              <w:rFonts w:eastAsiaTheme="minorEastAsia"/>
              <w:noProof/>
              <w:lang w:val="en-US" w:eastAsia="ja-JP"/>
            </w:rPr>
            <w:fldChar w:fldCharType="separate"/>
          </w:r>
          <w:hyperlink w:anchor="_Toc469476699" w:history="1">
            <w:r>
              <w:rPr>
                <w:rStyle w:val="Hyperlink"/>
                <w:rFonts w:eastAsiaTheme="majorEastAsia"/>
                <w:bCs/>
                <w:noProof/>
              </w:rPr>
              <w:t>Executive summary</w:t>
            </w:r>
            <w:r>
              <w:rPr>
                <w:noProof/>
                <w:webHidden/>
              </w:rPr>
              <w:tab/>
            </w:r>
            <w:r>
              <w:rPr>
                <w:noProof/>
                <w:webHidden/>
              </w:rPr>
              <w:fldChar w:fldCharType="begin"/>
            </w:r>
            <w:r>
              <w:rPr>
                <w:noProof/>
                <w:webHidden/>
              </w:rPr>
              <w:instrText xml:space="preserve"> PAGEREF _Toc469476699 \h </w:instrText>
            </w:r>
            <w:r>
              <w:rPr>
                <w:noProof/>
                <w:webHidden/>
              </w:rPr>
            </w:r>
            <w:r>
              <w:rPr>
                <w:noProof/>
                <w:webHidden/>
              </w:rPr>
              <w:fldChar w:fldCharType="separate"/>
            </w:r>
            <w:r>
              <w:rPr>
                <w:noProof/>
                <w:webHidden/>
              </w:rPr>
              <w:t>4</w:t>
            </w:r>
            <w:r>
              <w:rPr>
                <w:noProof/>
                <w:webHidden/>
              </w:rPr>
              <w:fldChar w:fldCharType="end"/>
            </w:r>
          </w:hyperlink>
        </w:p>
        <w:p w:rsidR="00341319" w:rsidRDefault="00324889">
          <w:pPr>
            <w:pStyle w:val="TOC1"/>
            <w:rPr>
              <w:rFonts w:asciiTheme="minorHAnsi" w:eastAsiaTheme="minorEastAsia" w:hAnsiTheme="minorHAnsi" w:cstheme="minorBidi"/>
              <w:caps w:val="0"/>
              <w:noProof/>
              <w:sz w:val="22"/>
              <w:szCs w:val="22"/>
              <w:lang w:eastAsia="en-GB"/>
            </w:rPr>
          </w:pPr>
          <w:hyperlink w:anchor="_Toc469476700" w:history="1">
            <w:r>
              <w:rPr>
                <w:rStyle w:val="Hyperlink"/>
                <w:rFonts w:eastAsiaTheme="majorEastAsia"/>
                <w:bCs/>
                <w:noProof/>
              </w:rPr>
              <w:t>Part I: Thematic Areas</w:t>
            </w:r>
            <w:r>
              <w:rPr>
                <w:noProof/>
                <w:webHidden/>
              </w:rPr>
              <w:tab/>
            </w:r>
            <w:r>
              <w:rPr>
                <w:noProof/>
                <w:webHidden/>
              </w:rPr>
              <w:fldChar w:fldCharType="begin"/>
            </w:r>
            <w:r>
              <w:rPr>
                <w:noProof/>
                <w:webHidden/>
              </w:rPr>
              <w:instrText xml:space="preserve"> PAGEREF _Toc469476700 \h </w:instrText>
            </w:r>
            <w:r>
              <w:rPr>
                <w:noProof/>
                <w:webHidden/>
              </w:rPr>
            </w:r>
            <w:r>
              <w:rPr>
                <w:noProof/>
                <w:webHidden/>
              </w:rPr>
              <w:fldChar w:fldCharType="separate"/>
            </w:r>
            <w:r>
              <w:rPr>
                <w:noProof/>
                <w:webHidden/>
              </w:rPr>
              <w:t>5</w:t>
            </w:r>
            <w:r>
              <w:rPr>
                <w:noProof/>
                <w:webHidden/>
              </w:rPr>
              <w:fldChar w:fldCharType="end"/>
            </w:r>
          </w:hyperlink>
        </w:p>
        <w:p w:rsidR="00341319" w:rsidRDefault="00324889">
          <w:pPr>
            <w:pStyle w:val="TOC1"/>
            <w:rPr>
              <w:rFonts w:asciiTheme="minorHAnsi" w:eastAsiaTheme="minorEastAsia" w:hAnsiTheme="minorHAnsi" w:cstheme="minorBidi"/>
              <w:caps w:val="0"/>
              <w:noProof/>
              <w:sz w:val="22"/>
              <w:szCs w:val="22"/>
              <w:lang w:eastAsia="en-GB"/>
            </w:rPr>
          </w:pPr>
          <w:hyperlink w:anchor="_Toc46947670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_Toc469476701 \h </w:instrText>
            </w:r>
            <w:r>
              <w:rPr>
                <w:noProof/>
                <w:webHidden/>
              </w:rPr>
            </w:r>
            <w:r>
              <w:rPr>
                <w:noProof/>
                <w:webHidden/>
              </w:rPr>
              <w:fldChar w:fldCharType="separate"/>
            </w:r>
            <w:r>
              <w:rPr>
                <w:noProof/>
                <w:webHidden/>
              </w:rPr>
              <w:t>5</w:t>
            </w:r>
            <w:r>
              <w:rPr>
                <w:noProof/>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02" w:history="1">
            <w:r>
              <w:rPr>
                <w:rStyle w:val="Hyperlink"/>
                <w:lang w:eastAsia="en-GB"/>
              </w:rPr>
              <w:t>Developi</w:t>
            </w:r>
            <w:r>
              <w:rPr>
                <w:rStyle w:val="Hyperlink"/>
                <w:lang w:eastAsia="en-GB"/>
              </w:rPr>
              <w:t>ng a circular economy and improving resource efficiency</w:t>
            </w:r>
            <w:r>
              <w:rPr>
                <w:webHidden/>
              </w:rPr>
              <w:tab/>
            </w:r>
            <w:r>
              <w:rPr>
                <w:webHidden/>
              </w:rPr>
              <w:fldChar w:fldCharType="begin"/>
            </w:r>
            <w:r>
              <w:rPr>
                <w:webHidden/>
              </w:rPr>
              <w:instrText xml:space="preserve"> PAGEREF _Toc469476702 \h </w:instrText>
            </w:r>
            <w:r>
              <w:rPr>
                <w:webHidden/>
              </w:rPr>
            </w:r>
            <w:r>
              <w:rPr>
                <w:webHidden/>
              </w:rPr>
              <w:fldChar w:fldCharType="separate"/>
            </w:r>
            <w:r>
              <w:rPr>
                <w:webHidden/>
              </w:rPr>
              <w:t>5</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03" w:history="1">
            <w:r>
              <w:rPr>
                <w:rStyle w:val="Hyperlink"/>
                <w:lang w:eastAsia="en-GB"/>
              </w:rPr>
              <w:t>Waste management</w:t>
            </w:r>
            <w:r>
              <w:rPr>
                <w:webHidden/>
              </w:rPr>
              <w:tab/>
            </w:r>
            <w:r>
              <w:rPr>
                <w:webHidden/>
              </w:rPr>
              <w:fldChar w:fldCharType="begin"/>
            </w:r>
            <w:r>
              <w:rPr>
                <w:webHidden/>
              </w:rPr>
              <w:instrText xml:space="preserve"> PAGEREF _Toc469476703 \h </w:instrText>
            </w:r>
            <w:r>
              <w:rPr>
                <w:webHidden/>
              </w:rPr>
            </w:r>
            <w:r>
              <w:rPr>
                <w:webHidden/>
              </w:rPr>
              <w:fldChar w:fldCharType="separate"/>
            </w:r>
            <w:r>
              <w:rPr>
                <w:webHidden/>
              </w:rPr>
              <w:t>8</w:t>
            </w:r>
            <w:r>
              <w:rPr>
                <w:webHidden/>
              </w:rPr>
              <w:fldChar w:fldCharType="end"/>
            </w:r>
          </w:hyperlink>
        </w:p>
        <w:p w:rsidR="00341319" w:rsidRDefault="00324889">
          <w:pPr>
            <w:pStyle w:val="TOC1"/>
            <w:rPr>
              <w:rFonts w:asciiTheme="minorHAnsi" w:eastAsiaTheme="minorEastAsia" w:hAnsiTheme="minorHAnsi" w:cstheme="minorBidi"/>
              <w:caps w:val="0"/>
              <w:noProof/>
              <w:sz w:val="22"/>
              <w:szCs w:val="22"/>
              <w:lang w:eastAsia="en-GB"/>
            </w:rPr>
          </w:pPr>
          <w:hyperlink w:anchor="_Toc469476704"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Protecting, conserving and enhancing natural capital</w:t>
            </w:r>
            <w:r>
              <w:rPr>
                <w:noProof/>
                <w:webHidden/>
              </w:rPr>
              <w:tab/>
            </w:r>
            <w:r>
              <w:rPr>
                <w:noProof/>
                <w:webHidden/>
              </w:rPr>
              <w:fldChar w:fldCharType="begin"/>
            </w:r>
            <w:r>
              <w:rPr>
                <w:noProof/>
                <w:webHidden/>
              </w:rPr>
              <w:instrText xml:space="preserve"> PAGEREF _Toc469476704 \h </w:instrText>
            </w:r>
            <w:r>
              <w:rPr>
                <w:noProof/>
                <w:webHidden/>
              </w:rPr>
            </w:r>
            <w:r>
              <w:rPr>
                <w:noProof/>
                <w:webHidden/>
              </w:rPr>
              <w:fldChar w:fldCharType="separate"/>
            </w:r>
            <w:r>
              <w:rPr>
                <w:noProof/>
                <w:webHidden/>
              </w:rPr>
              <w:t>11</w:t>
            </w:r>
            <w:r>
              <w:rPr>
                <w:noProof/>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05" w:history="1">
            <w:r>
              <w:rPr>
                <w:rStyle w:val="Hyperlink"/>
                <w:lang w:eastAsia="en-GB"/>
              </w:rPr>
              <w:t>Nature and Biodiversity</w:t>
            </w:r>
            <w:r>
              <w:rPr>
                <w:webHidden/>
              </w:rPr>
              <w:tab/>
            </w:r>
            <w:r>
              <w:rPr>
                <w:webHidden/>
              </w:rPr>
              <w:fldChar w:fldCharType="begin"/>
            </w:r>
            <w:r>
              <w:rPr>
                <w:webHidden/>
              </w:rPr>
              <w:instrText xml:space="preserve"> PAGEREF _Toc469476705 \h </w:instrText>
            </w:r>
            <w:r>
              <w:rPr>
                <w:webHidden/>
              </w:rPr>
            </w:r>
            <w:r>
              <w:rPr>
                <w:webHidden/>
              </w:rPr>
              <w:fldChar w:fldCharType="separate"/>
            </w:r>
            <w:r>
              <w:rPr>
                <w:webHidden/>
              </w:rPr>
              <w:t>11</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06" w:history="1">
            <w:r>
              <w:rPr>
                <w:rStyle w:val="Hyperlink"/>
                <w:lang w:eastAsia="en-GB"/>
              </w:rPr>
              <w:t>Estimating Natural Capital</w:t>
            </w:r>
            <w:r>
              <w:rPr>
                <w:webHidden/>
              </w:rPr>
              <w:tab/>
            </w:r>
            <w:r>
              <w:rPr>
                <w:webHidden/>
              </w:rPr>
              <w:fldChar w:fldCharType="begin"/>
            </w:r>
            <w:r>
              <w:rPr>
                <w:webHidden/>
              </w:rPr>
              <w:instrText xml:space="preserve"> PAGEREF _Toc469476706 \h </w:instrText>
            </w:r>
            <w:r>
              <w:rPr>
                <w:webHidden/>
              </w:rPr>
            </w:r>
            <w:r>
              <w:rPr>
                <w:webHidden/>
              </w:rPr>
              <w:fldChar w:fldCharType="separate"/>
            </w:r>
            <w:r>
              <w:rPr>
                <w:webHidden/>
              </w:rPr>
              <w:t>13</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07" w:history="1">
            <w:r>
              <w:rPr>
                <w:rStyle w:val="Hyperlink"/>
                <w:lang w:eastAsia="en-GB"/>
              </w:rPr>
              <w:t>Green infrastructure</w:t>
            </w:r>
            <w:r>
              <w:rPr>
                <w:webHidden/>
              </w:rPr>
              <w:tab/>
            </w:r>
            <w:r>
              <w:rPr>
                <w:webHidden/>
              </w:rPr>
              <w:fldChar w:fldCharType="begin"/>
            </w:r>
            <w:r>
              <w:rPr>
                <w:webHidden/>
              </w:rPr>
              <w:instrText xml:space="preserve"> PAGEREF _Toc469476707 \h </w:instrText>
            </w:r>
            <w:r>
              <w:rPr>
                <w:webHidden/>
              </w:rPr>
            </w:r>
            <w:r>
              <w:rPr>
                <w:webHidden/>
              </w:rPr>
              <w:fldChar w:fldCharType="separate"/>
            </w:r>
            <w:r>
              <w:rPr>
                <w:webHidden/>
              </w:rPr>
              <w:t>13</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08" w:history="1">
            <w:r>
              <w:rPr>
                <w:rStyle w:val="Hyperlink"/>
                <w:lang w:eastAsia="en-GB"/>
              </w:rPr>
              <w:t>Soil protection</w:t>
            </w:r>
            <w:r>
              <w:rPr>
                <w:webHidden/>
              </w:rPr>
              <w:tab/>
            </w:r>
            <w:r>
              <w:rPr>
                <w:webHidden/>
              </w:rPr>
              <w:fldChar w:fldCharType="begin"/>
            </w:r>
            <w:r>
              <w:rPr>
                <w:webHidden/>
              </w:rPr>
              <w:instrText xml:space="preserve"> PAGEREF _Toc469476708 \h </w:instrText>
            </w:r>
            <w:r>
              <w:rPr>
                <w:webHidden/>
              </w:rPr>
            </w:r>
            <w:r>
              <w:rPr>
                <w:webHidden/>
              </w:rPr>
              <w:fldChar w:fldCharType="separate"/>
            </w:r>
            <w:r>
              <w:rPr>
                <w:webHidden/>
              </w:rPr>
              <w:t>13</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09" w:history="1">
            <w:r>
              <w:rPr>
                <w:rStyle w:val="Hyperlink"/>
                <w:lang w:eastAsia="en-GB"/>
              </w:rPr>
              <w:t>Marine prote</w:t>
            </w:r>
            <w:r>
              <w:rPr>
                <w:rStyle w:val="Hyperlink"/>
                <w:lang w:eastAsia="en-GB"/>
              </w:rPr>
              <w:t>ction</w:t>
            </w:r>
            <w:r>
              <w:rPr>
                <w:webHidden/>
              </w:rPr>
              <w:tab/>
            </w:r>
            <w:r>
              <w:rPr>
                <w:webHidden/>
              </w:rPr>
              <w:fldChar w:fldCharType="begin"/>
            </w:r>
            <w:r>
              <w:rPr>
                <w:webHidden/>
              </w:rPr>
              <w:instrText xml:space="preserve"> PAGEREF _Toc469476709 \h </w:instrText>
            </w:r>
            <w:r>
              <w:rPr>
                <w:webHidden/>
              </w:rPr>
            </w:r>
            <w:r>
              <w:rPr>
                <w:webHidden/>
              </w:rPr>
              <w:fldChar w:fldCharType="separate"/>
            </w:r>
            <w:r>
              <w:rPr>
                <w:webHidden/>
              </w:rPr>
              <w:t>15</w:t>
            </w:r>
            <w:r>
              <w:rPr>
                <w:webHidden/>
              </w:rPr>
              <w:fldChar w:fldCharType="end"/>
            </w:r>
          </w:hyperlink>
        </w:p>
        <w:p w:rsidR="00341319" w:rsidRDefault="00324889">
          <w:pPr>
            <w:pStyle w:val="TOC1"/>
            <w:rPr>
              <w:rFonts w:asciiTheme="minorHAnsi" w:eastAsiaTheme="minorEastAsia" w:hAnsiTheme="minorHAnsi" w:cstheme="minorBidi"/>
              <w:caps w:val="0"/>
              <w:noProof/>
              <w:sz w:val="22"/>
              <w:szCs w:val="22"/>
              <w:lang w:eastAsia="en-GB"/>
            </w:rPr>
          </w:pPr>
          <w:hyperlink w:anchor="_Toc469476710"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Ensuring citizens' health and quality of life</w:t>
            </w:r>
            <w:r>
              <w:rPr>
                <w:noProof/>
                <w:webHidden/>
              </w:rPr>
              <w:tab/>
            </w:r>
            <w:r>
              <w:rPr>
                <w:noProof/>
                <w:webHidden/>
              </w:rPr>
              <w:fldChar w:fldCharType="begin"/>
            </w:r>
            <w:r>
              <w:rPr>
                <w:noProof/>
                <w:webHidden/>
              </w:rPr>
              <w:instrText xml:space="preserve"> PAGEREF _Toc469476710 \h </w:instrText>
            </w:r>
            <w:r>
              <w:rPr>
                <w:noProof/>
                <w:webHidden/>
              </w:rPr>
            </w:r>
            <w:r>
              <w:rPr>
                <w:noProof/>
                <w:webHidden/>
              </w:rPr>
              <w:fldChar w:fldCharType="separate"/>
            </w:r>
            <w:r>
              <w:rPr>
                <w:noProof/>
                <w:webHidden/>
              </w:rPr>
              <w:t>16</w:t>
            </w:r>
            <w:r>
              <w:rPr>
                <w:noProof/>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11" w:history="1">
            <w:r>
              <w:rPr>
                <w:rStyle w:val="Hyperlink"/>
                <w:lang w:eastAsia="en-GB"/>
              </w:rPr>
              <w:t>Air quality</w:t>
            </w:r>
            <w:r>
              <w:rPr>
                <w:webHidden/>
              </w:rPr>
              <w:tab/>
            </w:r>
            <w:r>
              <w:rPr>
                <w:webHidden/>
              </w:rPr>
              <w:fldChar w:fldCharType="begin"/>
            </w:r>
            <w:r>
              <w:rPr>
                <w:webHidden/>
              </w:rPr>
              <w:instrText xml:space="preserve"> PAGEREF _Toc469476711 \h </w:instrText>
            </w:r>
            <w:r>
              <w:rPr>
                <w:webHidden/>
              </w:rPr>
            </w:r>
            <w:r>
              <w:rPr>
                <w:webHidden/>
              </w:rPr>
              <w:fldChar w:fldCharType="separate"/>
            </w:r>
            <w:r>
              <w:rPr>
                <w:webHidden/>
              </w:rPr>
              <w:t>16</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12" w:history="1">
            <w:r>
              <w:rPr>
                <w:rStyle w:val="Hyperlink"/>
                <w:lang w:eastAsia="en-GB"/>
              </w:rPr>
              <w:t>Noise</w:t>
            </w:r>
            <w:r>
              <w:rPr>
                <w:webHidden/>
              </w:rPr>
              <w:tab/>
            </w:r>
            <w:r>
              <w:rPr>
                <w:webHidden/>
              </w:rPr>
              <w:tab/>
            </w:r>
            <w:r>
              <w:rPr>
                <w:webHidden/>
              </w:rPr>
              <w:fldChar w:fldCharType="begin"/>
            </w:r>
            <w:r>
              <w:rPr>
                <w:webHidden/>
              </w:rPr>
              <w:instrText xml:space="preserve"> PAGEREF _Toc469476712 \h </w:instrText>
            </w:r>
            <w:r>
              <w:rPr>
                <w:webHidden/>
              </w:rPr>
            </w:r>
            <w:r>
              <w:rPr>
                <w:webHidden/>
              </w:rPr>
              <w:fldChar w:fldCharType="separate"/>
            </w:r>
            <w:r>
              <w:rPr>
                <w:webHidden/>
              </w:rPr>
              <w:t>17</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13" w:history="1">
            <w:r>
              <w:rPr>
                <w:rStyle w:val="Hyperlink"/>
                <w:lang w:eastAsia="en-GB"/>
              </w:rPr>
              <w:t>Water quality and management</w:t>
            </w:r>
            <w:r>
              <w:rPr>
                <w:webHidden/>
              </w:rPr>
              <w:tab/>
            </w:r>
            <w:r>
              <w:rPr>
                <w:webHidden/>
              </w:rPr>
              <w:fldChar w:fldCharType="begin"/>
            </w:r>
            <w:r>
              <w:rPr>
                <w:webHidden/>
              </w:rPr>
              <w:instrText xml:space="preserve"> PAGEREF _Toc469476713 \h </w:instrText>
            </w:r>
            <w:r>
              <w:rPr>
                <w:webHidden/>
              </w:rPr>
            </w:r>
            <w:r>
              <w:rPr>
                <w:webHidden/>
              </w:rPr>
              <w:fldChar w:fldCharType="separate"/>
            </w:r>
            <w:r>
              <w:rPr>
                <w:webHidden/>
              </w:rPr>
              <w:t>17</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14" w:history="1">
            <w:r>
              <w:rPr>
                <w:rStyle w:val="Hyperlink"/>
                <w:lang w:eastAsia="en-GB"/>
              </w:rPr>
              <w:t>Enhancing the sustainability of cities</w:t>
            </w:r>
            <w:r>
              <w:rPr>
                <w:webHidden/>
              </w:rPr>
              <w:tab/>
            </w:r>
            <w:r>
              <w:rPr>
                <w:webHidden/>
              </w:rPr>
              <w:fldChar w:fldCharType="begin"/>
            </w:r>
            <w:r>
              <w:rPr>
                <w:webHidden/>
              </w:rPr>
              <w:instrText xml:space="preserve"> PAGEREF _Toc469476714 \h </w:instrText>
            </w:r>
            <w:r>
              <w:rPr>
                <w:webHidden/>
              </w:rPr>
            </w:r>
            <w:r>
              <w:rPr>
                <w:webHidden/>
              </w:rPr>
              <w:fldChar w:fldCharType="separate"/>
            </w:r>
            <w:r>
              <w:rPr>
                <w:webHidden/>
              </w:rPr>
              <w:t>21</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15" w:history="1">
            <w:r>
              <w:rPr>
                <w:rStyle w:val="Hyperlink"/>
                <w:lang w:eastAsia="en-GB"/>
              </w:rPr>
              <w:t>International agreements</w:t>
            </w:r>
            <w:r>
              <w:rPr>
                <w:webHidden/>
              </w:rPr>
              <w:tab/>
            </w:r>
            <w:r>
              <w:rPr>
                <w:webHidden/>
              </w:rPr>
              <w:fldChar w:fldCharType="begin"/>
            </w:r>
            <w:r>
              <w:rPr>
                <w:webHidden/>
              </w:rPr>
              <w:instrText xml:space="preserve"> PAGEREF _Toc469476715 \h </w:instrText>
            </w:r>
            <w:r>
              <w:rPr>
                <w:webHidden/>
              </w:rPr>
            </w:r>
            <w:r>
              <w:rPr>
                <w:webHidden/>
              </w:rPr>
              <w:fldChar w:fldCharType="separate"/>
            </w:r>
            <w:r>
              <w:rPr>
                <w:webHidden/>
              </w:rPr>
              <w:t>23</w:t>
            </w:r>
            <w:r>
              <w:rPr>
                <w:webHidden/>
              </w:rPr>
              <w:fldChar w:fldCharType="end"/>
            </w:r>
          </w:hyperlink>
        </w:p>
        <w:p w:rsidR="00341319" w:rsidRDefault="00324889">
          <w:pPr>
            <w:pStyle w:val="TOC1"/>
            <w:rPr>
              <w:rFonts w:asciiTheme="minorHAnsi" w:eastAsiaTheme="minorEastAsia" w:hAnsiTheme="minorHAnsi" w:cstheme="minorBidi"/>
              <w:caps w:val="0"/>
              <w:noProof/>
              <w:sz w:val="22"/>
              <w:szCs w:val="22"/>
              <w:lang w:eastAsia="en-GB"/>
            </w:rPr>
          </w:pPr>
          <w:hyperlink w:anchor="_Toc469476716" w:history="1">
            <w:r>
              <w:rPr>
                <w:rStyle w:val="Hyperlink"/>
                <w:rFonts w:eastAsiaTheme="majorEastAsia"/>
                <w:bCs/>
                <w:noProof/>
              </w:rPr>
              <w:t>Part II: Enabling Framework: Implementation Tools</w:t>
            </w:r>
            <w:r>
              <w:rPr>
                <w:noProof/>
                <w:webHidden/>
              </w:rPr>
              <w:tab/>
            </w:r>
            <w:r>
              <w:rPr>
                <w:noProof/>
                <w:webHidden/>
              </w:rPr>
              <w:fldChar w:fldCharType="begin"/>
            </w:r>
            <w:r>
              <w:rPr>
                <w:noProof/>
                <w:webHidden/>
              </w:rPr>
              <w:instrText xml:space="preserve"> PAGEREF _Toc469476716 \h </w:instrText>
            </w:r>
            <w:r>
              <w:rPr>
                <w:noProof/>
                <w:webHidden/>
              </w:rPr>
            </w:r>
            <w:r>
              <w:rPr>
                <w:noProof/>
                <w:webHidden/>
              </w:rPr>
              <w:fldChar w:fldCharType="separate"/>
            </w:r>
            <w:r>
              <w:rPr>
                <w:noProof/>
                <w:webHidden/>
              </w:rPr>
              <w:t>24</w:t>
            </w:r>
            <w:r>
              <w:rPr>
                <w:noProof/>
                <w:webHidden/>
              </w:rPr>
              <w:fldChar w:fldCharType="end"/>
            </w:r>
          </w:hyperlink>
        </w:p>
        <w:p w:rsidR="00341319" w:rsidRDefault="00324889">
          <w:pPr>
            <w:pStyle w:val="TOC1"/>
            <w:rPr>
              <w:rFonts w:asciiTheme="minorHAnsi" w:eastAsiaTheme="minorEastAsia" w:hAnsiTheme="minorHAnsi" w:cstheme="minorBidi"/>
              <w:caps w:val="0"/>
              <w:noProof/>
              <w:sz w:val="22"/>
              <w:szCs w:val="22"/>
              <w:lang w:eastAsia="en-GB"/>
            </w:rPr>
          </w:pPr>
          <w:hyperlink w:anchor="_Toc469476717"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 xml:space="preserve">Market </w:t>
            </w:r>
            <w:r>
              <w:rPr>
                <w:rStyle w:val="Hyperlink"/>
                <w:noProof/>
              </w:rPr>
              <w:t>based instruments and investments</w:t>
            </w:r>
            <w:r>
              <w:rPr>
                <w:noProof/>
                <w:webHidden/>
              </w:rPr>
              <w:tab/>
            </w:r>
            <w:r>
              <w:rPr>
                <w:noProof/>
                <w:webHidden/>
              </w:rPr>
              <w:fldChar w:fldCharType="begin"/>
            </w:r>
            <w:r>
              <w:rPr>
                <w:noProof/>
                <w:webHidden/>
              </w:rPr>
              <w:instrText xml:space="preserve"> PAGEREF _Toc469476717 \h </w:instrText>
            </w:r>
            <w:r>
              <w:rPr>
                <w:noProof/>
                <w:webHidden/>
              </w:rPr>
            </w:r>
            <w:r>
              <w:rPr>
                <w:noProof/>
                <w:webHidden/>
              </w:rPr>
              <w:fldChar w:fldCharType="separate"/>
            </w:r>
            <w:r>
              <w:rPr>
                <w:noProof/>
                <w:webHidden/>
              </w:rPr>
              <w:t>24</w:t>
            </w:r>
            <w:r>
              <w:rPr>
                <w:noProof/>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18" w:history="1">
            <w:r>
              <w:rPr>
                <w:rStyle w:val="Hyperlink"/>
              </w:rPr>
              <w:t>Green taxation and environmentally harmful subsidies</w:t>
            </w:r>
            <w:r>
              <w:rPr>
                <w:webHidden/>
              </w:rPr>
              <w:tab/>
            </w:r>
            <w:r>
              <w:rPr>
                <w:webHidden/>
              </w:rPr>
              <w:fldChar w:fldCharType="begin"/>
            </w:r>
            <w:r>
              <w:rPr>
                <w:webHidden/>
              </w:rPr>
              <w:instrText xml:space="preserve"> PAGEREF _Toc469476718 \h </w:instrText>
            </w:r>
            <w:r>
              <w:rPr>
                <w:webHidden/>
              </w:rPr>
            </w:r>
            <w:r>
              <w:rPr>
                <w:webHidden/>
              </w:rPr>
              <w:fldChar w:fldCharType="separate"/>
            </w:r>
            <w:r>
              <w:rPr>
                <w:webHidden/>
              </w:rPr>
              <w:t>24</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19" w:history="1">
            <w:r>
              <w:rPr>
                <w:rStyle w:val="Hyperlink"/>
                <w:lang w:eastAsia="en-GB"/>
              </w:rPr>
              <w:t>Green Public Procurement</w:t>
            </w:r>
            <w:r>
              <w:rPr>
                <w:webHidden/>
              </w:rPr>
              <w:tab/>
            </w:r>
            <w:r>
              <w:rPr>
                <w:webHidden/>
              </w:rPr>
              <w:fldChar w:fldCharType="begin"/>
            </w:r>
            <w:r>
              <w:rPr>
                <w:webHidden/>
              </w:rPr>
              <w:instrText xml:space="preserve"> PAGEREF _Toc469476719 \h </w:instrText>
            </w:r>
            <w:r>
              <w:rPr>
                <w:webHidden/>
              </w:rPr>
            </w:r>
            <w:r>
              <w:rPr>
                <w:webHidden/>
              </w:rPr>
              <w:fldChar w:fldCharType="separate"/>
            </w:r>
            <w:r>
              <w:rPr>
                <w:webHidden/>
              </w:rPr>
              <w:t>25</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20" w:history="1">
            <w:r>
              <w:rPr>
                <w:rStyle w:val="Hyperlink"/>
                <w:lang w:eastAsia="en-GB"/>
              </w:rPr>
              <w:t>Investments:</w:t>
            </w:r>
            <w:r>
              <w:rPr>
                <w:rStyle w:val="Hyperlink"/>
                <w:lang w:eastAsia="en-GB"/>
              </w:rPr>
              <w:t xml:space="preserve"> the contribution of EU funds</w:t>
            </w:r>
            <w:r>
              <w:rPr>
                <w:webHidden/>
              </w:rPr>
              <w:tab/>
            </w:r>
            <w:r>
              <w:rPr>
                <w:webHidden/>
              </w:rPr>
              <w:fldChar w:fldCharType="begin"/>
            </w:r>
            <w:r>
              <w:rPr>
                <w:webHidden/>
              </w:rPr>
              <w:instrText xml:space="preserve"> PAGEREF _Toc469476720 \h </w:instrText>
            </w:r>
            <w:r>
              <w:rPr>
                <w:webHidden/>
              </w:rPr>
            </w:r>
            <w:r>
              <w:rPr>
                <w:webHidden/>
              </w:rPr>
              <w:fldChar w:fldCharType="separate"/>
            </w:r>
            <w:r>
              <w:rPr>
                <w:webHidden/>
              </w:rPr>
              <w:t>25</w:t>
            </w:r>
            <w:r>
              <w:rPr>
                <w:webHidden/>
              </w:rPr>
              <w:fldChar w:fldCharType="end"/>
            </w:r>
          </w:hyperlink>
        </w:p>
        <w:p w:rsidR="00341319" w:rsidRDefault="00324889">
          <w:pPr>
            <w:pStyle w:val="TOC1"/>
            <w:rPr>
              <w:rFonts w:asciiTheme="minorHAnsi" w:eastAsiaTheme="minorEastAsia" w:hAnsiTheme="minorHAnsi" w:cstheme="minorBidi"/>
              <w:caps w:val="0"/>
              <w:noProof/>
              <w:sz w:val="22"/>
              <w:szCs w:val="22"/>
              <w:lang w:eastAsia="en-GB"/>
            </w:rPr>
          </w:pPr>
          <w:hyperlink w:anchor="_Toc469476721"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Effective governance and knowledge</w:t>
            </w:r>
            <w:r>
              <w:rPr>
                <w:noProof/>
                <w:webHidden/>
              </w:rPr>
              <w:tab/>
            </w:r>
            <w:r>
              <w:rPr>
                <w:noProof/>
                <w:webHidden/>
              </w:rPr>
              <w:fldChar w:fldCharType="begin"/>
            </w:r>
            <w:r>
              <w:rPr>
                <w:noProof/>
                <w:webHidden/>
              </w:rPr>
              <w:instrText xml:space="preserve"> PAGEREF _Toc469476721 \h </w:instrText>
            </w:r>
            <w:r>
              <w:rPr>
                <w:noProof/>
                <w:webHidden/>
              </w:rPr>
            </w:r>
            <w:r>
              <w:rPr>
                <w:noProof/>
                <w:webHidden/>
              </w:rPr>
              <w:fldChar w:fldCharType="separate"/>
            </w:r>
            <w:r>
              <w:rPr>
                <w:noProof/>
                <w:webHidden/>
              </w:rPr>
              <w:t>28</w:t>
            </w:r>
            <w:r>
              <w:rPr>
                <w:noProof/>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22" w:history="1">
            <w:r>
              <w:rPr>
                <w:rStyle w:val="Hyperlink"/>
                <w:lang w:eastAsia="en-GB"/>
              </w:rPr>
              <w:t>Effective governance within central, regional and local government</w:t>
            </w:r>
            <w:r>
              <w:rPr>
                <w:webHidden/>
              </w:rPr>
              <w:tab/>
            </w:r>
            <w:r>
              <w:rPr>
                <w:webHidden/>
              </w:rPr>
              <w:fldChar w:fldCharType="begin"/>
            </w:r>
            <w:r>
              <w:rPr>
                <w:webHidden/>
              </w:rPr>
              <w:instrText xml:space="preserve"> PAGEREF _Toc469476722 \h </w:instrText>
            </w:r>
            <w:r>
              <w:rPr>
                <w:webHidden/>
              </w:rPr>
            </w:r>
            <w:r>
              <w:rPr>
                <w:webHidden/>
              </w:rPr>
              <w:fldChar w:fldCharType="separate"/>
            </w:r>
            <w:r>
              <w:rPr>
                <w:webHidden/>
              </w:rPr>
              <w:t>28</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23" w:history="1">
            <w:r>
              <w:rPr>
                <w:rStyle w:val="Hyperlink"/>
                <w:lang w:eastAsia="en-GB"/>
              </w:rPr>
              <w:t>Compliance assurance</w:t>
            </w:r>
            <w:r>
              <w:rPr>
                <w:webHidden/>
              </w:rPr>
              <w:tab/>
            </w:r>
            <w:r>
              <w:rPr>
                <w:webHidden/>
              </w:rPr>
              <w:fldChar w:fldCharType="begin"/>
            </w:r>
            <w:r>
              <w:rPr>
                <w:webHidden/>
              </w:rPr>
              <w:instrText xml:space="preserve"> PAGEREF _Toc469476723 \h </w:instrText>
            </w:r>
            <w:r>
              <w:rPr>
                <w:webHidden/>
              </w:rPr>
            </w:r>
            <w:r>
              <w:rPr>
                <w:webHidden/>
              </w:rPr>
              <w:fldChar w:fldCharType="separate"/>
            </w:r>
            <w:r>
              <w:rPr>
                <w:webHidden/>
              </w:rPr>
              <w:t>31</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24" w:history="1">
            <w:r>
              <w:rPr>
                <w:rStyle w:val="Hyperlink"/>
                <w:lang w:eastAsia="en-GB"/>
              </w:rPr>
              <w:t>Public participation and access to justice</w:t>
            </w:r>
            <w:r>
              <w:rPr>
                <w:webHidden/>
              </w:rPr>
              <w:tab/>
            </w:r>
            <w:r>
              <w:rPr>
                <w:webHidden/>
              </w:rPr>
              <w:fldChar w:fldCharType="begin"/>
            </w:r>
            <w:r>
              <w:rPr>
                <w:webHidden/>
              </w:rPr>
              <w:instrText xml:space="preserve"> PAGEREF _Toc469476724 \h</w:instrText>
            </w:r>
            <w:r>
              <w:rPr>
                <w:webHidden/>
              </w:rPr>
              <w:instrText xml:space="preserve"> </w:instrText>
            </w:r>
            <w:r>
              <w:rPr>
                <w:webHidden/>
              </w:rPr>
            </w:r>
            <w:r>
              <w:rPr>
                <w:webHidden/>
              </w:rPr>
              <w:fldChar w:fldCharType="separate"/>
            </w:r>
            <w:r>
              <w:rPr>
                <w:webHidden/>
              </w:rPr>
              <w:t>32</w:t>
            </w:r>
            <w:r>
              <w:rPr>
                <w:webHidden/>
              </w:rPr>
              <w:fldChar w:fldCharType="end"/>
            </w:r>
          </w:hyperlink>
        </w:p>
        <w:p w:rsidR="00341319" w:rsidRDefault="00324889">
          <w:pPr>
            <w:pStyle w:val="TOC2"/>
            <w:rPr>
              <w:rFonts w:asciiTheme="minorHAnsi" w:eastAsiaTheme="minorEastAsia" w:hAnsiTheme="minorHAnsi" w:cstheme="minorBidi"/>
              <w:sz w:val="22"/>
              <w:szCs w:val="22"/>
              <w:lang w:eastAsia="en-GB"/>
            </w:rPr>
          </w:pPr>
          <w:hyperlink w:anchor="_Toc469476725" w:history="1">
            <w:r>
              <w:rPr>
                <w:rStyle w:val="Hyperlink"/>
                <w:lang w:eastAsia="en-GB"/>
              </w:rPr>
              <w:t>Access to Information, knowledge and evidence</w:t>
            </w:r>
            <w:r>
              <w:rPr>
                <w:webHidden/>
              </w:rPr>
              <w:tab/>
            </w:r>
            <w:r>
              <w:rPr>
                <w:webHidden/>
              </w:rPr>
              <w:fldChar w:fldCharType="begin"/>
            </w:r>
            <w:r>
              <w:rPr>
                <w:webHidden/>
              </w:rPr>
              <w:instrText xml:space="preserve"> PAGEREF _Toc469476725 \h </w:instrText>
            </w:r>
            <w:r>
              <w:rPr>
                <w:webHidden/>
              </w:rPr>
            </w:r>
            <w:r>
              <w:rPr>
                <w:webHidden/>
              </w:rPr>
              <w:fldChar w:fldCharType="separate"/>
            </w:r>
            <w:r>
              <w:rPr>
                <w:webHidden/>
              </w:rPr>
              <w:t>33</w:t>
            </w:r>
            <w:r>
              <w:rPr>
                <w:webHidden/>
              </w:rPr>
              <w:fldChar w:fldCharType="end"/>
            </w:r>
          </w:hyperlink>
        </w:p>
        <w:p w:rsidR="00341319" w:rsidRDefault="00324889">
          <w:pPr>
            <w:widowControl w:val="0"/>
            <w:spacing w:after="0" w:line="240" w:lineRule="auto"/>
            <w:jc w:val="both"/>
            <w:rPr>
              <w:rFonts w:cs="Times New Roman"/>
              <w:noProof/>
              <w:sz w:val="20"/>
              <w:lang w:val="it-IT"/>
            </w:rPr>
          </w:pPr>
          <w:r>
            <w:rPr>
              <w:rFonts w:eastAsiaTheme="minorEastAsia" w:cs="Times New Roman"/>
              <w:noProof/>
              <w:sz w:val="20"/>
              <w:szCs w:val="20"/>
              <w:lang w:val="en-US" w:eastAsia="ja-JP"/>
            </w:rPr>
            <w:fldChar w:fldCharType="end"/>
          </w:r>
        </w:p>
      </w:sdtContent>
    </w:sdt>
    <w:p w:rsidR="00341319" w:rsidRDefault="00341319">
      <w:pPr>
        <w:widowControl w:val="0"/>
        <w:spacing w:after="120" w:line="240" w:lineRule="auto"/>
        <w:jc w:val="both"/>
        <w:rPr>
          <w:rFonts w:cs="Times New Roman"/>
          <w:b/>
          <w:noProof/>
          <w:color w:val="1F497D" w:themeColor="text2"/>
          <w:sz w:val="28"/>
          <w:szCs w:val="28"/>
          <w:lang w:val="it-IT"/>
        </w:rPr>
        <w:sectPr w:rsidR="00341319">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2"/>
          <w:cols w:space="568"/>
          <w:titlePg/>
          <w:docGrid w:linePitch="360"/>
        </w:sectPr>
      </w:pPr>
    </w:p>
    <w:p w:rsidR="00341319" w:rsidRDefault="00324889">
      <w:pPr>
        <w:keepLines/>
        <w:widowControl w:val="0"/>
        <w:spacing w:after="0" w:line="240" w:lineRule="auto"/>
        <w:ind w:left="360"/>
        <w:jc w:val="center"/>
        <w:outlineLvl w:val="0"/>
        <w:rPr>
          <w:rFonts w:eastAsiaTheme="majorEastAsia" w:cs="Times New Roman"/>
          <w:b/>
          <w:bCs/>
          <w:noProof/>
          <w:color w:val="1F497D" w:themeColor="text2"/>
          <w:sz w:val="32"/>
          <w:szCs w:val="32"/>
        </w:rPr>
      </w:pPr>
      <w:bookmarkStart w:id="2" w:name="_Toc469476699"/>
      <w:r>
        <w:rPr>
          <w:rFonts w:eastAsiaTheme="majorEastAsia" w:cs="Times New Roman"/>
          <w:b/>
          <w:bCs/>
          <w:noProof/>
          <w:color w:val="1F497D" w:themeColor="text2"/>
          <w:sz w:val="32"/>
          <w:szCs w:val="32"/>
        </w:rPr>
        <w:lastRenderedPageBreak/>
        <w:t>Executive summary</w:t>
      </w:r>
      <w:bookmarkEnd w:id="2"/>
    </w:p>
    <w:p w:rsidR="00341319" w:rsidRDefault="00341319">
      <w:pPr>
        <w:widowControl w:val="0"/>
        <w:spacing w:after="120" w:line="240" w:lineRule="auto"/>
        <w:jc w:val="both"/>
        <w:rPr>
          <w:noProof/>
          <w:sz w:val="20"/>
        </w:rPr>
      </w:pPr>
    </w:p>
    <w:p w:rsidR="00341319" w:rsidRDefault="00341319">
      <w:pPr>
        <w:widowControl w:val="0"/>
        <w:spacing w:after="120" w:line="240" w:lineRule="auto"/>
        <w:jc w:val="both"/>
        <w:rPr>
          <w:noProof/>
          <w:sz w:val="20"/>
        </w:rPr>
        <w:sectPr w:rsidR="00341319">
          <w:headerReference w:type="even" r:id="rId24"/>
          <w:headerReference w:type="default" r:id="rId25"/>
          <w:footerReference w:type="even" r:id="rId26"/>
          <w:footerReference w:type="default" r:id="rId27"/>
          <w:headerReference w:type="first" r:id="rId28"/>
          <w:footerReference w:type="first" r:id="rId29"/>
          <w:pgSz w:w="11906" w:h="16838"/>
          <w:pgMar w:top="1440" w:right="1080" w:bottom="1440" w:left="1080" w:header="708" w:footer="708" w:gutter="0"/>
          <w:pgNumType w:start="4"/>
          <w:cols w:space="568"/>
          <w:docGrid w:linePitch="360"/>
        </w:sectPr>
      </w:pPr>
    </w:p>
    <w:p w:rsidR="00341319" w:rsidRDefault="00324889">
      <w:pPr>
        <w:widowControl w:val="0"/>
        <w:spacing w:after="120" w:line="240" w:lineRule="auto"/>
        <w:jc w:val="both"/>
        <w:rPr>
          <w:rFonts w:cs="Times New Roman"/>
          <w:b/>
          <w:noProof/>
          <w:color w:val="1F497D" w:themeColor="text2"/>
        </w:rPr>
      </w:pPr>
      <w:r>
        <w:rPr>
          <w:rFonts w:cs="Times New Roman"/>
          <w:b/>
          <w:noProof/>
          <w:color w:val="1F497D" w:themeColor="text2"/>
        </w:rPr>
        <w:t>About the Environmental Implementation Review</w:t>
      </w:r>
    </w:p>
    <w:p w:rsidR="00341319" w:rsidRDefault="00324889">
      <w:pPr>
        <w:widowControl w:val="0"/>
        <w:spacing w:after="120" w:line="240" w:lineRule="auto"/>
        <w:jc w:val="both"/>
        <w:rPr>
          <w:rFonts w:cs="Times New Roman"/>
          <w:noProof/>
          <w:sz w:val="20"/>
        </w:rPr>
      </w:pPr>
      <w:r>
        <w:rPr>
          <w:rFonts w:cs="Times New Roman"/>
          <w:noProof/>
          <w:sz w:val="20"/>
        </w:rPr>
        <w:t>In May 2016, the Commission launched the Environmental Implementation Review (EIR), a two-year cycle of</w:t>
      </w:r>
      <w:r>
        <w:rPr>
          <w:rFonts w:cs="Times New Roman"/>
          <w:noProof/>
          <w:sz w:val="20"/>
        </w:rPr>
        <w:t xml:space="preserve"> analysis, dialogue and collaboration to improve the implementation of existing EU environmental policy and legislation</w:t>
      </w:r>
      <w:r>
        <w:rPr>
          <w:rFonts w:cs="Times New Roman"/>
          <w:noProof/>
          <w:sz w:val="20"/>
          <w:vertAlign w:val="superscript"/>
        </w:rPr>
        <w:footnoteReference w:id="1"/>
      </w:r>
      <w:r>
        <w:rPr>
          <w:rFonts w:cs="Times New Roman"/>
          <w:noProof/>
          <w:sz w:val="20"/>
        </w:rPr>
        <w:t>. As a first step, the Commission drafted 28 reports describing the main challenges and opportunities on environmental implementation fo</w:t>
      </w:r>
      <w:r>
        <w:rPr>
          <w:rFonts w:cs="Times New Roman"/>
          <w:noProof/>
          <w:sz w:val="20"/>
        </w:rPr>
        <w:t>r each Member State. These reports are meant to stimulate a positive debate both on shared environmental challenges for the EU, as well as on the most effective ways to address the key implementation gaps. The reports rely on the detailed sectoral implemen</w:t>
      </w:r>
      <w:r>
        <w:rPr>
          <w:rFonts w:cs="Times New Roman"/>
          <w:noProof/>
          <w:sz w:val="20"/>
        </w:rPr>
        <w:t xml:space="preserve">tation reports collected or issued by the Commission under specific environmental legislation as well as the 2015 State of the Environment Report and other reports by the European Environment Agency. These reports will not replace the specific instruments </w:t>
      </w:r>
      <w:r>
        <w:rPr>
          <w:rFonts w:cs="Times New Roman"/>
          <w:noProof/>
          <w:sz w:val="20"/>
        </w:rPr>
        <w:t xml:space="preserve">to ensure compliance with EU legal obligations. </w:t>
      </w:r>
    </w:p>
    <w:p w:rsidR="00341319" w:rsidRDefault="00324889">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cs="Times New Roman"/>
          <w:noProof/>
          <w:sz w:val="20"/>
          <w:vertAlign w:val="superscript"/>
        </w:rPr>
        <w:footnoteReference w:id="2"/>
      </w:r>
      <w:r>
        <w:rPr>
          <w:rFonts w:cs="Times New Roman"/>
          <w:noProof/>
          <w:sz w:val="20"/>
          <w:vertAlign w:val="superscript"/>
        </w:rPr>
        <w:t xml:space="preserve"> </w:t>
      </w:r>
      <w:r>
        <w:rPr>
          <w:rFonts w:cs="Times New Roman"/>
          <w:noProof/>
          <w:sz w:val="20"/>
        </w:rPr>
        <w:t>and refer to the 2030 Agenda for Sustainable development and related Sustainable Development Goals (SDGs)</w:t>
      </w:r>
      <w:r>
        <w:rPr>
          <w:rFonts w:cs="Times New Roman"/>
          <w:noProof/>
          <w:sz w:val="20"/>
          <w:vertAlign w:val="superscript"/>
        </w:rPr>
        <w:footnoteReference w:id="3"/>
      </w:r>
      <w:r>
        <w:rPr>
          <w:rFonts w:cs="Times New Roman"/>
          <w:noProof/>
          <w:sz w:val="20"/>
          <w:vertAlign w:val="superscript"/>
        </w:rPr>
        <w:t xml:space="preserve"> </w:t>
      </w:r>
      <w:r>
        <w:rPr>
          <w:rFonts w:cs="Times New Roman"/>
          <w:noProof/>
          <w:sz w:val="20"/>
        </w:rPr>
        <w:t>to the extent</w:t>
      </w:r>
      <w:r>
        <w:rPr>
          <w:rFonts w:cs="Times New Roman"/>
          <w:noProof/>
          <w:sz w:val="20"/>
        </w:rPr>
        <w:t xml:space="preserve"> to which they reflect the existing obligations and policy objectives of EU environmental law</w:t>
      </w:r>
      <w:r>
        <w:rPr>
          <w:rFonts w:cs="Times New Roman"/>
          <w:noProof/>
          <w:sz w:val="20"/>
          <w:vertAlign w:val="superscript"/>
        </w:rPr>
        <w:footnoteReference w:id="4"/>
      </w:r>
      <w:r>
        <w:rPr>
          <w:rFonts w:cs="Times New Roman"/>
          <w:noProof/>
          <w:sz w:val="20"/>
        </w:rPr>
        <w:t xml:space="preserve">. </w:t>
      </w:r>
    </w:p>
    <w:p w:rsidR="00341319" w:rsidRDefault="00324889">
      <w:pPr>
        <w:widowControl w:val="0"/>
        <w:spacing w:after="120" w:line="240" w:lineRule="auto"/>
        <w:jc w:val="both"/>
        <w:rPr>
          <w:rFonts w:cs="Times New Roman"/>
          <w:noProof/>
          <w:sz w:val="20"/>
        </w:rPr>
      </w:pPr>
      <w:r>
        <w:rPr>
          <w:rFonts w:cs="Times New Roman"/>
          <w:noProof/>
          <w:sz w:val="20"/>
        </w:rPr>
        <w:t xml:space="preserve">The main challenges have been selected by taking into account factors such as the importance or the gravity of the environmental implementation issue in the </w:t>
      </w:r>
      <w:r>
        <w:rPr>
          <w:rFonts w:cs="Times New Roman"/>
          <w:noProof/>
          <w:sz w:val="20"/>
        </w:rPr>
        <w:t>light of the impact on the quality of life of the citizens, the distance to target, and financial implications.</w:t>
      </w:r>
    </w:p>
    <w:p w:rsidR="00341319" w:rsidRDefault="00324889">
      <w:pPr>
        <w:widowControl w:val="0"/>
        <w:spacing w:after="120" w:line="240" w:lineRule="auto"/>
        <w:jc w:val="both"/>
        <w:rPr>
          <w:rFonts w:cs="Times New Roman"/>
          <w:noProof/>
          <w:sz w:val="20"/>
        </w:rPr>
      </w:pPr>
      <w:r>
        <w:rPr>
          <w:rFonts w:cs="Times New Roman"/>
          <w:noProof/>
          <w:sz w:val="20"/>
        </w:rPr>
        <w:t>The reports accompany the Communication "</w:t>
      </w:r>
      <w:r>
        <w:rPr>
          <w:rFonts w:cs="Times New Roman"/>
          <w:i/>
          <w:noProof/>
          <w:sz w:val="20"/>
        </w:rPr>
        <w:t>The EU Environmental Implementation Review 2016: Common challenges and how to combine efforts to delive</w:t>
      </w:r>
      <w:r>
        <w:rPr>
          <w:rFonts w:cs="Times New Roman"/>
          <w:i/>
          <w:noProof/>
          <w:sz w:val="20"/>
        </w:rPr>
        <w:t>r better results</w:t>
      </w:r>
      <w:r>
        <w:rPr>
          <w:rFonts w:cs="Times New Roman"/>
          <w:noProof/>
          <w:sz w:val="20"/>
        </w:rPr>
        <w:t>", which identifies challenges that are common to several Member States, provides preliminary conclusions on possible root causes of implementation gaps and proposes joint actions to deliver better results. It also groups in its Annex the a</w:t>
      </w:r>
      <w:r>
        <w:rPr>
          <w:rFonts w:cs="Times New Roman"/>
          <w:noProof/>
          <w:sz w:val="20"/>
        </w:rPr>
        <w:t>ctions proposed in each country report to improve implementation at national level.</w:t>
      </w:r>
    </w:p>
    <w:p w:rsidR="00341319" w:rsidRDefault="00324889">
      <w:pPr>
        <w:widowControl w:val="0"/>
        <w:spacing w:after="120" w:line="240" w:lineRule="auto"/>
        <w:jc w:val="both"/>
        <w:rPr>
          <w:rFonts w:cs="Times New Roman"/>
          <w:b/>
          <w:noProof/>
          <w:color w:val="1F497D" w:themeColor="text2"/>
        </w:rPr>
      </w:pPr>
      <w:r>
        <w:rPr>
          <w:rFonts w:cs="Times New Roman"/>
          <w:b/>
          <w:noProof/>
          <w:color w:val="1F497D" w:themeColor="text2"/>
        </w:rPr>
        <w:t>General profile</w:t>
      </w:r>
    </w:p>
    <w:p w:rsidR="00341319" w:rsidRDefault="00324889">
      <w:pPr>
        <w:widowControl w:val="0"/>
        <w:spacing w:line="240" w:lineRule="auto"/>
        <w:jc w:val="both"/>
        <w:rPr>
          <w:rFonts w:cs="Times New Roman"/>
          <w:noProof/>
          <w:sz w:val="20"/>
        </w:rPr>
      </w:pPr>
      <w:r>
        <w:rPr>
          <w:rFonts w:cs="Times New Roman"/>
          <w:noProof/>
          <w:sz w:val="20"/>
        </w:rPr>
        <w:t>Environmental implementation represents a challenge in Italy with high regional variations in water and waste management.  With regard to resource efficienc</w:t>
      </w:r>
      <w:r>
        <w:rPr>
          <w:rFonts w:cs="Times New Roman"/>
          <w:noProof/>
          <w:sz w:val="20"/>
        </w:rPr>
        <w:t xml:space="preserve">y, Italy is pioneering voluntary agreements, and has one of the highest levels of EMAS and Eco-labels in the EU. The adoption of the </w:t>
      </w:r>
      <w:r>
        <w:rPr>
          <w:rFonts w:cs="Times New Roman"/>
          <w:i/>
          <w:noProof/>
          <w:sz w:val="20"/>
        </w:rPr>
        <w:t>Collegato Ambientale</w:t>
      </w:r>
      <w:r>
        <w:rPr>
          <w:rFonts w:cs="Times New Roman"/>
          <w:noProof/>
          <w:sz w:val="20"/>
        </w:rPr>
        <w:t xml:space="preserve"> was a major step forward towards environmental integration. </w:t>
      </w:r>
    </w:p>
    <w:p w:rsidR="00341319" w:rsidRDefault="00324889">
      <w:pPr>
        <w:widowControl w:val="0"/>
        <w:spacing w:after="120" w:line="240" w:lineRule="auto"/>
        <w:jc w:val="both"/>
        <w:rPr>
          <w:rFonts w:cs="Times New Roman"/>
          <w:b/>
          <w:noProof/>
          <w:color w:val="1F497D" w:themeColor="text2"/>
        </w:rPr>
      </w:pPr>
      <w:r>
        <w:rPr>
          <w:rFonts w:cs="Times New Roman"/>
          <w:b/>
          <w:noProof/>
          <w:color w:val="1F497D" w:themeColor="text2"/>
        </w:rPr>
        <w:t>Main Challenges</w:t>
      </w:r>
    </w:p>
    <w:p w:rsidR="00341319" w:rsidRDefault="00324889">
      <w:pPr>
        <w:widowControl w:val="0"/>
        <w:spacing w:after="120" w:line="240" w:lineRule="auto"/>
        <w:jc w:val="both"/>
        <w:rPr>
          <w:rFonts w:cs="Times New Roman"/>
          <w:noProof/>
          <w:sz w:val="20"/>
          <w:szCs w:val="20"/>
        </w:rPr>
      </w:pPr>
      <w:r>
        <w:rPr>
          <w:rFonts w:cs="Times New Roman"/>
          <w:noProof/>
          <w:sz w:val="20"/>
          <w:szCs w:val="20"/>
        </w:rPr>
        <w:t xml:space="preserve">The main challenges with </w:t>
      </w:r>
      <w:r>
        <w:rPr>
          <w:rFonts w:cs="Times New Roman"/>
          <w:noProof/>
          <w:sz w:val="20"/>
          <w:szCs w:val="20"/>
        </w:rPr>
        <w:t>regard to implementation of EU environmental policy and law in Italy are to:</w:t>
      </w:r>
    </w:p>
    <w:p w:rsidR="00341319" w:rsidRDefault="00324889">
      <w:pPr>
        <w:widowControl w:val="0"/>
        <w:numPr>
          <w:ilvl w:val="0"/>
          <w:numId w:val="30"/>
        </w:numPr>
        <w:spacing w:after="0" w:line="240" w:lineRule="auto"/>
        <w:contextualSpacing/>
        <w:jc w:val="both"/>
        <w:rPr>
          <w:rFonts w:cs="Times New Roman"/>
          <w:noProof/>
          <w:sz w:val="20"/>
        </w:rPr>
      </w:pPr>
      <w:r>
        <w:rPr>
          <w:rFonts w:cs="Times New Roman"/>
          <w:noProof/>
          <w:sz w:val="20"/>
          <w:szCs w:val="20"/>
        </w:rPr>
        <w:t>Improve waste management and water infrastructure, including waste water treatment, which are persistent concerns particularly in southern Italy</w:t>
      </w:r>
      <w:r>
        <w:rPr>
          <w:rFonts w:cs="Times New Roman"/>
          <w:noProof/>
          <w:sz w:val="20"/>
        </w:rPr>
        <w:t>.</w:t>
      </w:r>
    </w:p>
    <w:p w:rsidR="00341319" w:rsidRDefault="00324889">
      <w:pPr>
        <w:widowControl w:val="0"/>
        <w:numPr>
          <w:ilvl w:val="0"/>
          <w:numId w:val="30"/>
        </w:numPr>
        <w:spacing w:after="120" w:line="240" w:lineRule="auto"/>
        <w:contextualSpacing/>
        <w:jc w:val="both"/>
        <w:rPr>
          <w:rFonts w:cs="Times New Roman"/>
          <w:noProof/>
          <w:sz w:val="20"/>
          <w:szCs w:val="20"/>
        </w:rPr>
      </w:pPr>
      <w:r>
        <w:rPr>
          <w:rFonts w:cs="Times New Roman"/>
          <w:noProof/>
          <w:sz w:val="20"/>
          <w:szCs w:val="20"/>
        </w:rPr>
        <w:t>Improve management of land use, f</w:t>
      </w:r>
      <w:r>
        <w:rPr>
          <w:rFonts w:cs="Times New Roman"/>
          <w:noProof/>
          <w:sz w:val="20"/>
          <w:szCs w:val="20"/>
        </w:rPr>
        <w:t>looding and air pollution in the centre and northern regions.</w:t>
      </w:r>
    </w:p>
    <w:p w:rsidR="00341319" w:rsidRDefault="00324889">
      <w:pPr>
        <w:widowControl w:val="0"/>
        <w:numPr>
          <w:ilvl w:val="0"/>
          <w:numId w:val="30"/>
        </w:numPr>
        <w:spacing w:after="120" w:line="240" w:lineRule="auto"/>
        <w:contextualSpacing/>
        <w:jc w:val="both"/>
        <w:rPr>
          <w:rFonts w:cs="Times New Roman"/>
          <w:noProof/>
          <w:sz w:val="20"/>
          <w:szCs w:val="20"/>
        </w:rPr>
      </w:pPr>
      <w:r>
        <w:rPr>
          <w:rFonts w:cs="Times New Roman"/>
          <w:noProof/>
          <w:sz w:val="20"/>
          <w:szCs w:val="20"/>
        </w:rPr>
        <w:t>Designate remaining SACs. Improving the conservation status of habitats and species of EU interest by fully implementing the Natura 2000 instruments, using the regional P</w:t>
      </w:r>
      <w:r>
        <w:rPr>
          <w:rFonts w:cs="Times New Roman"/>
          <w:noProof/>
          <w:sz w:val="20"/>
          <w:szCs w:val="20"/>
          <w:lang w:eastAsia="ja-JP"/>
        </w:rPr>
        <w:t>rioritised Action Framew</w:t>
      </w:r>
      <w:r>
        <w:rPr>
          <w:rFonts w:cs="Times New Roman"/>
          <w:noProof/>
          <w:sz w:val="20"/>
          <w:szCs w:val="20"/>
          <w:lang w:eastAsia="ja-JP"/>
        </w:rPr>
        <w:t>orks to ensure a better integration of EU funds and a more strategic planning of investments.</w:t>
      </w:r>
    </w:p>
    <w:p w:rsidR="00341319" w:rsidRDefault="00324889">
      <w:pPr>
        <w:widowControl w:val="0"/>
        <w:spacing w:before="240" w:after="120" w:line="240" w:lineRule="auto"/>
        <w:jc w:val="both"/>
        <w:rPr>
          <w:rFonts w:cs="Times New Roman"/>
          <w:b/>
          <w:noProof/>
          <w:color w:val="1F497D" w:themeColor="text2"/>
        </w:rPr>
      </w:pPr>
      <w:r>
        <w:rPr>
          <w:rFonts w:cs="Times New Roman"/>
          <w:b/>
          <w:noProof/>
          <w:color w:val="1F497D" w:themeColor="text2"/>
        </w:rPr>
        <w:t>Main Opportunities</w:t>
      </w:r>
    </w:p>
    <w:p w:rsidR="00341319" w:rsidRDefault="00324889">
      <w:pPr>
        <w:widowControl w:val="0"/>
        <w:spacing w:after="120" w:line="240" w:lineRule="auto"/>
        <w:jc w:val="both"/>
        <w:rPr>
          <w:noProof/>
          <w:sz w:val="20"/>
          <w:lang w:eastAsia="ja-JP"/>
        </w:rPr>
      </w:pPr>
      <w:r>
        <w:rPr>
          <w:noProof/>
          <w:sz w:val="20"/>
          <w:lang w:eastAsia="ja-JP"/>
        </w:rPr>
        <w:t>Italy could perform better on topics where there is already a good knowledge base and good practices. This applies in particular to:</w:t>
      </w:r>
    </w:p>
    <w:p w:rsidR="00341319" w:rsidRDefault="00324889">
      <w:pPr>
        <w:widowControl w:val="0"/>
        <w:numPr>
          <w:ilvl w:val="0"/>
          <w:numId w:val="31"/>
        </w:numPr>
        <w:spacing w:after="120" w:line="240" w:lineRule="auto"/>
        <w:contextualSpacing/>
        <w:jc w:val="both"/>
        <w:rPr>
          <w:rFonts w:cs="Times New Roman"/>
          <w:noProof/>
          <w:sz w:val="20"/>
          <w:szCs w:val="20"/>
          <w:lang w:eastAsia="ja-JP"/>
        </w:rPr>
      </w:pPr>
      <w:r>
        <w:rPr>
          <w:rFonts w:cs="Times New Roman"/>
          <w:noProof/>
          <w:sz w:val="20"/>
          <w:szCs w:val="20"/>
          <w:lang w:eastAsia="ja-JP"/>
        </w:rPr>
        <w:t>Use the op</w:t>
      </w:r>
      <w:r>
        <w:rPr>
          <w:rFonts w:cs="Times New Roman"/>
          <w:noProof/>
          <w:sz w:val="20"/>
          <w:szCs w:val="20"/>
          <w:lang w:eastAsia="ja-JP"/>
        </w:rPr>
        <w:t>portunities for EIB loans and environmental investment with the ESIF support and the EFSI. ESIF support can increase the quality and efficiency of public administration to develop a better model of environmental governance.</w:t>
      </w:r>
    </w:p>
    <w:p w:rsidR="00341319" w:rsidRDefault="00324889">
      <w:pPr>
        <w:widowControl w:val="0"/>
        <w:numPr>
          <w:ilvl w:val="0"/>
          <w:numId w:val="31"/>
        </w:numPr>
        <w:spacing w:after="120" w:line="240" w:lineRule="auto"/>
        <w:contextualSpacing/>
        <w:jc w:val="both"/>
        <w:rPr>
          <w:rFonts w:cs="Times New Roman"/>
          <w:noProof/>
          <w:sz w:val="20"/>
          <w:szCs w:val="20"/>
          <w:lang w:eastAsia="ja-JP"/>
        </w:rPr>
      </w:pPr>
      <w:r>
        <w:rPr>
          <w:rFonts w:cs="Times New Roman"/>
          <w:noProof/>
          <w:sz w:val="20"/>
          <w:szCs w:val="20"/>
          <w:lang w:eastAsia="ja-JP"/>
        </w:rPr>
        <w:t xml:space="preserve">Use the proposed Green Act and </w:t>
      </w:r>
      <w:r>
        <w:rPr>
          <w:rFonts w:cs="Times New Roman"/>
          <w:noProof/>
          <w:sz w:val="20"/>
          <w:szCs w:val="20"/>
          <w:lang w:eastAsia="ja-JP"/>
        </w:rPr>
        <w:t>the Committee on Environmental Taxation to make wide-ranging proposals.</w:t>
      </w:r>
    </w:p>
    <w:p w:rsidR="00341319" w:rsidRDefault="00324889">
      <w:pPr>
        <w:widowControl w:val="0"/>
        <w:numPr>
          <w:ilvl w:val="0"/>
          <w:numId w:val="31"/>
        </w:numPr>
        <w:spacing w:after="120" w:line="240" w:lineRule="auto"/>
        <w:contextualSpacing/>
        <w:jc w:val="both"/>
        <w:rPr>
          <w:rFonts w:cs="Times New Roman"/>
          <w:noProof/>
          <w:sz w:val="20"/>
          <w:szCs w:val="20"/>
          <w:lang w:eastAsia="ja-JP"/>
        </w:rPr>
      </w:pPr>
      <w:r>
        <w:rPr>
          <w:rFonts w:cs="Times New Roman"/>
          <w:noProof/>
          <w:sz w:val="20"/>
          <w:szCs w:val="20"/>
          <w:lang w:eastAsia="ja-JP"/>
        </w:rPr>
        <w:t>Use the Integrated Project “GESTIRE 2020” [to update the Lombardy Natura 2000Prioritised Action Framework] as an example for other Italian regions.</w:t>
      </w:r>
    </w:p>
    <w:p w:rsidR="00341319" w:rsidRDefault="00324889">
      <w:pPr>
        <w:widowControl w:val="0"/>
        <w:spacing w:before="240" w:after="120" w:line="240" w:lineRule="auto"/>
        <w:jc w:val="both"/>
        <w:rPr>
          <w:rFonts w:cs="Times New Roman"/>
          <w:b/>
          <w:noProof/>
          <w:color w:val="1F497D" w:themeColor="text2"/>
        </w:rPr>
      </w:pPr>
      <w:r>
        <w:rPr>
          <w:rFonts w:cs="Times New Roman"/>
          <w:b/>
          <w:noProof/>
          <w:color w:val="1F497D" w:themeColor="text2"/>
        </w:rPr>
        <w:t>Points of Excellence</w:t>
      </w:r>
    </w:p>
    <w:p w:rsidR="00341319" w:rsidRDefault="00324889">
      <w:pPr>
        <w:widowControl w:val="0"/>
        <w:spacing w:after="120" w:line="240" w:lineRule="auto"/>
        <w:jc w:val="both"/>
        <w:rPr>
          <w:noProof/>
          <w:sz w:val="20"/>
        </w:rPr>
      </w:pPr>
      <w:r>
        <w:rPr>
          <w:noProof/>
          <w:sz w:val="20"/>
        </w:rPr>
        <w:t>Where Italy has</w:t>
      </w:r>
      <w:r>
        <w:rPr>
          <w:noProof/>
          <w:sz w:val="20"/>
        </w:rPr>
        <w:t xml:space="preserve"> developed innovative approaches they could be shared with other countries. Good examples are:</w:t>
      </w:r>
    </w:p>
    <w:p w:rsidR="00341319" w:rsidRDefault="00324889">
      <w:pPr>
        <w:widowControl w:val="0"/>
        <w:numPr>
          <w:ilvl w:val="0"/>
          <w:numId w:val="32"/>
        </w:numPr>
        <w:spacing w:after="120" w:line="240" w:lineRule="auto"/>
        <w:contextualSpacing/>
        <w:jc w:val="both"/>
        <w:rPr>
          <w:rFonts w:cs="Times New Roman"/>
          <w:noProof/>
          <w:sz w:val="20"/>
          <w:szCs w:val="20"/>
          <w:lang w:eastAsia="ja-JP"/>
        </w:rPr>
      </w:pPr>
      <w:r>
        <w:rPr>
          <w:rFonts w:cs="Times New Roman"/>
          <w:noProof/>
          <w:sz w:val="20"/>
          <w:szCs w:val="20"/>
          <w:lang w:eastAsia="ja-JP"/>
        </w:rPr>
        <w:t>Integrated environmental assessments &amp; the user-friendliness of the webportal of the Ministry of Environment on EIA &amp; SEA.</w:t>
      </w:r>
    </w:p>
    <w:p w:rsidR="00341319" w:rsidRDefault="00324889">
      <w:pPr>
        <w:widowControl w:val="0"/>
        <w:numPr>
          <w:ilvl w:val="0"/>
          <w:numId w:val="32"/>
        </w:numPr>
        <w:spacing w:after="120" w:line="240" w:lineRule="auto"/>
        <w:contextualSpacing/>
        <w:jc w:val="both"/>
        <w:rPr>
          <w:rFonts w:cs="Times New Roman"/>
          <w:noProof/>
          <w:sz w:val="20"/>
          <w:szCs w:val="20"/>
          <w:lang w:eastAsia="ja-JP"/>
        </w:rPr>
      </w:pPr>
      <w:r>
        <w:rPr>
          <w:rFonts w:cs="Times New Roman"/>
          <w:noProof/>
          <w:sz w:val="20"/>
          <w:szCs w:val="20"/>
          <w:lang w:eastAsia="ja-JP"/>
        </w:rPr>
        <w:t xml:space="preserve">Regional Administrative Reinforcement </w:t>
      </w:r>
      <w:r>
        <w:rPr>
          <w:rFonts w:cs="Times New Roman"/>
          <w:noProof/>
          <w:sz w:val="20"/>
          <w:szCs w:val="20"/>
          <w:lang w:eastAsia="ja-JP"/>
        </w:rPr>
        <w:t>Plans covering ESIF and national funds</w:t>
      </w:r>
    </w:p>
    <w:p w:rsidR="00341319" w:rsidRDefault="00324889">
      <w:pPr>
        <w:widowControl w:val="0"/>
        <w:numPr>
          <w:ilvl w:val="0"/>
          <w:numId w:val="32"/>
        </w:numPr>
        <w:spacing w:after="120" w:line="240" w:lineRule="auto"/>
        <w:contextualSpacing/>
        <w:jc w:val="both"/>
        <w:rPr>
          <w:rFonts w:cs="Times New Roman"/>
          <w:b/>
          <w:noProof/>
          <w:lang w:eastAsia="ja-JP"/>
        </w:rPr>
      </w:pPr>
      <w:r>
        <w:rPr>
          <w:rFonts w:cs="Times New Roman"/>
          <w:noProof/>
          <w:sz w:val="20"/>
          <w:szCs w:val="20"/>
          <w:lang w:eastAsia="ja-JP"/>
        </w:rPr>
        <w:t xml:space="preserve">The Committee on Environmental Accounting established by the </w:t>
      </w:r>
      <w:r>
        <w:rPr>
          <w:rFonts w:cs="Times New Roman"/>
          <w:i/>
          <w:noProof/>
          <w:sz w:val="20"/>
          <w:szCs w:val="20"/>
          <w:lang w:eastAsia="ja-JP"/>
        </w:rPr>
        <w:t>Collegato Ambientale</w:t>
      </w:r>
      <w:r>
        <w:rPr>
          <w:rFonts w:cs="Times New Roman"/>
          <w:noProof/>
          <w:sz w:val="20"/>
          <w:szCs w:val="20"/>
          <w:lang w:eastAsia="ja-JP"/>
        </w:rPr>
        <w:t>.</w:t>
      </w:r>
    </w:p>
    <w:p w:rsidR="00341319" w:rsidRDefault="00324889">
      <w:pPr>
        <w:numPr>
          <w:ilvl w:val="0"/>
          <w:numId w:val="32"/>
        </w:numPr>
        <w:spacing w:after="120" w:line="240" w:lineRule="auto"/>
        <w:contextualSpacing/>
        <w:jc w:val="both"/>
        <w:rPr>
          <w:rFonts w:cs="Times New Roman"/>
          <w:noProof/>
          <w:sz w:val="20"/>
          <w:szCs w:val="20"/>
          <w:lang w:eastAsia="ja-JP"/>
        </w:rPr>
      </w:pPr>
      <w:r>
        <w:rPr>
          <w:rFonts w:cs="Times New Roman"/>
          <w:noProof/>
          <w:sz w:val="20"/>
          <w:szCs w:val="20"/>
          <w:lang w:eastAsia="ja-JP"/>
        </w:rPr>
        <w:t>Innovative approaches developed by LIFE projects.</w:t>
      </w:r>
    </w:p>
    <w:p w:rsidR="00341319" w:rsidRDefault="00324889">
      <w:pPr>
        <w:widowControl w:val="0"/>
        <w:numPr>
          <w:ilvl w:val="0"/>
          <w:numId w:val="33"/>
        </w:numPr>
        <w:spacing w:after="120" w:line="240" w:lineRule="auto"/>
        <w:contextualSpacing/>
        <w:jc w:val="both"/>
        <w:rPr>
          <w:rFonts w:cs="Times New Roman"/>
          <w:b/>
          <w:noProof/>
          <w:lang w:val="it-IT" w:eastAsia="ja-JP"/>
        </w:rPr>
      </w:pPr>
      <w:r>
        <w:rPr>
          <w:rFonts w:cs="Times New Roman"/>
          <w:noProof/>
          <w:sz w:val="20"/>
          <w:szCs w:val="20"/>
          <w:lang w:val="it-IT" w:eastAsia="ja-JP"/>
        </w:rPr>
        <w:t>The BES (</w:t>
      </w:r>
      <w:r>
        <w:rPr>
          <w:rFonts w:cs="Times New Roman"/>
          <w:i/>
          <w:noProof/>
          <w:sz w:val="20"/>
          <w:szCs w:val="20"/>
          <w:lang w:val="it-IT" w:eastAsia="ja-JP"/>
        </w:rPr>
        <w:t>Benessere equo e sostenibile</w:t>
      </w:r>
      <w:r>
        <w:rPr>
          <w:rFonts w:cs="Times New Roman"/>
          <w:i/>
          <w:noProof/>
          <w:sz w:val="20"/>
          <w:szCs w:val="20"/>
          <w:vertAlign w:val="superscript"/>
          <w:lang w:eastAsia="ja-JP"/>
        </w:rPr>
        <w:footnoteReference w:id="5"/>
      </w:r>
      <w:r>
        <w:rPr>
          <w:rFonts w:cs="Times New Roman"/>
          <w:noProof/>
          <w:sz w:val="20"/>
          <w:szCs w:val="20"/>
          <w:lang w:val="it-IT" w:eastAsia="ja-JP"/>
        </w:rPr>
        <w:t>) indicators.</w:t>
      </w:r>
    </w:p>
    <w:p w:rsidR="00341319" w:rsidRDefault="00341319">
      <w:pPr>
        <w:widowControl w:val="0"/>
        <w:numPr>
          <w:ilvl w:val="0"/>
          <w:numId w:val="25"/>
        </w:numPr>
        <w:spacing w:after="120" w:line="240" w:lineRule="auto"/>
        <w:contextualSpacing/>
        <w:jc w:val="both"/>
        <w:rPr>
          <w:rFonts w:cs="Times New Roman"/>
          <w:b/>
          <w:noProof/>
          <w:lang w:val="it-IT" w:eastAsia="ja-JP"/>
        </w:rPr>
        <w:sectPr w:rsidR="00341319">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8" w:footer="708" w:gutter="0"/>
          <w:pgNumType w:fmt="lowerRoman"/>
          <w:cols w:num="2" w:space="288"/>
          <w:docGrid w:linePitch="360"/>
        </w:sectPr>
      </w:pPr>
    </w:p>
    <w:p w:rsidR="00341319" w:rsidRDefault="00324889">
      <w:pPr>
        <w:keepLines/>
        <w:widowControl w:val="0"/>
        <w:spacing w:after="0" w:line="240" w:lineRule="auto"/>
        <w:ind w:left="360"/>
        <w:jc w:val="center"/>
        <w:outlineLvl w:val="0"/>
        <w:rPr>
          <w:rFonts w:eastAsiaTheme="majorEastAsia" w:cs="Times New Roman"/>
          <w:b/>
          <w:bCs/>
          <w:noProof/>
          <w:color w:val="1F497D" w:themeColor="text2"/>
          <w:sz w:val="32"/>
          <w:szCs w:val="32"/>
        </w:rPr>
      </w:pPr>
      <w:bookmarkStart w:id="3" w:name="_Toc433184073"/>
      <w:bookmarkStart w:id="4" w:name="_Toc469476700"/>
      <w:r>
        <w:rPr>
          <w:rFonts w:eastAsiaTheme="majorEastAsia" w:cs="Times New Roman"/>
          <w:b/>
          <w:bCs/>
          <w:noProof/>
          <w:color w:val="1F497D" w:themeColor="text2"/>
          <w:sz w:val="32"/>
          <w:szCs w:val="32"/>
        </w:rPr>
        <w:t>Part I: Thematic Areas</w:t>
      </w:r>
      <w:bookmarkEnd w:id="3"/>
      <w:bookmarkEnd w:id="4"/>
    </w:p>
    <w:p w:rsidR="00341319" w:rsidRDefault="00341319">
      <w:pPr>
        <w:widowControl w:val="0"/>
        <w:spacing w:after="120" w:line="240" w:lineRule="auto"/>
        <w:jc w:val="both"/>
        <w:rPr>
          <w:noProof/>
          <w:sz w:val="20"/>
          <w:lang w:val="it-IT"/>
        </w:rPr>
      </w:pPr>
    </w:p>
    <w:p w:rsidR="00341319" w:rsidRDefault="00324889">
      <w:pPr>
        <w:pStyle w:val="Heading1"/>
      </w:pPr>
      <w:bookmarkStart w:id="5" w:name="_Toc469476701"/>
      <w:r>
        <w:t>Turning the EU into a circular, resource-efficient, green and competitive low-carbon economy</w:t>
      </w:r>
      <w:bookmarkEnd w:id="5"/>
    </w:p>
    <w:p w:rsidR="00341319" w:rsidRDefault="00341319">
      <w:pPr>
        <w:widowControl w:val="0"/>
        <w:spacing w:after="120" w:line="240" w:lineRule="auto"/>
        <w:jc w:val="both"/>
        <w:rPr>
          <w:rFonts w:cs="Times New Roman"/>
          <w:noProof/>
          <w:sz w:val="20"/>
        </w:rPr>
      </w:pPr>
    </w:p>
    <w:p w:rsidR="00341319" w:rsidRDefault="00341319">
      <w:pPr>
        <w:widowControl w:val="0"/>
        <w:spacing w:after="120" w:line="240" w:lineRule="auto"/>
        <w:jc w:val="both"/>
        <w:rPr>
          <w:rFonts w:cs="Times New Roman"/>
          <w:noProof/>
          <w:sz w:val="20"/>
        </w:rPr>
        <w:sectPr w:rsidR="00341319">
          <w:headerReference w:type="even" r:id="rId36"/>
          <w:headerReference w:type="default" r:id="rId37"/>
          <w:footerReference w:type="even" r:id="rId38"/>
          <w:footerReference w:type="default" r:id="rId39"/>
          <w:headerReference w:type="first" r:id="rId40"/>
          <w:footerReference w:type="first" r:id="rId41"/>
          <w:pgSz w:w="11906" w:h="16838"/>
          <w:pgMar w:top="1440" w:right="1080" w:bottom="1440" w:left="1080" w:header="708" w:footer="708" w:gutter="0"/>
          <w:pgNumType w:start="5"/>
          <w:cols w:space="568"/>
          <w:docGrid w:linePitch="360"/>
        </w:sectPr>
      </w:pP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6" w:name="_Toc469476702"/>
      <w:r>
        <w:rPr>
          <w:rFonts w:cs="Times New Roman"/>
          <w:b/>
          <w:noProof/>
          <w:color w:val="1F497D" w:themeColor="text2"/>
          <w:sz w:val="24"/>
          <w:szCs w:val="24"/>
          <w:lang w:eastAsia="en-GB"/>
        </w:rPr>
        <w:t>Developing a circular economy and improving resource efficiency</w:t>
      </w:r>
      <w:bookmarkEnd w:id="6"/>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2015 Circular Economy Package emphasizes the need to move towards a lifecycle-driven ‘circular’ economy, with a cascading use </w:t>
      </w:r>
      <w:r>
        <w:rPr>
          <w:rFonts w:cs="Times New Roman"/>
          <w:noProof/>
          <w:color w:val="FFFFFF" w:themeColor="background1"/>
          <w:sz w:val="20"/>
        </w:rPr>
        <w:t>of resources and residual waste that is close to zero. This can be facilitated by the development of, and access to, innovative financial instruments and funding for eco-innovation.</w:t>
      </w:r>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w:t>
      </w:r>
      <w:r>
        <w:rPr>
          <w:rFonts w:cs="Times New Roman"/>
          <w:noProof/>
          <w:color w:val="FFFFFF" w:themeColor="background1"/>
          <w:sz w:val="20"/>
        </w:rPr>
        <w:t>onomic growth, full and productive employment and decent work for all. SDG 9 highlights the need to build resilient infrastructure, promote inclusive and sustainable industrialization and foster innovation. SDG 12 encourages countries to achieve the sustai</w:t>
      </w:r>
      <w:r>
        <w:rPr>
          <w:rFonts w:cs="Times New Roman"/>
          <w:noProof/>
          <w:color w:val="FFFFFF" w:themeColor="background1"/>
          <w:sz w:val="20"/>
        </w:rPr>
        <w:t>nable management and efficient use of natural resources by 2030.</w:t>
      </w:r>
    </w:p>
    <w:p w:rsidR="00341319" w:rsidRDefault="00324889">
      <w:pPr>
        <w:widowControl w:val="0"/>
        <w:spacing w:before="240" w:after="120" w:line="240" w:lineRule="auto"/>
        <w:jc w:val="both"/>
        <w:outlineLvl w:val="2"/>
        <w:rPr>
          <w:b/>
          <w:noProof/>
          <w:color w:val="1F497D" w:themeColor="text2"/>
        </w:rPr>
      </w:pPr>
      <w:r>
        <w:rPr>
          <w:b/>
          <w:noProof/>
          <w:color w:val="1F497D" w:themeColor="text2"/>
        </w:rPr>
        <w:t>Measures towards the circular economy</w:t>
      </w:r>
    </w:p>
    <w:p w:rsidR="00341319" w:rsidRDefault="00324889">
      <w:pPr>
        <w:widowControl w:val="0"/>
        <w:spacing w:after="120" w:line="240" w:lineRule="auto"/>
        <w:jc w:val="both"/>
        <w:rPr>
          <w:noProof/>
          <w:sz w:val="20"/>
        </w:rPr>
      </w:pPr>
      <w:r>
        <w:rPr>
          <w:noProof/>
          <w:sz w:val="20"/>
        </w:rPr>
        <w:t>Transforming our economies from linear to circular offers an opportunity to reinvent them and make them more sustainable and competitive. This will stimu</w:t>
      </w:r>
      <w:r>
        <w:rPr>
          <w:noProof/>
          <w:sz w:val="20"/>
        </w:rPr>
        <w:t>late investments and bring both short and long-term benefits for the economy, environment and citizens alike</w:t>
      </w:r>
      <w:r>
        <w:rPr>
          <w:noProof/>
          <w:sz w:val="20"/>
          <w:vertAlign w:val="superscript"/>
        </w:rPr>
        <w:footnoteReference w:id="6"/>
      </w:r>
      <w:r>
        <w:rPr>
          <w:noProof/>
          <w:sz w:val="20"/>
        </w:rPr>
        <w:t>.</w:t>
      </w:r>
    </w:p>
    <w:p w:rsidR="00341319" w:rsidRDefault="00324889">
      <w:pPr>
        <w:widowControl w:val="0"/>
        <w:spacing w:after="120" w:line="240" w:lineRule="auto"/>
        <w:jc w:val="both"/>
        <w:rPr>
          <w:noProof/>
          <w:sz w:val="20"/>
        </w:rPr>
      </w:pPr>
      <w:r>
        <w:rPr>
          <w:noProof/>
          <w:sz w:val="20"/>
        </w:rPr>
        <w:t>In terms of resource productivity</w:t>
      </w:r>
      <w:r>
        <w:rPr>
          <w:noProof/>
          <w:sz w:val="20"/>
          <w:vertAlign w:val="superscript"/>
        </w:rPr>
        <w:footnoteReference w:id="7"/>
      </w:r>
      <w:r>
        <w:rPr>
          <w:noProof/>
          <w:sz w:val="20"/>
        </w:rPr>
        <w:t xml:space="preserve"> (how efficiently the economy uses material resources to produce wealth), Italy is performing better than average in the EU, with 3.04 EUR/kg (EU average is 2) in 2015.</w:t>
      </w:r>
      <w:r>
        <w:rPr>
          <w:noProof/>
          <w:sz w:val="20"/>
          <w:vertAlign w:val="superscript"/>
          <w:lang w:val="it-IT"/>
        </w:rPr>
        <w:footnoteReference w:id="8"/>
      </w:r>
      <w:r>
        <w:rPr>
          <w:noProof/>
          <w:sz w:val="20"/>
        </w:rPr>
        <w:t xml:space="preserve"> Figure 1 shows that Italy has had a small but steady increase of resource productivity</w:t>
      </w:r>
      <w:r>
        <w:rPr>
          <w:noProof/>
          <w:sz w:val="20"/>
        </w:rPr>
        <w:t xml:space="preserve"> since 2005.</w:t>
      </w:r>
    </w:p>
    <w:p w:rsidR="00341319" w:rsidRDefault="00324889">
      <w:pPr>
        <w:widowControl w:val="0"/>
        <w:spacing w:after="120" w:line="240" w:lineRule="auto"/>
        <w:jc w:val="both"/>
        <w:rPr>
          <w:noProof/>
          <w:sz w:val="20"/>
        </w:rPr>
      </w:pPr>
      <w:r>
        <w:rPr>
          <w:noProof/>
          <w:sz w:val="20"/>
        </w:rPr>
        <w:t>As yet there is no national policy for programming for a circular economy</w:t>
      </w:r>
      <w:r>
        <w:rPr>
          <w:b/>
          <w:noProof/>
          <w:sz w:val="20"/>
        </w:rPr>
        <w:t>.</w:t>
      </w:r>
      <w:r>
        <w:rPr>
          <w:noProof/>
          <w:sz w:val="20"/>
        </w:rPr>
        <w:t xml:space="preserve"> Nevertheless, the planned </w:t>
      </w:r>
      <w:r>
        <w:rPr>
          <w:i/>
          <w:noProof/>
          <w:sz w:val="20"/>
        </w:rPr>
        <w:t>Green Act</w:t>
      </w:r>
      <w:r>
        <w:rPr>
          <w:noProof/>
          <w:sz w:val="20"/>
        </w:rPr>
        <w:t xml:space="preserve"> (mentioned in the 2015 and 2016 National Reform Programmes) should facilitate the transition to a more circular and resource efficie</w:t>
      </w:r>
      <w:r>
        <w:rPr>
          <w:noProof/>
          <w:sz w:val="20"/>
        </w:rPr>
        <w:t>nt economy. Efforts are starting-up to promote circular economy at the regional level</w:t>
      </w:r>
      <w:r>
        <w:rPr>
          <w:noProof/>
          <w:sz w:val="20"/>
          <w:vertAlign w:val="superscript"/>
        </w:rPr>
        <w:footnoteReference w:id="9"/>
      </w:r>
      <w:r>
        <w:rPr>
          <w:noProof/>
          <w:sz w:val="20"/>
        </w:rPr>
        <w:t>.Furthermore the 2017 Budget Law (</w:t>
      </w:r>
      <w:r>
        <w:rPr>
          <w:i/>
          <w:noProof/>
          <w:sz w:val="20"/>
        </w:rPr>
        <w:t>Legge di Stabilità</w:t>
      </w:r>
      <w:r>
        <w:rPr>
          <w:noProof/>
          <w:sz w:val="20"/>
        </w:rPr>
        <w:t xml:space="preserve"> 2017) is promoting circular economy through </w:t>
      </w:r>
      <w:r>
        <w:rPr>
          <w:i/>
          <w:noProof/>
          <w:sz w:val="20"/>
        </w:rPr>
        <w:t>Industria 4.0</w:t>
      </w:r>
      <w:r>
        <w:rPr>
          <w:rStyle w:val="FootnoteReference"/>
          <w:noProof/>
          <w:sz w:val="20"/>
        </w:rPr>
        <w:footnoteReference w:id="10"/>
      </w:r>
      <w:r>
        <w:rPr>
          <w:noProof/>
          <w:sz w:val="20"/>
        </w:rPr>
        <w:t xml:space="preserve">. The </w:t>
      </w:r>
      <w:r>
        <w:rPr>
          <w:i/>
          <w:noProof/>
          <w:sz w:val="20"/>
        </w:rPr>
        <w:t>Collegato Ambientale</w:t>
      </w:r>
      <w:r>
        <w:rPr>
          <w:noProof/>
          <w:sz w:val="20"/>
        </w:rPr>
        <w:t xml:space="preserve"> adopted 28.12.15 foresees the adoption of a national plan on sustainable consumption and production within one year</w:t>
      </w:r>
      <w:r>
        <w:rPr>
          <w:rFonts w:cs="Times New Roman"/>
          <w:noProof/>
          <w:sz w:val="20"/>
          <w:vertAlign w:val="superscript"/>
          <w:lang w:val="it-IT"/>
        </w:rPr>
        <w:footnoteReference w:id="11"/>
      </w:r>
      <w:r>
        <w:rPr>
          <w:noProof/>
          <w:sz w:val="20"/>
        </w:rPr>
        <w:t>.  There is a National Plan on Food Waste since 2014, and a law to encourage the donation and distribution of food products and reduce wast</w:t>
      </w:r>
      <w:r>
        <w:rPr>
          <w:noProof/>
          <w:sz w:val="20"/>
        </w:rPr>
        <w:t>e has been recently adopted</w:t>
      </w:r>
      <w:r>
        <w:rPr>
          <w:noProof/>
          <w:sz w:val="20"/>
          <w:vertAlign w:val="superscript"/>
        </w:rPr>
        <w:footnoteReference w:id="12"/>
      </w:r>
      <w:r>
        <w:rPr>
          <w:noProof/>
          <w:sz w:val="20"/>
        </w:rPr>
        <w:t>.</w:t>
      </w:r>
    </w:p>
    <w:p w:rsidR="00341319" w:rsidRDefault="00324889">
      <w:pPr>
        <w:widowControl w:val="0"/>
        <w:spacing w:after="120" w:line="240" w:lineRule="auto"/>
        <w:jc w:val="both"/>
        <w:rPr>
          <w:noProof/>
          <w:sz w:val="20"/>
        </w:rPr>
      </w:pPr>
      <w:r>
        <w:rPr>
          <w:noProof/>
          <w:sz w:val="20"/>
        </w:rPr>
        <w:t>In Milan there is a high-level of separate collection of food waste (93 kg/inhab/yr)</w:t>
      </w:r>
      <w:r>
        <w:rPr>
          <w:rFonts w:cs="Times New Roman"/>
          <w:noProof/>
          <w:sz w:val="20"/>
          <w:vertAlign w:val="superscript"/>
          <w:lang w:val="it-IT"/>
        </w:rPr>
        <w:footnoteReference w:id="13"/>
      </w:r>
      <w:r>
        <w:rPr>
          <w:noProof/>
          <w:sz w:val="20"/>
        </w:rPr>
        <w:t xml:space="preserve"> recognised worldwide as a best practice in a city with over 1 million population. This has had a 'domino effect' in encouraging take up of c</w:t>
      </w:r>
      <w:r>
        <w:rPr>
          <w:noProof/>
          <w:sz w:val="20"/>
        </w:rPr>
        <w:t>ollection of food waste in surrounding municipalities.</w:t>
      </w:r>
    </w:p>
    <w:p w:rsidR="00341319" w:rsidRDefault="00324889">
      <w:pPr>
        <w:widowControl w:val="0"/>
        <w:spacing w:after="120" w:line="240" w:lineRule="auto"/>
        <w:jc w:val="both"/>
        <w:rPr>
          <w:noProof/>
          <w:sz w:val="20"/>
        </w:rPr>
      </w:pPr>
      <w:r>
        <w:rPr>
          <w:noProof/>
          <w:sz w:val="20"/>
        </w:rPr>
        <w:t xml:space="preserve">A local initiative of circular economy is how industrial waste from is being used in the Val di Cornia in Tuscany (the </w:t>
      </w:r>
      <w:r>
        <w:rPr>
          <w:i/>
          <w:noProof/>
          <w:sz w:val="20"/>
        </w:rPr>
        <w:t>Rimateria</w:t>
      </w:r>
      <w:r>
        <w:rPr>
          <w:noProof/>
          <w:sz w:val="20"/>
        </w:rPr>
        <w:t xml:space="preserve"> initiative</w:t>
      </w:r>
      <w:r>
        <w:rPr>
          <w:rStyle w:val="FootnoteReference"/>
          <w:noProof/>
          <w:sz w:val="20"/>
        </w:rPr>
        <w:footnoteReference w:id="14"/>
      </w:r>
      <w:r>
        <w:rPr>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15"/>
            </w:r>
          </w:p>
        </w:tc>
      </w:tr>
      <w:tr w:rsidR="00341319">
        <w:tc>
          <w:tcPr>
            <w:tcW w:w="4909" w:type="dxa"/>
          </w:tcPr>
          <w:p w:rsidR="00341319" w:rsidRDefault="00324889">
            <w:pPr>
              <w:widowControl w:val="0"/>
              <w:spacing w:after="120"/>
              <w:jc w:val="both"/>
              <w:rPr>
                <w:noProof/>
                <w:sz w:val="20"/>
                <w:lang w:val="it-IT"/>
              </w:rPr>
            </w:pPr>
            <w:r>
              <w:rPr>
                <w:noProof/>
                <w:sz w:val="20"/>
                <w:lang w:eastAsia="en-GB"/>
              </w:rPr>
              <w:drawing>
                <wp:inline distT="0" distB="0" distL="0" distR="0" wp14:anchorId="0126BA1C" wp14:editId="45BE7B05">
                  <wp:extent cx="3072810" cy="2039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0597" cy="2045066"/>
                          </a:xfrm>
                          <a:prstGeom prst="rect">
                            <a:avLst/>
                          </a:prstGeom>
                          <a:noFill/>
                        </pic:spPr>
                      </pic:pic>
                    </a:graphicData>
                  </a:graphic>
                </wp:inline>
              </w:drawing>
            </w:r>
          </w:p>
        </w:tc>
      </w:tr>
    </w:tbl>
    <w:p w:rsidR="00341319" w:rsidRDefault="00324889">
      <w:pPr>
        <w:widowControl w:val="0"/>
        <w:spacing w:after="120" w:line="240" w:lineRule="auto"/>
        <w:jc w:val="both"/>
        <w:rPr>
          <w:noProof/>
          <w:sz w:val="20"/>
        </w:rPr>
      </w:pPr>
      <w:r>
        <w:rPr>
          <w:noProof/>
          <w:sz w:val="20"/>
        </w:rPr>
        <w:t>Overall, 385,</w:t>
      </w:r>
      <w:r>
        <w:rPr>
          <w:noProof/>
          <w:sz w:val="20"/>
        </w:rPr>
        <w:t>570 Italian companies invest in the green economy and around 26.5% of Italian businesses can be considered green. The Green businesses' rate of innovation is double that of other businesses (22.2% against 11.4%). Similarly, with regard to exports, green bu</w:t>
      </w:r>
      <w:r>
        <w:rPr>
          <w:noProof/>
          <w:sz w:val="20"/>
        </w:rPr>
        <w:t>sinesses export almost double that of other businesses</w:t>
      </w:r>
      <w:r>
        <w:rPr>
          <w:rFonts w:cs="Times New Roman"/>
          <w:noProof/>
          <w:sz w:val="20"/>
          <w:vertAlign w:val="superscript"/>
          <w:lang w:val="it-IT"/>
        </w:rPr>
        <w:footnoteReference w:id="16"/>
      </w:r>
      <w:r>
        <w:rPr>
          <w:noProof/>
          <w:sz w:val="20"/>
        </w:rPr>
        <w:t xml:space="preserve">. The </w:t>
      </w:r>
      <w:r>
        <w:rPr>
          <w:i/>
          <w:noProof/>
          <w:sz w:val="20"/>
        </w:rPr>
        <w:t>States General of the Green Economy</w:t>
      </w:r>
      <w:r>
        <w:rPr>
          <w:noProof/>
          <w:sz w:val="20"/>
        </w:rPr>
        <w:t xml:space="preserve"> has been promoted by the National Council of the Green Economy, made up of 64 business organisations that represent the green economy in Italy, in collaboratio</w:t>
      </w:r>
      <w:r>
        <w:rPr>
          <w:noProof/>
          <w:sz w:val="20"/>
        </w:rPr>
        <w:t>n with the Ministries of Environment and Economic Development</w:t>
      </w:r>
      <w:r>
        <w:rPr>
          <w:rFonts w:cs="Times New Roman"/>
          <w:noProof/>
          <w:sz w:val="20"/>
          <w:vertAlign w:val="superscript"/>
          <w:lang w:val="it-IT"/>
        </w:rPr>
        <w:footnoteReference w:id="17"/>
      </w:r>
      <w:r>
        <w:rPr>
          <w:noProof/>
          <w:sz w:val="20"/>
        </w:rPr>
        <w:t>. Furthermore, in 2016, the Italian Alliance for Sustainable Development (ASviS) was created with the objective of raising awareness on the Sustainable Development Goals (SDGs)</w:t>
      </w:r>
      <w:r>
        <w:rPr>
          <w:noProof/>
          <w:sz w:val="20"/>
          <w:vertAlign w:val="superscript"/>
        </w:rPr>
        <w:footnoteReference w:id="18"/>
      </w:r>
      <w:r>
        <w:rPr>
          <w:noProof/>
          <w:sz w:val="20"/>
        </w:rPr>
        <w:t>.</w:t>
      </w:r>
    </w:p>
    <w:p w:rsidR="00341319" w:rsidRDefault="00324889">
      <w:pPr>
        <w:widowControl w:val="0"/>
        <w:spacing w:after="120" w:line="240" w:lineRule="auto"/>
        <w:jc w:val="both"/>
        <w:rPr>
          <w:noProof/>
          <w:sz w:val="20"/>
        </w:rPr>
      </w:pPr>
      <w:r>
        <w:rPr>
          <w:noProof/>
          <w:sz w:val="20"/>
        </w:rPr>
        <w:t xml:space="preserve">According to a </w:t>
      </w:r>
      <w:r>
        <w:rPr>
          <w:noProof/>
          <w:sz w:val="20"/>
        </w:rPr>
        <w:t>study by the European Commission, Italy uses mainly voluntary agreements and initiatives, non-legal standards for products and services, and supports extended producer responsibility for materials and products to foster resource efficiency.</w:t>
      </w:r>
      <w:r>
        <w:rPr>
          <w:rFonts w:cs="Times New Roman"/>
          <w:noProof/>
          <w:sz w:val="16"/>
          <w:szCs w:val="16"/>
          <w:vertAlign w:val="superscript"/>
          <w:lang w:val="it-IT"/>
        </w:rPr>
        <w:footnoteReference w:id="19"/>
      </w:r>
    </w:p>
    <w:p w:rsidR="00341319" w:rsidRDefault="00324889">
      <w:pPr>
        <w:widowControl w:val="0"/>
        <w:spacing w:after="120" w:line="240" w:lineRule="auto"/>
        <w:jc w:val="both"/>
        <w:rPr>
          <w:noProof/>
          <w:sz w:val="20"/>
        </w:rPr>
      </w:pPr>
      <w:r>
        <w:rPr>
          <w:noProof/>
          <w:sz w:val="20"/>
        </w:rPr>
        <w:t>There are some</w:t>
      </w:r>
      <w:r>
        <w:rPr>
          <w:noProof/>
          <w:sz w:val="20"/>
        </w:rPr>
        <w:t xml:space="preserve"> notable examples such as the Italian Environmental Footprint Programme, launched by the Ministry for the Environment. The programme concerns the environmental footprint of goods/services (carbon footprint and water footprint).</w:t>
      </w:r>
      <w:r>
        <w:rPr>
          <w:rFonts w:eastAsia="Calibri"/>
          <w:noProof/>
          <w:sz w:val="24"/>
          <w:szCs w:val="24"/>
        </w:rPr>
        <w:t xml:space="preserve"> </w:t>
      </w:r>
      <w:r>
        <w:rPr>
          <w:rFonts w:eastAsia="Calibri"/>
          <w:noProof/>
          <w:sz w:val="20"/>
          <w:szCs w:val="20"/>
        </w:rPr>
        <w:t xml:space="preserve">The </w:t>
      </w:r>
      <w:r>
        <w:rPr>
          <w:rFonts w:eastAsia="Calibri"/>
          <w:i/>
          <w:noProof/>
          <w:sz w:val="20"/>
          <w:szCs w:val="20"/>
        </w:rPr>
        <w:t>Collegato Ambientale</w:t>
      </w:r>
      <w:r>
        <w:rPr>
          <w:rFonts w:eastAsia="Calibri"/>
          <w:noProof/>
          <w:sz w:val="20"/>
          <w:szCs w:val="20"/>
        </w:rPr>
        <w:t xml:space="preserve"> establishes a </w:t>
      </w:r>
      <w:r>
        <w:rPr>
          <w:noProof/>
          <w:sz w:val="20"/>
        </w:rPr>
        <w:t>wider use of Product Environmental Footprinting (PEF) with the "Made Green in Italy" scheme. Italy is by far the most active Member State in using EMAS and it has the highest number of Eco-label products in the EU.</w:t>
      </w:r>
    </w:p>
    <w:p w:rsidR="00341319" w:rsidRDefault="00324889">
      <w:pPr>
        <w:widowControl w:val="0"/>
        <w:spacing w:after="120" w:line="240" w:lineRule="auto"/>
        <w:jc w:val="both"/>
        <w:rPr>
          <w:rFonts w:cs="Times New Roman"/>
          <w:noProof/>
          <w:sz w:val="20"/>
        </w:rPr>
      </w:pPr>
      <w:r>
        <w:rPr>
          <w:rFonts w:cs="Times New Roman"/>
          <w:noProof/>
          <w:sz w:val="20"/>
        </w:rPr>
        <w:t xml:space="preserve">Italy is characterised by </w:t>
      </w:r>
      <w:r>
        <w:rPr>
          <w:rFonts w:cs="Times New Roman"/>
          <w:noProof/>
          <w:sz w:val="20"/>
        </w:rPr>
        <w:t>low R&amp;D investment levels, with a 1.29% R&amp;D intensity</w:t>
      </w:r>
      <w:r>
        <w:rPr>
          <w:rFonts w:cs="Times New Roman"/>
          <w:noProof/>
          <w:sz w:val="20"/>
          <w:vertAlign w:val="superscript"/>
        </w:rPr>
        <w:footnoteReference w:id="20"/>
      </w:r>
      <w:r>
        <w:rPr>
          <w:rFonts w:cs="Times New Roman"/>
          <w:noProof/>
          <w:sz w:val="20"/>
        </w:rPr>
        <w:t xml:space="preserve"> (2.03% EU average), caused by the scarcity of public funding instruments and of high skilled human resources, and by the low share of high-tech manufacturing activities. However, there is a high patent</w:t>
      </w:r>
      <w:r>
        <w:rPr>
          <w:rFonts w:cs="Times New Roman"/>
          <w:noProof/>
          <w:sz w:val="20"/>
        </w:rPr>
        <w:t>ing in the fields of water pollution abatement and waste management, for which Italy shows elevated export shares</w:t>
      </w:r>
      <w:r>
        <w:rPr>
          <w:rFonts w:cs="Times New Roman"/>
          <w:noProof/>
          <w:sz w:val="20"/>
          <w:vertAlign w:val="superscript"/>
        </w:rPr>
        <w:footnoteReference w:id="21"/>
      </w:r>
      <w:r>
        <w:rPr>
          <w:rFonts w:cs="Times New Roman"/>
          <w:noProof/>
          <w:sz w:val="20"/>
        </w:rPr>
        <w:t>.</w:t>
      </w:r>
    </w:p>
    <w:p w:rsidR="00341319" w:rsidRDefault="00324889">
      <w:pPr>
        <w:widowControl w:val="0"/>
        <w:spacing w:before="240" w:after="120" w:line="240" w:lineRule="auto"/>
        <w:jc w:val="both"/>
        <w:outlineLvl w:val="2"/>
        <w:rPr>
          <w:b/>
          <w:noProof/>
          <w:color w:val="1F497D" w:themeColor="text2"/>
        </w:rPr>
      </w:pPr>
      <w:r>
        <w:rPr>
          <w:b/>
          <w:noProof/>
          <w:color w:val="1F497D" w:themeColor="text2"/>
        </w:rPr>
        <w:t>SMEs and Resource Efficiency</w:t>
      </w:r>
    </w:p>
    <w:p w:rsidR="00341319" w:rsidRDefault="00324889">
      <w:pPr>
        <w:widowControl w:val="0"/>
        <w:spacing w:after="120" w:line="240" w:lineRule="auto"/>
        <w:jc w:val="both"/>
        <w:rPr>
          <w:noProof/>
          <w:sz w:val="20"/>
        </w:rPr>
      </w:pPr>
      <w:r>
        <w:rPr>
          <w:noProof/>
          <w:sz w:val="20"/>
        </w:rPr>
        <w:t>Innovative and export-oriented Small and Medium Sized Enterprises (SMEs) are the backbone of Italy's productive</w:t>
      </w:r>
      <w:r>
        <w:rPr>
          <w:noProof/>
          <w:sz w:val="20"/>
        </w:rPr>
        <w:t xml:space="preserve"> system. In terms of value added and jobs, SMEs play a more significant role in Italy than in most other EU countries, but their productivity, measured as value added per capita, is approximately 10 % below the EU average. Furthermore, Italian SMEs perform</w:t>
      </w:r>
      <w:r>
        <w:rPr>
          <w:noProof/>
          <w:sz w:val="20"/>
        </w:rPr>
        <w:t xml:space="preserve"> below the EU average in terms of their environmental performance, suggesting that it needs to do more in terms of policy in this area. The main challenges are related to the low level of public support for SMEs taking part in the green economy.</w:t>
      </w:r>
    </w:p>
    <w:p w:rsidR="00341319" w:rsidRDefault="00324889">
      <w:pPr>
        <w:widowControl w:val="0"/>
        <w:spacing w:after="120" w:line="240" w:lineRule="auto"/>
        <w:jc w:val="both"/>
        <w:rPr>
          <w:noProof/>
          <w:sz w:val="20"/>
        </w:rPr>
      </w:pPr>
      <w:r>
        <w:rPr>
          <w:noProof/>
          <w:sz w:val="20"/>
        </w:rPr>
        <w:t>Around 41%</w:t>
      </w:r>
      <w:r>
        <w:rPr>
          <w:noProof/>
          <w:sz w:val="20"/>
        </w:rPr>
        <w:t xml:space="preserve"> of Italy's SMEs have invested up to 5% of annual turnover in their resource efficiency actions (EU28 average 50%), 15% are currently offering green products and services (EU28 average 26%), 37% took measures to save energy (EU28 average 59%), 59% to minim</w:t>
      </w:r>
      <w:r>
        <w:rPr>
          <w:noProof/>
          <w:sz w:val="20"/>
        </w:rPr>
        <w:t>ise waste (EU28 average 60%), 25% to save water (EU28 average 44%), and 38% to save materials (EU28 average 54%)</w:t>
      </w:r>
      <w:r>
        <w:rPr>
          <w:rFonts w:cs="Times New Roman"/>
          <w:noProof/>
          <w:sz w:val="20"/>
          <w:vertAlign w:val="superscript"/>
        </w:rPr>
        <w:footnoteReference w:id="22"/>
      </w:r>
      <w:r>
        <w:rPr>
          <w:noProof/>
          <w:sz w:val="20"/>
        </w:rPr>
        <w:t xml:space="preserve">. From a circular economy perspective, 25% took measures to recycle by reusing material or waste within the company (EU28 average 40%), 10% to </w:t>
      </w:r>
      <w:r>
        <w:rPr>
          <w:noProof/>
          <w:sz w:val="20"/>
        </w:rPr>
        <w:t xml:space="preserve">design products that are easier to maintain, repair or reuse (EU28 average 22%) and 17% were able to sell their scrap material to another company (EU28 average 25%). </w:t>
      </w:r>
    </w:p>
    <w:p w:rsidR="00341319" w:rsidRDefault="00324889">
      <w:pPr>
        <w:widowControl w:val="0"/>
        <w:spacing w:after="120" w:line="240" w:lineRule="auto"/>
        <w:jc w:val="both"/>
        <w:rPr>
          <w:rFonts w:cs="Times New Roman"/>
          <w:noProof/>
          <w:sz w:val="20"/>
        </w:rPr>
      </w:pPr>
      <w:r>
        <w:rPr>
          <w:noProof/>
          <w:sz w:val="20"/>
        </w:rPr>
        <w:t>T</w:t>
      </w:r>
      <w:r>
        <w:rPr>
          <w:rFonts w:cs="Times New Roman"/>
          <w:noProof/>
          <w:sz w:val="20"/>
        </w:rPr>
        <w:t>he resource efficiency actions undertaken allowed the reduction of production costs in 4</w:t>
      </w:r>
      <w:r>
        <w:rPr>
          <w:rFonts w:cs="Times New Roman"/>
          <w:noProof/>
          <w:sz w:val="20"/>
        </w:rPr>
        <w:t>6% of the Italy's SMEs (EU28 average 45%)</w:t>
      </w:r>
      <w:r>
        <w:rPr>
          <w:rFonts w:cs="Times New Roman"/>
          <w:noProof/>
          <w:sz w:val="20"/>
          <w:vertAlign w:val="superscript"/>
        </w:rPr>
        <w:footnoteReference w:id="23"/>
      </w:r>
      <w:r>
        <w:rPr>
          <w:rFonts w:cs="Times New Roman"/>
          <w:noProof/>
          <w:sz w:val="20"/>
        </w:rPr>
        <w:t>. This is highly relevant considering the high number of SMEs in Italy (79.3% of private sector jobs above the EU-28 average of 66.8%)</w:t>
      </w:r>
      <w:r>
        <w:rPr>
          <w:rFonts w:cs="Times New Roman"/>
          <w:noProof/>
          <w:sz w:val="20"/>
          <w:vertAlign w:val="superscript"/>
          <w:lang w:val="it-IT"/>
        </w:rPr>
        <w:footnoteReference w:id="24"/>
      </w:r>
      <w:r>
        <w:rPr>
          <w:rFonts w:cs="Times New Roman"/>
          <w:noProof/>
          <w:sz w:val="20"/>
        </w:rPr>
        <w:t>.</w:t>
      </w:r>
    </w:p>
    <w:p w:rsidR="00341319" w:rsidRDefault="00324889">
      <w:pPr>
        <w:widowControl w:val="0"/>
        <w:spacing w:after="120" w:line="240" w:lineRule="auto"/>
        <w:jc w:val="both"/>
        <w:rPr>
          <w:rFonts w:cs="Times New Roman"/>
          <w:noProof/>
          <w:sz w:val="20"/>
        </w:rPr>
      </w:pPr>
      <w:r>
        <w:rPr>
          <w:rFonts w:cs="Times New Roman"/>
          <w:noProof/>
          <w:sz w:val="20"/>
        </w:rPr>
        <w:t xml:space="preserve">Around 30% of SMEs in Italy have one or more full time employee working in a </w:t>
      </w:r>
      <w:r>
        <w:rPr>
          <w:rFonts w:cs="Times New Roman"/>
          <w:noProof/>
          <w:sz w:val="20"/>
        </w:rPr>
        <w:t>green job at least some of the time (EU28 average 35%)</w:t>
      </w:r>
      <w:r>
        <w:rPr>
          <w:rFonts w:cs="Times New Roman"/>
          <w:noProof/>
          <w:sz w:val="20"/>
          <w:vertAlign w:val="superscript"/>
          <w:lang w:val="it-IT"/>
        </w:rPr>
        <w:footnoteReference w:id="25"/>
      </w:r>
      <w:r>
        <w:rPr>
          <w:rFonts w:cs="Times New Roman"/>
          <w:noProof/>
          <w:sz w:val="20"/>
        </w:rPr>
        <w:t>.</w:t>
      </w:r>
    </w:p>
    <w:p w:rsidR="00341319" w:rsidRDefault="00324889">
      <w:pPr>
        <w:widowControl w:val="0"/>
        <w:spacing w:after="120" w:line="240" w:lineRule="auto"/>
        <w:jc w:val="both"/>
        <w:rPr>
          <w:rFonts w:cs="Times New Roman"/>
          <w:noProof/>
          <w:sz w:val="20"/>
        </w:rPr>
      </w:pPr>
      <w:r>
        <w:rPr>
          <w:rFonts w:cs="Times New Roman"/>
          <w:noProof/>
          <w:sz w:val="20"/>
        </w:rPr>
        <w:t>In 2014, Italy had five SME support programmes for resource efficiency (e.g. Giada Project; Innovhub Milano).</w:t>
      </w:r>
      <w:r>
        <w:rPr>
          <w:rFonts w:cs="Times New Roman"/>
          <w:noProof/>
          <w:sz w:val="20"/>
          <w:vertAlign w:val="superscript"/>
          <w:lang w:val="it-IT"/>
        </w:rPr>
        <w:footnoteReference w:id="26"/>
      </w:r>
      <w:r>
        <w:rPr>
          <w:rFonts w:cs="Times New Roman"/>
          <w:noProof/>
          <w:sz w:val="20"/>
        </w:rPr>
        <w:t xml:space="preserve"> Furthermore, Italy was involved in the European Regional Development Fund (ERDF) co-fina</w:t>
      </w:r>
      <w:r>
        <w:rPr>
          <w:rFonts w:cs="Times New Roman"/>
          <w:noProof/>
          <w:sz w:val="20"/>
        </w:rPr>
        <w:t>nced PRESOURCE project, which provides several tools and instruments to help promoting resource efficiency in SMEs.</w:t>
      </w:r>
      <w:r>
        <w:rPr>
          <w:rFonts w:cs="Times New Roman"/>
          <w:noProof/>
          <w:sz w:val="20"/>
          <w:vertAlign w:val="superscript"/>
          <w:lang w:val="it-IT"/>
        </w:rPr>
        <w:footnoteReference w:id="27"/>
      </w:r>
    </w:p>
    <w:p w:rsidR="00341319" w:rsidRDefault="00324889">
      <w:pPr>
        <w:widowControl w:val="0"/>
        <w:spacing w:after="120" w:line="240" w:lineRule="auto"/>
        <w:jc w:val="both"/>
        <w:rPr>
          <w:rFonts w:cs="Times New Roman"/>
          <w:noProof/>
          <w:sz w:val="20"/>
        </w:rPr>
      </w:pPr>
      <w:r>
        <w:rPr>
          <w:rFonts w:cs="Times New Roman"/>
          <w:noProof/>
          <w:sz w:val="20"/>
        </w:rPr>
        <w:t xml:space="preserve">The transition to a resource efficient economy will result in new jobs related to reuse, repair or recycling. In Italy, 117,000 new jobs </w:t>
      </w:r>
      <w:r>
        <w:rPr>
          <w:rFonts w:cs="Times New Roman"/>
          <w:noProof/>
          <w:sz w:val="20"/>
        </w:rPr>
        <w:t>could be created and 327,000 jobs could be secured if SMEs in four sectors (food &amp; beverages; energy, power &amp; utilities; environmental technologies; construction) would fully use their potential for resource efficiency. Indeed the cost savings for these fo</w:t>
      </w:r>
      <w:r>
        <w:rPr>
          <w:rFonts w:cs="Times New Roman"/>
          <w:noProof/>
          <w:sz w:val="20"/>
        </w:rPr>
        <w:t>ur SME sectors in Italy could amount to EUR 10.4 billion; this implies an average saving of EUR 19,000 per enterprise for just over 547,000 businesses in the four sectors.</w:t>
      </w:r>
      <w:r>
        <w:rPr>
          <w:rFonts w:cs="Times New Roman"/>
          <w:noProof/>
          <w:sz w:val="20"/>
          <w:vertAlign w:val="superscript"/>
          <w:lang w:val="it-IT"/>
        </w:rPr>
        <w:footnoteReference w:id="28"/>
      </w:r>
      <w:r>
        <w:rPr>
          <w:rFonts w:cs="Times New Roman"/>
          <w:noProof/>
          <w:sz w:val="20"/>
        </w:rPr>
        <w:t xml:space="preserve">  EFSI has financed an equity SMEs project in Italy promoting environmental sustaina</w:t>
      </w:r>
      <w:r>
        <w:rPr>
          <w:rFonts w:cs="Times New Roman"/>
          <w:noProof/>
          <w:sz w:val="20"/>
        </w:rPr>
        <w:t>bility. Other EFSI projects under consideration are also environmentally friendly</w:t>
      </w:r>
      <w:r>
        <w:rPr>
          <w:rFonts w:cs="Times New Roman"/>
          <w:noProof/>
          <w:sz w:val="20"/>
          <w:vertAlign w:val="superscript"/>
        </w:rPr>
        <w:footnoteReference w:id="29"/>
      </w:r>
      <w:r>
        <w:rPr>
          <w:rFonts w:cs="Times New Roman"/>
          <w:noProof/>
          <w:sz w:val="20"/>
        </w:rPr>
        <w:t>.</w:t>
      </w:r>
    </w:p>
    <w:p w:rsidR="00341319" w:rsidRDefault="00324889">
      <w:pPr>
        <w:widowControl w:val="0"/>
        <w:spacing w:after="120" w:line="240" w:lineRule="auto"/>
        <w:jc w:val="both"/>
        <w:rPr>
          <w:rFonts w:cs="Times New Roman"/>
          <w:noProof/>
          <w:sz w:val="20"/>
        </w:rPr>
      </w:pPr>
      <w:r>
        <w:rPr>
          <w:noProof/>
          <w:sz w:val="20"/>
        </w:rPr>
        <w:t>Over the 2014-20 programming period, the ERDF will invest in R&amp;I and SME competitiveness based on national and regional smart specialisation strategies. For Italy, the nati</w:t>
      </w:r>
      <w:r>
        <w:rPr>
          <w:noProof/>
          <w:sz w:val="20"/>
        </w:rPr>
        <w:t>onal strategy identifies 5 focus areas, including energy, the environment and sustainable industry.</w:t>
      </w:r>
    </w:p>
    <w:p w:rsidR="00341319" w:rsidRDefault="00324889">
      <w:pPr>
        <w:widowControl w:val="0"/>
        <w:spacing w:before="240" w:after="120" w:line="240" w:lineRule="auto"/>
        <w:jc w:val="both"/>
        <w:outlineLvl w:val="2"/>
        <w:rPr>
          <w:b/>
          <w:noProof/>
          <w:color w:val="1F497D" w:themeColor="text2"/>
        </w:rPr>
      </w:pPr>
      <w:r>
        <w:rPr>
          <w:b/>
          <w:noProof/>
          <w:color w:val="1F497D" w:themeColor="text2"/>
        </w:rPr>
        <w:t>Eco-Innovation</w:t>
      </w:r>
    </w:p>
    <w:p w:rsidR="00341319" w:rsidRDefault="00324889">
      <w:pPr>
        <w:widowControl w:val="0"/>
        <w:spacing w:after="120" w:line="240" w:lineRule="auto"/>
        <w:jc w:val="both"/>
        <w:rPr>
          <w:rFonts w:cs="Times New Roman"/>
          <w:noProof/>
          <w:sz w:val="20"/>
        </w:rPr>
      </w:pPr>
      <w:r>
        <w:rPr>
          <w:rFonts w:cs="Times New Roman"/>
          <w:noProof/>
          <w:sz w:val="20"/>
        </w:rPr>
        <w:t>The relative positioning of Italy based on the analysis of the 2015 Eco-Innovation Scoreboard has improved and moved up in the EU28 ranking f</w:t>
      </w:r>
      <w:r>
        <w:rPr>
          <w:rFonts w:cs="Times New Roman"/>
          <w:noProof/>
          <w:sz w:val="20"/>
        </w:rPr>
        <w:t>rom 12th to 10th place (Figure 2). Social awareness with regard to needs and opportunities in the context of sustainability and eco-innovation has strongly grown over the recent years.</w:t>
      </w:r>
      <w:r>
        <w:rPr>
          <w:rFonts w:cs="Times New Roman"/>
          <w:noProof/>
          <w:sz w:val="20"/>
          <w:vertAlign w:val="superscript"/>
          <w:lang w:val="it-IT"/>
        </w:rPr>
        <w:footnoteReference w:id="30"/>
      </w:r>
      <w:r>
        <w:rPr>
          <w:rFonts w:cs="Times New Roman"/>
          <w:noProof/>
          <w:sz w:val="20"/>
        </w:rPr>
        <w:t xml:space="preserve"> As a highlight, it should be noted that the universal EXPO in Milan 20</w:t>
      </w:r>
      <w:r>
        <w:rPr>
          <w:rFonts w:cs="Times New Roman"/>
          <w:noProof/>
          <w:sz w:val="20"/>
        </w:rPr>
        <w:t>15 on '</w:t>
      </w:r>
      <w:r>
        <w:rPr>
          <w:rFonts w:cs="Times New Roman"/>
          <w:noProof/>
          <w:sz w:val="20"/>
          <w:lang w:val="en"/>
        </w:rPr>
        <w:t>Feeding the Planet, Energy for Life'</w:t>
      </w:r>
      <w:r>
        <w:rPr>
          <w:rFonts w:cs="Times New Roman"/>
          <w:noProof/>
          <w:sz w:val="20"/>
          <w:vertAlign w:val="superscript"/>
          <w:lang w:val="en"/>
        </w:rPr>
        <w:footnoteReference w:id="31"/>
      </w:r>
      <w:r>
        <w:rPr>
          <w:rFonts w:cs="Times New Roman"/>
          <w:noProof/>
          <w:sz w:val="20"/>
          <w:lang w:val="en"/>
        </w:rPr>
        <w:t xml:space="preserve">  </w:t>
      </w:r>
      <w:r>
        <w:rPr>
          <w:rFonts w:cs="Times New Roman"/>
          <w:noProof/>
          <w:sz w:val="20"/>
        </w:rPr>
        <w:t xml:space="preserve">showcased eco-innovation. </w:t>
      </w:r>
    </w:p>
    <w:p w:rsidR="00341319" w:rsidRDefault="00324889">
      <w:pPr>
        <w:widowControl w:val="0"/>
        <w:spacing w:after="120" w:line="240" w:lineRule="auto"/>
        <w:jc w:val="both"/>
        <w:rPr>
          <w:rFonts w:cs="Times New Roman"/>
          <w:noProof/>
          <w:sz w:val="20"/>
        </w:rPr>
      </w:pPr>
      <w:r>
        <w:rPr>
          <w:rFonts w:cs="Times New Roman"/>
          <w:noProof/>
          <w:sz w:val="20"/>
        </w:rPr>
        <w:t>Barriers to eco-innovation and the circular economy in Italy are of different natures: there are structural barriers, such as those related to the economy and technology, as well as b</w:t>
      </w:r>
      <w:r>
        <w:rPr>
          <w:rFonts w:cs="Times New Roman"/>
          <w:noProof/>
          <w:sz w:val="20"/>
        </w:rPr>
        <w:t>arriers related to policy and regulation. The availability of risk capital for both the creation and continuation of eco-innovative projects remains scarce. Italy’s general innovation capacity is behind that of other European countries. Nevertheless, there</w:t>
      </w:r>
      <w:r>
        <w:rPr>
          <w:rFonts w:cs="Times New Roman"/>
          <w:noProof/>
          <w:sz w:val="20"/>
        </w:rPr>
        <w:t xml:space="preserve"> have been major developments in the area of green technologies related to renewable energy generation and non-fossil energy generation. </w:t>
      </w:r>
    </w:p>
    <w:p w:rsidR="00341319" w:rsidRDefault="00324889">
      <w:pPr>
        <w:widowControl w:val="0"/>
        <w:spacing w:after="120" w:line="240" w:lineRule="auto"/>
        <w:jc w:val="both"/>
        <w:rPr>
          <w:noProof/>
          <w:sz w:val="20"/>
        </w:rPr>
      </w:pPr>
      <w:r>
        <w:rPr>
          <w:noProof/>
          <w:sz w:val="20"/>
        </w:rPr>
        <w:t xml:space="preserve">Research related to the implementation of new management practices by firms, such as in Antonioli </w:t>
      </w:r>
      <w:r>
        <w:rPr>
          <w:i/>
          <w:noProof/>
          <w:sz w:val="20"/>
        </w:rPr>
        <w:t>et al</w:t>
      </w:r>
      <w:r>
        <w:rPr>
          <w:rFonts w:cs="Times New Roman"/>
          <w:noProof/>
          <w:sz w:val="20"/>
          <w:vertAlign w:val="superscript"/>
        </w:rPr>
        <w:footnoteReference w:id="32"/>
      </w:r>
      <w:r>
        <w:rPr>
          <w:noProof/>
          <w:sz w:val="20"/>
        </w:rPr>
        <w:t xml:space="preserve">, can provide </w:t>
      </w:r>
      <w:r>
        <w:rPr>
          <w:noProof/>
          <w:sz w:val="20"/>
        </w:rPr>
        <w:t>a new understanding of the effects of firms’ organisational changes on eco-innovation adoption. Specifically, this study looked into whether environmental strategies and human resources training are integrated with the goal of fostering eco-innovation adop</w:t>
      </w:r>
      <w:r>
        <w:rPr>
          <w:noProof/>
          <w:sz w:val="20"/>
        </w:rPr>
        <w:t>tion. Although they examined one of the most competitive and densely industrialized regions of Italy (Emilia Romagna), they did not find evidence of complementarity between these strategies. A possible explanation, the authors concluded, is that green stra</w:t>
      </w:r>
      <w:r>
        <w:rPr>
          <w:noProof/>
          <w:sz w:val="20"/>
        </w:rPr>
        <w:t>tegies are not yet fully embedded within the firms’ organisational strategies. Another example is Lombardy recognized as having a high clustering of eco-industries</w:t>
      </w:r>
      <w:r>
        <w:rPr>
          <w:noProof/>
          <w:sz w:val="20"/>
          <w:vertAlign w:val="superscript"/>
        </w:rPr>
        <w:footnoteReference w:id="33"/>
      </w:r>
      <w:r>
        <w:rPr>
          <w:noProof/>
          <w:sz w:val="20"/>
        </w:rPr>
        <w:t xml:space="preserve"> with their ERDF co-financed Open </w:t>
      </w:r>
      <w:r>
        <w:rPr>
          <w:noProof/>
          <w:sz w:val="20"/>
          <w:lang w:val="en"/>
        </w:rPr>
        <w:t>Innovation Platform shortlisted as a 2016 REGIOSTAR finali</w:t>
      </w:r>
      <w:r>
        <w:rPr>
          <w:noProof/>
          <w:sz w:val="20"/>
          <w:lang w:val="en"/>
        </w:rPr>
        <w:t>st</w:t>
      </w:r>
      <w:r>
        <w:rPr>
          <w:noProof/>
          <w:sz w:val="20"/>
          <w:vertAlign w:val="superscript"/>
          <w:lang w:val="en"/>
        </w:rPr>
        <w:footnoteReference w:id="34"/>
      </w:r>
      <w:r>
        <w:rPr>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rsidRPr="00324889">
        <w:tc>
          <w:tcPr>
            <w:tcW w:w="4909" w:type="dxa"/>
          </w:tcPr>
          <w:p w:rsidR="00341319" w:rsidRDefault="00324889">
            <w:pPr>
              <w:widowControl w:val="0"/>
              <w:spacing w:after="120"/>
              <w:jc w:val="both"/>
              <w:rPr>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35"/>
            </w:r>
          </w:p>
        </w:tc>
      </w:tr>
      <w:tr w:rsidR="00341319">
        <w:tc>
          <w:tcPr>
            <w:tcW w:w="4909" w:type="dxa"/>
          </w:tcPr>
          <w:p w:rsidR="00341319" w:rsidRDefault="00324889">
            <w:pPr>
              <w:widowControl w:val="0"/>
              <w:spacing w:after="120"/>
              <w:jc w:val="both"/>
              <w:rPr>
                <w:noProof/>
                <w:sz w:val="20"/>
                <w:lang w:val="it-IT"/>
              </w:rPr>
            </w:pPr>
            <w:r>
              <w:rPr>
                <w:noProof/>
                <w:sz w:val="20"/>
                <w:lang w:eastAsia="en-GB"/>
              </w:rPr>
              <w:drawing>
                <wp:inline distT="0" distB="0" distL="0" distR="0" wp14:anchorId="37824729" wp14:editId="1BF0B4C2">
                  <wp:extent cx="2977117" cy="405762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6506" cy="4070425"/>
                          </a:xfrm>
                          <a:prstGeom prst="rect">
                            <a:avLst/>
                          </a:prstGeom>
                          <a:noFill/>
                        </pic:spPr>
                      </pic:pic>
                    </a:graphicData>
                  </a:graphic>
                </wp:inline>
              </w:drawing>
            </w:r>
          </w:p>
        </w:tc>
      </w:tr>
    </w:tbl>
    <w:p w:rsidR="00341319" w:rsidRDefault="00324889">
      <w:pPr>
        <w:widowControl w:val="0"/>
        <w:spacing w:after="120" w:line="240" w:lineRule="auto"/>
        <w:jc w:val="both"/>
        <w:rPr>
          <w:noProof/>
          <w:sz w:val="20"/>
        </w:rPr>
      </w:pPr>
      <w:r>
        <w:rPr>
          <w:noProof/>
          <w:sz w:val="20"/>
        </w:rPr>
        <w:t xml:space="preserve">Cainelli </w:t>
      </w:r>
      <w:r>
        <w:rPr>
          <w:i/>
          <w:noProof/>
          <w:sz w:val="20"/>
        </w:rPr>
        <w:t>et al</w:t>
      </w:r>
      <w:r>
        <w:rPr>
          <w:noProof/>
          <w:sz w:val="20"/>
        </w:rPr>
        <w:t>.</w:t>
      </w:r>
      <w:r>
        <w:rPr>
          <w:rFonts w:cs="Times New Roman"/>
          <w:noProof/>
          <w:sz w:val="20"/>
          <w:vertAlign w:val="superscript"/>
        </w:rPr>
        <w:footnoteReference w:id="36"/>
      </w:r>
      <w:r>
        <w:rPr>
          <w:noProof/>
          <w:sz w:val="20"/>
        </w:rPr>
        <w:t>, studying incentives to adopt waste-related innovation in the manufacturing sector, found that regional factors related to both waste management and policy, are relevant to the adoptio</w:t>
      </w:r>
      <w:r>
        <w:rPr>
          <w:noProof/>
          <w:sz w:val="20"/>
        </w:rPr>
        <w:t xml:space="preserve">n of eco-innovation. Moreover, they show that better regional separated waste collection and stricter waste policy can positively influence the likelihood of adopting eco-innovation. </w:t>
      </w:r>
    </w:p>
    <w:p w:rsidR="00341319" w:rsidRDefault="00324889">
      <w:pPr>
        <w:widowControl w:val="0"/>
        <w:spacing w:after="120" w:line="240" w:lineRule="auto"/>
        <w:jc w:val="both"/>
        <w:rPr>
          <w:bCs/>
          <w:noProof/>
          <w:color w:val="1F497D" w:themeColor="text2"/>
        </w:rPr>
      </w:pPr>
      <w:r>
        <w:rPr>
          <w:bCs/>
          <w:noProof/>
          <w:color w:val="1F497D" w:themeColor="text2"/>
        </w:rPr>
        <w:t>Suggested action</w:t>
      </w:r>
    </w:p>
    <w:p w:rsidR="00341319" w:rsidRDefault="00324889">
      <w:pPr>
        <w:pStyle w:val="NoSpacing"/>
        <w:rPr>
          <w:noProof/>
        </w:rPr>
      </w:pPr>
      <w:r>
        <w:rPr>
          <w:noProof/>
        </w:rPr>
        <w:t>Integrate resource efficient and circular economy princ</w:t>
      </w:r>
      <w:r>
        <w:rPr>
          <w:noProof/>
        </w:rPr>
        <w:t xml:space="preserve">iples within the SME sector, namely energy and water savings, recycling methods, ecodesign production and the establishment of secondary raw material market. </w:t>
      </w:r>
    </w:p>
    <w:p w:rsidR="00341319" w:rsidRDefault="00324889">
      <w:pPr>
        <w:pStyle w:val="NoSpacing"/>
        <w:rPr>
          <w:noProof/>
        </w:rPr>
      </w:pPr>
      <w:r>
        <w:rPr>
          <w:noProof/>
        </w:rPr>
        <w:t>Incentivise academia and schools in order to promote circular economy innovation.</w:t>
      </w:r>
    </w:p>
    <w:p w:rsidR="00341319" w:rsidRDefault="00324889">
      <w:pPr>
        <w:pStyle w:val="NoSpacing"/>
        <w:spacing w:after="240"/>
        <w:rPr>
          <w:noProof/>
        </w:rPr>
      </w:pPr>
      <w:r>
        <w:rPr>
          <w:noProof/>
        </w:rPr>
        <w:t>Step up the tra</w:t>
      </w:r>
      <w:r>
        <w:rPr>
          <w:noProof/>
        </w:rPr>
        <w:t xml:space="preserve">nsition to a more circular and resource efficient economy, including by adopting the </w:t>
      </w:r>
      <w:r>
        <w:rPr>
          <w:i/>
          <w:noProof/>
        </w:rPr>
        <w:t>Green Act.</w:t>
      </w:r>
    </w:p>
    <w:p w:rsidR="00341319" w:rsidRDefault="00341319">
      <w:pPr>
        <w:widowControl w:val="0"/>
        <w:spacing w:after="120" w:line="240" w:lineRule="auto"/>
        <w:jc w:val="both"/>
        <w:outlineLvl w:val="1"/>
        <w:rPr>
          <w:rFonts w:cs="Times New Roman"/>
          <w:b/>
          <w:noProof/>
          <w:color w:val="1F497D" w:themeColor="text2"/>
          <w:sz w:val="24"/>
          <w:szCs w:val="24"/>
          <w:lang w:eastAsia="en-GB"/>
        </w:rPr>
      </w:pPr>
      <w:bookmarkStart w:id="7" w:name="_Toc454460675"/>
      <w:bookmarkStart w:id="8" w:name="_Toc469476703"/>
    </w:p>
    <w:p w:rsidR="00341319" w:rsidRDefault="00324889">
      <w:pPr>
        <w:widowControl w:val="0"/>
        <w:spacing w:after="120" w:line="240" w:lineRule="auto"/>
        <w:jc w:val="both"/>
        <w:outlineLvl w:val="1"/>
        <w:rPr>
          <w:rFonts w:cs="Times New Roman"/>
          <w:b/>
          <w:noProof/>
          <w:color w:val="1F497D" w:themeColor="text2"/>
          <w:sz w:val="24"/>
          <w:szCs w:val="24"/>
          <w:lang w:eastAsia="en-GB"/>
        </w:rPr>
      </w:pPr>
      <w:r>
        <w:rPr>
          <w:rFonts w:cs="Times New Roman"/>
          <w:b/>
          <w:noProof/>
          <w:color w:val="1F497D" w:themeColor="text2"/>
          <w:sz w:val="24"/>
          <w:szCs w:val="24"/>
          <w:lang w:eastAsia="en-GB"/>
        </w:rPr>
        <w:t>Waste management</w:t>
      </w:r>
      <w:bookmarkEnd w:id="7"/>
      <w:bookmarkEnd w:id="8"/>
      <w:r>
        <w:rPr>
          <w:rFonts w:cs="Times New Roman"/>
          <w:b/>
          <w:noProof/>
          <w:color w:val="1F497D" w:themeColor="text2"/>
          <w:sz w:val="24"/>
          <w:szCs w:val="24"/>
          <w:lang w:eastAsia="en-GB"/>
        </w:rPr>
        <w:t xml:space="preserve"> </w:t>
      </w:r>
    </w:p>
    <w:p w:rsidR="00341319" w:rsidRDefault="00324889">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341319" w:rsidRDefault="00324889">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includes the waste hierarchy; the need to </w:t>
      </w:r>
      <w:r>
        <w:rPr>
          <w:noProof/>
          <w:color w:val="FFFFFF" w:themeColor="background1"/>
          <w:sz w:val="20"/>
        </w:rPr>
        <w:t>ensure separate collection of waste; the landfill diversion targets etc.</w:t>
      </w:r>
    </w:p>
    <w:p w:rsidR="00341319" w:rsidRDefault="00324889">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341319" w:rsidRDefault="00324889">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w:t>
      </w:r>
      <w:r>
        <w:rPr>
          <w:noProof/>
          <w:color w:val="FFFFFF" w:themeColor="background1"/>
          <w:sz w:val="20"/>
        </w:rPr>
        <w:t>ble waste.</w:t>
      </w:r>
    </w:p>
    <w:p w:rsidR="00341319" w:rsidRDefault="00324889">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341319" w:rsidRDefault="00324889">
      <w:pPr>
        <w:widowControl w:val="0"/>
        <w:spacing w:before="240" w:after="120" w:line="240" w:lineRule="auto"/>
        <w:jc w:val="both"/>
        <w:rPr>
          <w:noProof/>
          <w:sz w:val="20"/>
        </w:rPr>
      </w:pPr>
      <w:r>
        <w:rPr>
          <w:noProof/>
          <w:sz w:val="20"/>
        </w:rPr>
        <w:t>The EU's approach to waste management is based on the "waste hierarchy" which sets out an order of priority when shapi</w:t>
      </w:r>
      <w:r>
        <w:rPr>
          <w:noProof/>
          <w:sz w:val="20"/>
        </w:rPr>
        <w:t>ng waste policy and managing waste at the operational level: prevention, (preparing for) reuse, recycling, recovery and, as the least preferred option, disposal (which includes landfilling and incineration without energy recovery). The progress towards rea</w:t>
      </w:r>
      <w:r>
        <w:rPr>
          <w:noProof/>
          <w:sz w:val="20"/>
        </w:rPr>
        <w:t>ching recycling targets and the adoption of adequate WMP/WPP</w:t>
      </w:r>
      <w:r>
        <w:rPr>
          <w:noProof/>
          <w:sz w:val="20"/>
          <w:vertAlign w:val="superscript"/>
          <w:lang w:val="it-IT"/>
        </w:rPr>
        <w:footnoteReference w:id="37"/>
      </w:r>
      <w:r>
        <w:rPr>
          <w:noProof/>
          <w:sz w:val="20"/>
        </w:rPr>
        <w:t xml:space="preserve"> should be the key items to measure the performance of Member States. This section focuses on management of municipal waste for which EU law sets mandatory recycling targets.</w:t>
      </w:r>
      <w:bookmarkStart w:id="9" w:name="_Toc433296160"/>
      <w:bookmarkStart w:id="10" w:name="_Toc439678149"/>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bookmarkEnd w:id="9"/>
          <w:bookmarkEnd w:id="10"/>
          <w:p w:rsidR="00341319" w:rsidRDefault="00324889">
            <w:pPr>
              <w:widowControl w:val="0"/>
              <w:spacing w:after="120"/>
              <w:jc w:val="both"/>
              <w:rPr>
                <w:noProof/>
                <w:color w:val="1F497D" w:themeColor="text2"/>
                <w:sz w:val="20"/>
              </w:rPr>
            </w:pPr>
            <w:r>
              <w:rPr>
                <w:b/>
                <w:bCs/>
                <w:noProof/>
                <w:color w:val="1F497D" w:themeColor="text2"/>
                <w:sz w:val="20"/>
              </w:rPr>
              <w:t xml:space="preserve">Figure 3: Municipal </w:t>
            </w:r>
            <w:r>
              <w:rPr>
                <w:b/>
                <w:bCs/>
                <w:noProof/>
                <w:color w:val="1F497D" w:themeColor="text2"/>
                <w:sz w:val="20"/>
              </w:rPr>
              <w:t>waste by treatment in Italy 2007-14</w:t>
            </w:r>
            <w:r>
              <w:rPr>
                <w:b/>
                <w:bCs/>
                <w:noProof/>
                <w:color w:val="1F497D" w:themeColor="text2"/>
                <w:sz w:val="20"/>
                <w:vertAlign w:val="superscript"/>
              </w:rPr>
              <w:footnoteReference w:id="38"/>
            </w:r>
          </w:p>
        </w:tc>
      </w:tr>
      <w:tr w:rsidR="00341319">
        <w:tc>
          <w:tcPr>
            <w:tcW w:w="4909" w:type="dxa"/>
          </w:tcPr>
          <w:p w:rsidR="00341319" w:rsidRDefault="00324889">
            <w:pPr>
              <w:widowControl w:val="0"/>
              <w:spacing w:after="120"/>
              <w:jc w:val="both"/>
              <w:rPr>
                <w:noProof/>
                <w:sz w:val="20"/>
              </w:rPr>
            </w:pPr>
            <w:r>
              <w:rPr>
                <w:noProof/>
                <w:sz w:val="20"/>
                <w:lang w:eastAsia="en-GB"/>
              </w:rPr>
              <w:drawing>
                <wp:inline distT="0" distB="0" distL="0" distR="0" wp14:anchorId="7C53272D" wp14:editId="1D12EC1A">
                  <wp:extent cx="2927445" cy="2647210"/>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35289" cy="2654303"/>
                          </a:xfrm>
                          <a:prstGeom prst="rect">
                            <a:avLst/>
                          </a:prstGeom>
                        </pic:spPr>
                      </pic:pic>
                    </a:graphicData>
                  </a:graphic>
                </wp:inline>
              </w:drawing>
            </w:r>
          </w:p>
        </w:tc>
      </w:tr>
    </w:tbl>
    <w:p w:rsidR="00341319" w:rsidRDefault="00324889">
      <w:pPr>
        <w:widowControl w:val="0"/>
        <w:spacing w:line="240" w:lineRule="auto"/>
        <w:jc w:val="both"/>
        <w:rPr>
          <w:noProof/>
          <w:sz w:val="20"/>
        </w:rPr>
      </w:pPr>
      <w:r>
        <w:rPr>
          <w:noProof/>
          <w:sz w:val="20"/>
        </w:rPr>
        <w:t>Municipal waste generation</w:t>
      </w:r>
      <w:r>
        <w:rPr>
          <w:rFonts w:eastAsia="Calibri" w:cs="Times New Roman"/>
          <w:noProof/>
          <w:sz w:val="20"/>
          <w:vertAlign w:val="superscript"/>
        </w:rPr>
        <w:footnoteReference w:id="39"/>
      </w:r>
      <w:r>
        <w:rPr>
          <w:noProof/>
          <w:sz w:val="20"/>
        </w:rPr>
        <w:t xml:space="preserve"> has been decreasing in the last years in Italy and it is slightly above the EU average (488 kg/y/inhabitant in Italy compared to 475 kg/y/inhabitant).</w:t>
      </w:r>
    </w:p>
    <w:p w:rsidR="00341319" w:rsidRDefault="00324889">
      <w:pPr>
        <w:widowControl w:val="0"/>
        <w:spacing w:line="240" w:lineRule="auto"/>
        <w:jc w:val="both"/>
        <w:rPr>
          <w:rFonts w:eastAsia="Calibri"/>
          <w:noProof/>
          <w:sz w:val="20"/>
        </w:rPr>
      </w:pPr>
      <w:r>
        <w:rPr>
          <w:noProof/>
          <w:sz w:val="20"/>
        </w:rPr>
        <w:t>Figure 3</w:t>
      </w:r>
      <w:r>
        <w:rPr>
          <w:rFonts w:eastAsia="Calibri"/>
          <w:noProof/>
          <w:sz w:val="20"/>
        </w:rPr>
        <w:t xml:space="preserve"> depicts the municipal waste by treatment in Italy in terms of kg per capita, which shows an increase of recycling and composting and a decrease in landfilling.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noProof/>
                <w:color w:val="1F497D" w:themeColor="text2"/>
                <w:sz w:val="20"/>
              </w:rPr>
            </w:pPr>
            <w:r>
              <w:rPr>
                <w:b/>
                <w:bCs/>
                <w:noProof/>
                <w:color w:val="1F497D" w:themeColor="text2"/>
                <w:sz w:val="20"/>
              </w:rPr>
              <w:t>Figure 4: Recycling rate of municipal waste 2007-14</w:t>
            </w:r>
            <w:r>
              <w:rPr>
                <w:b/>
                <w:bCs/>
                <w:noProof/>
                <w:color w:val="1F497D" w:themeColor="text2"/>
                <w:sz w:val="20"/>
                <w:vertAlign w:val="superscript"/>
              </w:rPr>
              <w:footnoteReference w:id="40"/>
            </w:r>
          </w:p>
        </w:tc>
      </w:tr>
      <w:tr w:rsidR="00341319">
        <w:tc>
          <w:tcPr>
            <w:tcW w:w="4909" w:type="dxa"/>
          </w:tcPr>
          <w:p w:rsidR="00341319" w:rsidRDefault="00324889">
            <w:pPr>
              <w:widowControl w:val="0"/>
              <w:spacing w:after="120"/>
              <w:jc w:val="both"/>
              <w:rPr>
                <w:noProof/>
                <w:sz w:val="20"/>
              </w:rPr>
            </w:pPr>
            <w:r>
              <w:rPr>
                <w:noProof/>
                <w:sz w:val="20"/>
                <w:lang w:eastAsia="en-GB"/>
              </w:rPr>
              <w:drawing>
                <wp:inline distT="0" distB="0" distL="0" distR="0" wp14:anchorId="79F85392" wp14:editId="46AAF5BC">
                  <wp:extent cx="2963855" cy="265814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7071" cy="2661025"/>
                          </a:xfrm>
                          <a:prstGeom prst="rect">
                            <a:avLst/>
                          </a:prstGeom>
                          <a:noFill/>
                        </pic:spPr>
                      </pic:pic>
                    </a:graphicData>
                  </a:graphic>
                </wp:inline>
              </w:drawing>
            </w:r>
          </w:p>
        </w:tc>
      </w:tr>
    </w:tbl>
    <w:p w:rsidR="00341319" w:rsidRDefault="00324889">
      <w:pPr>
        <w:widowControl w:val="0"/>
        <w:spacing w:after="120" w:line="240" w:lineRule="auto"/>
        <w:jc w:val="both"/>
        <w:rPr>
          <w:rFonts w:eastAsia="Calibri" w:cs="Times New Roman"/>
          <w:noProof/>
          <w:sz w:val="20"/>
        </w:rPr>
      </w:pPr>
      <w:r>
        <w:rPr>
          <w:rFonts w:eastAsia="Calibri" w:cs="Times New Roman"/>
          <w:noProof/>
          <w:sz w:val="20"/>
        </w:rPr>
        <w:t xml:space="preserve">Figure 4 shows that in 2014 recycling </w:t>
      </w:r>
      <w:r>
        <w:rPr>
          <w:rFonts w:eastAsia="Calibri" w:cs="Times New Roman"/>
          <w:noProof/>
          <w:sz w:val="20"/>
        </w:rPr>
        <w:t>of municipal waste, including composting and material recycling, accounted for 46% (although there are large differences between regions), just above the EU average (44%) and slightly below the EU 2020 target of 50% recycling</w:t>
      </w:r>
      <w:r>
        <w:rPr>
          <w:noProof/>
          <w:sz w:val="20"/>
          <w:vertAlign w:val="superscript"/>
          <w:lang w:val="it-IT"/>
        </w:rPr>
        <w:footnoteReference w:id="41"/>
      </w:r>
      <w:r>
        <w:rPr>
          <w:rFonts w:eastAsia="Calibri" w:cs="Times New Roman"/>
          <w:noProof/>
          <w:sz w:val="20"/>
        </w:rPr>
        <w:t>.</w:t>
      </w:r>
    </w:p>
    <w:p w:rsidR="00341319" w:rsidRDefault="00324889">
      <w:pPr>
        <w:widowControl w:val="0"/>
        <w:spacing w:after="120" w:line="240" w:lineRule="auto"/>
        <w:jc w:val="both"/>
        <w:rPr>
          <w:noProof/>
          <w:sz w:val="20"/>
        </w:rPr>
      </w:pPr>
      <w:r>
        <w:rPr>
          <w:noProof/>
          <w:sz w:val="20"/>
        </w:rPr>
        <w:t>Landfilling of municipal was</w:t>
      </w:r>
      <w:r>
        <w:rPr>
          <w:noProof/>
          <w:sz w:val="20"/>
        </w:rPr>
        <w:t>te accounted for 34% compared to other treatment options (EU average 27%) in 2014 and the amount of waste landfilled, and is constantly decreasing since 2002, in favour of the other treatment options that rank higher in the waste hierarchy, including separ</w:t>
      </w:r>
      <w:r>
        <w:rPr>
          <w:noProof/>
          <w:sz w:val="20"/>
        </w:rPr>
        <w:t>ate collection and recycling</w:t>
      </w:r>
      <w:r>
        <w:rPr>
          <w:noProof/>
          <w:sz w:val="20"/>
          <w:vertAlign w:val="superscript"/>
        </w:rPr>
        <w:footnoteReference w:id="42"/>
      </w:r>
      <w:r>
        <w:rPr>
          <w:noProof/>
          <w:sz w:val="20"/>
        </w:rPr>
        <w:t>. Italy reported reaching its 2011 landfill target of 92 kg/inhabitant in 2014, and seems now to be on the path towards fulfilment of the 2018 target of the landfill directive. The Italian government is deploying steady efforts</w:t>
      </w:r>
      <w:r>
        <w:rPr>
          <w:noProof/>
          <w:sz w:val="20"/>
        </w:rPr>
        <w:t xml:space="preserve"> to restore the irregular landfill sites for some of which Italy has been subjected to financial penalties by the EU Court of Justice in 2014.  </w:t>
      </w:r>
    </w:p>
    <w:p w:rsidR="00341319" w:rsidRDefault="00324889">
      <w:pPr>
        <w:widowControl w:val="0"/>
        <w:spacing w:after="120" w:line="240" w:lineRule="auto"/>
        <w:jc w:val="both"/>
        <w:rPr>
          <w:noProof/>
          <w:sz w:val="20"/>
        </w:rPr>
      </w:pPr>
      <w:r>
        <w:rPr>
          <w:noProof/>
          <w:sz w:val="20"/>
        </w:rPr>
        <w:t>Waste policies are implemented at regional, provincial and municipal levels under national umbrellas. Despite o</w:t>
      </w:r>
      <w:r>
        <w:rPr>
          <w:noProof/>
          <w:sz w:val="20"/>
        </w:rPr>
        <w:t xml:space="preserve">verall progress in separate collection and recycling, the differences in performance at the local level can be high. Excellences are common in the north of the country and in some contexts also in the centre and south (Campania-Province of Benevento 68.9% </w:t>
      </w:r>
      <w:r>
        <w:rPr>
          <w:noProof/>
          <w:sz w:val="20"/>
        </w:rPr>
        <w:t>&amp; Sardinia – Province of Medio Campidano 66.6% separate collection</w:t>
      </w:r>
      <w:r>
        <w:rPr>
          <w:noProof/>
          <w:sz w:val="20"/>
          <w:vertAlign w:val="superscript"/>
        </w:rPr>
        <w:footnoteReference w:id="43"/>
      </w:r>
      <w:r>
        <w:rPr>
          <w:noProof/>
          <w:sz w:val="20"/>
        </w:rPr>
        <w:t xml:space="preserve">). However, in general the centre and south of the Country perform less well in waste management than the north. </w:t>
      </w:r>
    </w:p>
    <w:p w:rsidR="00341319" w:rsidRDefault="00324889">
      <w:pPr>
        <w:widowControl w:val="0"/>
        <w:spacing w:after="120" w:line="240" w:lineRule="auto"/>
        <w:jc w:val="both"/>
        <w:rPr>
          <w:noProof/>
          <w:sz w:val="20"/>
        </w:rPr>
      </w:pPr>
      <w:r>
        <w:rPr>
          <w:noProof/>
          <w:sz w:val="20"/>
        </w:rPr>
        <w:t>The reasons for the disparities are principally due to the late industriali</w:t>
      </w:r>
      <w:r>
        <w:rPr>
          <w:noProof/>
          <w:sz w:val="20"/>
        </w:rPr>
        <w:t>zation of the southern regions, difficulties with administrative capacity and an economic imbalance between the municipalities which implement the separate collection. Nevertheless it would be worth exploring further the underlying causes to be able to fin</w:t>
      </w:r>
      <w:r>
        <w:rPr>
          <w:noProof/>
          <w:sz w:val="20"/>
        </w:rPr>
        <w:t>d the most efficient solutions. Italy has been subjected to sanctions by the EU Court of Justice for poor waste management in Campania region, which culminated in the waste crisis of 2007; since then, the separate collection in the region is steadily impro</w:t>
      </w:r>
      <w:r>
        <w:rPr>
          <w:noProof/>
          <w:sz w:val="20"/>
        </w:rPr>
        <w:t>ving, as well as recycling.</w:t>
      </w:r>
    </w:p>
    <w:p w:rsidR="00341319" w:rsidRDefault="00324889">
      <w:pPr>
        <w:widowControl w:val="0"/>
        <w:spacing w:after="120" w:line="240" w:lineRule="auto"/>
        <w:jc w:val="both"/>
        <w:rPr>
          <w:noProof/>
          <w:sz w:val="20"/>
        </w:rPr>
      </w:pPr>
      <w:r>
        <w:rPr>
          <w:noProof/>
          <w:sz w:val="20"/>
        </w:rPr>
        <w:t>Another factor influencing the differing geographical performance is the variable waste and landfill gate fees applied in the regions</w:t>
      </w:r>
      <w:r>
        <w:rPr>
          <w:noProof/>
          <w:sz w:val="20"/>
          <w:vertAlign w:val="superscript"/>
          <w:lang w:val="it-IT"/>
        </w:rPr>
        <w:footnoteReference w:id="44"/>
      </w:r>
      <w:r>
        <w:rPr>
          <w:noProof/>
          <w:sz w:val="20"/>
        </w:rPr>
        <w:t>. Some regions have also introduced special measures aimed at fostering separate collection or</w:t>
      </w:r>
      <w:r>
        <w:rPr>
          <w:noProof/>
          <w:sz w:val="20"/>
        </w:rPr>
        <w:t xml:space="preserve"> recycling operations. In the Marche region, for example, the landfill tax to be paid by municipalities is progressively reduced depending on the rate by which the national separate collection targets are exceeded. In Emilia-Romagna, which in 2010 reached </w:t>
      </w:r>
      <w:r>
        <w:rPr>
          <w:noProof/>
          <w:sz w:val="20"/>
        </w:rPr>
        <w:t>19% organic recycling of total municipal waste production, in order to promote the use of compost, farmers receive subsidies of EUR 150–180 per hectare</w:t>
      </w:r>
      <w:r>
        <w:rPr>
          <w:rStyle w:val="FootnoteReference"/>
          <w:noProof/>
          <w:sz w:val="20"/>
        </w:rPr>
        <w:footnoteReference w:id="45"/>
      </w:r>
      <w:r>
        <w:rPr>
          <w:noProof/>
          <w:sz w:val="20"/>
        </w:rPr>
        <w:t>.</w:t>
      </w:r>
    </w:p>
    <w:p w:rsidR="00341319" w:rsidRDefault="00324889">
      <w:pPr>
        <w:widowControl w:val="0"/>
        <w:spacing w:after="120" w:line="240" w:lineRule="auto"/>
        <w:jc w:val="both"/>
        <w:rPr>
          <w:noProof/>
          <w:sz w:val="20"/>
        </w:rPr>
      </w:pPr>
      <w:r>
        <w:rPr>
          <w:noProof/>
          <w:sz w:val="20"/>
        </w:rPr>
        <w:t>In order to support Italy in bridging the implementation gap, the Commission has delivered a roadmap</w:t>
      </w:r>
      <w:r>
        <w:rPr>
          <w:noProof/>
          <w:sz w:val="20"/>
          <w:vertAlign w:val="superscript"/>
          <w:lang w:val="it-IT"/>
        </w:rPr>
        <w:footnoteReference w:id="46"/>
      </w:r>
      <w:r>
        <w:rPr>
          <w:noProof/>
          <w:sz w:val="20"/>
        </w:rPr>
        <w:t xml:space="preserve"> </w:t>
      </w:r>
      <w:r>
        <w:rPr>
          <w:noProof/>
          <w:sz w:val="20"/>
        </w:rPr>
        <w:t xml:space="preserve">for compliance, in which economic instruments play a key role. For the regions in need of relevant infrastructure, waste management has been subject to Action Plans for the </w:t>
      </w:r>
      <w:r>
        <w:rPr>
          <w:i/>
          <w:noProof/>
          <w:sz w:val="20"/>
        </w:rPr>
        <w:t>ex-ante</w:t>
      </w:r>
      <w:r>
        <w:rPr>
          <w:noProof/>
          <w:sz w:val="20"/>
        </w:rPr>
        <w:t xml:space="preserve"> conditionality for waste to streamline financing from the ERDF between 2014</w:t>
      </w:r>
      <w:r>
        <w:rPr>
          <w:noProof/>
          <w:sz w:val="20"/>
        </w:rPr>
        <w:t>-20. In addition, EFSI is being used to improve environmental infrastructure for waste</w:t>
      </w:r>
      <w:r>
        <w:rPr>
          <w:noProof/>
          <w:sz w:val="20"/>
          <w:vertAlign w:val="superscript"/>
          <w:lang w:val="it-IT"/>
        </w:rPr>
        <w:footnoteReference w:id="47"/>
      </w:r>
      <w:r>
        <w:rPr>
          <w:noProof/>
          <w:sz w:val="20"/>
        </w:rPr>
        <w:t>. ERDF investments in 2014-20 for waste are only aimed at the activities at the top of the hierarchy hence excluding landfilling and incineration.</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szCs w:val="20"/>
        </w:rPr>
        <w:t>T</w:t>
      </w:r>
      <w:r>
        <w:rPr>
          <w:rFonts w:ascii="Calibri" w:hAnsi="Calibri" w:cs="Calibri"/>
          <w:noProof/>
          <w:sz w:val="20"/>
          <w:szCs w:val="20"/>
        </w:rPr>
        <w:t xml:space="preserve">he share of incineration compared to other treatment options for municipal waste was 21% </w:t>
      </w:r>
      <w:r>
        <w:rPr>
          <w:rFonts w:eastAsia="Calibri" w:cs="Times New Roman"/>
          <w:noProof/>
          <w:sz w:val="20"/>
          <w:szCs w:val="20"/>
        </w:rPr>
        <w:t>in 2014</w:t>
      </w:r>
      <w:r>
        <w:rPr>
          <w:rFonts w:eastAsia="Calibri" w:cs="Times New Roman"/>
          <w:noProof/>
          <w:sz w:val="20"/>
          <w:szCs w:val="20"/>
          <w:vertAlign w:val="superscript"/>
        </w:rPr>
        <w:footnoteReference w:id="48"/>
      </w:r>
      <w:r>
        <w:rPr>
          <w:rFonts w:eastAsia="Calibri" w:cs="Times New Roman"/>
          <w:noProof/>
          <w:sz w:val="20"/>
          <w:szCs w:val="20"/>
        </w:rPr>
        <w:t xml:space="preserve">. Furthermore, </w:t>
      </w:r>
      <w:r>
        <w:rPr>
          <w:rFonts w:eastAsia="Calibri" w:cs="Times New Roman"/>
          <w:noProof/>
          <w:sz w:val="20"/>
          <w:lang w:val="en-US"/>
        </w:rPr>
        <w:t>the government was mandated to assess the needs for incineration of municipal solid waste at national level</w:t>
      </w:r>
      <w:r>
        <w:rPr>
          <w:rFonts w:eastAsia="Calibri" w:cs="Times New Roman"/>
          <w:noProof/>
          <w:sz w:val="20"/>
          <w:vertAlign w:val="superscript"/>
        </w:rPr>
        <w:footnoteReference w:id="49"/>
      </w:r>
      <w:r>
        <w:rPr>
          <w:rFonts w:eastAsia="Calibri" w:cs="Times New Roman"/>
          <w:noProof/>
          <w:sz w:val="20"/>
          <w:lang w:val="en-US"/>
        </w:rPr>
        <w:t xml:space="preserve"> and consequently a recent Decree pr</w:t>
      </w:r>
      <w:r>
        <w:rPr>
          <w:rFonts w:eastAsia="Calibri" w:cs="Times New Roman"/>
          <w:noProof/>
          <w:sz w:val="20"/>
          <w:lang w:val="en-US"/>
        </w:rPr>
        <w:t xml:space="preserve">ovides a picture of the existing and needed incineration capacity region by region taking into account, </w:t>
      </w:r>
      <w:r>
        <w:rPr>
          <w:rFonts w:eastAsia="Calibri" w:cs="Times New Roman"/>
          <w:i/>
          <w:noProof/>
          <w:sz w:val="20"/>
          <w:lang w:val="en-US"/>
        </w:rPr>
        <w:t>inter alia</w:t>
      </w:r>
      <w:r>
        <w:rPr>
          <w:rFonts w:eastAsia="Calibri" w:cs="Times New Roman"/>
          <w:noProof/>
          <w:sz w:val="20"/>
          <w:lang w:val="en-US"/>
        </w:rPr>
        <w:t>, the foreseen reduction of waste production, and the future increase of separate collection in line with the national legal obligation (65%)</w:t>
      </w:r>
      <w:r>
        <w:rPr>
          <w:rFonts w:eastAsia="Calibri" w:cs="Times New Roman"/>
          <w:noProof/>
          <w:sz w:val="20"/>
          <w:vertAlign w:val="superscript"/>
          <w:lang w:val="en-US"/>
        </w:rPr>
        <w:footnoteReference w:id="50"/>
      </w:r>
      <w:r>
        <w:rPr>
          <w:rFonts w:eastAsia="Calibri" w:cs="Times New Roman"/>
          <w:noProof/>
          <w:sz w:val="20"/>
          <w:lang w:val="en-US"/>
        </w:rPr>
        <w:t xml:space="preserve">. </w:t>
      </w:r>
    </w:p>
    <w:p w:rsidR="00341319" w:rsidRDefault="00324889">
      <w:pPr>
        <w:widowControl w:val="0"/>
        <w:spacing w:after="120" w:line="240" w:lineRule="auto"/>
        <w:jc w:val="both"/>
        <w:rPr>
          <w:noProof/>
          <w:sz w:val="20"/>
        </w:rPr>
      </w:pPr>
      <w:r>
        <w:rPr>
          <w:noProof/>
          <w:sz w:val="20"/>
        </w:rPr>
        <w:t>With a 65.9% of packaging waste being recycled, Italy has reached the 2008 target of 55%</w:t>
      </w:r>
      <w:r>
        <w:rPr>
          <w:noProof/>
          <w:sz w:val="20"/>
          <w:vertAlign w:val="superscript"/>
        </w:rPr>
        <w:footnoteReference w:id="51"/>
      </w:r>
      <w:r>
        <w:rPr>
          <w:noProof/>
          <w:sz w:val="20"/>
        </w:rPr>
        <w:t>. Recovery and recycling of packaging waste are constantly increasing since year 2000. A Decree has been adopted in 2016 on measures to create an adequate integrate</w:t>
      </w:r>
      <w:r>
        <w:rPr>
          <w:noProof/>
          <w:sz w:val="20"/>
        </w:rPr>
        <w:t>d system for the organic fraction of organic waste</w:t>
      </w:r>
      <w:r>
        <w:rPr>
          <w:noProof/>
          <w:sz w:val="20"/>
          <w:vertAlign w:val="superscript"/>
        </w:rPr>
        <w:footnoteReference w:id="52"/>
      </w:r>
      <w:r>
        <w:rPr>
          <w:noProof/>
          <w:sz w:val="20"/>
        </w:rPr>
        <w:t>. It is estimated by CIC</w:t>
      </w:r>
      <w:r>
        <w:rPr>
          <w:noProof/>
          <w:sz w:val="20"/>
          <w:vertAlign w:val="superscript"/>
        </w:rPr>
        <w:footnoteReference w:id="53"/>
      </w:r>
      <w:r>
        <w:rPr>
          <w:noProof/>
          <w:sz w:val="20"/>
        </w:rPr>
        <w:t>that EUR 20 million/year is saved through biowaste contributing to the circular economy.</w:t>
      </w:r>
    </w:p>
    <w:p w:rsidR="00341319" w:rsidRDefault="00324889">
      <w:pPr>
        <w:widowControl w:val="0"/>
        <w:spacing w:after="120" w:line="240" w:lineRule="auto"/>
        <w:jc w:val="both"/>
        <w:rPr>
          <w:noProof/>
          <w:sz w:val="20"/>
        </w:rPr>
      </w:pPr>
      <w:r>
        <w:rPr>
          <w:noProof/>
          <w:sz w:val="20"/>
        </w:rPr>
        <w:t>According to a study</w:t>
      </w:r>
      <w:r>
        <w:rPr>
          <w:noProof/>
          <w:sz w:val="20"/>
          <w:vertAlign w:val="superscript"/>
        </w:rPr>
        <w:footnoteReference w:id="54"/>
      </w:r>
      <w:r>
        <w:rPr>
          <w:noProof/>
          <w:sz w:val="20"/>
        </w:rPr>
        <w:t>, moving towards the targets in the Roadmap on resource efficiency</w:t>
      </w:r>
      <w:r>
        <w:rPr>
          <w:noProof/>
          <w:sz w:val="20"/>
          <w:vertAlign w:val="superscript"/>
          <w:lang w:val="it-IT"/>
        </w:rPr>
        <w:footnoteReference w:id="55"/>
      </w:r>
      <w:r>
        <w:rPr>
          <w:noProof/>
          <w:sz w:val="20"/>
        </w:rPr>
        <w:t>, c</w:t>
      </w:r>
      <w:r>
        <w:rPr>
          <w:noProof/>
          <w:sz w:val="20"/>
        </w:rPr>
        <w:t>ould create over 83,400 additional jobs and an increase in the annual turnover of the waste sector by over EUR 8.8 billion.</w:t>
      </w:r>
    </w:p>
    <w:p w:rsidR="00341319" w:rsidRDefault="00324889">
      <w:pPr>
        <w:widowControl w:val="0"/>
        <w:spacing w:after="120" w:line="240" w:lineRule="auto"/>
        <w:jc w:val="both"/>
        <w:rPr>
          <w:noProof/>
          <w:sz w:val="20"/>
        </w:rPr>
      </w:pPr>
      <w:r>
        <w:rPr>
          <w:noProof/>
          <w:sz w:val="20"/>
        </w:rPr>
        <w:t>Separate collection and recycling are constantly growing all over the national territory as shown in Figure 5</w:t>
      </w:r>
      <w:r>
        <w:rPr>
          <w:noProof/>
          <w:sz w:val="20"/>
          <w:vertAlign w:val="superscript"/>
        </w:rPr>
        <w:footnoteReference w:id="56"/>
      </w:r>
      <w:r>
        <w:rPr>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noProof/>
                <w:color w:val="1F497D" w:themeColor="text2"/>
                <w:sz w:val="20"/>
              </w:rPr>
            </w:pPr>
            <w:r>
              <w:rPr>
                <w:b/>
                <w:bCs/>
                <w:noProof/>
                <w:color w:val="1F497D" w:themeColor="text2"/>
                <w:sz w:val="20"/>
              </w:rPr>
              <w:t xml:space="preserve">Figure 5: Regional </w:t>
            </w:r>
            <w:r>
              <w:rPr>
                <w:b/>
                <w:bCs/>
                <w:noProof/>
                <w:color w:val="1F497D" w:themeColor="text2"/>
                <w:sz w:val="20"/>
              </w:rPr>
              <w:t>separate collection rates</w:t>
            </w:r>
          </w:p>
        </w:tc>
      </w:tr>
      <w:tr w:rsidR="00341319">
        <w:tc>
          <w:tcPr>
            <w:tcW w:w="4909" w:type="dxa"/>
          </w:tcPr>
          <w:p w:rsidR="00341319" w:rsidRDefault="00324889">
            <w:pPr>
              <w:widowControl w:val="0"/>
              <w:spacing w:after="120"/>
              <w:jc w:val="both"/>
              <w:rPr>
                <w:noProof/>
                <w:sz w:val="20"/>
              </w:rPr>
            </w:pPr>
            <w:r>
              <w:rPr>
                <w:noProof/>
                <w:lang w:eastAsia="en-GB"/>
              </w:rPr>
              <w:drawing>
                <wp:inline distT="0" distB="0" distL="0" distR="0" wp14:anchorId="27A20424" wp14:editId="0D85A090">
                  <wp:extent cx="2984740" cy="22901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86405" cy="2291398"/>
                          </a:xfrm>
                          <a:prstGeom prst="rect">
                            <a:avLst/>
                          </a:prstGeom>
                        </pic:spPr>
                      </pic:pic>
                    </a:graphicData>
                  </a:graphic>
                </wp:inline>
              </w:drawing>
            </w:r>
          </w:p>
        </w:tc>
      </w:tr>
    </w:tbl>
    <w:p w:rsidR="00341319" w:rsidRDefault="00324889">
      <w:pPr>
        <w:widowControl w:val="0"/>
        <w:spacing w:after="120" w:line="240" w:lineRule="auto"/>
        <w:jc w:val="both"/>
        <w:rPr>
          <w:noProof/>
          <w:sz w:val="20"/>
        </w:rPr>
      </w:pPr>
      <w:r>
        <w:rPr>
          <w:noProof/>
          <w:sz w:val="20"/>
        </w:rPr>
        <w:t xml:space="preserve">For packaging waste, Italy applies Extended Producer Responsibility (EPR) by means of the national organisation CONAI. Different consortia have been established for paper, glass, plastic, etc.. The system covers a large part </w:t>
      </w:r>
      <w:r>
        <w:rPr>
          <w:noProof/>
          <w:sz w:val="20"/>
        </w:rPr>
        <w:t>of the recycling in Italy, achieving increased volumes of recycled packaging every year. During 2016 a reform should be introduced to move from taxes to tariffs in the waste sector</w:t>
      </w:r>
      <w:r>
        <w:rPr>
          <w:noProof/>
          <w:sz w:val="20"/>
          <w:vertAlign w:val="superscript"/>
        </w:rPr>
        <w:footnoteReference w:id="57"/>
      </w:r>
      <w:r>
        <w:rPr>
          <w:noProof/>
          <w:sz w:val="20"/>
        </w:rPr>
        <w:t>.</w:t>
      </w:r>
    </w:p>
    <w:p w:rsidR="00341319" w:rsidRDefault="00324889">
      <w:pPr>
        <w:widowControl w:val="0"/>
        <w:spacing w:after="120" w:line="240" w:lineRule="auto"/>
        <w:jc w:val="both"/>
        <w:rPr>
          <w:noProof/>
          <w:sz w:val="20"/>
        </w:rPr>
      </w:pPr>
      <w:r>
        <w:rPr>
          <w:noProof/>
          <w:sz w:val="20"/>
        </w:rPr>
        <w:t>Regarding waste prevention, since 2013 Italy has adopted the National Was</w:t>
      </w:r>
      <w:r>
        <w:rPr>
          <w:noProof/>
          <w:sz w:val="20"/>
        </w:rPr>
        <w:t xml:space="preserve">te Prevention Programme. On the basis of this National Programme, each Region has adopted regional prevention plans that, </w:t>
      </w:r>
      <w:r>
        <w:rPr>
          <w:i/>
          <w:noProof/>
          <w:sz w:val="20"/>
        </w:rPr>
        <w:t>inter alia</w:t>
      </w:r>
      <w:r>
        <w:rPr>
          <w:noProof/>
          <w:sz w:val="20"/>
        </w:rPr>
        <w:t xml:space="preserve">, include measures to increase the use of green public procurement and the reuse. A specific Fund for project financing for </w:t>
      </w:r>
      <w:r>
        <w:rPr>
          <w:noProof/>
          <w:sz w:val="20"/>
        </w:rPr>
        <w:t>waste prevention and waste reduction has been established, with EUR 513,475 assigned in 2014 to selected projects.</w:t>
      </w:r>
    </w:p>
    <w:p w:rsidR="00341319" w:rsidRDefault="00324889">
      <w:pPr>
        <w:widowControl w:val="0"/>
        <w:spacing w:line="240" w:lineRule="auto"/>
        <w:jc w:val="both"/>
        <w:rPr>
          <w:noProof/>
          <w:color w:val="1F497D" w:themeColor="text2"/>
        </w:rPr>
      </w:pPr>
      <w:r>
        <w:rPr>
          <w:noProof/>
          <w:color w:val="1F497D" w:themeColor="text2"/>
        </w:rPr>
        <w:t>Suggested action</w:t>
      </w:r>
    </w:p>
    <w:p w:rsidR="00341319" w:rsidRDefault="00324889">
      <w:pPr>
        <w:pStyle w:val="NoSpacing"/>
        <w:rPr>
          <w:noProof/>
        </w:rPr>
      </w:pPr>
      <w:r>
        <w:rPr>
          <w:noProof/>
        </w:rPr>
        <w:t>Introduce a national landfill tax or harmonise the regional taxes to phase-out landfilling of recyclable and recoverable was</w:t>
      </w:r>
      <w:r>
        <w:rPr>
          <w:noProof/>
        </w:rPr>
        <w:t>te. Use the revenues to support the separate collection and alternative infrastructure but avoid building excessive infrastructure for the treatment of residual waste. Improve co-operation between regions to use waste treatment capacity more efficiently.</w:t>
      </w:r>
    </w:p>
    <w:p w:rsidR="00341319" w:rsidRDefault="00324889">
      <w:pPr>
        <w:pStyle w:val="NoSpacing"/>
        <w:rPr>
          <w:noProof/>
        </w:rPr>
      </w:pPr>
      <w:r>
        <w:rPr>
          <w:noProof/>
        </w:rPr>
        <w:t>F</w:t>
      </w:r>
      <w:r>
        <w:rPr>
          <w:noProof/>
        </w:rPr>
        <w:t xml:space="preserve">ocus on improving the effectiveness of the separate collection to increase recycling rates in the regions that are lagging behind. </w:t>
      </w:r>
    </w:p>
    <w:p w:rsidR="00341319" w:rsidRDefault="00324889">
      <w:pPr>
        <w:pStyle w:val="NoSpacing"/>
        <w:rPr>
          <w:noProof/>
        </w:rPr>
      </w:pPr>
      <w:r>
        <w:rPr>
          <w:noProof/>
        </w:rPr>
        <w:t>Extend and improve the cost-effectiveness, monitoring and transparency of existing EPR schemes.</w:t>
      </w:r>
    </w:p>
    <w:p w:rsidR="00341319" w:rsidRDefault="00341319">
      <w:pPr>
        <w:pStyle w:val="NoSpacing"/>
        <w:numPr>
          <w:ilvl w:val="0"/>
          <w:numId w:val="0"/>
        </w:numPr>
        <w:ind w:left="170" w:hanging="170"/>
        <w:rPr>
          <w:noProof/>
        </w:rPr>
      </w:pPr>
    </w:p>
    <w:p w:rsidR="00341319" w:rsidRDefault="00341319">
      <w:pPr>
        <w:pStyle w:val="NoSpacing"/>
        <w:numPr>
          <w:ilvl w:val="0"/>
          <w:numId w:val="0"/>
        </w:numPr>
        <w:ind w:left="170" w:hanging="170"/>
        <w:rPr>
          <w:noProof/>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pPr>
    </w:p>
    <w:p w:rsidR="00341319" w:rsidRDefault="00341319">
      <w:pPr>
        <w:widowControl w:val="0"/>
        <w:spacing w:after="120" w:line="240" w:lineRule="auto"/>
        <w:jc w:val="both"/>
        <w:rPr>
          <w:rFonts w:eastAsia="Calibri" w:cs="Times New Roman"/>
          <w:noProof/>
          <w:sz w:val="20"/>
        </w:rPr>
        <w:sectPr w:rsidR="00341319">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440" w:right="1080" w:bottom="1440" w:left="1080" w:header="708" w:footer="708" w:gutter="0"/>
          <w:cols w:num="2" w:space="360"/>
          <w:docGrid w:linePitch="360"/>
        </w:sectPr>
      </w:pPr>
    </w:p>
    <w:p w:rsidR="00341319" w:rsidRDefault="00324889">
      <w:pPr>
        <w:rPr>
          <w:rFonts w:ascii="Calibri" w:eastAsiaTheme="majorEastAsia" w:hAnsi="Calibri" w:cs="Times New Roman"/>
          <w:b/>
          <w:bCs/>
          <w:noProof/>
          <w:color w:val="1F497D"/>
          <w:sz w:val="32"/>
          <w:szCs w:val="28"/>
        </w:rPr>
      </w:pPr>
      <w:r>
        <w:rPr>
          <w:noProof/>
        </w:rPr>
        <w:br w:type="page"/>
      </w:r>
    </w:p>
    <w:p w:rsidR="00341319" w:rsidRDefault="00324889">
      <w:pPr>
        <w:pStyle w:val="Heading1"/>
      </w:pPr>
      <w:bookmarkStart w:id="11" w:name="_Toc469476704"/>
      <w:r>
        <w:t>Protecting, conserving and enhancing natural capital</w:t>
      </w:r>
      <w:bookmarkEnd w:id="11"/>
    </w:p>
    <w:p w:rsidR="00341319" w:rsidRDefault="00341319">
      <w:pPr>
        <w:widowControl w:val="0"/>
        <w:spacing w:after="120" w:line="240" w:lineRule="auto"/>
        <w:jc w:val="both"/>
        <w:rPr>
          <w:noProof/>
          <w:sz w:val="20"/>
        </w:rPr>
      </w:pPr>
    </w:p>
    <w:p w:rsidR="00341319" w:rsidRDefault="00341319">
      <w:pPr>
        <w:widowControl w:val="0"/>
        <w:spacing w:line="240" w:lineRule="auto"/>
        <w:jc w:val="both"/>
        <w:rPr>
          <w:rFonts w:cs="Times New Roman"/>
          <w:noProof/>
          <w:sz w:val="20"/>
        </w:rPr>
        <w:sectPr w:rsidR="00341319">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cols w:space="568"/>
          <w:docGrid w:linePitch="360"/>
        </w:sectPr>
      </w:pP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12" w:name="_Toc469476705"/>
      <w:r>
        <w:rPr>
          <w:rFonts w:cs="Times New Roman"/>
          <w:b/>
          <w:noProof/>
          <w:color w:val="1F497D" w:themeColor="text2"/>
          <w:sz w:val="24"/>
          <w:szCs w:val="24"/>
          <w:lang w:eastAsia="en-GB"/>
        </w:rPr>
        <w:t>Nature and Biodiversity</w:t>
      </w:r>
      <w:bookmarkEnd w:id="12"/>
    </w:p>
    <w:p w:rsidR="00341319" w:rsidRDefault="00324889">
      <w:pPr>
        <w:widowControl w:val="0"/>
        <w:shd w:val="clear" w:color="auto" w:fill="4F81BD" w:themeFill="accent1"/>
        <w:spacing w:after="60" w:line="240" w:lineRule="auto"/>
        <w:jc w:val="both"/>
        <w:rPr>
          <w:noProof/>
          <w:color w:val="FFFFFF" w:themeColor="background1"/>
          <w:sz w:val="20"/>
        </w:rPr>
      </w:pPr>
      <w:r>
        <w:rPr>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noProof/>
          <w:color w:val="FFFFFF" w:themeColor="background1"/>
          <w:sz w:val="20"/>
        </w:rPr>
        <w:t xml:space="preserve">favourable conservation status of protected species and habitats. </w:t>
      </w:r>
    </w:p>
    <w:p w:rsidR="00341319" w:rsidRDefault="00324889">
      <w:pPr>
        <w:widowControl w:val="0"/>
        <w:shd w:val="clear" w:color="auto" w:fill="4F81BD" w:themeFill="accent1"/>
        <w:spacing w:after="60" w:line="240" w:lineRule="auto"/>
        <w:jc w:val="both"/>
        <w:rPr>
          <w:noProof/>
          <w:color w:val="FFFFFF" w:themeColor="background1"/>
          <w:sz w:val="20"/>
        </w:rPr>
      </w:pPr>
      <w:r>
        <w:rPr>
          <w:noProof/>
          <w:color w:val="FFFFFF" w:themeColor="background1"/>
          <w:sz w:val="20"/>
        </w:rPr>
        <w:t>SDG 14 requires countries to conserve and sustainably use the oceans, seas and marine resources, while SDG 15 requires countries to protect, restore and promote the sustainable use of terre</w:t>
      </w:r>
      <w:r>
        <w:rPr>
          <w:noProof/>
          <w:color w:val="FFFFFF" w:themeColor="background1"/>
          <w:sz w:val="20"/>
        </w:rPr>
        <w:t>strial ecosystems, sustainably manage forests, combat desertification, and halt and reverse land degradation and halt biodiversity loss.</w:t>
      </w:r>
    </w:p>
    <w:p w:rsidR="00341319" w:rsidRDefault="00324889">
      <w:pPr>
        <w:widowControl w:val="0"/>
        <w:spacing w:after="120" w:line="240" w:lineRule="auto"/>
        <w:jc w:val="both"/>
        <w:rPr>
          <w:bCs/>
          <w:noProof/>
          <w:sz w:val="20"/>
          <w:szCs w:val="20"/>
          <w:lang w:val="en"/>
        </w:rPr>
      </w:pPr>
      <w:r>
        <w:rPr>
          <w:iCs/>
          <w:noProof/>
          <w:sz w:val="20"/>
        </w:rPr>
        <w:t xml:space="preserve">The 1992 EU Habitats Directive and the 1979 Birds Directive are the </w:t>
      </w:r>
      <w:r>
        <w:rPr>
          <w:iCs/>
          <w:noProof/>
          <w:sz w:val="20"/>
          <w:szCs w:val="20"/>
        </w:rPr>
        <w:t>cornerstone of the</w:t>
      </w:r>
      <w:r>
        <w:rPr>
          <w:iCs/>
          <w:noProof/>
          <w:sz w:val="20"/>
        </w:rPr>
        <w:t xml:space="preserve"> European legislation aimed at th</w:t>
      </w:r>
      <w:r>
        <w:rPr>
          <w:iCs/>
          <w:noProof/>
          <w:sz w:val="20"/>
        </w:rPr>
        <w:t>e conservation of the EU's wildlife. Natura 2000, the largest coordinated network of protected areas in the world, is the key instrument to achieve and implement the Directives' objectives</w:t>
      </w:r>
      <w:r>
        <w:rPr>
          <w:noProof/>
          <w:sz w:val="20"/>
          <w:lang w:val="en"/>
        </w:rPr>
        <w:t xml:space="preserve"> to ensure the </w:t>
      </w:r>
      <w:r>
        <w:rPr>
          <w:bCs/>
          <w:noProof/>
          <w:sz w:val="20"/>
          <w:lang w:val="en"/>
        </w:rPr>
        <w:t>long-term protection, conservation and survival of Eu</w:t>
      </w:r>
      <w:r>
        <w:rPr>
          <w:bCs/>
          <w:noProof/>
          <w:sz w:val="20"/>
          <w:lang w:val="en"/>
        </w:rPr>
        <w:t>rope's most valuable and threatened species and habitats</w:t>
      </w:r>
      <w:r>
        <w:rPr>
          <w:bCs/>
          <w:noProof/>
          <w:sz w:val="20"/>
          <w:szCs w:val="20"/>
          <w:lang w:val="en"/>
        </w:rPr>
        <w:t xml:space="preserve"> and the ecosystems they underpin.</w:t>
      </w:r>
    </w:p>
    <w:p w:rsidR="00341319" w:rsidRDefault="00324889">
      <w:pPr>
        <w:widowControl w:val="0"/>
        <w:spacing w:after="120" w:line="240" w:lineRule="auto"/>
        <w:jc w:val="both"/>
        <w:rPr>
          <w:noProof/>
          <w:sz w:val="20"/>
        </w:rPr>
      </w:pPr>
      <w:r>
        <w:rPr>
          <w:noProof/>
          <w:sz w:val="20"/>
          <w:lang w:val="en"/>
        </w:rPr>
        <w:t xml:space="preserve">The adequate designation of protected sites as Special Ares of Conservation (SAC) under the Habitats Directive and as Special Protection Areas (SPA) under the Birds </w:t>
      </w:r>
      <w:r>
        <w:rPr>
          <w:noProof/>
          <w:sz w:val="20"/>
          <w:lang w:val="en"/>
        </w:rPr>
        <w:t xml:space="preserve">Directive is a key milestone towards meeting the objectives of the Directives. </w:t>
      </w:r>
      <w:r>
        <w:rPr>
          <w:noProof/>
          <w:sz w:val="20"/>
        </w:rPr>
        <w:t xml:space="preserve">The results of </w:t>
      </w:r>
      <w:r>
        <w:rPr>
          <w:noProof/>
          <w:sz w:val="20"/>
          <w:lang w:val="en-US"/>
        </w:rPr>
        <w:t>Habitats Directive Article 17 and Birds Directive Article 12</w:t>
      </w:r>
      <w:r>
        <w:rPr>
          <w:noProof/>
          <w:sz w:val="20"/>
        </w:rPr>
        <w:t xml:space="preserve"> reports and the progress towards adequate Sites of Community Importance (SCI)-SPA and SAC designation</w:t>
      </w:r>
      <w:r>
        <w:rPr>
          <w:noProof/>
          <w:sz w:val="20"/>
          <w:vertAlign w:val="superscript"/>
          <w:lang w:val="it-IT"/>
        </w:rPr>
        <w:footnoteReference w:id="58"/>
      </w:r>
      <w:r>
        <w:rPr>
          <w:noProof/>
          <w:sz w:val="20"/>
        </w:rPr>
        <w:t xml:space="preserve"> </w:t>
      </w:r>
      <w:r>
        <w:rPr>
          <w:noProof/>
          <w:sz w:val="20"/>
          <w:szCs w:val="20"/>
        </w:rPr>
        <w:t xml:space="preserve">both in land and at sea, </w:t>
      </w:r>
      <w:r>
        <w:rPr>
          <w:noProof/>
          <w:sz w:val="20"/>
        </w:rPr>
        <w:t>should be the key items to measure the performance of Member States.</w:t>
      </w:r>
    </w:p>
    <w:p w:rsidR="00341319" w:rsidRDefault="00324889">
      <w:pPr>
        <w:widowControl w:val="0"/>
        <w:spacing w:after="120" w:line="240" w:lineRule="auto"/>
        <w:jc w:val="both"/>
        <w:rPr>
          <w:rFonts w:eastAsia="Calibri"/>
          <w:noProof/>
          <w:sz w:val="20"/>
        </w:rPr>
      </w:pPr>
      <w:r>
        <w:rPr>
          <w:rFonts w:eastAsia="Calibri"/>
          <w:noProof/>
          <w:sz w:val="20"/>
        </w:rPr>
        <w:t>In Italy 2585 sites have been designated under the Habitats and the Birds Directives.</w:t>
      </w:r>
      <w:r>
        <w:rPr>
          <w:noProof/>
          <w:sz w:val="20"/>
        </w:rPr>
        <w:t xml:space="preserve"> By early 2016, 18.97% of the national land area of Italy was covered by Na</w:t>
      </w:r>
      <w:r>
        <w:rPr>
          <w:noProof/>
          <w:sz w:val="20"/>
        </w:rPr>
        <w:t>tura 2000 (EU average 18.1%), with Birds Directive SPAs covering 13.31% (EU average 12.3%) and Habitats Directive SCIs covering 14.21% (EU average 13.8%)</w:t>
      </w:r>
      <w:r>
        <w:rPr>
          <w:rFonts w:eastAsia="Calibri"/>
          <w:noProof/>
          <w:sz w:val="20"/>
        </w:rPr>
        <w:t>.  By 2012 Italy designated 523 marine Natura 2000 sites that covered 6608.1 km². Italy also had 88 nat</w:t>
      </w:r>
      <w:r>
        <w:rPr>
          <w:rFonts w:eastAsia="Calibri"/>
          <w:noProof/>
          <w:sz w:val="20"/>
        </w:rPr>
        <w:t xml:space="preserve">ionally designated Marine Protected Areas covering 26644.9 km² which showed an 11.1% overlap with the Natura 2000 sites. By the end of 2014 Italy's marine Natura 2000 designations covered 6721 km², showing a slight increase from 2012. Nevertheless, </w:t>
      </w:r>
      <w:r>
        <w:rPr>
          <w:noProof/>
          <w:sz w:val="20"/>
        </w:rPr>
        <w:t>the lat</w:t>
      </w:r>
      <w:r>
        <w:rPr>
          <w:noProof/>
          <w:sz w:val="20"/>
        </w:rPr>
        <w:t>est assessment of the SCIs part of the Natura 2000 network shows that there are insufficiencies in designation for the marine components of the network</w:t>
      </w:r>
      <w:r>
        <w:rPr>
          <w:noProof/>
          <w:sz w:val="20"/>
          <w:szCs w:val="20"/>
          <w:vertAlign w:val="superscript"/>
          <w:lang w:val="en"/>
        </w:rPr>
        <w:footnoteReference w:id="59"/>
      </w:r>
      <w:r>
        <w:rPr>
          <w:noProof/>
          <w:sz w:val="20"/>
        </w:rPr>
        <w:t xml:space="preserve"> (see Figure 6</w:t>
      </w:r>
      <w:r>
        <w:rPr>
          <w:rStyle w:val="FootnoteReference"/>
          <w:noProof/>
          <w:sz w:val="20"/>
        </w:rPr>
        <w:footnoteReference w:id="60"/>
      </w:r>
      <w:r>
        <w:rPr>
          <w:noProof/>
          <w:sz w:val="20"/>
        </w:rPr>
        <w:t>)</w:t>
      </w:r>
      <w:r>
        <w:rPr>
          <w:rFonts w:eastAsia="Calibri"/>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b/>
                <w:bCs/>
                <w:noProof/>
                <w:color w:val="1F497D" w:themeColor="text2"/>
                <w:sz w:val="20"/>
              </w:rPr>
            </w:pPr>
            <w:r>
              <w:rPr>
                <w:b/>
                <w:bCs/>
                <w:noProof/>
                <w:color w:val="1F497D" w:themeColor="text2"/>
                <w:sz w:val="20"/>
              </w:rPr>
              <w:t xml:space="preserve">Figure 6: Sufficiency assessment of SCI networks in Italy </w:t>
            </w:r>
            <w:r>
              <w:rPr>
                <w:b/>
                <w:noProof/>
                <w:color w:val="1F497D" w:themeColor="text2"/>
                <w:sz w:val="20"/>
              </w:rPr>
              <w:t>based on the situation until</w:t>
            </w:r>
            <w:r>
              <w:rPr>
                <w:b/>
                <w:noProof/>
                <w:color w:val="1F497D" w:themeColor="text2"/>
                <w:sz w:val="20"/>
              </w:rPr>
              <w:t xml:space="preserve"> December 2013</w:t>
            </w:r>
            <w:r>
              <w:rPr>
                <w:b/>
                <w:bCs/>
                <w:noProof/>
                <w:color w:val="1F497D" w:themeColor="text2"/>
                <w:sz w:val="20"/>
                <w:vertAlign w:val="superscript"/>
                <w:lang w:val="it-IT"/>
              </w:rPr>
              <w:footnoteReference w:id="61"/>
            </w:r>
            <w:r>
              <w:rPr>
                <w:b/>
                <w:noProof/>
                <w:color w:val="1F497D" w:themeColor="text2"/>
                <w:sz w:val="20"/>
              </w:rPr>
              <w:t xml:space="preserve"> </w:t>
            </w:r>
            <w:r>
              <w:rPr>
                <w:b/>
                <w:bCs/>
                <w:noProof/>
                <w:color w:val="1F497D" w:themeColor="text2"/>
                <w:sz w:val="20"/>
              </w:rPr>
              <w:t xml:space="preserve"> </w:t>
            </w:r>
          </w:p>
        </w:tc>
      </w:tr>
      <w:tr w:rsidR="00341319">
        <w:tc>
          <w:tcPr>
            <w:tcW w:w="4909" w:type="dxa"/>
          </w:tcPr>
          <w:p w:rsidR="00341319" w:rsidRDefault="00324889">
            <w:pPr>
              <w:widowControl w:val="0"/>
              <w:spacing w:after="120"/>
              <w:jc w:val="center"/>
              <w:rPr>
                <w:noProof/>
                <w:sz w:val="20"/>
              </w:rPr>
            </w:pPr>
            <w:r>
              <w:rPr>
                <w:noProof/>
                <w:sz w:val="20"/>
                <w:lang w:eastAsia="en-GB"/>
              </w:rPr>
              <w:drawing>
                <wp:inline distT="0" distB="0" distL="0" distR="0" wp14:anchorId="5A6D72BA" wp14:editId="33D72F2D">
                  <wp:extent cx="2529243" cy="2628842"/>
                  <wp:effectExtent l="0" t="0" r="444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9243" cy="2628842"/>
                          </a:xfrm>
                          <a:prstGeom prst="rect">
                            <a:avLst/>
                          </a:prstGeom>
                          <a:noFill/>
                        </pic:spPr>
                      </pic:pic>
                    </a:graphicData>
                  </a:graphic>
                </wp:inline>
              </w:drawing>
            </w:r>
          </w:p>
        </w:tc>
      </w:tr>
    </w:tbl>
    <w:p w:rsidR="00341319" w:rsidRDefault="00324889">
      <w:pPr>
        <w:widowControl w:val="0"/>
        <w:spacing w:before="240" w:after="120" w:line="240" w:lineRule="auto"/>
        <w:jc w:val="both"/>
        <w:rPr>
          <w:rFonts w:eastAsia="Calibri" w:cs="Times New Roman"/>
          <w:noProof/>
          <w:sz w:val="20"/>
        </w:rPr>
      </w:pPr>
      <w:r>
        <w:rPr>
          <w:noProof/>
          <w:sz w:val="20"/>
          <w:szCs w:val="20"/>
        </w:rPr>
        <w:t>Although the 6-year deadline established by the Habitats Directive to designate SACs and establish appropriate conservation objectives and measures has expired</w:t>
      </w:r>
      <w:r>
        <w:rPr>
          <w:rFonts w:eastAsia="Calibri" w:cs="Times New Roman"/>
          <w:noProof/>
          <w:sz w:val="20"/>
        </w:rPr>
        <w:t xml:space="preserve"> for 2281 SCIs</w:t>
      </w:r>
      <w:r>
        <w:rPr>
          <w:noProof/>
          <w:sz w:val="20"/>
          <w:szCs w:val="20"/>
        </w:rPr>
        <w:t xml:space="preserve">, </w:t>
      </w:r>
      <w:r>
        <w:rPr>
          <w:rFonts w:eastAsia="Calibri" w:cs="Times New Roman"/>
          <w:noProof/>
          <w:sz w:val="20"/>
        </w:rPr>
        <w:t xml:space="preserve">as in May 2016 Italy had completed the SAC designation and related obligations only for 578 SCIs. </w:t>
      </w:r>
    </w:p>
    <w:p w:rsidR="00341319" w:rsidRDefault="00324889">
      <w:pPr>
        <w:widowControl w:val="0"/>
        <w:spacing w:after="120" w:line="240" w:lineRule="auto"/>
        <w:jc w:val="both"/>
        <w:rPr>
          <w:noProof/>
          <w:sz w:val="20"/>
        </w:rPr>
      </w:pPr>
      <w:r>
        <w:rPr>
          <w:noProof/>
          <w:sz w:val="20"/>
        </w:rPr>
        <w:t>There are a high number of complaints regarding the implementation of the Nature Directives on degradation of designated sites, asserted bad quality of Appro</w:t>
      </w:r>
      <w:r>
        <w:rPr>
          <w:noProof/>
          <w:sz w:val="20"/>
        </w:rPr>
        <w:t>priate Assessments under Article 6(3) Habitats Directive, and poor species protection. The experience of the Commission in evaluating the ERDF Operational Programmes 2014-20 is that the appropriate assessments were of widely varying quality. This has negat</w:t>
      </w:r>
      <w:r>
        <w:rPr>
          <w:noProof/>
          <w:sz w:val="20"/>
        </w:rPr>
        <w:t>ive impacts on nature but also on business and legal certainty.</w:t>
      </w:r>
    </w:p>
    <w:p w:rsidR="00341319" w:rsidRDefault="00324889">
      <w:pPr>
        <w:widowControl w:val="0"/>
        <w:spacing w:after="120" w:line="240" w:lineRule="auto"/>
        <w:jc w:val="both"/>
        <w:rPr>
          <w:noProof/>
          <w:sz w:val="20"/>
        </w:rPr>
      </w:pPr>
      <w:r>
        <w:rPr>
          <w:noProof/>
          <w:sz w:val="20"/>
        </w:rPr>
        <w:t>According to the latest report on the conservation status of habitats and species covered by the Habitats Directive (covering the period 2007-12)</w:t>
      </w:r>
      <w:r>
        <w:rPr>
          <w:rFonts w:eastAsia="Calibri" w:cs="Times New Roman"/>
          <w:noProof/>
          <w:sz w:val="20"/>
          <w:vertAlign w:val="superscript"/>
        </w:rPr>
        <w:footnoteReference w:id="62"/>
      </w:r>
      <w:r>
        <w:rPr>
          <w:noProof/>
          <w:sz w:val="20"/>
        </w:rPr>
        <w:t>, only 34% of the assessments for plant specie</w:t>
      </w:r>
      <w:r>
        <w:rPr>
          <w:noProof/>
          <w:sz w:val="20"/>
        </w:rPr>
        <w:t>s and 44% for animal species indicate a favourable conservation status</w:t>
      </w:r>
      <w:r>
        <w:rPr>
          <w:rFonts w:eastAsia="Calibri" w:cs="Times New Roman"/>
          <w:noProof/>
          <w:sz w:val="20"/>
          <w:vertAlign w:val="superscript"/>
        </w:rPr>
        <w:footnoteReference w:id="63"/>
      </w:r>
      <w:r>
        <w:rPr>
          <w:noProof/>
          <w:sz w:val="20"/>
        </w:rPr>
        <w:t xml:space="preserve">. For habitat types the percentage of assessments showing a favourable conservation status is only 22% </w:t>
      </w:r>
      <w:r>
        <w:rPr>
          <w:noProof/>
          <w:sz w:val="20"/>
          <w:szCs w:val="20"/>
        </w:rPr>
        <w:t>(EU 27: 16 %)</w:t>
      </w:r>
      <w:r>
        <w:rPr>
          <w:noProof/>
          <w:sz w:val="20"/>
        </w:rPr>
        <w:t xml:space="preserve">, while 40% </w:t>
      </w:r>
      <w:r>
        <w:rPr>
          <w:noProof/>
          <w:sz w:val="20"/>
          <w:szCs w:val="20"/>
        </w:rPr>
        <w:t xml:space="preserve">(EU 27: 47%) </w:t>
      </w:r>
      <w:r>
        <w:rPr>
          <w:noProof/>
          <w:sz w:val="20"/>
        </w:rPr>
        <w:t xml:space="preserve">are considered to be </w:t>
      </w:r>
      <w:r>
        <w:rPr>
          <w:noProof/>
          <w:sz w:val="20"/>
          <w:szCs w:val="20"/>
        </w:rPr>
        <w:t>unfavourable–inadequate</w:t>
      </w:r>
      <w:r>
        <w:rPr>
          <w:noProof/>
          <w:sz w:val="20"/>
        </w:rPr>
        <w:t xml:space="preserve"> and 27% are see </w:t>
      </w:r>
      <w:r>
        <w:rPr>
          <w:noProof/>
          <w:sz w:val="20"/>
          <w:szCs w:val="20"/>
        </w:rPr>
        <w:t xml:space="preserve">unfavourable – bad (EU 27: 30%). This is depicted in </w:t>
      </w:r>
      <w:r>
        <w:rPr>
          <w:noProof/>
          <w:sz w:val="20"/>
        </w:rPr>
        <w:t>Figure 7</w:t>
      </w:r>
      <w:r>
        <w:rPr>
          <w:noProof/>
          <w:sz w:val="20"/>
          <w:vertAlign w:val="superscript"/>
          <w:lang w:val="it-IT"/>
        </w:rPr>
        <w:footnoteReference w:id="64"/>
      </w:r>
      <w:r>
        <w:rPr>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b/>
                <w:bCs/>
                <w:noProof/>
                <w:color w:val="1F497D" w:themeColor="text2"/>
                <w:sz w:val="20"/>
              </w:rPr>
            </w:pPr>
            <w:r>
              <w:rPr>
                <w:b/>
                <w:bCs/>
                <w:noProof/>
                <w:color w:val="1F497D" w:themeColor="text2"/>
                <w:sz w:val="20"/>
              </w:rPr>
              <w:t>Figure 7: Conservation status of habitats and species in Italy in 2007/2013 (%)</w:t>
            </w:r>
            <w:r>
              <w:rPr>
                <w:b/>
                <w:noProof/>
                <w:color w:val="1F497D" w:themeColor="text2"/>
                <w:sz w:val="20"/>
                <w:vertAlign w:val="superscript"/>
                <w:lang w:val="it-IT"/>
              </w:rPr>
              <w:footnoteReference w:id="65"/>
            </w:r>
          </w:p>
        </w:tc>
      </w:tr>
      <w:tr w:rsidR="00341319">
        <w:tc>
          <w:tcPr>
            <w:tcW w:w="4909" w:type="dxa"/>
          </w:tcPr>
          <w:p w:rsidR="00341319" w:rsidRDefault="00324889">
            <w:pPr>
              <w:widowControl w:val="0"/>
              <w:spacing w:after="120"/>
              <w:jc w:val="center"/>
              <w:rPr>
                <w:noProof/>
                <w:sz w:val="20"/>
              </w:rPr>
            </w:pPr>
            <w:r>
              <w:rPr>
                <w:noProof/>
                <w:sz w:val="20"/>
                <w:lang w:eastAsia="en-GB"/>
              </w:rPr>
              <w:drawing>
                <wp:inline distT="0" distB="0" distL="0" distR="0" wp14:anchorId="61399083" wp14:editId="7869D025">
                  <wp:extent cx="2668772" cy="29773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6233" cy="2974494"/>
                          </a:xfrm>
                          <a:prstGeom prst="rect">
                            <a:avLst/>
                          </a:prstGeom>
                          <a:noFill/>
                        </pic:spPr>
                      </pic:pic>
                    </a:graphicData>
                  </a:graphic>
                </wp:inline>
              </w:drawing>
            </w:r>
          </w:p>
        </w:tc>
      </w:tr>
    </w:tbl>
    <w:p w:rsidR="00341319" w:rsidRDefault="00324889">
      <w:pPr>
        <w:widowControl w:val="0"/>
        <w:spacing w:line="240" w:lineRule="auto"/>
        <w:jc w:val="both"/>
        <w:rPr>
          <w:noProof/>
          <w:sz w:val="20"/>
        </w:rPr>
      </w:pPr>
      <w:r>
        <w:rPr>
          <w:noProof/>
          <w:sz w:val="20"/>
        </w:rPr>
        <w:t xml:space="preserve">For birds, Figure 8 demonstrates that 42% of the breeding species showed short-term </w:t>
      </w:r>
      <w:r>
        <w:rPr>
          <w:noProof/>
          <w:sz w:val="20"/>
        </w:rPr>
        <w:t>increasing or stable population trends (for wintering species this figure was 73%).</w:t>
      </w:r>
    </w:p>
    <w:p w:rsidR="00341319" w:rsidRDefault="00324889">
      <w:pPr>
        <w:widowControl w:val="0"/>
        <w:spacing w:after="120" w:line="240" w:lineRule="auto"/>
        <w:jc w:val="both"/>
        <w:rPr>
          <w:noProof/>
          <w:sz w:val="20"/>
        </w:rPr>
      </w:pPr>
      <w:r>
        <w:rPr>
          <w:noProof/>
          <w:sz w:val="20"/>
        </w:rPr>
        <w:t xml:space="preserve">The lack of adequate resources to support appropriate land management and conservation measures is acknowledged as a major obstacle to achieve the objectives of the Nature </w:t>
      </w:r>
      <w:r>
        <w:rPr>
          <w:noProof/>
          <w:sz w:val="20"/>
        </w:rPr>
        <w:t>Directives. In 2007-13 the disbursement from ERDF and EAFRD</w:t>
      </w:r>
      <w:r>
        <w:rPr>
          <w:rStyle w:val="FootnoteReference"/>
          <w:noProof/>
          <w:sz w:val="20"/>
        </w:rPr>
        <w:footnoteReference w:id="66"/>
      </w:r>
      <w:r>
        <w:rPr>
          <w:noProof/>
          <w:sz w:val="20"/>
        </w:rPr>
        <w:t xml:space="preserve"> for nature conservation measures is particularly low (see section 4). This could be improved by administrative capacity building. A recently adopted LIFE Integrated Project (GESTIRE 2020) creates</w:t>
      </w:r>
      <w:r>
        <w:rPr>
          <w:noProof/>
          <w:sz w:val="20"/>
        </w:rPr>
        <w:t xml:space="preserve"> an integrated management structure for achieving conservation objective for the Lombardy Natura 2000 regional network. The project aims to update the Lombardy Prioritised Action Framework (PAF) in the following ways: coordinate management; integrate regio</w:t>
      </w:r>
      <w:r>
        <w:rPr>
          <w:noProof/>
          <w:sz w:val="20"/>
        </w:rPr>
        <w:t>nal policies; train personnel working; raise public awareness; and plan interventions to conserve biodiversity, such as enhancing connectivity and tackling invasive alien species.</w:t>
      </w:r>
      <w:r>
        <w:rPr>
          <w:noProof/>
          <w:sz w:val="20"/>
          <w:vertAlign w:val="superscript"/>
          <w:lang w:val="it-IT"/>
        </w:rPr>
        <w:footnoteReference w:id="67"/>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noProof/>
                <w:color w:val="1F497D" w:themeColor="text2"/>
                <w:sz w:val="20"/>
              </w:rPr>
            </w:pPr>
            <w:r>
              <w:rPr>
                <w:b/>
                <w:bCs/>
                <w:noProof/>
                <w:color w:val="1F497D" w:themeColor="text2"/>
                <w:sz w:val="20"/>
              </w:rPr>
              <w:t>Figure 8: Short-term population trend of breeding and wintering bird specie</w:t>
            </w:r>
            <w:r>
              <w:rPr>
                <w:b/>
                <w:bCs/>
                <w:noProof/>
                <w:color w:val="1F497D" w:themeColor="text2"/>
                <w:sz w:val="20"/>
              </w:rPr>
              <w:t>s in Italy in 2012 (%)</w:t>
            </w:r>
            <w:r>
              <w:rPr>
                <w:b/>
                <w:bCs/>
                <w:noProof/>
                <w:color w:val="1F497D" w:themeColor="text2"/>
                <w:sz w:val="20"/>
                <w:vertAlign w:val="superscript"/>
                <w:lang w:val="it-IT"/>
              </w:rPr>
              <w:footnoteReference w:id="68"/>
            </w:r>
          </w:p>
        </w:tc>
      </w:tr>
      <w:tr w:rsidR="00341319">
        <w:tc>
          <w:tcPr>
            <w:tcW w:w="4909" w:type="dxa"/>
          </w:tcPr>
          <w:p w:rsidR="00341319" w:rsidRDefault="00324889">
            <w:pPr>
              <w:widowControl w:val="0"/>
              <w:spacing w:after="120"/>
              <w:jc w:val="both"/>
              <w:rPr>
                <w:noProof/>
                <w:sz w:val="20"/>
              </w:rPr>
            </w:pPr>
            <w:r>
              <w:rPr>
                <w:noProof/>
                <w:sz w:val="20"/>
                <w:lang w:eastAsia="en-GB"/>
              </w:rPr>
              <w:drawing>
                <wp:anchor distT="0" distB="0" distL="114300" distR="114300" simplePos="0" relativeHeight="251659264" behindDoc="0" locked="0" layoutInCell="1" allowOverlap="1" wp14:anchorId="0E63247D" wp14:editId="0C7B8B6E">
                  <wp:simplePos x="3895725" y="1685925"/>
                  <wp:positionH relativeFrom="margin">
                    <wp:align>center</wp:align>
                  </wp:positionH>
                  <wp:positionV relativeFrom="margin">
                    <wp:align>top</wp:align>
                  </wp:positionV>
                  <wp:extent cx="2847975" cy="202438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7975" cy="2024380"/>
                          </a:xfrm>
                          <a:prstGeom prst="rect">
                            <a:avLst/>
                          </a:prstGeom>
                          <a:noFill/>
                        </pic:spPr>
                      </pic:pic>
                    </a:graphicData>
                  </a:graphic>
                </wp:anchor>
              </w:drawing>
            </w:r>
          </w:p>
        </w:tc>
      </w:tr>
    </w:tbl>
    <w:p w:rsidR="00341319" w:rsidRDefault="00324889">
      <w:pPr>
        <w:widowControl w:val="0"/>
        <w:spacing w:after="120" w:line="240" w:lineRule="auto"/>
        <w:jc w:val="both"/>
        <w:rPr>
          <w:noProof/>
          <w:sz w:val="20"/>
        </w:rPr>
      </w:pPr>
      <w:r>
        <w:rPr>
          <w:noProof/>
          <w:color w:val="000000" w:themeColor="text1"/>
          <w:sz w:val="20"/>
        </w:rPr>
        <w:t>Persistent data gaps exist for the forestry sector: data on annual wood removals have not been reported to the 'Joint Forest Sector Questionnaire' for several years. This makes it difficult to ascertain whether forest harvesting rates are within the limits</w:t>
      </w:r>
      <w:r>
        <w:rPr>
          <w:noProof/>
          <w:color w:val="000000" w:themeColor="text1"/>
          <w:sz w:val="20"/>
        </w:rPr>
        <w:t xml:space="preserve"> of Sustainable Forest Management. </w:t>
      </w:r>
      <w:r>
        <w:rPr>
          <w:noProof/>
          <w:sz w:val="20"/>
        </w:rPr>
        <w:t>No information is available on the share of forest area under management plan or equivalent (no figures for the 2010 reporting period).</w:t>
      </w:r>
    </w:p>
    <w:p w:rsidR="00341319" w:rsidRDefault="00324889">
      <w:pPr>
        <w:widowControl w:val="0"/>
        <w:spacing w:after="120" w:line="240" w:lineRule="auto"/>
        <w:jc w:val="both"/>
        <w:rPr>
          <w:bCs/>
          <w:noProof/>
          <w:color w:val="1F497D" w:themeColor="text2"/>
        </w:rPr>
      </w:pPr>
      <w:r>
        <w:rPr>
          <w:bCs/>
          <w:noProof/>
          <w:color w:val="1F497D" w:themeColor="text2"/>
        </w:rPr>
        <w:t>Suggested action</w:t>
      </w:r>
    </w:p>
    <w:p w:rsidR="00341319" w:rsidRDefault="00324889">
      <w:pPr>
        <w:pStyle w:val="NoSpacing"/>
        <w:rPr>
          <w:i/>
          <w:noProof/>
        </w:rPr>
      </w:pPr>
      <w:r>
        <w:rPr>
          <w:noProof/>
          <w:szCs w:val="20"/>
        </w:rPr>
        <w:t>Complete the Natura 2000 designation process and put in place clearl</w:t>
      </w:r>
      <w:r>
        <w:rPr>
          <w:noProof/>
          <w:szCs w:val="20"/>
        </w:rPr>
        <w:t xml:space="preserve">y defined conservation objectives </w:t>
      </w:r>
      <w:r>
        <w:rPr>
          <w:noProof/>
        </w:rPr>
        <w:t>and the necessary conservation measures for the sites and provide adequate resources for their implementation in order to maintain/restore species and habitats of community interest to a favourable conservation status acro</w:t>
      </w:r>
      <w:r>
        <w:rPr>
          <w:noProof/>
        </w:rPr>
        <w:t xml:space="preserve">ss their natural range. </w:t>
      </w:r>
    </w:p>
    <w:p w:rsidR="00341319" w:rsidRDefault="00324889">
      <w:pPr>
        <w:pStyle w:val="NoSpacing"/>
        <w:rPr>
          <w:noProof/>
        </w:rPr>
      </w:pPr>
      <w:r>
        <w:rPr>
          <w:noProof/>
        </w:rPr>
        <w:t>Develop and promote smart and streamlined implementation approaches, in particular as regards site and species permitting procedures, ensuring the necessary knowledge and data availability.</w:t>
      </w:r>
      <w:r>
        <w:rPr>
          <w:noProof/>
          <w:szCs w:val="20"/>
        </w:rPr>
        <w:t xml:space="preserve"> Strengthen communication with stakeholders.</w:t>
      </w:r>
    </w:p>
    <w:p w:rsidR="00341319" w:rsidRDefault="00324889">
      <w:pPr>
        <w:pStyle w:val="NoSpacing"/>
        <w:rPr>
          <w:noProof/>
        </w:rPr>
      </w:pPr>
      <w:r>
        <w:rPr>
          <w:noProof/>
        </w:rPr>
        <w:t xml:space="preserve">Build capacity for completion and implementation of Management Plans, as well as for improving the overall quality of appropriate assessments. </w:t>
      </w:r>
    </w:p>
    <w:p w:rsidR="00341319" w:rsidRDefault="00324889">
      <w:pPr>
        <w:pStyle w:val="NoSpacing"/>
        <w:rPr>
          <w:noProof/>
        </w:rPr>
      </w:pPr>
      <w:r>
        <w:rPr>
          <w:noProof/>
        </w:rPr>
        <w:t>Use the available funds, namely ERDF and EAFRD, to implement well-d</w:t>
      </w:r>
      <w:r>
        <w:rPr>
          <w:noProof/>
        </w:rPr>
        <w:t>esigned nature conservation measures.</w:t>
      </w:r>
    </w:p>
    <w:p w:rsidR="00341319" w:rsidRDefault="00324889">
      <w:pPr>
        <w:widowControl w:val="0"/>
        <w:spacing w:after="120" w:line="240" w:lineRule="auto"/>
        <w:jc w:val="both"/>
        <w:rPr>
          <w:noProof/>
          <w:lang w:val="it-IT"/>
        </w:rPr>
      </w:pPr>
      <w:r>
        <w:rPr>
          <w:noProof/>
          <w:lang w:eastAsia="en-GB"/>
        </w:rPr>
        <w:drawing>
          <wp:inline distT="0" distB="0" distL="0" distR="0" wp14:anchorId="7AA0C164" wp14:editId="04280FA5">
            <wp:extent cx="2971800" cy="977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dolomites iStock_80643293_SMAL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80055" cy="980616"/>
                    </a:xfrm>
                    <a:prstGeom prst="rect">
                      <a:avLst/>
                    </a:prstGeom>
                  </pic:spPr>
                </pic:pic>
              </a:graphicData>
            </a:graphic>
          </wp:inline>
        </w:drawing>
      </w:r>
    </w:p>
    <w:p w:rsidR="00341319" w:rsidRDefault="00324889">
      <w:pPr>
        <w:widowControl w:val="0"/>
        <w:spacing w:after="120" w:line="240" w:lineRule="auto"/>
        <w:jc w:val="both"/>
        <w:outlineLvl w:val="1"/>
        <w:rPr>
          <w:rFonts w:cs="Times New Roman"/>
          <w:b/>
          <w:noProof/>
          <w:color w:val="1F497D" w:themeColor="text2"/>
          <w:szCs w:val="24"/>
          <w:lang w:eastAsia="en-GB"/>
        </w:rPr>
      </w:pPr>
      <w:bookmarkStart w:id="13" w:name="_Toc469476706"/>
      <w:r>
        <w:rPr>
          <w:rFonts w:cs="Times New Roman"/>
          <w:b/>
          <w:noProof/>
          <w:color w:val="1F497D" w:themeColor="text2"/>
          <w:szCs w:val="24"/>
          <w:lang w:eastAsia="en-GB"/>
        </w:rPr>
        <w:t>Estimating Natural Capital</w:t>
      </w:r>
      <w:bookmarkEnd w:id="13"/>
    </w:p>
    <w:p w:rsidR="00341319" w:rsidRDefault="00324889">
      <w:pPr>
        <w:widowControl w:val="0"/>
        <w:spacing w:after="60" w:line="240" w:lineRule="auto"/>
        <w:jc w:val="both"/>
        <w:rPr>
          <w:noProof/>
          <w:sz w:val="20"/>
        </w:rPr>
      </w:pPr>
      <w:r>
        <w:rPr>
          <w:noProof/>
          <w:sz w:val="20"/>
        </w:rPr>
        <w:t>The EU Biodiversity Strategy to 2020 calls on the Member States to map and asses the state of ecosystems and their services</w:t>
      </w:r>
      <w:r>
        <w:rPr>
          <w:noProof/>
          <w:sz w:val="20"/>
          <w:vertAlign w:val="superscript"/>
        </w:rPr>
        <w:footnoteReference w:id="69"/>
      </w:r>
      <w:r>
        <w:rPr>
          <w:noProof/>
          <w:sz w:val="20"/>
        </w:rPr>
        <w:t xml:space="preserve"> in their national territory by 2014, assess the economic value o</w:t>
      </w:r>
      <w:r>
        <w:rPr>
          <w:noProof/>
          <w:sz w:val="20"/>
        </w:rPr>
        <w:t>f such services, and promote the integration of these values into accounting and reporting systems at EU and national level by 2020.</w:t>
      </w:r>
    </w:p>
    <w:p w:rsidR="00341319" w:rsidRDefault="00324889">
      <w:pPr>
        <w:widowControl w:val="0"/>
        <w:spacing w:after="120" w:line="240" w:lineRule="auto"/>
        <w:jc w:val="both"/>
        <w:rPr>
          <w:noProof/>
          <w:sz w:val="20"/>
        </w:rPr>
      </w:pPr>
      <w:r>
        <w:rPr>
          <w:noProof/>
          <w:sz w:val="20"/>
        </w:rPr>
        <w:t>The four steps of the Mapping and Assessment of Ecosystems and Their Services (MAES) process are: 1) map ecosystems; 2) ass</w:t>
      </w:r>
      <w:r>
        <w:rPr>
          <w:noProof/>
          <w:sz w:val="20"/>
        </w:rPr>
        <w:t>ess the condition of ecosystems; 3) assess the ecosystem services; and 4) make an integrated ecosystem assessment based on these data. Italy is currently in the third phase of the process. The Ministry of the Environment has provided financial support to u</w:t>
      </w:r>
      <w:r>
        <w:rPr>
          <w:noProof/>
          <w:sz w:val="20"/>
        </w:rPr>
        <w:t>niversities and scientific societies for the implementation of MAES. Italy is also very involved in the assessment of cultural services and urban ecosystems.</w:t>
      </w:r>
    </w:p>
    <w:p w:rsidR="00341319" w:rsidRDefault="00324889">
      <w:pPr>
        <w:widowControl w:val="0"/>
        <w:spacing w:after="120" w:line="240" w:lineRule="auto"/>
        <w:jc w:val="both"/>
        <w:rPr>
          <w:bCs/>
          <w:noProof/>
          <w:color w:val="1F497D" w:themeColor="text2"/>
        </w:rPr>
      </w:pPr>
      <w:r>
        <w:rPr>
          <w:noProof/>
          <w:sz w:val="20"/>
        </w:rPr>
        <w:t>Italy has shown a high interest in natural capital accounting. The Ministry of the Environment has</w:t>
      </w:r>
      <w:r>
        <w:rPr>
          <w:noProof/>
          <w:sz w:val="20"/>
        </w:rPr>
        <w:t xml:space="preserve"> set up a natural capital committee and launched an environmental accounting project for protected areas in Italy which should provide a framework for pursuing a natural capital accounting process at the national level. As part of the implementation of the</w:t>
      </w:r>
      <w:r>
        <w:rPr>
          <w:noProof/>
          <w:sz w:val="20"/>
        </w:rPr>
        <w:t xml:space="preserve"> </w:t>
      </w:r>
      <w:r>
        <w:rPr>
          <w:i/>
          <w:noProof/>
          <w:sz w:val="20"/>
        </w:rPr>
        <w:t>Collegato Ambientale</w:t>
      </w:r>
      <w:r>
        <w:rPr>
          <w:noProof/>
          <w:sz w:val="20"/>
        </w:rPr>
        <w:t>, a decree should have been issued in 2016 on estimating ecosystem and environmental capital</w:t>
      </w:r>
      <w:r>
        <w:rPr>
          <w:rFonts w:cs="Times New Roman"/>
          <w:noProof/>
          <w:sz w:val="20"/>
          <w:vertAlign w:val="superscript"/>
          <w:lang w:val="it-IT"/>
        </w:rPr>
        <w:footnoteReference w:id="70"/>
      </w:r>
      <w:r>
        <w:rPr>
          <w:noProof/>
          <w:sz w:val="20"/>
        </w:rPr>
        <w:t>,</w:t>
      </w:r>
      <w:r>
        <w:rPr>
          <w:rStyle w:val="FootnoteReference"/>
          <w:noProof/>
          <w:sz w:val="20"/>
        </w:rPr>
        <w:footnoteReference w:id="71"/>
      </w:r>
      <w:r>
        <w:rPr>
          <w:noProof/>
          <w:sz w:val="20"/>
        </w:rPr>
        <w:t>.</w:t>
      </w:r>
    </w:p>
    <w:p w:rsidR="00341319" w:rsidRDefault="00324889">
      <w:pPr>
        <w:widowControl w:val="0"/>
        <w:spacing w:after="120" w:line="240" w:lineRule="auto"/>
        <w:jc w:val="both"/>
        <w:rPr>
          <w:bCs/>
          <w:noProof/>
          <w:color w:val="1F497D" w:themeColor="text2"/>
        </w:rPr>
      </w:pPr>
      <w:r>
        <w:rPr>
          <w:bCs/>
          <w:noProof/>
          <w:color w:val="1F497D" w:themeColor="text2"/>
        </w:rPr>
        <w:t>Suggested action</w:t>
      </w:r>
    </w:p>
    <w:p w:rsidR="00341319" w:rsidRDefault="00324889">
      <w:pPr>
        <w:pStyle w:val="NoSpacing"/>
        <w:spacing w:after="240"/>
        <w:rPr>
          <w:noProof/>
        </w:rPr>
      </w:pPr>
      <w:r>
        <w:rPr>
          <w:noProof/>
        </w:rPr>
        <w:t>Provide resources for the mapping and assessment of ecosystem services, their valuation and integration into natural capi</w:t>
      </w:r>
      <w:r>
        <w:rPr>
          <w:noProof/>
        </w:rPr>
        <w:t>tal accounting systems.</w:t>
      </w:r>
    </w:p>
    <w:p w:rsidR="00341319" w:rsidRDefault="00341319">
      <w:pPr>
        <w:widowControl w:val="0"/>
        <w:spacing w:after="120" w:line="240" w:lineRule="auto"/>
        <w:jc w:val="both"/>
        <w:outlineLvl w:val="1"/>
        <w:rPr>
          <w:rFonts w:cs="Times New Roman"/>
          <w:b/>
          <w:noProof/>
          <w:color w:val="1F497D" w:themeColor="text2"/>
          <w:sz w:val="24"/>
          <w:szCs w:val="24"/>
          <w:lang w:eastAsia="en-GB"/>
        </w:rPr>
      </w:pPr>
      <w:bookmarkStart w:id="14" w:name="_Toc469476707"/>
    </w:p>
    <w:p w:rsidR="00341319" w:rsidRDefault="00341319">
      <w:pPr>
        <w:widowControl w:val="0"/>
        <w:spacing w:after="120" w:line="240" w:lineRule="auto"/>
        <w:jc w:val="both"/>
        <w:outlineLvl w:val="1"/>
        <w:rPr>
          <w:rFonts w:cs="Times New Roman"/>
          <w:b/>
          <w:noProof/>
          <w:color w:val="1F497D" w:themeColor="text2"/>
          <w:sz w:val="24"/>
          <w:szCs w:val="24"/>
          <w:lang w:eastAsia="en-GB"/>
        </w:rPr>
      </w:pPr>
    </w:p>
    <w:p w:rsidR="00341319" w:rsidRDefault="00341319">
      <w:pPr>
        <w:widowControl w:val="0"/>
        <w:spacing w:after="120" w:line="240" w:lineRule="auto"/>
        <w:jc w:val="both"/>
        <w:outlineLvl w:val="1"/>
        <w:rPr>
          <w:rFonts w:cs="Times New Roman"/>
          <w:b/>
          <w:noProof/>
          <w:color w:val="1F497D" w:themeColor="text2"/>
          <w:sz w:val="24"/>
          <w:szCs w:val="24"/>
          <w:lang w:eastAsia="en-GB"/>
        </w:rPr>
      </w:pPr>
    </w:p>
    <w:p w:rsidR="00341319" w:rsidRDefault="00341319">
      <w:pPr>
        <w:widowControl w:val="0"/>
        <w:spacing w:after="120" w:line="240" w:lineRule="auto"/>
        <w:jc w:val="both"/>
        <w:outlineLvl w:val="1"/>
        <w:rPr>
          <w:rFonts w:cs="Times New Roman"/>
          <w:b/>
          <w:noProof/>
          <w:color w:val="1F497D" w:themeColor="text2"/>
          <w:sz w:val="24"/>
          <w:szCs w:val="24"/>
          <w:lang w:eastAsia="en-GB"/>
        </w:rPr>
      </w:pPr>
    </w:p>
    <w:p w:rsidR="00341319" w:rsidRDefault="00324889">
      <w:pPr>
        <w:widowControl w:val="0"/>
        <w:spacing w:after="120" w:line="240" w:lineRule="auto"/>
        <w:jc w:val="both"/>
        <w:outlineLvl w:val="1"/>
        <w:rPr>
          <w:rFonts w:cs="Times New Roman"/>
          <w:b/>
          <w:noProof/>
          <w:color w:val="1F497D" w:themeColor="text2"/>
          <w:sz w:val="24"/>
          <w:szCs w:val="24"/>
          <w:lang w:eastAsia="en-GB"/>
        </w:rPr>
      </w:pPr>
      <w:r>
        <w:rPr>
          <w:rFonts w:cs="Times New Roman"/>
          <w:b/>
          <w:noProof/>
          <w:color w:val="1F497D" w:themeColor="text2"/>
          <w:sz w:val="24"/>
          <w:szCs w:val="24"/>
          <w:lang w:eastAsia="en-GB"/>
        </w:rPr>
        <w:t>Green infrastructure</w:t>
      </w:r>
      <w:bookmarkEnd w:id="14"/>
      <w:r>
        <w:rPr>
          <w:rFonts w:cs="Times New Roman"/>
          <w:b/>
          <w:noProof/>
          <w:color w:val="1F497D" w:themeColor="text2"/>
          <w:sz w:val="24"/>
          <w:szCs w:val="24"/>
          <w:lang w:eastAsia="en-GB"/>
        </w:rPr>
        <w:t xml:space="preserve"> </w:t>
      </w:r>
    </w:p>
    <w:p w:rsidR="00341319" w:rsidRDefault="00324889">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72"/>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infrastructure into related plans and programmes to help overcome fragmentation of habitats and preserve or restore ecological </w:t>
      </w:r>
      <w:r>
        <w:rPr>
          <w:rFonts w:ascii="Calibri" w:eastAsia="Calibri" w:hAnsi="Calibri" w:cs="Times New Roman"/>
          <w:noProof/>
          <w:color w:val="FFFFFF" w:themeColor="background1"/>
          <w:sz w:val="20"/>
          <w:lang w:eastAsia="ar-SA"/>
        </w:rPr>
        <w:t>connectivity, enhance ecosystem resilience and thereby ensure the continued provision of ecosystem services.</w:t>
      </w:r>
    </w:p>
    <w:p w:rsidR="00341319" w:rsidRDefault="00324889">
      <w:pPr>
        <w:widowControl w:val="0"/>
        <w:spacing w:after="120" w:line="240" w:lineRule="auto"/>
        <w:jc w:val="both"/>
        <w:rPr>
          <w:noProof/>
          <w:sz w:val="20"/>
        </w:rPr>
      </w:pPr>
      <w:r>
        <w:rPr>
          <w:noProof/>
          <w:sz w:val="20"/>
        </w:rPr>
        <w:t xml:space="preserve">Green Infrastructure provides ecological, economic and social benefits through natural solutions. It helps to understand the value of the benefits </w:t>
      </w:r>
      <w:r>
        <w:rPr>
          <w:noProof/>
          <w:sz w:val="20"/>
        </w:rPr>
        <w:t>that nature provides to human society and to mobilise investments to sustain and enhance them.</w:t>
      </w:r>
    </w:p>
    <w:p w:rsidR="00341319" w:rsidRDefault="00324889">
      <w:pPr>
        <w:widowControl w:val="0"/>
        <w:spacing w:after="120" w:line="240" w:lineRule="auto"/>
        <w:jc w:val="both"/>
        <w:rPr>
          <w:noProof/>
          <w:sz w:val="20"/>
        </w:rPr>
      </w:pPr>
      <w:r>
        <w:rPr>
          <w:noProof/>
          <w:sz w:val="20"/>
        </w:rPr>
        <w:t xml:space="preserve">Italy considers that Green Infrastructure implementation should start with protected areas, which are crucial to conserve natural capital, implement sustainable </w:t>
      </w:r>
      <w:r>
        <w:rPr>
          <w:noProof/>
          <w:sz w:val="20"/>
        </w:rPr>
        <w:t>tourism and use traditional forms of agriculture and industry. The Ministry of the Environment responsible for implementing the Green Infrastructure Strategy has commissioned the development of: a methodological framework for identifying ecosystem restorat</w:t>
      </w:r>
      <w:r>
        <w:rPr>
          <w:noProof/>
          <w:sz w:val="20"/>
        </w:rPr>
        <w:t>ion priorities and promoting Green Infrastructure; a restoration project on freshwater ecosystems; and two pilots for the urban/peri-urban Rome Metropolitan Area.  Improving connections between natural and cultural capital was also underlined by the Charte</w:t>
      </w:r>
      <w:r>
        <w:rPr>
          <w:noProof/>
          <w:sz w:val="20"/>
        </w:rPr>
        <w:t>r of Rome.</w:t>
      </w:r>
      <w:r>
        <w:rPr>
          <w:noProof/>
          <w:sz w:val="20"/>
          <w:vertAlign w:val="superscript"/>
        </w:rPr>
        <w:footnoteReference w:id="73"/>
      </w:r>
    </w:p>
    <w:p w:rsidR="00341319" w:rsidRDefault="00324889">
      <w:pPr>
        <w:widowControl w:val="0"/>
        <w:spacing w:after="120" w:line="240" w:lineRule="auto"/>
        <w:jc w:val="both"/>
        <w:rPr>
          <w:rFonts w:cs="Times New Roman"/>
          <w:noProof/>
          <w:sz w:val="20"/>
          <w:szCs w:val="20"/>
          <w:lang w:eastAsia="en-GB"/>
        </w:rPr>
      </w:pPr>
      <w:r>
        <w:rPr>
          <w:noProof/>
          <w:sz w:val="20"/>
        </w:rPr>
        <w:t xml:space="preserve">The importance of the linkages between culture and nature that is a central feature of Italian policy is exemplified by the </w:t>
      </w:r>
      <w:r>
        <w:rPr>
          <w:i/>
          <w:noProof/>
          <w:sz w:val="20"/>
        </w:rPr>
        <w:t>Corona Verde</w:t>
      </w:r>
      <w:r>
        <w:rPr>
          <w:noProof/>
          <w:sz w:val="20"/>
        </w:rPr>
        <w:t xml:space="preserve"> project in the region of Piedmont. The project which involves 93 municipalities is designed to develop Gree</w:t>
      </w:r>
      <w:r>
        <w:rPr>
          <w:noProof/>
          <w:sz w:val="20"/>
        </w:rPr>
        <w:t xml:space="preserve">n Infrastructure integrating the </w:t>
      </w:r>
      <w:r>
        <w:rPr>
          <w:i/>
          <w:noProof/>
          <w:sz w:val="20"/>
        </w:rPr>
        <w:t>Corona di Delitie</w:t>
      </w:r>
      <w:r>
        <w:rPr>
          <w:noProof/>
          <w:sz w:val="20"/>
        </w:rPr>
        <w:t xml:space="preserve"> system of royal residences within the Turin green-belt. The </w:t>
      </w:r>
      <w:r>
        <w:rPr>
          <w:i/>
          <w:noProof/>
          <w:sz w:val="20"/>
        </w:rPr>
        <w:t>Corona Verde</w:t>
      </w:r>
      <w:r>
        <w:rPr>
          <w:noProof/>
          <w:sz w:val="20"/>
        </w:rPr>
        <w:t xml:space="preserve"> project will provide a wide range of benefits e.g. protection against soil erosion, enhancement of tourism and the reduction of atmo</w:t>
      </w:r>
      <w:r>
        <w:rPr>
          <w:noProof/>
          <w:sz w:val="20"/>
        </w:rPr>
        <w:t>spheric pollution. Another example, is the EcoSistema Filtro a constructed wetland in Sardinia (&amp; Natura 2000 site), built in 2004 to filter treated water</w:t>
      </w:r>
      <w:r>
        <w:rPr>
          <w:rFonts w:ascii="Times New Roman" w:hAnsi="Times New Roman"/>
          <w:noProof/>
          <w:sz w:val="20"/>
          <w:szCs w:val="20"/>
          <w:vertAlign w:val="superscript"/>
        </w:rPr>
        <w:footnoteReference w:id="74"/>
      </w:r>
      <w:r>
        <w:rPr>
          <w:noProof/>
          <w:sz w:val="20"/>
        </w:rPr>
        <w:t xml:space="preserve">. </w:t>
      </w:r>
      <w:r>
        <w:rPr>
          <w:rFonts w:cs="Times New Roman"/>
          <w:noProof/>
          <w:sz w:val="20"/>
          <w:szCs w:val="20"/>
          <w:lang w:eastAsia="en-GB"/>
        </w:rPr>
        <w:t>Italy is currently involved in the EU co-financed Green Surge project</w:t>
      </w:r>
      <w:r>
        <w:rPr>
          <w:rFonts w:cs="Times New Roman"/>
          <w:noProof/>
          <w:sz w:val="20"/>
          <w:szCs w:val="20"/>
          <w:vertAlign w:val="superscript"/>
          <w:lang w:eastAsia="en-GB"/>
        </w:rPr>
        <w:footnoteReference w:id="75"/>
      </w:r>
      <w:r>
        <w:rPr>
          <w:rFonts w:cs="Times New Roman"/>
          <w:noProof/>
          <w:sz w:val="20"/>
          <w:szCs w:val="20"/>
          <w:lang w:eastAsia="en-GB"/>
        </w:rPr>
        <w:t>, and some Regions use ERDF a</w:t>
      </w:r>
      <w:r>
        <w:rPr>
          <w:rFonts w:cs="Times New Roman"/>
          <w:noProof/>
          <w:sz w:val="20"/>
          <w:szCs w:val="20"/>
          <w:lang w:eastAsia="en-GB"/>
        </w:rPr>
        <w:t>nd EAFRD to increase green infrastructure and wildlife corridors.</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15" w:name="_Toc469476708"/>
      <w:r>
        <w:rPr>
          <w:rFonts w:cs="Times New Roman"/>
          <w:b/>
          <w:noProof/>
          <w:color w:val="1F497D" w:themeColor="text2"/>
          <w:sz w:val="24"/>
          <w:szCs w:val="24"/>
          <w:lang w:eastAsia="en-GB"/>
        </w:rPr>
        <w:t>Soil protection</w:t>
      </w:r>
      <w:bookmarkEnd w:id="15"/>
      <w:r>
        <w:rPr>
          <w:rFonts w:cs="Times New Roman"/>
          <w:b/>
          <w:noProof/>
          <w:color w:val="1F497D" w:themeColor="text2"/>
          <w:sz w:val="24"/>
          <w:szCs w:val="24"/>
          <w:lang w:eastAsia="en-GB"/>
        </w:rPr>
        <w:t xml:space="preserve"> </w:t>
      </w:r>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Soil Thematic Strategy highlights the need to ensure a sustainable use of soils. This requires the prevention of further soil degradation and the preservation of its </w:t>
      </w:r>
      <w:r>
        <w:rPr>
          <w:rFonts w:cs="Times New Roman"/>
          <w:noProof/>
          <w:color w:val="FFFFFF" w:themeColor="background1"/>
          <w:sz w:val="20"/>
        </w:rPr>
        <w:t>functions, as well as the restoration of degraded soils. The 2011 Road Map for Resource-Efficient Europe, part of Europe 2020 Strategy provides that by 2020, EU policies take into account their direct and indirect impact on land use in the EU and globally,</w:t>
      </w:r>
      <w:r>
        <w:rPr>
          <w:rFonts w:cs="Times New Roman"/>
          <w:noProof/>
          <w:color w:val="FFFFFF" w:themeColor="background1"/>
          <w:sz w:val="20"/>
        </w:rPr>
        <w:t xml:space="preserve"> and the rate of land take is on track with an aim to achieve no net land take by 2050.</w:t>
      </w:r>
    </w:p>
    <w:p w:rsidR="00341319" w:rsidRDefault="00324889">
      <w:pPr>
        <w:widowControl w:val="0"/>
        <w:shd w:val="clear" w:color="auto" w:fill="4F81BD"/>
        <w:suppressAutoHyphens/>
        <w:spacing w:after="120" w:line="240" w:lineRule="auto"/>
        <w:jc w:val="both"/>
        <w:rPr>
          <w:rFonts w:ascii="Calibri" w:eastAsia="Calibri" w:hAnsi="Calibri"/>
          <w:noProof/>
          <w:color w:val="FFFFFF"/>
          <w:sz w:val="20"/>
          <w:szCs w:val="20"/>
          <w:lang w:eastAsia="ar-SA"/>
        </w:rPr>
      </w:pPr>
      <w:r>
        <w:rPr>
          <w:rFonts w:ascii="Calibri" w:eastAsia="Calibri" w:hAnsi="Calibri"/>
          <w:noProof/>
          <w:color w:val="FFFFFF"/>
          <w:sz w:val="20"/>
          <w:lang w:eastAsia="ar-SA"/>
        </w:rPr>
        <w:t>SDG 15 requires countries to combat desertification, restore degraded land and soil, including land affected by desertification, drought and floods, and strive to achie</w:t>
      </w:r>
      <w:r>
        <w:rPr>
          <w:rFonts w:ascii="Calibri" w:eastAsia="Calibri" w:hAnsi="Calibri"/>
          <w:noProof/>
          <w:color w:val="FFFFFF"/>
          <w:sz w:val="20"/>
          <w:lang w:eastAsia="ar-SA"/>
        </w:rPr>
        <w:t>ve a land-degradation-neutral world by 2030.</w:t>
      </w:r>
    </w:p>
    <w:p w:rsidR="00341319" w:rsidRDefault="00324889">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sequestration, water purification and fl</w:t>
      </w:r>
      <w:r>
        <w:rPr>
          <w:noProof/>
          <w:sz w:val="20"/>
          <w:lang w:eastAsia="en-GB"/>
        </w:rPr>
        <w:t xml:space="preserve">ood regulation, the provision of raw and building material. Soil is a finite and extremely fragile resource and increasingly degrading in the EU. Land taken by urban development and infrastructure is highly unlikely to be reverted to its natural state; it </w:t>
      </w:r>
      <w:r>
        <w:rPr>
          <w:noProof/>
          <w:sz w:val="20"/>
          <w:lang w:eastAsia="en-GB"/>
        </w:rPr>
        <w:t>consumes mostly agricultural land and increases fragmentation of habitats. Soil protection is indirectly addressed in existing EU policies in areas such as agriculture, water, waste, chemicals, and prevention of industrial pollution.</w:t>
      </w:r>
    </w:p>
    <w:p w:rsidR="00341319" w:rsidRDefault="00324889">
      <w:pPr>
        <w:widowControl w:val="0"/>
        <w:spacing w:after="120" w:line="240" w:lineRule="auto"/>
        <w:jc w:val="both"/>
        <w:rPr>
          <w:noProof/>
          <w:sz w:val="20"/>
        </w:rPr>
      </w:pPr>
      <w:r>
        <w:rPr>
          <w:rFonts w:ascii="Calibri" w:eastAsia="Calibri" w:hAnsi="Calibri" w:cs="Times New Roman"/>
          <w:noProof/>
          <w:sz w:val="20"/>
          <w:lang w:eastAsia="ar-SA"/>
        </w:rPr>
        <w:t>There are still not EU</w:t>
      </w:r>
      <w:r>
        <w:rPr>
          <w:rFonts w:ascii="Calibri" w:eastAsia="Calibri" w:hAnsi="Calibri" w:cs="Times New Roman"/>
          <w:noProof/>
          <w:sz w:val="20"/>
          <w:lang w:eastAsia="ar-SA"/>
        </w:rPr>
        <w:t>-wide datasets enabling the provision of benchmark indicators for soil organic matter decline, contaminated sites, pressures on soil biology and diffuse pollution. An updated inventory and assessment of soil protection policy instruments in Italy and other</w:t>
      </w:r>
      <w:r>
        <w:rPr>
          <w:rFonts w:ascii="Calibri" w:eastAsia="Calibri" w:hAnsi="Calibri" w:cs="Times New Roman"/>
          <w:noProof/>
          <w:sz w:val="20"/>
          <w:lang w:eastAsia="ar-SA"/>
        </w:rPr>
        <w:t xml:space="preserve"> EU </w:t>
      </w:r>
      <w:r>
        <w:rPr>
          <w:noProof/>
          <w:sz w:val="20"/>
        </w:rPr>
        <w:t>Member States is being performed by the EU Expert Group on Soil Protection.</w:t>
      </w:r>
    </w:p>
    <w:p w:rsidR="00341319" w:rsidRDefault="00324889">
      <w:pPr>
        <w:widowControl w:val="0"/>
        <w:spacing w:after="120" w:line="240" w:lineRule="auto"/>
        <w:jc w:val="both"/>
        <w:rPr>
          <w:noProof/>
          <w:sz w:val="20"/>
        </w:rPr>
      </w:pPr>
      <w:r>
        <w:rPr>
          <w:noProof/>
          <w:sz w:val="20"/>
        </w:rPr>
        <w:t>The main soil degradation processes occurring in Italy are: erosion/disaggregation, compaction, salinization, contamination, landslides, biodiversity decline/loss, soil consump</w:t>
      </w:r>
      <w:r>
        <w:rPr>
          <w:noProof/>
          <w:sz w:val="20"/>
        </w:rPr>
        <w:t xml:space="preserve">tion/sealing, &amp; decline/loss of organic matter. </w:t>
      </w:r>
    </w:p>
    <w:p w:rsidR="00341319" w:rsidRDefault="00324889">
      <w:pPr>
        <w:widowControl w:val="0"/>
        <w:spacing w:after="120" w:line="240" w:lineRule="auto"/>
        <w:jc w:val="both"/>
        <w:rPr>
          <w:noProof/>
          <w:sz w:val="20"/>
        </w:rPr>
      </w:pPr>
      <w:r>
        <w:rPr>
          <w:noProof/>
          <w:sz w:val="20"/>
        </w:rPr>
        <w:t>Artificial land cover is used for settlements, production systems and infrastructure. It may itself be split between built-up areas (buildings) and non-built-up areas (such as linear transport networks and a</w:t>
      </w:r>
      <w:r>
        <w:rPr>
          <w:noProof/>
          <w:sz w:val="20"/>
        </w:rPr>
        <w:t>ssociated areas).  Figure 9 shows the different land cover types in Italy in 2012.</w:t>
      </w:r>
    </w:p>
    <w:p w:rsidR="00341319" w:rsidRDefault="00324889">
      <w:pPr>
        <w:widowControl w:val="0"/>
        <w:spacing w:after="120" w:line="240" w:lineRule="auto"/>
        <w:jc w:val="both"/>
        <w:rPr>
          <w:rFonts w:eastAsia="Calibri"/>
          <w:noProof/>
          <w:sz w:val="20"/>
        </w:rPr>
      </w:pPr>
      <w:r>
        <w:rPr>
          <w:noProof/>
          <w:sz w:val="20"/>
        </w:rPr>
        <w:t>With a mean annual land take rate</w:t>
      </w:r>
      <w:r>
        <w:rPr>
          <w:noProof/>
          <w:sz w:val="20"/>
          <w:vertAlign w:val="superscript"/>
        </w:rPr>
        <w:footnoteReference w:id="76"/>
      </w:r>
      <w:r>
        <w:rPr>
          <w:noProof/>
          <w:sz w:val="20"/>
          <w:vertAlign w:val="superscript"/>
        </w:rPr>
        <w:t xml:space="preserve"> </w:t>
      </w:r>
      <w:r>
        <w:rPr>
          <w:noProof/>
          <w:sz w:val="20"/>
        </w:rPr>
        <w:t>of 0.37% (driven by urban sprawl and infrastructures) over the period 2006-12, the speed of urban development in Italy is just below the E</w:t>
      </w:r>
      <w:r>
        <w:rPr>
          <w:noProof/>
          <w:sz w:val="20"/>
        </w:rPr>
        <w:t>U average (0.41%), representing 5786 hectares per year.</w:t>
      </w:r>
      <w:r>
        <w:rPr>
          <w:noProof/>
          <w:sz w:val="20"/>
          <w:lang w:eastAsia="en-GB"/>
        </w:rPr>
        <w:t xml:space="preserve">  Soil-sealing over wide areas, due to excessive urban development, has significantly increased hydrogeological risk. In terms of the percentage of built up land, Italy ranked the 4</w:t>
      </w:r>
      <w:r>
        <w:rPr>
          <w:noProof/>
          <w:sz w:val="20"/>
          <w:vertAlign w:val="superscript"/>
          <w:lang w:eastAsia="en-GB"/>
        </w:rPr>
        <w:t>th</w:t>
      </w:r>
      <w:r>
        <w:rPr>
          <w:noProof/>
          <w:sz w:val="20"/>
          <w:lang w:eastAsia="en-GB"/>
        </w:rPr>
        <w:t xml:space="preserve"> highest in the EU</w:t>
      </w:r>
      <w:r>
        <w:rPr>
          <w:noProof/>
          <w:sz w:val="20"/>
          <w:lang w:eastAsia="en-GB"/>
        </w:rPr>
        <w:t xml:space="preserve"> with around 2.7% in 2012</w:t>
      </w:r>
      <w:r>
        <w:rPr>
          <w:noProof/>
          <w:sz w:val="20"/>
          <w:vertAlign w:val="superscript"/>
          <w:lang w:eastAsia="en-GB"/>
        </w:rPr>
        <w:footnoteReference w:id="77"/>
      </w:r>
      <w:r>
        <w:rPr>
          <w:noProof/>
          <w:sz w:val="20"/>
          <w:lang w:eastAsia="en-GB"/>
        </w:rPr>
        <w:t>. The soil sealing has increased the vulnerability to landslides and flooding in several areas, which translates into an increased intensity and frequency of flood events and related damages. This problem is exacerbated by low soi</w:t>
      </w:r>
      <w:r>
        <w:rPr>
          <w:noProof/>
          <w:sz w:val="20"/>
          <w:lang w:eastAsia="en-GB"/>
        </w:rPr>
        <w:t>l organic matter in many regions. Indeed Italy has an average soil water erosion rate (8.4 tonnes per ha per year in 2010), which is well above the EU average (2.4 tonnes per ha per year).</w:t>
      </w:r>
      <w:r>
        <w:rPr>
          <w:noProof/>
          <w:sz w:val="20"/>
          <w:vertAlign w:val="superscript"/>
          <w:lang w:val="it-IT" w:eastAsia="en-GB"/>
        </w:rPr>
        <w:footnoteReference w:id="78"/>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b/>
                <w:bCs/>
                <w:noProof/>
                <w:color w:val="1F497D" w:themeColor="text2"/>
                <w:sz w:val="20"/>
              </w:rPr>
            </w:pPr>
            <w:r>
              <w:rPr>
                <w:b/>
                <w:bCs/>
                <w:noProof/>
                <w:color w:val="1F497D" w:themeColor="text2"/>
                <w:sz w:val="20"/>
              </w:rPr>
              <w:t>Figure 9: Land Cover types in Italy 2012</w:t>
            </w:r>
            <w:r>
              <w:rPr>
                <w:b/>
                <w:bCs/>
                <w:noProof/>
                <w:color w:val="1F497D" w:themeColor="text2"/>
                <w:sz w:val="20"/>
                <w:vertAlign w:val="superscript"/>
                <w:lang w:val="it-IT"/>
              </w:rPr>
              <w:footnoteReference w:id="79"/>
            </w:r>
          </w:p>
        </w:tc>
      </w:tr>
      <w:tr w:rsidR="00341319">
        <w:tc>
          <w:tcPr>
            <w:tcW w:w="4909" w:type="dxa"/>
          </w:tcPr>
          <w:p w:rsidR="00341319" w:rsidRDefault="00324889">
            <w:pPr>
              <w:widowControl w:val="0"/>
              <w:spacing w:after="120"/>
              <w:jc w:val="both"/>
              <w:rPr>
                <w:noProof/>
                <w:sz w:val="20"/>
              </w:rPr>
            </w:pPr>
            <w:r>
              <w:rPr>
                <w:noProof/>
                <w:sz w:val="20"/>
                <w:lang w:eastAsia="en-GB"/>
              </w:rPr>
              <w:drawing>
                <wp:inline distT="0" distB="0" distL="0" distR="0" wp14:anchorId="0FECD93A" wp14:editId="0C5646F6">
                  <wp:extent cx="3066415" cy="36455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6415" cy="3645535"/>
                          </a:xfrm>
                          <a:prstGeom prst="rect">
                            <a:avLst/>
                          </a:prstGeom>
                          <a:noFill/>
                        </pic:spPr>
                      </pic:pic>
                    </a:graphicData>
                  </a:graphic>
                </wp:inline>
              </w:drawing>
            </w:r>
          </w:p>
        </w:tc>
      </w:tr>
    </w:tbl>
    <w:p w:rsidR="00341319" w:rsidRDefault="00324889">
      <w:pPr>
        <w:widowControl w:val="0"/>
        <w:spacing w:after="120" w:line="240" w:lineRule="auto"/>
        <w:jc w:val="both"/>
        <w:rPr>
          <w:rFonts w:eastAsia="Calibri"/>
          <w:iCs/>
          <w:noProof/>
          <w:sz w:val="20"/>
          <w:lang w:val="en-US"/>
        </w:rPr>
      </w:pPr>
      <w:r>
        <w:rPr>
          <w:rFonts w:eastAsia="Calibri"/>
          <w:noProof/>
          <w:sz w:val="20"/>
          <w:lang w:val="en-US"/>
        </w:rPr>
        <w:t xml:space="preserve">In Italy there is a </w:t>
      </w:r>
      <w:r>
        <w:rPr>
          <w:rFonts w:eastAsia="Calibri"/>
          <w:noProof/>
          <w:sz w:val="20"/>
          <w:lang w:val="en-US"/>
        </w:rPr>
        <w:t>growing awareness of the importance of soil protection both at,</w:t>
      </w:r>
      <w:r>
        <w:rPr>
          <w:rFonts w:eastAsia="Calibri"/>
          <w:iCs/>
          <w:noProof/>
          <w:sz w:val="20"/>
          <w:lang w:val="en-US"/>
        </w:rPr>
        <w:t xml:space="preserve"> political and scientific level. For example, it</w:t>
      </w:r>
      <w:r>
        <w:rPr>
          <w:rFonts w:eastAsia="Calibri"/>
          <w:noProof/>
          <w:sz w:val="20"/>
          <w:lang w:val="en-US"/>
        </w:rPr>
        <w:t xml:space="preserve"> is participating in the </w:t>
      </w:r>
      <w:r>
        <w:rPr>
          <w:rFonts w:eastAsia="Calibri"/>
          <w:iCs/>
          <w:noProof/>
          <w:sz w:val="20"/>
          <w:lang w:val="en-US"/>
        </w:rPr>
        <w:t>UNCCD</w:t>
      </w:r>
      <w:r>
        <w:rPr>
          <w:rFonts w:eastAsia="Calibri"/>
          <w:iCs/>
          <w:noProof/>
          <w:sz w:val="20"/>
          <w:vertAlign w:val="superscript"/>
          <w:lang w:val="en-US"/>
        </w:rPr>
        <w:footnoteReference w:id="80"/>
      </w:r>
      <w:r>
        <w:rPr>
          <w:rFonts w:eastAsia="Calibri"/>
          <w:iCs/>
          <w:noProof/>
          <w:sz w:val="20"/>
          <w:lang w:val="en-US"/>
        </w:rPr>
        <w:t xml:space="preserve"> </w:t>
      </w:r>
      <w:r>
        <w:rPr>
          <w:rFonts w:eastAsia="Calibri"/>
          <w:noProof/>
          <w:sz w:val="20"/>
          <w:lang w:val="en-US"/>
        </w:rPr>
        <w:t>p</w:t>
      </w:r>
      <w:r>
        <w:rPr>
          <w:rFonts w:eastAsia="Calibri"/>
          <w:iCs/>
          <w:noProof/>
          <w:sz w:val="20"/>
          <w:lang w:val="en-US"/>
        </w:rPr>
        <w:t xml:space="preserve">ilot project on target and indicators of Land Degradation Neutrality. </w:t>
      </w:r>
    </w:p>
    <w:p w:rsidR="00341319" w:rsidRDefault="00324889">
      <w:pPr>
        <w:widowControl w:val="0"/>
        <w:spacing w:after="120" w:line="240" w:lineRule="auto"/>
        <w:jc w:val="both"/>
        <w:rPr>
          <w:rFonts w:eastAsia="Calibri"/>
          <w:noProof/>
          <w:sz w:val="20"/>
        </w:rPr>
      </w:pPr>
      <w:r>
        <w:rPr>
          <w:rFonts w:eastAsia="Calibri"/>
          <w:noProof/>
          <w:sz w:val="20"/>
        </w:rPr>
        <w:t>Relevant legislative instruments for soil</w:t>
      </w:r>
      <w:r>
        <w:rPr>
          <w:rFonts w:eastAsia="Calibri"/>
          <w:noProof/>
          <w:sz w:val="20"/>
        </w:rPr>
        <w:t xml:space="preserve"> protection are approved at national level or indirectly through the transposition of EU law. Furthermore, many soil protection measures in Italy are included in policy instruments that are not directly connected to the protection of soil. In 2016 the Ital</w:t>
      </w:r>
      <w:r>
        <w:rPr>
          <w:rFonts w:eastAsia="Calibri"/>
          <w:noProof/>
          <w:sz w:val="20"/>
        </w:rPr>
        <w:t>ian Parliament discussed a Decree Law on the containment of the loss of land and reuse of soil built on</w:t>
      </w:r>
      <w:r>
        <w:rPr>
          <w:rFonts w:eastAsia="Calibri"/>
          <w:noProof/>
          <w:sz w:val="20"/>
          <w:vertAlign w:val="superscript"/>
        </w:rPr>
        <w:footnoteReference w:id="81"/>
      </w:r>
      <w:r>
        <w:rPr>
          <w:rFonts w:eastAsia="Calibri"/>
          <w:noProof/>
          <w:sz w:val="20"/>
        </w:rPr>
        <w:t>. Furthermore, Italy has a zero objective for soil consumption by 2050 as required by the Resource Efficient Europe Roadmap. As regards soil contaminati</w:t>
      </w:r>
      <w:r>
        <w:rPr>
          <w:rFonts w:eastAsia="Calibri"/>
          <w:noProof/>
          <w:sz w:val="20"/>
        </w:rPr>
        <w:t>on, Italy has identified under a 1998 law</w:t>
      </w:r>
      <w:r>
        <w:rPr>
          <w:rFonts w:eastAsia="Calibri" w:cs="Times New Roman"/>
          <w:noProof/>
          <w:sz w:val="20"/>
          <w:vertAlign w:val="superscript"/>
          <w:lang w:val="it-IT"/>
        </w:rPr>
        <w:footnoteReference w:id="82"/>
      </w:r>
      <w:r>
        <w:rPr>
          <w:rFonts w:eastAsia="Calibri"/>
          <w:noProof/>
          <w:sz w:val="20"/>
        </w:rPr>
        <w:t xml:space="preserve"> a number of contaminated sites (SIN) which require priority remediation. It is important that the management of these sites respects EU waste legislation. </w:t>
      </w:r>
    </w:p>
    <w:p w:rsidR="00341319" w:rsidRDefault="00324889">
      <w:pPr>
        <w:widowControl w:val="0"/>
        <w:spacing w:after="120" w:line="240" w:lineRule="auto"/>
        <w:jc w:val="both"/>
        <w:rPr>
          <w:noProof/>
          <w:sz w:val="20"/>
          <w:lang w:eastAsia="en-GB"/>
        </w:rPr>
      </w:pPr>
      <w:r>
        <w:rPr>
          <w:noProof/>
          <w:sz w:val="20"/>
          <w:lang w:eastAsia="en-GB"/>
        </w:rPr>
        <w:t xml:space="preserve">The EAFRD should help to enhance soil organic matter and </w:t>
      </w:r>
      <w:r>
        <w:rPr>
          <w:noProof/>
          <w:sz w:val="20"/>
          <w:lang w:eastAsia="en-GB"/>
        </w:rPr>
        <w:t xml:space="preserve">reduce soil erosion, while the ERDF will support the rehabilitation of industrial sites and contaminated land. </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16" w:name="_Toc469476709"/>
      <w:r>
        <w:rPr>
          <w:rFonts w:cs="Times New Roman"/>
          <w:b/>
          <w:noProof/>
          <w:color w:val="1F497D" w:themeColor="text2"/>
          <w:sz w:val="24"/>
          <w:szCs w:val="24"/>
          <w:lang w:eastAsia="en-GB"/>
        </w:rPr>
        <w:t>Marine protection</w:t>
      </w:r>
      <w:bookmarkEnd w:id="16"/>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Marine Policy and legislation require that by 2020 the impact of pressures on marine waters is reduced to </w:t>
      </w:r>
      <w:r>
        <w:rPr>
          <w:rFonts w:cs="Times New Roman"/>
          <w:noProof/>
          <w:color w:val="FFFFFF" w:themeColor="background1"/>
          <w:sz w:val="20"/>
        </w:rPr>
        <w:t>achieve or maintain good environmental status and coastal zones are managed sustainably.</w:t>
      </w:r>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341319" w:rsidRDefault="00324889">
      <w:pPr>
        <w:widowControl w:val="0"/>
        <w:spacing w:after="120" w:line="240" w:lineRule="auto"/>
        <w:jc w:val="both"/>
        <w:rPr>
          <w:noProof/>
          <w:sz w:val="20"/>
        </w:rPr>
      </w:pPr>
      <w:r>
        <w:rPr>
          <w:noProof/>
          <w:sz w:val="20"/>
        </w:rPr>
        <w:t>The Marine Strategy Framework Directive (M</w:t>
      </w:r>
      <w:r>
        <w:rPr>
          <w:noProof/>
          <w:sz w:val="20"/>
        </w:rPr>
        <w:t>SFD)</w:t>
      </w:r>
      <w:r>
        <w:rPr>
          <w:noProof/>
          <w:sz w:val="20"/>
          <w:vertAlign w:val="superscript"/>
          <w:lang w:val="it-IT"/>
        </w:rPr>
        <w:footnoteReference w:id="83"/>
      </w:r>
      <w:r>
        <w:rPr>
          <w:noProof/>
          <w:sz w:val="20"/>
        </w:rPr>
        <w:t xml:space="preserve"> aims to achieve Good Environmental Status (GES) of the EU's marine waters by 2020 by</w:t>
      </w:r>
      <w:r>
        <w:rPr>
          <w:noProof/>
          <w:sz w:val="20"/>
          <w:lang w:val="en"/>
        </w:rPr>
        <w:t xml:space="preserve"> providing an ecosystem approach to the management of human activities with impact on the marine environment</w:t>
      </w:r>
      <w:r>
        <w:rPr>
          <w:noProof/>
          <w:sz w:val="20"/>
        </w:rPr>
        <w:t>. The Directive requires Member States to develop and impl</w:t>
      </w:r>
      <w:r>
        <w:rPr>
          <w:noProof/>
          <w:sz w:val="20"/>
        </w:rPr>
        <w:t>ement a strategy for their marine waters, and cooperate with Member States sharing the same region or subregion.</w:t>
      </w:r>
    </w:p>
    <w:p w:rsidR="00341319" w:rsidRDefault="00324889">
      <w:pPr>
        <w:widowControl w:val="0"/>
        <w:spacing w:after="120" w:line="240" w:lineRule="auto"/>
        <w:jc w:val="both"/>
        <w:rPr>
          <w:noProof/>
          <w:sz w:val="20"/>
        </w:rPr>
      </w:pPr>
      <w:r>
        <w:rPr>
          <w:noProof/>
          <w:sz w:val="20"/>
        </w:rPr>
        <w:t>As part of their marine strategies, Member States had to make an initial assessment of their marine waters, determine GES</w:t>
      </w:r>
      <w:r>
        <w:rPr>
          <w:noProof/>
          <w:sz w:val="20"/>
          <w:vertAlign w:val="superscript"/>
        </w:rPr>
        <w:footnoteReference w:id="84"/>
      </w:r>
      <w:r>
        <w:rPr>
          <w:noProof/>
          <w:sz w:val="20"/>
        </w:rPr>
        <w:t xml:space="preserve"> and establish enviro</w:t>
      </w:r>
      <w:r>
        <w:rPr>
          <w:noProof/>
          <w:sz w:val="20"/>
        </w:rPr>
        <w:t>nmental targets by July 2012. They also had to establish monitoring programmes for the on-going assessment of their marine waters by July 2014. The next element of their marine strategy is to establish a Programme of Measures (2016). The Commission assesse</w:t>
      </w:r>
      <w:r>
        <w:rPr>
          <w:noProof/>
          <w:sz w:val="20"/>
        </w:rPr>
        <w:t>s whether these elements constitute an appropriate framework to meet the requirements of the MSFD.</w:t>
      </w:r>
    </w:p>
    <w:p w:rsidR="00341319" w:rsidRDefault="00324889">
      <w:pPr>
        <w:widowControl w:val="0"/>
        <w:spacing w:after="120" w:line="240" w:lineRule="auto"/>
        <w:jc w:val="both"/>
        <w:rPr>
          <w:noProof/>
          <w:sz w:val="20"/>
        </w:rPr>
      </w:pPr>
      <w:r>
        <w:rPr>
          <w:noProof/>
          <w:sz w:val="20"/>
        </w:rPr>
        <w:t>In 2012, Italian marine protected areas covered 30366.9 square kilometres of its marine waters in the Mediterranean Sea</w:t>
      </w:r>
      <w:r>
        <w:rPr>
          <w:noProof/>
          <w:sz w:val="20"/>
          <w:vertAlign w:val="superscript"/>
          <w:lang w:val="en-US"/>
        </w:rPr>
        <w:footnoteReference w:id="85"/>
      </w:r>
      <w:r>
        <w:rPr>
          <w:noProof/>
          <w:sz w:val="20"/>
        </w:rPr>
        <w:t>. Italy has also one of the longest c</w:t>
      </w:r>
      <w:r>
        <w:rPr>
          <w:noProof/>
          <w:sz w:val="20"/>
        </w:rPr>
        <w:t xml:space="preserve">oastlines in the EU. </w:t>
      </w:r>
      <w:r>
        <w:rPr>
          <w:noProof/>
          <w:sz w:val="20"/>
          <w:lang w:val="en-US"/>
        </w:rPr>
        <w:t>Italy’s marine waters are part of the marine region of the Mediterranean Sea and cover the sub-regions of the Adriatic Sea, the Ionian Sea and the Central Mediterranean Sea and the Western Mediterranean Sea. Italy is party to the Barce</w:t>
      </w:r>
      <w:r>
        <w:rPr>
          <w:noProof/>
          <w:sz w:val="20"/>
          <w:lang w:val="en-US"/>
        </w:rPr>
        <w:t xml:space="preserve">lona Convention. </w:t>
      </w:r>
      <w:r>
        <w:rPr>
          <w:rFonts w:eastAsia="Times New Roman"/>
          <w:noProof/>
          <w:sz w:val="20"/>
        </w:rPr>
        <w:t>The Mediterranean Sea region has been identified by the EEA in its 2015 State of the Environment report as one of the areas most responsive to climate change due to water scarcity, concentration of economic activities in coastal areas, and</w:t>
      </w:r>
      <w:r>
        <w:rPr>
          <w:rFonts w:eastAsia="Times New Roman"/>
          <w:noProof/>
          <w:sz w:val="20"/>
        </w:rPr>
        <w:t xml:space="preserve"> reliance on climate-sensitive agriculture. The introduction of invasive alien species presents an important threat in the Mediterranean Sea region with the number of invasive alien species increasing significantly since 1970. Finally, the unique biodivers</w:t>
      </w:r>
      <w:r>
        <w:rPr>
          <w:rFonts w:eastAsia="Times New Roman"/>
          <w:noProof/>
          <w:sz w:val="20"/>
        </w:rPr>
        <w:t>ity is also threatened by pollution from land-based sources, such as discharges of excess nutrients and hazardous substances, marine litter, over-fishing, and degradation of critical habitats.</w:t>
      </w:r>
    </w:p>
    <w:p w:rsidR="00341319" w:rsidRDefault="00324889">
      <w:pPr>
        <w:widowControl w:val="0"/>
        <w:spacing w:after="120" w:line="240" w:lineRule="auto"/>
        <w:jc w:val="both"/>
        <w:rPr>
          <w:noProof/>
          <w:sz w:val="20"/>
        </w:rPr>
      </w:pPr>
      <w:r>
        <w:rPr>
          <w:noProof/>
          <w:sz w:val="20"/>
        </w:rPr>
        <w:t>In 2012, Italy has determined GES for all the descriptors liste</w:t>
      </w:r>
      <w:r>
        <w:rPr>
          <w:noProof/>
          <w:sz w:val="20"/>
        </w:rPr>
        <w:t>d in the MSFD. However, the Commission's assessment found that some GES definitions are to be developed. In particular, the GES definitions for marine litter and underwater noise were found to be below the minimum requirement or lack specification/ambition</w:t>
      </w:r>
      <w:r>
        <w:rPr>
          <w:noProof/>
          <w:sz w:val="20"/>
        </w:rPr>
        <w:t>.</w:t>
      </w:r>
    </w:p>
    <w:p w:rsidR="00341319" w:rsidRDefault="00324889">
      <w:pPr>
        <w:widowControl w:val="0"/>
        <w:spacing w:after="120" w:line="240" w:lineRule="auto"/>
        <w:jc w:val="both"/>
        <w:rPr>
          <w:noProof/>
          <w:sz w:val="20"/>
        </w:rPr>
      </w:pPr>
      <w:r>
        <w:rPr>
          <w:rFonts w:eastAsia="Calibri"/>
          <w:noProof/>
          <w:sz w:val="20"/>
        </w:rPr>
        <w:t xml:space="preserve">Italy established a monitoring programme of its marine waters in 2014. </w:t>
      </w:r>
      <w:r>
        <w:rPr>
          <w:noProof/>
          <w:sz w:val="20"/>
        </w:rPr>
        <w:t>The monitoring programmes for all descriptors apart from hydrographical changes and marine litter need further refinement and development to constitute an appropriate framework to mon</w:t>
      </w:r>
      <w:r>
        <w:rPr>
          <w:noProof/>
          <w:sz w:val="20"/>
        </w:rPr>
        <w:t>itor progress towards GES status and targets. In addition, Italy reported that most of its monitoring programme will only be adequate to measure progress towards GES by 2018, the date by which the next assessment of their waters is due. In its reports on t</w:t>
      </w:r>
      <w:r>
        <w:rPr>
          <w:noProof/>
          <w:sz w:val="20"/>
        </w:rPr>
        <w:t>he implementation of the MSFD</w:t>
      </w:r>
      <w:r>
        <w:rPr>
          <w:noProof/>
          <w:sz w:val="20"/>
          <w:vertAlign w:val="superscript"/>
          <w:lang w:val="it-IT"/>
        </w:rPr>
        <w:footnoteReference w:id="86"/>
      </w:r>
      <w:r>
        <w:rPr>
          <w:noProof/>
          <w:sz w:val="20"/>
        </w:rPr>
        <w:t>, the Commission provided guidance to assist Italy. Italy is involved in various EU supported research projects</w:t>
      </w:r>
      <w:r>
        <w:rPr>
          <w:noProof/>
          <w:sz w:val="20"/>
          <w:vertAlign w:val="superscript"/>
        </w:rPr>
        <w:footnoteReference w:id="87"/>
      </w:r>
      <w:r>
        <w:rPr>
          <w:noProof/>
          <w:sz w:val="20"/>
        </w:rPr>
        <w:t>.</w:t>
      </w:r>
    </w:p>
    <w:p w:rsidR="00341319" w:rsidRDefault="00324889">
      <w:pPr>
        <w:widowControl w:val="0"/>
        <w:spacing w:after="120" w:line="240" w:lineRule="auto"/>
        <w:jc w:val="both"/>
        <w:rPr>
          <w:noProof/>
          <w:sz w:val="20"/>
          <w:lang w:val="en"/>
        </w:rPr>
      </w:pPr>
      <w:r>
        <w:rPr>
          <w:noProof/>
          <w:sz w:val="20"/>
        </w:rPr>
        <w:t>The new National Plan on Ports includes activities for recovery and preservation of the seabed and starting up m</w:t>
      </w:r>
      <w:r>
        <w:rPr>
          <w:noProof/>
          <w:sz w:val="20"/>
        </w:rPr>
        <w:t>onitoring programmes of protected sites near ports</w:t>
      </w:r>
      <w:r>
        <w:rPr>
          <w:rStyle w:val="FootnoteReference"/>
          <w:noProof/>
          <w:sz w:val="20"/>
        </w:rPr>
        <w:footnoteReference w:id="88"/>
      </w:r>
      <w:r>
        <w:rPr>
          <w:noProof/>
          <w:sz w:val="20"/>
        </w:rPr>
        <w:t>.</w:t>
      </w:r>
    </w:p>
    <w:p w:rsidR="00341319" w:rsidRDefault="00324889">
      <w:pPr>
        <w:widowControl w:val="0"/>
        <w:spacing w:after="120" w:line="240" w:lineRule="auto"/>
        <w:jc w:val="both"/>
        <w:rPr>
          <w:bCs/>
          <w:noProof/>
          <w:color w:val="1F497D" w:themeColor="text2"/>
        </w:rPr>
      </w:pPr>
      <w:r>
        <w:rPr>
          <w:bCs/>
          <w:noProof/>
          <w:color w:val="1F497D" w:themeColor="text2"/>
        </w:rPr>
        <w:t>Suggested action</w:t>
      </w:r>
    </w:p>
    <w:p w:rsidR="00341319" w:rsidRDefault="00324889">
      <w:pPr>
        <w:pStyle w:val="NoSpacing"/>
        <w:rPr>
          <w:bCs/>
          <w:noProof/>
        </w:rPr>
      </w:pPr>
      <w:r>
        <w:rPr>
          <w:noProof/>
        </w:rPr>
        <w:t>Continue work to improve the definitions of GES, including through regional cooperation by using the work of the relevant Regional Sea Convention.</w:t>
      </w:r>
    </w:p>
    <w:p w:rsidR="00341319" w:rsidRDefault="00324889">
      <w:pPr>
        <w:pStyle w:val="NoSpacing"/>
        <w:rPr>
          <w:bCs/>
          <w:noProof/>
        </w:rPr>
      </w:pPr>
      <w:r>
        <w:rPr>
          <w:noProof/>
        </w:rPr>
        <w:t xml:space="preserve">Further develop approaches assessing </w:t>
      </w:r>
      <w:r>
        <w:rPr>
          <w:noProof/>
        </w:rPr>
        <w:t>(and quantifying) impacts from the main pressures in order to lead to improved and more conclusive assessment results for 2018 reporting.</w:t>
      </w:r>
    </w:p>
    <w:p w:rsidR="00341319" w:rsidRDefault="00324889">
      <w:pPr>
        <w:pStyle w:val="NoSpacing"/>
        <w:widowControl w:val="0"/>
        <w:rPr>
          <w:noProof/>
        </w:rPr>
      </w:pPr>
      <w:r>
        <w:rPr>
          <w:bCs/>
          <w:noProof/>
        </w:rPr>
        <w:t xml:space="preserve">Continue to integrate existing monitoring programmes required under other EU legislation and to implement other joint </w:t>
      </w:r>
      <w:r>
        <w:rPr>
          <w:bCs/>
          <w:noProof/>
        </w:rPr>
        <w:t xml:space="preserve">monitoring programmes, where they exist, developed at (sub)regional level, for instance by the Barcelona Convention. </w:t>
      </w:r>
    </w:p>
    <w:p w:rsidR="00341319" w:rsidRDefault="00324889">
      <w:pPr>
        <w:pStyle w:val="NoSpacing"/>
        <w:widowControl w:val="0"/>
        <w:rPr>
          <w:bCs/>
          <w:noProof/>
        </w:rPr>
      </w:pPr>
      <w:r>
        <w:rPr>
          <w:bCs/>
          <w:noProof/>
        </w:rPr>
        <w:t>Enhance comparability and consistency of monitoring methods within Italy's marine region and a</w:t>
      </w:r>
      <w:r>
        <w:rPr>
          <w:noProof/>
        </w:rPr>
        <w:t>ddress knowledge gaps.</w:t>
      </w:r>
    </w:p>
    <w:p w:rsidR="00341319" w:rsidRDefault="00324889">
      <w:pPr>
        <w:pStyle w:val="NoSpacing"/>
        <w:widowControl w:val="0"/>
        <w:rPr>
          <w:noProof/>
        </w:rPr>
      </w:pPr>
      <w:r>
        <w:rPr>
          <w:noProof/>
        </w:rPr>
        <w:t>Ensure that all of it</w:t>
      </w:r>
      <w:r>
        <w:rPr>
          <w:noProof/>
        </w:rPr>
        <w:t>s monitoring programme is implemented without delay, and is appropriate to monitor progress towards the GES.</w:t>
      </w:r>
    </w:p>
    <w:p w:rsidR="00341319" w:rsidRDefault="00341319">
      <w:pPr>
        <w:widowControl w:val="0"/>
        <w:spacing w:after="120" w:line="240" w:lineRule="auto"/>
        <w:jc w:val="both"/>
        <w:rPr>
          <w:noProof/>
          <w:sz w:val="20"/>
        </w:rPr>
        <w:sectPr w:rsidR="00341319">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40" w:right="1080" w:bottom="1440" w:left="1080" w:header="708" w:footer="708" w:gutter="0"/>
          <w:cols w:num="2" w:space="360"/>
          <w:docGrid w:linePitch="360"/>
        </w:sectPr>
      </w:pPr>
    </w:p>
    <w:p w:rsidR="00341319" w:rsidRDefault="00324889">
      <w:pPr>
        <w:pStyle w:val="Heading1"/>
        <w:widowControl w:val="0"/>
      </w:pPr>
      <w:bookmarkStart w:id="17" w:name="_Toc436222987"/>
      <w:bookmarkStart w:id="18" w:name="_Toc469476710"/>
      <w:r>
        <w:t xml:space="preserve">Ensuring citizens' health and </w:t>
      </w:r>
      <w:r>
        <w:t>quality of life</w:t>
      </w:r>
      <w:bookmarkEnd w:id="17"/>
      <w:bookmarkEnd w:id="18"/>
    </w:p>
    <w:p w:rsidR="00341319" w:rsidRDefault="00341319">
      <w:pPr>
        <w:widowControl w:val="0"/>
        <w:spacing w:after="120" w:line="240" w:lineRule="auto"/>
        <w:jc w:val="both"/>
        <w:rPr>
          <w:noProof/>
          <w:sz w:val="20"/>
        </w:rPr>
      </w:pPr>
    </w:p>
    <w:p w:rsidR="00341319" w:rsidRDefault="00341319">
      <w:pPr>
        <w:widowControl w:val="0"/>
        <w:spacing w:after="120" w:line="240" w:lineRule="auto"/>
        <w:jc w:val="both"/>
        <w:rPr>
          <w:noProof/>
          <w:sz w:val="20"/>
        </w:rPr>
        <w:sectPr w:rsidR="00341319">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17" w:right="1417" w:bottom="1417" w:left="1417" w:header="708" w:footer="708" w:gutter="0"/>
          <w:cols w:space="568"/>
          <w:docGrid w:linePitch="360"/>
        </w:sectPr>
      </w:pP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19" w:name="_Toc469476711"/>
      <w:r>
        <w:rPr>
          <w:rFonts w:cs="Times New Roman"/>
          <w:b/>
          <w:noProof/>
          <w:color w:val="1F497D" w:themeColor="text2"/>
          <w:sz w:val="24"/>
          <w:szCs w:val="24"/>
          <w:lang w:eastAsia="en-GB"/>
        </w:rPr>
        <w:t>Air quality</w:t>
      </w:r>
      <w:bookmarkEnd w:id="19"/>
    </w:p>
    <w:tbl>
      <w:tblPr>
        <w:tblStyle w:val="TableGrid2"/>
        <w:tblpPr w:leftFromText="180" w:rightFromText="180" w:vertAnchor="text" w:horzAnchor="margin" w:tblpY="3708"/>
        <w:tblW w:w="98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341319">
        <w:trPr>
          <w:trHeight w:val="246"/>
        </w:trPr>
        <w:tc>
          <w:tcPr>
            <w:tcW w:w="9876" w:type="dxa"/>
          </w:tcPr>
          <w:p w:rsidR="00341319" w:rsidRDefault="00324889">
            <w:pPr>
              <w:widowControl w:val="0"/>
              <w:jc w:val="both"/>
              <w:rPr>
                <w:b/>
                <w:bCs/>
                <w:noProof/>
                <w:color w:val="1F497D" w:themeColor="text2"/>
                <w:sz w:val="20"/>
              </w:rPr>
            </w:pPr>
            <w:r>
              <w:rPr>
                <w:b/>
                <w:bCs/>
                <w:noProof/>
                <w:color w:val="1F497D" w:themeColor="text2"/>
                <w:sz w:val="20"/>
              </w:rPr>
              <w:t>Figure 10: Attainment situation for PM10, NO2 and O3 in 2014</w:t>
            </w:r>
          </w:p>
        </w:tc>
      </w:tr>
      <w:tr w:rsidR="00341319">
        <w:trPr>
          <w:trHeight w:val="3983"/>
        </w:trPr>
        <w:tc>
          <w:tcPr>
            <w:tcW w:w="9876" w:type="dxa"/>
          </w:tcPr>
          <w:p w:rsidR="00341319" w:rsidRDefault="00324889">
            <w:pPr>
              <w:widowControl w:val="0"/>
              <w:spacing w:after="120"/>
              <w:jc w:val="both"/>
              <w:rPr>
                <w:noProof/>
                <w:sz w:val="20"/>
              </w:rPr>
            </w:pPr>
            <w:r>
              <w:rPr>
                <w:noProof/>
                <w:sz w:val="20"/>
                <w:lang w:eastAsia="en-GB"/>
              </w:rPr>
              <w:drawing>
                <wp:inline distT="0" distB="0" distL="0" distR="0" wp14:anchorId="64ED0A61" wp14:editId="74B42239">
                  <wp:extent cx="6131562" cy="3030279"/>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52506" cy="3040630"/>
                          </a:xfrm>
                          <a:prstGeom prst="rect">
                            <a:avLst/>
                          </a:prstGeom>
                          <a:noFill/>
                        </pic:spPr>
                      </pic:pic>
                    </a:graphicData>
                  </a:graphic>
                </wp:inline>
              </w:drawing>
            </w:r>
          </w:p>
        </w:tc>
      </w:tr>
    </w:tbl>
    <w:p w:rsidR="00341319" w:rsidRDefault="00324889">
      <w:pPr>
        <w:widowControl w:val="0"/>
        <w:shd w:val="clear" w:color="auto" w:fill="4F81BD" w:themeFill="accent1"/>
        <w:spacing w:after="120" w:line="240" w:lineRule="auto"/>
        <w:jc w:val="both"/>
        <w:rPr>
          <w:rFonts w:cs="Times New Roman"/>
          <w:noProof/>
          <w:color w:val="FFFFFF" w:themeColor="background1"/>
          <w:sz w:val="20"/>
          <w:szCs w:val="20"/>
        </w:rPr>
      </w:pPr>
      <w:bookmarkStart w:id="20" w:name="_Toc454456762"/>
      <w:r>
        <w:rPr>
          <w:rFonts w:cs="Times New Roman"/>
          <w:noProof/>
          <w:color w:val="FFFFFF" w:themeColor="background1"/>
          <w:sz w:val="20"/>
          <w:szCs w:val="20"/>
        </w:rPr>
        <w:t xml:space="preserve">The EU Clean Air Policy and legislation require that air </w:t>
      </w:r>
      <w:r>
        <w:rPr>
          <w:rFonts w:cs="Times New Roman"/>
          <w:noProof/>
          <w:color w:val="FFFFFF" w:themeColor="background1"/>
          <w:sz w:val="20"/>
          <w:szCs w:val="20"/>
        </w:rPr>
        <w:t>quality in the Union is significantly improved, moving closer to the WHO recommended levels. Air pollution and its impacts on ecosystems and biodiversity should be further reduced with the long-term aim of not exceeding critical loads and levels. This requ</w:t>
      </w:r>
      <w:r>
        <w:rPr>
          <w:rFonts w:cs="Times New Roman"/>
          <w:noProof/>
          <w:color w:val="FFFFFF" w:themeColor="background1"/>
          <w:sz w:val="20"/>
          <w:szCs w:val="20"/>
        </w:rPr>
        <w:t>ires strengthening efforts to reach full compliance with Union air quality legislation and defining strategic targets and actions beyond 2020.</w:t>
      </w:r>
    </w:p>
    <w:p w:rsidR="00341319" w:rsidRDefault="00324889">
      <w:pPr>
        <w:widowControl w:val="0"/>
        <w:spacing w:after="120" w:line="240" w:lineRule="auto"/>
        <w:jc w:val="both"/>
        <w:rPr>
          <w:noProof/>
          <w:sz w:val="20"/>
          <w:szCs w:val="20"/>
        </w:rPr>
      </w:pPr>
      <w:r>
        <w:rPr>
          <w:noProof/>
          <w:sz w:val="20"/>
          <w:szCs w:val="20"/>
        </w:rPr>
        <w:t>The EU has developed a comprehensive suite of air quality legislation</w:t>
      </w:r>
      <w:r>
        <w:rPr>
          <w:noProof/>
          <w:sz w:val="20"/>
          <w:szCs w:val="20"/>
          <w:vertAlign w:val="superscript"/>
        </w:rPr>
        <w:footnoteReference w:id="89"/>
      </w:r>
      <w:r>
        <w:rPr>
          <w:noProof/>
          <w:sz w:val="20"/>
          <w:szCs w:val="20"/>
        </w:rPr>
        <w:t xml:space="preserve">, which establishes health-based standards </w:t>
      </w:r>
      <w:r>
        <w:rPr>
          <w:noProof/>
          <w:sz w:val="20"/>
          <w:szCs w:val="20"/>
        </w:rPr>
        <w:t>and objectives for a number of air pollutants. As part of this, Member States are also required to ensure that up-to-date information on ambient concentrations of different air pollutants is routinely made available to the public. In addition, the National</w:t>
      </w:r>
      <w:r>
        <w:rPr>
          <w:noProof/>
          <w:sz w:val="20"/>
          <w:szCs w:val="20"/>
        </w:rPr>
        <w:t xml:space="preserve"> Emission Ceilings Directive provides for emission reductions at national level that should be achieved for main pollutants.</w:t>
      </w:r>
    </w:p>
    <w:p w:rsidR="00341319" w:rsidRDefault="00324889">
      <w:pPr>
        <w:widowControl w:val="0"/>
        <w:spacing w:after="120" w:line="240" w:lineRule="auto"/>
        <w:jc w:val="both"/>
        <w:rPr>
          <w:rFonts w:cs="Times New Roman"/>
          <w:noProof/>
          <w:sz w:val="20"/>
          <w:szCs w:val="20"/>
          <w:lang w:eastAsia="en-GB"/>
        </w:rPr>
      </w:pPr>
      <w:r>
        <w:rPr>
          <w:rFonts w:cs="Times New Roman"/>
          <w:noProof/>
          <w:sz w:val="20"/>
          <w:szCs w:val="20"/>
          <w:lang w:eastAsia="en-GB"/>
        </w:rPr>
        <w:t>The emission of several air pollutants has decreased significantly in Italy</w:t>
      </w:r>
      <w:r>
        <w:rPr>
          <w:rFonts w:cs="Times New Roman"/>
          <w:noProof/>
          <w:sz w:val="20"/>
          <w:szCs w:val="20"/>
          <w:vertAlign w:val="superscript"/>
          <w:lang w:val="it-IT" w:eastAsia="en-GB"/>
        </w:rPr>
        <w:footnoteReference w:id="90"/>
      </w:r>
      <w:r>
        <w:rPr>
          <w:rFonts w:cs="Times New Roman"/>
          <w:noProof/>
          <w:sz w:val="20"/>
          <w:szCs w:val="20"/>
          <w:lang w:eastAsia="en-GB"/>
        </w:rPr>
        <w:t>. Reductions between 1990 and 2014 for sulphur oxides (</w:t>
      </w:r>
      <w:r>
        <w:rPr>
          <w:rFonts w:cs="Times New Roman"/>
          <w:noProof/>
          <w:sz w:val="20"/>
          <w:szCs w:val="20"/>
          <w:lang w:eastAsia="en-GB"/>
        </w:rPr>
        <w:noBreakHyphen/>
        <w:t>93%), nitrogen oxides (-61%), ammonia (-17%) as well as volatile organic compounds (-57%) ensure air emissions for these pollutants are within the currently applicable national emission ceilings</w:t>
      </w:r>
      <w:r>
        <w:rPr>
          <w:rFonts w:cs="Times New Roman"/>
          <w:noProof/>
          <w:sz w:val="20"/>
          <w:szCs w:val="20"/>
          <w:vertAlign w:val="superscript"/>
          <w:lang w:val="it-IT" w:eastAsia="en-GB"/>
        </w:rPr>
        <w:footnoteReference w:id="91"/>
      </w:r>
      <w:r>
        <w:rPr>
          <w:rFonts w:cs="Times New Roman"/>
          <w:noProof/>
          <w:sz w:val="20"/>
          <w:szCs w:val="20"/>
          <w:lang w:eastAsia="en-GB"/>
        </w:rPr>
        <w:t xml:space="preserve">. </w:t>
      </w:r>
    </w:p>
    <w:p w:rsidR="00341319" w:rsidRDefault="00324889">
      <w:pPr>
        <w:widowControl w:val="0"/>
        <w:spacing w:after="120" w:line="240" w:lineRule="auto"/>
        <w:jc w:val="both"/>
        <w:rPr>
          <w:noProof/>
          <w:sz w:val="20"/>
          <w:szCs w:val="20"/>
          <w:lang w:eastAsia="en-GB"/>
        </w:rPr>
      </w:pPr>
      <w:r>
        <w:rPr>
          <w:rFonts w:cs="Times New Roman"/>
          <w:noProof/>
          <w:sz w:val="20"/>
          <w:szCs w:val="20"/>
          <w:lang w:eastAsia="en-GB"/>
        </w:rPr>
        <w:t xml:space="preserve">At the same time, </w:t>
      </w:r>
      <w:r>
        <w:rPr>
          <w:noProof/>
          <w:sz w:val="20"/>
          <w:szCs w:val="20"/>
          <w:lang w:eastAsia="en-GB"/>
        </w:rPr>
        <w:t xml:space="preserve">air quality in Italy continues to give </w:t>
      </w:r>
      <w:r>
        <w:rPr>
          <w:noProof/>
          <w:sz w:val="20"/>
          <w:szCs w:val="20"/>
          <w:lang w:eastAsia="en-GB"/>
        </w:rPr>
        <w:t>cause for concern. For the year 2013 in Italy, the European Environment Agency estimated that about 66 630 premature deaths were attributable to fine particulate matter concentrations</w:t>
      </w:r>
      <w:r>
        <w:rPr>
          <w:rFonts w:cs="Times New Roman"/>
          <w:noProof/>
          <w:sz w:val="20"/>
          <w:szCs w:val="20"/>
          <w:vertAlign w:val="superscript"/>
          <w:lang w:eastAsia="en-GB"/>
        </w:rPr>
        <w:footnoteReference w:id="92"/>
      </w:r>
      <w:r>
        <w:rPr>
          <w:noProof/>
          <w:sz w:val="20"/>
          <w:szCs w:val="20"/>
          <w:lang w:eastAsia="en-GB"/>
        </w:rPr>
        <w:t>, 3 380 to ozone concentration</w:t>
      </w:r>
      <w:r>
        <w:rPr>
          <w:rFonts w:cs="Times New Roman"/>
          <w:noProof/>
          <w:sz w:val="20"/>
          <w:szCs w:val="20"/>
          <w:vertAlign w:val="superscript"/>
          <w:lang w:eastAsia="en-GB"/>
        </w:rPr>
        <w:footnoteReference w:id="93"/>
      </w:r>
      <w:r>
        <w:rPr>
          <w:noProof/>
          <w:sz w:val="20"/>
          <w:szCs w:val="20"/>
          <w:lang w:eastAsia="en-GB"/>
        </w:rPr>
        <w:t xml:space="preserve"> and 21 040 to nitrogen dioxide concentra</w:t>
      </w:r>
      <w:r>
        <w:rPr>
          <w:noProof/>
          <w:sz w:val="20"/>
          <w:szCs w:val="20"/>
          <w:lang w:eastAsia="en-GB"/>
        </w:rPr>
        <w:t>tions</w:t>
      </w:r>
      <w:r>
        <w:rPr>
          <w:rFonts w:cs="Times New Roman"/>
          <w:noProof/>
          <w:sz w:val="20"/>
          <w:szCs w:val="20"/>
          <w:vertAlign w:val="superscript"/>
          <w:lang w:eastAsia="en-GB"/>
        </w:rPr>
        <w:footnoteReference w:id="94"/>
      </w:r>
      <w:r>
        <w:rPr>
          <w:noProof/>
          <w:sz w:val="20"/>
          <w:szCs w:val="20"/>
          <w:vertAlign w:val="superscript"/>
          <w:lang w:eastAsia="en-GB"/>
        </w:rPr>
        <w:t>,</w:t>
      </w:r>
      <w:r>
        <w:rPr>
          <w:noProof/>
          <w:sz w:val="20"/>
          <w:szCs w:val="20"/>
          <w:vertAlign w:val="superscript"/>
          <w:lang w:val="it-IT" w:eastAsia="en-GB"/>
        </w:rPr>
        <w:footnoteReference w:id="95"/>
      </w:r>
      <w:r>
        <w:rPr>
          <w:noProof/>
          <w:sz w:val="20"/>
          <w:szCs w:val="20"/>
          <w:lang w:eastAsia="en-GB"/>
        </w:rPr>
        <w:t>.This is due also to exceedances above the EU air quality standards, such as shown in Figure 10</w:t>
      </w:r>
      <w:r>
        <w:rPr>
          <w:noProof/>
          <w:sz w:val="20"/>
          <w:szCs w:val="20"/>
          <w:vertAlign w:val="superscript"/>
          <w:lang w:val="it-IT" w:eastAsia="en-GB"/>
        </w:rPr>
        <w:footnoteReference w:id="96"/>
      </w:r>
      <w:r>
        <w:rPr>
          <w:noProof/>
          <w:sz w:val="20"/>
          <w:szCs w:val="20"/>
          <w:lang w:eastAsia="en-GB"/>
        </w:rPr>
        <w:t>.</w:t>
      </w:r>
    </w:p>
    <w:p w:rsidR="00341319" w:rsidRDefault="00324889">
      <w:pPr>
        <w:widowControl w:val="0"/>
        <w:spacing w:after="120" w:line="240" w:lineRule="auto"/>
        <w:jc w:val="both"/>
        <w:rPr>
          <w:noProof/>
          <w:sz w:val="20"/>
          <w:szCs w:val="20"/>
          <w:lang w:eastAsia="en-GB"/>
        </w:rPr>
      </w:pPr>
      <w:r>
        <w:rPr>
          <w:noProof/>
          <w:sz w:val="20"/>
          <w:szCs w:val="20"/>
          <w:lang w:eastAsia="en-GB"/>
        </w:rPr>
        <w:t>These problems became an extreme concern in November-December of 2015 with particulate matter levels well above the EU daily limit values in Milan, Ro</w:t>
      </w:r>
      <w:r>
        <w:rPr>
          <w:noProof/>
          <w:sz w:val="20"/>
          <w:szCs w:val="20"/>
          <w:lang w:eastAsia="en-GB"/>
        </w:rPr>
        <w:t>me and Naples leading to the closing of these cities to traffic. On the 30 December 2015, the Environment Ministry, Regions and Municipalities signed an anti-smog protocol, and in 2016 a specific agreement was made for Bologna under this protocol</w:t>
      </w:r>
      <w:r>
        <w:rPr>
          <w:noProof/>
          <w:sz w:val="20"/>
          <w:szCs w:val="20"/>
          <w:vertAlign w:val="superscript"/>
          <w:lang w:eastAsia="en-GB"/>
        </w:rPr>
        <w:footnoteReference w:id="97"/>
      </w:r>
      <w:r>
        <w:rPr>
          <w:noProof/>
          <w:sz w:val="20"/>
          <w:szCs w:val="20"/>
          <w:lang w:eastAsia="en-GB"/>
        </w:rPr>
        <w:t>.</w:t>
      </w:r>
    </w:p>
    <w:p w:rsidR="00341319" w:rsidRDefault="00324889">
      <w:pPr>
        <w:widowControl w:val="0"/>
        <w:spacing w:after="120" w:line="240" w:lineRule="auto"/>
        <w:jc w:val="both"/>
        <w:rPr>
          <w:noProof/>
          <w:sz w:val="20"/>
          <w:szCs w:val="20"/>
          <w:lang w:eastAsia="en-GB"/>
        </w:rPr>
      </w:pPr>
      <w:r>
        <w:rPr>
          <w:noProof/>
          <w:sz w:val="20"/>
          <w:szCs w:val="20"/>
          <w:lang w:eastAsia="en-GB"/>
        </w:rPr>
        <w:t>In 2013</w:t>
      </w:r>
      <w:r>
        <w:rPr>
          <w:noProof/>
          <w:sz w:val="20"/>
          <w:szCs w:val="20"/>
          <w:lang w:eastAsia="en-GB"/>
        </w:rPr>
        <w:t>, Italy had over 60% of the urban population resident in areas exposed to PM10 concentrations over the daily limit value (50 µg/m3 on more than 35 days in a year), substantially worse than the EU average of 16.3%</w:t>
      </w:r>
      <w:r>
        <w:rPr>
          <w:rFonts w:cs="Times New Roman"/>
          <w:noProof/>
          <w:sz w:val="20"/>
          <w:szCs w:val="20"/>
          <w:vertAlign w:val="superscript"/>
          <w:lang w:val="it-IT" w:eastAsia="en-GB"/>
        </w:rPr>
        <w:footnoteReference w:id="98"/>
      </w:r>
      <w:r>
        <w:rPr>
          <w:noProof/>
          <w:sz w:val="20"/>
          <w:szCs w:val="20"/>
          <w:lang w:eastAsia="en-GB"/>
        </w:rPr>
        <w:t>. An emerging issue in Italy is high PM emi</w:t>
      </w:r>
      <w:r>
        <w:rPr>
          <w:noProof/>
          <w:sz w:val="20"/>
          <w:szCs w:val="20"/>
          <w:lang w:eastAsia="en-GB"/>
        </w:rPr>
        <w:t>ssions associated with the increasing use of fuelwood in small-scale combustion units. Furthermore, for several air quality zones the long-term objectives regarding ozone concentration are not being met</w:t>
      </w:r>
      <w:r>
        <w:rPr>
          <w:noProof/>
          <w:sz w:val="20"/>
          <w:szCs w:val="20"/>
          <w:vertAlign w:val="superscript"/>
          <w:lang w:val="it-IT" w:eastAsia="en-GB"/>
        </w:rPr>
        <w:footnoteReference w:id="99"/>
      </w:r>
      <w:r>
        <w:rPr>
          <w:noProof/>
          <w:sz w:val="20"/>
          <w:szCs w:val="20"/>
          <w:lang w:eastAsia="en-GB"/>
        </w:rPr>
        <w:t>.</w:t>
      </w:r>
    </w:p>
    <w:p w:rsidR="00341319" w:rsidRDefault="00324889">
      <w:pPr>
        <w:widowControl w:val="0"/>
        <w:spacing w:after="120" w:line="240" w:lineRule="auto"/>
        <w:jc w:val="both"/>
        <w:rPr>
          <w:noProof/>
          <w:sz w:val="20"/>
          <w:szCs w:val="20"/>
          <w:lang w:eastAsia="en-GB"/>
        </w:rPr>
      </w:pPr>
      <w:r>
        <w:rPr>
          <w:noProof/>
          <w:sz w:val="20"/>
          <w:szCs w:val="20"/>
          <w:lang w:eastAsia="en-GB"/>
        </w:rPr>
        <w:t>The persistent breaches of air quality requirements</w:t>
      </w:r>
      <w:r>
        <w:rPr>
          <w:noProof/>
          <w:sz w:val="20"/>
          <w:szCs w:val="20"/>
          <w:lang w:eastAsia="en-GB"/>
        </w:rPr>
        <w:t xml:space="preserve"> (for PM</w:t>
      </w:r>
      <w:r>
        <w:rPr>
          <w:noProof/>
          <w:sz w:val="20"/>
          <w:szCs w:val="20"/>
          <w:vertAlign w:val="subscript"/>
          <w:lang w:eastAsia="en-GB"/>
        </w:rPr>
        <w:t>10</w:t>
      </w:r>
      <w:r>
        <w:rPr>
          <w:noProof/>
          <w:sz w:val="20"/>
          <w:szCs w:val="20"/>
          <w:lang w:eastAsia="en-GB"/>
        </w:rPr>
        <w:t xml:space="preserve"> and NO</w:t>
      </w:r>
      <w:r>
        <w:rPr>
          <w:noProof/>
          <w:sz w:val="20"/>
          <w:szCs w:val="20"/>
          <w:vertAlign w:val="subscript"/>
          <w:lang w:eastAsia="en-GB"/>
        </w:rPr>
        <w:t>2</w:t>
      </w:r>
      <w:r>
        <w:rPr>
          <w:noProof/>
          <w:sz w:val="20"/>
          <w:szCs w:val="20"/>
          <w:lang w:eastAsia="en-GB"/>
        </w:rPr>
        <w:t>), which have severe negative effects on health and environment, are being followed up by the European Commission through infringement procedures covering all the Member States concerned, including Italy. The aim is that adequate measures</w:t>
      </w:r>
      <w:r>
        <w:rPr>
          <w:noProof/>
          <w:sz w:val="20"/>
          <w:szCs w:val="20"/>
          <w:lang w:eastAsia="en-GB"/>
        </w:rPr>
        <w:t xml:space="preserve"> are put in place to bring all zones into compliance.</w:t>
      </w:r>
    </w:p>
    <w:p w:rsidR="00341319" w:rsidRDefault="00324889">
      <w:pPr>
        <w:widowControl w:val="0"/>
        <w:spacing w:after="120" w:line="240" w:lineRule="auto"/>
        <w:jc w:val="both"/>
        <w:rPr>
          <w:noProof/>
          <w:sz w:val="20"/>
          <w:szCs w:val="20"/>
          <w:lang w:eastAsia="en-GB"/>
        </w:rPr>
      </w:pPr>
      <w:r>
        <w:rPr>
          <w:noProof/>
          <w:sz w:val="20"/>
          <w:szCs w:val="20"/>
          <w:lang w:eastAsia="en-GB"/>
        </w:rPr>
        <w:t xml:space="preserve">It is estimated that the health-related external costs from air pollution are above EUR 47 billion/year (income adjusted, 2010), which include not only the intrinsic value of living a full healthy life </w:t>
      </w:r>
      <w:r>
        <w:rPr>
          <w:noProof/>
          <w:sz w:val="20"/>
          <w:szCs w:val="20"/>
          <w:lang w:eastAsia="en-GB"/>
        </w:rPr>
        <w:t>but also direct costs to the economy. These direct economic costs relate to 17 million workdays lost each year due to sickness related to air pollution, with associated costs for employers of EUR 2400 million/year (income adjusted, 2010), for healthcare of</w:t>
      </w:r>
      <w:r>
        <w:rPr>
          <w:noProof/>
          <w:sz w:val="20"/>
          <w:szCs w:val="20"/>
          <w:lang w:eastAsia="en-GB"/>
        </w:rPr>
        <w:t xml:space="preserve"> above EUR 185 million/year (income adjusted, 2010), and for agriculture (crop losses) of EUR 418 million/year (2010)</w:t>
      </w:r>
      <w:r>
        <w:rPr>
          <w:noProof/>
          <w:sz w:val="20"/>
          <w:szCs w:val="20"/>
          <w:vertAlign w:val="superscript"/>
          <w:lang w:val="it-IT" w:eastAsia="en-GB"/>
        </w:rPr>
        <w:footnoteReference w:id="100"/>
      </w:r>
      <w:r>
        <w:rPr>
          <w:noProof/>
          <w:sz w:val="20"/>
          <w:szCs w:val="20"/>
          <w:lang w:eastAsia="en-GB"/>
        </w:rPr>
        <w:t>.</w:t>
      </w:r>
    </w:p>
    <w:p w:rsidR="00341319" w:rsidRDefault="00324889">
      <w:pPr>
        <w:widowControl w:val="0"/>
        <w:spacing w:after="120" w:line="240" w:lineRule="auto"/>
        <w:jc w:val="both"/>
        <w:rPr>
          <w:rFonts w:cs="Times New Roman"/>
          <w:noProof/>
          <w:sz w:val="20"/>
          <w:szCs w:val="20"/>
        </w:rPr>
      </w:pPr>
      <w:r>
        <w:rPr>
          <w:rFonts w:cs="Times New Roman"/>
          <w:noProof/>
          <w:sz w:val="20"/>
          <w:szCs w:val="20"/>
        </w:rPr>
        <w:t>Licenses are issued at regional and state level through a so called integrated environmental authorization (AIA). However evidence shows</w:t>
      </w:r>
      <w:r>
        <w:rPr>
          <w:rFonts w:cs="Times New Roman"/>
          <w:noProof/>
          <w:sz w:val="20"/>
          <w:szCs w:val="20"/>
        </w:rPr>
        <w:t xml:space="preserve"> that the implementation of the conditions prescribed in the AIAs is not always satisfactory and requires the intervention of the central authorities and/or the European Commission such as illustrated by the ILVA Taranto case. </w:t>
      </w:r>
    </w:p>
    <w:p w:rsidR="00341319" w:rsidRDefault="00324889">
      <w:pPr>
        <w:widowControl w:val="0"/>
        <w:spacing w:after="120" w:line="240" w:lineRule="auto"/>
        <w:jc w:val="both"/>
        <w:rPr>
          <w:bCs/>
          <w:noProof/>
          <w:color w:val="1F497D" w:themeColor="text2"/>
          <w:szCs w:val="20"/>
        </w:rPr>
      </w:pPr>
      <w:r>
        <w:rPr>
          <w:bCs/>
          <w:noProof/>
          <w:color w:val="1F497D" w:themeColor="text2"/>
          <w:szCs w:val="20"/>
        </w:rPr>
        <w:t>Suggested action</w:t>
      </w:r>
    </w:p>
    <w:p w:rsidR="00341319" w:rsidRDefault="00324889">
      <w:pPr>
        <w:pStyle w:val="NoSpacing"/>
        <w:rPr>
          <w:noProof/>
        </w:rPr>
      </w:pPr>
      <w:r>
        <w:rPr>
          <w:noProof/>
        </w:rPr>
        <w:t xml:space="preserve">Maintain </w:t>
      </w:r>
      <w:r>
        <w:rPr>
          <w:noProof/>
        </w:rPr>
        <w:t>downward emissions trends of air pollutants in order to achieve full compliance with air quality limit values - and reduce adverse air pollution impacts on health, environment and economy.</w:t>
      </w:r>
    </w:p>
    <w:p w:rsidR="00341319" w:rsidRDefault="00324889">
      <w:pPr>
        <w:pStyle w:val="NoSpacing"/>
        <w:rPr>
          <w:noProof/>
        </w:rPr>
      </w:pPr>
      <w:r>
        <w:rPr>
          <w:noProof/>
        </w:rPr>
        <w:t>Reduce nitrogen oxide (NO</w:t>
      </w:r>
      <w:r>
        <w:rPr>
          <w:noProof/>
          <w:vertAlign w:val="subscript"/>
        </w:rPr>
        <w:t>x</w:t>
      </w:r>
      <w:r>
        <w:rPr>
          <w:noProof/>
        </w:rPr>
        <w:t>) emissions to comply with currently appl</w:t>
      </w:r>
      <w:r>
        <w:rPr>
          <w:noProof/>
        </w:rPr>
        <w:t>icable national emission ceilings</w:t>
      </w:r>
      <w:r>
        <w:rPr>
          <w:noProof/>
          <w:vertAlign w:val="superscript"/>
        </w:rPr>
        <w:footnoteReference w:id="101"/>
      </w:r>
      <w:r>
        <w:rPr>
          <w:noProof/>
        </w:rPr>
        <w:t xml:space="preserve"> and/or to reduce nitrogen dioxide (NO</w:t>
      </w:r>
      <w:r>
        <w:rPr>
          <w:noProof/>
          <w:vertAlign w:val="subscript"/>
        </w:rPr>
        <w:t>2</w:t>
      </w:r>
      <w:r>
        <w:rPr>
          <w:noProof/>
        </w:rPr>
        <w:t>) (and ozone concentrations), inter alia, by reducing transport related emissions - in particular in urban areas.</w:t>
      </w:r>
    </w:p>
    <w:p w:rsidR="00341319" w:rsidRDefault="00324889">
      <w:pPr>
        <w:pStyle w:val="NoSpacing"/>
        <w:rPr>
          <w:noProof/>
        </w:rPr>
      </w:pPr>
      <w:r>
        <w:rPr>
          <w:noProof/>
        </w:rPr>
        <w:t>Reduce PM</w:t>
      </w:r>
      <w:r>
        <w:rPr>
          <w:noProof/>
          <w:vertAlign w:val="subscript"/>
        </w:rPr>
        <w:t>10</w:t>
      </w:r>
      <w:r>
        <w:rPr>
          <w:noProof/>
        </w:rPr>
        <w:t xml:space="preserve"> emission and concentration, inter alia, by reducing emiss</w:t>
      </w:r>
      <w:r>
        <w:rPr>
          <w:noProof/>
        </w:rPr>
        <w:t>ions related to energy and heat generation using solid fuels, to transport and to agriculture.</w:t>
      </w:r>
    </w:p>
    <w:p w:rsidR="00341319" w:rsidRDefault="00341319">
      <w:pPr>
        <w:widowControl w:val="0"/>
        <w:spacing w:after="120" w:line="240" w:lineRule="auto"/>
        <w:jc w:val="both"/>
        <w:outlineLvl w:val="1"/>
        <w:rPr>
          <w:rFonts w:cs="Times New Roman"/>
          <w:b/>
          <w:noProof/>
          <w:color w:val="1F497D" w:themeColor="text2"/>
          <w:sz w:val="24"/>
          <w:szCs w:val="24"/>
          <w:lang w:val="en-US" w:eastAsia="en-GB"/>
        </w:rPr>
      </w:pPr>
      <w:bookmarkStart w:id="21" w:name="_Toc469476712"/>
    </w:p>
    <w:p w:rsidR="00341319" w:rsidRDefault="00324889">
      <w:pPr>
        <w:widowControl w:val="0"/>
        <w:spacing w:after="120" w:line="240" w:lineRule="auto"/>
        <w:jc w:val="both"/>
        <w:outlineLvl w:val="1"/>
        <w:rPr>
          <w:rFonts w:cs="Times New Roman"/>
          <w:b/>
          <w:noProof/>
          <w:color w:val="1F497D" w:themeColor="text2"/>
          <w:sz w:val="24"/>
          <w:szCs w:val="24"/>
          <w:lang w:eastAsia="en-GB"/>
        </w:rPr>
      </w:pPr>
      <w:r>
        <w:rPr>
          <w:rFonts w:cs="Times New Roman"/>
          <w:b/>
          <w:noProof/>
          <w:color w:val="1F497D" w:themeColor="text2"/>
          <w:sz w:val="24"/>
          <w:szCs w:val="24"/>
          <w:lang w:eastAsia="en-GB"/>
        </w:rPr>
        <w:t>Noise</w:t>
      </w:r>
      <w:bookmarkEnd w:id="20"/>
      <w:bookmarkEnd w:id="21"/>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w:t>
      </w:r>
      <w:r>
        <w:rPr>
          <w:rFonts w:cs="Times New Roman"/>
          <w:noProof/>
          <w:color w:val="FFFFFF" w:themeColor="background1"/>
          <w:sz w:val="20"/>
        </w:rPr>
        <w:t>mental noise.</w:t>
      </w:r>
    </w:p>
    <w:p w:rsidR="00341319" w:rsidRDefault="00324889">
      <w:pPr>
        <w:widowControl w:val="0"/>
        <w:spacing w:after="120" w:line="240" w:lineRule="auto"/>
        <w:jc w:val="both"/>
        <w:rPr>
          <w:noProof/>
          <w:sz w:val="20"/>
        </w:rPr>
      </w:pPr>
      <w:r>
        <w:rPr>
          <w:noProof/>
          <w:sz w:val="20"/>
        </w:rPr>
        <w:t>Excessive noise is one of the main causes of health issues</w:t>
      </w:r>
      <w:r>
        <w:rPr>
          <w:rFonts w:eastAsia="Calibri"/>
          <w:noProof/>
          <w:sz w:val="20"/>
          <w:vertAlign w:val="superscript"/>
          <w:lang w:val="it-IT"/>
        </w:rPr>
        <w:footnoteReference w:id="102"/>
      </w:r>
      <w:r>
        <w:rPr>
          <w:noProof/>
          <w:sz w:val="20"/>
        </w:rPr>
        <w:t xml:space="preserve">. To alleviate this, the EU </w:t>
      </w:r>
      <w:r>
        <w:rPr>
          <w:i/>
          <w:noProof/>
          <w:sz w:val="20"/>
        </w:rPr>
        <w:t>acquis</w:t>
      </w:r>
      <w:r>
        <w:rPr>
          <w:noProof/>
          <w:sz w:val="20"/>
        </w:rPr>
        <w:t xml:space="preserve"> sets out several requirements, including assessing the exposure to environmental noise through noise mapping, ensuring that information on environme</w:t>
      </w:r>
      <w:r>
        <w:rPr>
          <w:noProof/>
          <w:sz w:val="20"/>
        </w:rPr>
        <w:t>ntal noise and its effects is made available to the public, and adopting action plans with a view to preventing and reducing environmental noise where necessary and to preserving the acoustic environment quality where it is good.</w:t>
      </w:r>
    </w:p>
    <w:p w:rsidR="00341319" w:rsidRDefault="00324889">
      <w:pPr>
        <w:widowControl w:val="0"/>
        <w:spacing w:before="120" w:after="0" w:line="240" w:lineRule="auto"/>
        <w:jc w:val="both"/>
        <w:rPr>
          <w:rFonts w:eastAsia="Calibri" w:cs="Times New Roman"/>
          <w:noProof/>
          <w:sz w:val="20"/>
        </w:rPr>
      </w:pPr>
      <w:r>
        <w:rPr>
          <w:rFonts w:eastAsia="Calibri" w:cs="Times New Roman"/>
          <w:noProof/>
          <w:sz w:val="20"/>
        </w:rPr>
        <w:t xml:space="preserve">Italy's implementation of </w:t>
      </w:r>
      <w:r>
        <w:rPr>
          <w:rFonts w:eastAsia="Calibri" w:cs="Times New Roman"/>
          <w:noProof/>
          <w:sz w:val="20"/>
        </w:rPr>
        <w:t>the Environmental Noise Directive is significantly delayed. The noise mapping</w:t>
      </w:r>
      <w:r>
        <w:rPr>
          <w:rFonts w:eastAsia="Calibri" w:cs="Times New Roman"/>
          <w:noProof/>
          <w:sz w:val="20"/>
          <w:vertAlign w:val="superscript"/>
        </w:rPr>
        <w:footnoteReference w:id="103"/>
      </w:r>
      <w:r>
        <w:rPr>
          <w:rFonts w:eastAsia="Calibri" w:cs="Times New Roman"/>
          <w:noProof/>
          <w:sz w:val="20"/>
        </w:rPr>
        <w:t xml:space="preserve"> for the most recent reporting round, for the reference year 2011, is only 62% complete for agglomerations, 50% for major airports, and only partially completed for major roads a</w:t>
      </w:r>
      <w:r>
        <w:rPr>
          <w:rFonts w:eastAsia="Calibri" w:cs="Times New Roman"/>
          <w:noProof/>
          <w:sz w:val="20"/>
        </w:rPr>
        <w:t xml:space="preserve">nd major railways. Action Plans for noise management in the current period have been adopted for only 3% of agglomerations, and are missing for all of major airports, major roads and major railways. </w:t>
      </w:r>
    </w:p>
    <w:p w:rsidR="00341319" w:rsidRDefault="00324889">
      <w:pPr>
        <w:widowControl w:val="0"/>
        <w:spacing w:before="240" w:after="120" w:line="240" w:lineRule="auto"/>
        <w:jc w:val="both"/>
        <w:rPr>
          <w:bCs/>
          <w:noProof/>
          <w:color w:val="1F497D" w:themeColor="text2"/>
        </w:rPr>
      </w:pPr>
      <w:r>
        <w:rPr>
          <w:bCs/>
          <w:noProof/>
          <w:color w:val="1F497D" w:themeColor="text2"/>
        </w:rPr>
        <w:t>Suggested action</w:t>
      </w:r>
    </w:p>
    <w:p w:rsidR="00341319" w:rsidRDefault="00324889">
      <w:pPr>
        <w:pStyle w:val="NoSpacing"/>
        <w:rPr>
          <w:noProof/>
        </w:rPr>
      </w:pPr>
      <w:r>
        <w:rPr>
          <w:noProof/>
        </w:rPr>
        <w:t>Complete missing noise action plans and</w:t>
      </w:r>
      <w:r>
        <w:rPr>
          <w:noProof/>
        </w:rPr>
        <w:t xml:space="preserve"> maps</w:t>
      </w:r>
    </w:p>
    <w:p w:rsidR="00341319" w:rsidRDefault="00341319">
      <w:pPr>
        <w:widowControl w:val="0"/>
        <w:spacing w:before="120" w:after="0" w:line="240" w:lineRule="auto"/>
        <w:jc w:val="both"/>
        <w:rPr>
          <w:rFonts w:eastAsia="Calibri" w:cs="Times New Roman"/>
          <w:noProof/>
          <w:sz w:val="20"/>
        </w:rPr>
      </w:pP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22" w:name="_Toc469476713"/>
      <w:r>
        <w:rPr>
          <w:rFonts w:cs="Times New Roman"/>
          <w:b/>
          <w:noProof/>
          <w:color w:val="1F497D" w:themeColor="text2"/>
          <w:sz w:val="24"/>
          <w:szCs w:val="24"/>
          <w:lang w:eastAsia="en-GB"/>
        </w:rPr>
        <w:t>Water quality and management</w:t>
      </w:r>
      <w:bookmarkEnd w:id="22"/>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water policy and legislation require that the impact of pressures on transitional, coastal and fresh waters (including surface and ground waters) is significantly reduced to achieve, maintain or enhance good </w:t>
      </w:r>
      <w:r>
        <w:rPr>
          <w:rFonts w:cs="Times New Roman"/>
          <w:noProof/>
          <w:color w:val="FFFFFF" w:themeColor="background1"/>
          <w:sz w:val="20"/>
        </w:rPr>
        <w:t xml:space="preserve">status of water bodies, as defined by the Water Framework Directive; that citizens throughout the Union benefit from high standards for safe drinking and bathing water; and that the nutrient cycle (nitrogen and phosphorus) is managed in a more sustainable </w:t>
      </w:r>
      <w:r>
        <w:rPr>
          <w:rFonts w:cs="Times New Roman"/>
          <w:noProof/>
          <w:color w:val="FFFFFF" w:themeColor="background1"/>
          <w:sz w:val="20"/>
        </w:rPr>
        <w:t>and resource-efficient way.</w:t>
      </w:r>
    </w:p>
    <w:p w:rsidR="00341319" w:rsidRDefault="00324889">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341319" w:rsidRDefault="00324889">
      <w:pPr>
        <w:widowControl w:val="0"/>
        <w:autoSpaceDE w:val="0"/>
        <w:spacing w:after="120" w:line="240" w:lineRule="auto"/>
        <w:jc w:val="both"/>
        <w:rPr>
          <w:rFonts w:eastAsia="Times New Roman"/>
          <w:noProof/>
          <w:color w:val="000000"/>
          <w:sz w:val="20"/>
          <w:szCs w:val="20"/>
        </w:rPr>
      </w:pPr>
      <w:r>
        <w:rPr>
          <w:rFonts w:eastAsia="Times New Roman"/>
          <w:noProof/>
          <w:color w:val="000000"/>
          <w:sz w:val="20"/>
          <w:szCs w:val="20"/>
        </w:rPr>
        <w:t xml:space="preserve">The main overall objective of EU water policy and legislation is to ensure access to good quality water in sufficient </w:t>
      </w:r>
      <w:r>
        <w:rPr>
          <w:rFonts w:eastAsia="Times New Roman"/>
          <w:noProof/>
          <w:color w:val="000000"/>
          <w:sz w:val="20"/>
          <w:szCs w:val="20"/>
        </w:rPr>
        <w:t xml:space="preserve">quantity for all Europeans. The EU water </w:t>
      </w:r>
      <w:r>
        <w:rPr>
          <w:rFonts w:eastAsia="Times New Roman"/>
          <w:i/>
          <w:noProof/>
          <w:color w:val="000000"/>
          <w:sz w:val="20"/>
          <w:szCs w:val="20"/>
        </w:rPr>
        <w:t>acquis</w:t>
      </w:r>
      <w:r>
        <w:rPr>
          <w:rFonts w:eastAsia="Times New Roman"/>
          <w:noProof/>
          <w:color w:val="000000"/>
          <w:sz w:val="20"/>
          <w:szCs w:val="20"/>
          <w:vertAlign w:val="superscript"/>
          <w:lang w:val="it-IT"/>
        </w:rPr>
        <w:footnoteReference w:id="104"/>
      </w:r>
      <w:r>
        <w:rPr>
          <w:rFonts w:eastAsia="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noProof/>
          <w:color w:val="000000"/>
          <w:sz w:val="20"/>
          <w:szCs w:val="20"/>
        </w:rPr>
        <w:t xml:space="preserve"> </w:t>
      </w:r>
    </w:p>
    <w:p w:rsidR="00341319" w:rsidRDefault="00324889">
      <w:pPr>
        <w:widowControl w:val="0"/>
        <w:spacing w:after="120" w:line="240" w:lineRule="auto"/>
        <w:jc w:val="both"/>
        <w:rPr>
          <w:noProof/>
          <w:sz w:val="20"/>
        </w:rPr>
      </w:pPr>
      <w:r>
        <w:rPr>
          <w:noProof/>
          <w:sz w:val="20"/>
        </w:rPr>
        <w:t>Italy is a water-stressed country. Most of the water abstracted in Italy is for consumptive uses especially irrigation.</w:t>
      </w:r>
      <w:r>
        <w:rPr>
          <w:noProof/>
          <w:sz w:val="20"/>
          <w:vertAlign w:val="superscript"/>
          <w:lang w:val="it-IT"/>
        </w:rPr>
        <w:footnoteReference w:id="105"/>
      </w:r>
      <w:r>
        <w:rPr>
          <w:noProof/>
          <w:sz w:val="20"/>
        </w:rPr>
        <w:t xml:space="preserve"> Water scarcity and drought risk are typical of southern regions. In the North, in contrast, where water resources have been physicall</w:t>
      </w:r>
      <w:r>
        <w:rPr>
          <w:noProof/>
          <w:sz w:val="20"/>
        </w:rPr>
        <w:t>y abundant, climate change effects together with water withdrawal levels have recently giving rise to water scarcity concerns.</w:t>
      </w:r>
    </w:p>
    <w:p w:rsidR="00341319" w:rsidRDefault="00324889">
      <w:pPr>
        <w:widowControl w:val="0"/>
        <w:autoSpaceDE w:val="0"/>
        <w:spacing w:after="120" w:line="240" w:lineRule="auto"/>
        <w:jc w:val="both"/>
        <w:rPr>
          <w:noProof/>
          <w:sz w:val="20"/>
        </w:rPr>
      </w:pPr>
      <w:r>
        <w:rPr>
          <w:noProof/>
          <w:sz w:val="20"/>
        </w:rPr>
        <w:t xml:space="preserve">River Basin Management Plans (RBMPs) are a requirement of the Water Framework Directive and a means of achieving the protection, </w:t>
      </w:r>
      <w:r>
        <w:rPr>
          <w:noProof/>
          <w:sz w:val="20"/>
        </w:rPr>
        <w:t>improvement and sustainable use of the water environment across Europe. This includes surface freshwaters such as lakes and rivers, groundwater, estuaries and coastal waters up to one nautical mile.</w:t>
      </w:r>
    </w:p>
    <w:p w:rsidR="00341319" w:rsidRDefault="00324889">
      <w:pPr>
        <w:widowControl w:val="0"/>
        <w:spacing w:after="120" w:line="240" w:lineRule="auto"/>
        <w:jc w:val="both"/>
        <w:rPr>
          <w:noProof/>
          <w:sz w:val="20"/>
        </w:rPr>
      </w:pPr>
      <w:r>
        <w:rPr>
          <w:noProof/>
          <w:sz w:val="20"/>
        </w:rPr>
        <w:t>According to the Italian authorities, the second generati</w:t>
      </w:r>
      <w:r>
        <w:rPr>
          <w:noProof/>
          <w:sz w:val="20"/>
        </w:rPr>
        <w:t>on of RBMPs provide an improved monitoring system and the programs of measures reflect better the pressures on the water bodies. However, as the Commission has not yet been able to validate this information for all Member States it is not reported here.</w:t>
      </w:r>
    </w:p>
    <w:p w:rsidR="00341319" w:rsidRDefault="00324889">
      <w:pPr>
        <w:widowControl w:val="0"/>
        <w:spacing w:after="120" w:line="240" w:lineRule="auto"/>
        <w:jc w:val="both"/>
        <w:rPr>
          <w:rFonts w:eastAsia="Calibri"/>
          <w:noProof/>
          <w:sz w:val="20"/>
        </w:rPr>
      </w:pPr>
      <w:r>
        <w:rPr>
          <w:rFonts w:eastAsia="Calibri"/>
          <w:noProof/>
          <w:sz w:val="20"/>
        </w:rPr>
        <w:t>In</w:t>
      </w:r>
      <w:r>
        <w:rPr>
          <w:rFonts w:eastAsia="Calibri"/>
          <w:noProof/>
          <w:sz w:val="20"/>
        </w:rPr>
        <w:t xml:space="preserve"> its first generation of RBMPs Italy reported the status of 7644 rivers, 38 lakes, 181 transitional, 489 coastal and 733 groundwater bodies. Only 29% of natural surface water bodies achieve a good or high ecological status</w:t>
      </w:r>
      <w:r>
        <w:rPr>
          <w:rFonts w:eastAsia="Calibri" w:cs="Times New Roman"/>
          <w:noProof/>
          <w:sz w:val="20"/>
          <w:vertAlign w:val="superscript"/>
        </w:rPr>
        <w:footnoteReference w:id="106"/>
      </w:r>
      <w:r>
        <w:rPr>
          <w:rFonts w:eastAsia="Calibri"/>
          <w:noProof/>
          <w:sz w:val="20"/>
        </w:rPr>
        <w:t xml:space="preserve"> (while the status of 56% is unkn</w:t>
      </w:r>
      <w:r>
        <w:rPr>
          <w:rFonts w:eastAsia="Calibri"/>
          <w:noProof/>
          <w:sz w:val="20"/>
        </w:rPr>
        <w:t>own) and 16% of heavily modified or artificial water bodies achieve a good or high ecological potential (44% unknown). Only 18% of surface water bodies (79% unknown), 21% of heavily modified and artificial water bodies</w:t>
      </w:r>
      <w:r>
        <w:rPr>
          <w:rFonts w:eastAsia="Calibri" w:cs="Times New Roman"/>
          <w:noProof/>
          <w:sz w:val="20"/>
          <w:vertAlign w:val="superscript"/>
        </w:rPr>
        <w:footnoteReference w:id="107"/>
      </w:r>
      <w:r>
        <w:rPr>
          <w:rFonts w:eastAsia="Calibri"/>
          <w:noProof/>
          <w:sz w:val="20"/>
        </w:rPr>
        <w:t xml:space="preserve"> (66% unknown) and 49% of groundwater</w:t>
      </w:r>
      <w:r>
        <w:rPr>
          <w:rFonts w:eastAsia="Calibri"/>
          <w:noProof/>
          <w:sz w:val="20"/>
        </w:rPr>
        <w:t xml:space="preserve"> bodies (25% unknown) achieve good chemical status</w:t>
      </w:r>
      <w:r>
        <w:rPr>
          <w:rFonts w:eastAsia="Calibri" w:cs="Times New Roman"/>
          <w:noProof/>
          <w:sz w:val="20"/>
          <w:vertAlign w:val="superscript"/>
        </w:rPr>
        <w:footnoteReference w:id="108"/>
      </w:r>
      <w:r>
        <w:rPr>
          <w:rFonts w:eastAsia="Calibri"/>
          <w:noProof/>
          <w:sz w:val="20"/>
        </w:rPr>
        <w:t>. In addition, 53% of groundwater bodies (32% unknown) are in good quantitative status</w:t>
      </w:r>
      <w:r>
        <w:rPr>
          <w:rFonts w:eastAsia="Calibri" w:cs="Times New Roman"/>
          <w:noProof/>
          <w:sz w:val="20"/>
          <w:vertAlign w:val="superscript"/>
        </w:rPr>
        <w:footnoteReference w:id="109"/>
      </w:r>
      <w:r>
        <w:rPr>
          <w:rFonts w:eastAsia="Calibri"/>
          <w:noProof/>
          <w:sz w:val="20"/>
        </w:rPr>
        <w:t xml:space="preserve">. </w:t>
      </w:r>
    </w:p>
    <w:p w:rsidR="00341319" w:rsidRDefault="00324889">
      <w:pPr>
        <w:widowControl w:val="0"/>
        <w:spacing w:after="120" w:line="240" w:lineRule="auto"/>
        <w:jc w:val="both"/>
        <w:rPr>
          <w:rFonts w:eastAsia="Calibri"/>
          <w:noProof/>
          <w:sz w:val="20"/>
        </w:rPr>
      </w:pPr>
      <w:r>
        <w:rPr>
          <w:rFonts w:eastAsia="Calibri"/>
          <w:noProof/>
          <w:sz w:val="20"/>
        </w:rPr>
        <w:t>The main pressure on Italian waters comes from diffuse sources that affect 38% of surface water bodies</w:t>
      </w:r>
      <w:r>
        <w:rPr>
          <w:rFonts w:eastAsia="Calibri" w:cs="Times New Roman"/>
          <w:noProof/>
          <w:sz w:val="20"/>
          <w:vertAlign w:val="superscript"/>
        </w:rPr>
        <w:footnoteReference w:id="110"/>
      </w:r>
      <w:r>
        <w:rPr>
          <w:rFonts w:eastAsia="Calibri"/>
          <w:noProof/>
          <w:sz w:val="20"/>
        </w:rPr>
        <w:t>. The latest</w:t>
      </w:r>
      <w:r>
        <w:rPr>
          <w:rFonts w:eastAsia="Calibri"/>
          <w:noProof/>
          <w:sz w:val="20"/>
        </w:rPr>
        <w:t xml:space="preserve"> data show that 26% of water bodies are affected by point sources, 16% by water abstraction and 8% by flow regulation. Italian waters are affected by a broad range of economic activities. These include: industry, both abstractions and point source pollutio</w:t>
      </w:r>
      <w:r>
        <w:rPr>
          <w:rFonts w:eastAsia="Calibri"/>
          <w:noProof/>
          <w:sz w:val="20"/>
        </w:rPr>
        <w:t>n; agriculture, point and diffuse source pollution from livestock raising, as well as abstractions and diffuse source pollution for crops; coastal works and recreation, affecting transition and coastal waters. An example is the sub-basin of the Ticino Rive</w:t>
      </w:r>
      <w:r>
        <w:rPr>
          <w:rFonts w:eastAsia="Calibri"/>
          <w:noProof/>
          <w:sz w:val="20"/>
        </w:rPr>
        <w:t xml:space="preserve">r – water bodies are affected by 25 different types of pressures, from urban wastewater discharges to abstractions to engineering works. </w:t>
      </w:r>
    </w:p>
    <w:p w:rsidR="00341319" w:rsidRDefault="00324889">
      <w:pPr>
        <w:widowControl w:val="0"/>
        <w:spacing w:after="120" w:line="240" w:lineRule="auto"/>
        <w:jc w:val="both"/>
        <w:rPr>
          <w:rFonts w:eastAsia="Calibri"/>
          <w:noProof/>
          <w:sz w:val="20"/>
        </w:rPr>
      </w:pPr>
      <w:r>
        <w:rPr>
          <w:rFonts w:eastAsia="Calibri"/>
          <w:noProof/>
          <w:sz w:val="20"/>
        </w:rPr>
        <w:t>Significant differences in terms of pressures are seen across the country, for example, diffuse sources from agricultu</w:t>
      </w:r>
      <w:r>
        <w:rPr>
          <w:rFonts w:eastAsia="Calibri"/>
          <w:noProof/>
          <w:sz w:val="20"/>
        </w:rPr>
        <w:t xml:space="preserve">re are a significant pressure for more than half of the surface water bodies in Northern Apennines (55% of water bodies), Serchio (71%) and Sicily (53%) river basin districts but much less in  Sardinia (27%) or the Eastern Alps (29%). Water abstraction is </w:t>
      </w:r>
      <w:r>
        <w:rPr>
          <w:rFonts w:eastAsia="Calibri"/>
          <w:noProof/>
          <w:sz w:val="20"/>
        </w:rPr>
        <w:t xml:space="preserve">an important pressure in Southern Apennines (28% of water bodies affected) and Northern Apennines (24%) compared to Eastern Alps, Sardinia and Sicily (all less than 10% of water bodies affected). </w:t>
      </w:r>
    </w:p>
    <w:p w:rsidR="00341319" w:rsidRDefault="00324889">
      <w:pPr>
        <w:widowControl w:val="0"/>
        <w:spacing w:after="120" w:line="240" w:lineRule="auto"/>
        <w:jc w:val="both"/>
        <w:rPr>
          <w:rFonts w:eastAsia="Calibri"/>
          <w:noProof/>
          <w:sz w:val="20"/>
        </w:rPr>
      </w:pPr>
      <w:r>
        <w:rPr>
          <w:rFonts w:eastAsia="Calibri"/>
          <w:noProof/>
          <w:sz w:val="20"/>
        </w:rPr>
        <w:t>The latest data show that 99%</w:t>
      </w:r>
      <w:r>
        <w:rPr>
          <w:rFonts w:eastAsia="Calibri"/>
          <w:noProof/>
          <w:sz w:val="20"/>
          <w:vertAlign w:val="superscript"/>
        </w:rPr>
        <w:footnoteReference w:id="111"/>
      </w:r>
      <w:r>
        <w:rPr>
          <w:rFonts w:eastAsia="Calibri"/>
          <w:noProof/>
          <w:sz w:val="20"/>
        </w:rPr>
        <w:t xml:space="preserve"> of large drinking water supp</w:t>
      </w:r>
      <w:r>
        <w:rPr>
          <w:rFonts w:eastAsia="Calibri"/>
          <w:noProof/>
          <w:sz w:val="20"/>
        </w:rPr>
        <w:t xml:space="preserve">lies reach minimum standards. However, punctual drinking water problems exist (arsenic and fluoride in Lazio). </w:t>
      </w:r>
    </w:p>
    <w:p w:rsidR="00341319" w:rsidRDefault="00324889">
      <w:pPr>
        <w:widowControl w:val="0"/>
        <w:spacing w:after="120" w:line="240" w:lineRule="auto"/>
        <w:jc w:val="both"/>
        <w:rPr>
          <w:rFonts w:eastAsia="Calibri"/>
          <w:noProof/>
          <w:sz w:val="20"/>
        </w:rPr>
      </w:pPr>
      <w:r>
        <w:rPr>
          <w:rFonts w:eastAsia="Calibri"/>
          <w:noProof/>
          <w:sz w:val="20"/>
        </w:rPr>
        <w:t>As shown in Figure 11, in 2015, in Italy out of 5518 bathing waters, 90.5 % were of excellent quality, 4.9% of good quality and 1.9 % of suffici</w:t>
      </w:r>
      <w:r>
        <w:rPr>
          <w:rFonts w:eastAsia="Calibri"/>
          <w:noProof/>
          <w:sz w:val="20"/>
        </w:rPr>
        <w:t>ent quality. 95 bathing waters were of poor quality or non-compliant while it was not possible to assess the remaining 55 bathing waters</w:t>
      </w:r>
      <w:r>
        <w:rPr>
          <w:rFonts w:eastAsia="Calibri"/>
          <w:noProof/>
          <w:sz w:val="20"/>
          <w:vertAlign w:val="superscript"/>
        </w:rPr>
        <w:footnoteReference w:id="112"/>
      </w:r>
      <w:r>
        <w:rPr>
          <w:rFonts w:eastAsia="Calibri"/>
          <w:noProof/>
          <w:sz w:val="20"/>
        </w:rPr>
        <w:t>.</w:t>
      </w:r>
    </w:p>
    <w:p w:rsidR="00341319" w:rsidRDefault="00341319">
      <w:pPr>
        <w:widowControl w:val="0"/>
        <w:spacing w:after="120" w:line="240" w:lineRule="auto"/>
        <w:jc w:val="both"/>
        <w:rPr>
          <w:rFonts w:eastAsia="Calibri"/>
          <w:noProof/>
          <w:sz w:val="20"/>
        </w:rPr>
      </w:pPr>
    </w:p>
    <w:p w:rsidR="00341319" w:rsidRDefault="00341319">
      <w:pPr>
        <w:widowControl w:val="0"/>
        <w:spacing w:after="120" w:line="240" w:lineRule="auto"/>
        <w:jc w:val="both"/>
        <w:rPr>
          <w:rFonts w:eastAsia="Calibri"/>
          <w:noProof/>
          <w:sz w:val="20"/>
        </w:rPr>
      </w:pPr>
    </w:p>
    <w:p w:rsidR="00341319" w:rsidRDefault="00341319">
      <w:pPr>
        <w:widowControl w:val="0"/>
        <w:spacing w:after="120" w:line="240" w:lineRule="auto"/>
        <w:jc w:val="both"/>
        <w:rPr>
          <w:rFonts w:eastAsia="Calibri"/>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41319">
        <w:tc>
          <w:tcPr>
            <w:tcW w:w="4910" w:type="dxa"/>
          </w:tcPr>
          <w:p w:rsidR="00341319" w:rsidRDefault="00324889">
            <w:pPr>
              <w:widowControl w:val="0"/>
              <w:spacing w:after="120"/>
              <w:jc w:val="both"/>
              <w:rPr>
                <w:b/>
                <w:noProof/>
                <w:sz w:val="20"/>
              </w:rPr>
            </w:pPr>
            <w:r>
              <w:rPr>
                <w:b/>
                <w:bCs/>
                <w:noProof/>
                <w:color w:val="1F497D" w:themeColor="text2"/>
                <w:sz w:val="20"/>
              </w:rPr>
              <w:t>Figure 11: Bathing water quality 2012 – 15</w:t>
            </w:r>
            <w:r>
              <w:rPr>
                <w:b/>
                <w:bCs/>
                <w:noProof/>
                <w:color w:val="1F497D" w:themeColor="text2"/>
                <w:sz w:val="20"/>
                <w:vertAlign w:val="superscript"/>
              </w:rPr>
              <w:footnoteReference w:id="113"/>
            </w:r>
          </w:p>
        </w:tc>
      </w:tr>
      <w:tr w:rsidR="00341319">
        <w:tc>
          <w:tcPr>
            <w:tcW w:w="4910" w:type="dxa"/>
          </w:tcPr>
          <w:p w:rsidR="00341319" w:rsidRDefault="00324889">
            <w:pPr>
              <w:widowControl w:val="0"/>
              <w:spacing w:after="120"/>
              <w:jc w:val="both"/>
              <w:rPr>
                <w:noProof/>
                <w:sz w:val="20"/>
                <w:lang w:val="it-IT"/>
              </w:rPr>
            </w:pPr>
            <w:r>
              <w:rPr>
                <w:noProof/>
                <w:sz w:val="20"/>
                <w:lang w:eastAsia="en-GB"/>
              </w:rPr>
              <w:drawing>
                <wp:inline distT="0" distB="0" distL="0" distR="0" wp14:anchorId="3D91CFA1" wp14:editId="1DD7351F">
                  <wp:extent cx="3001789" cy="2715904"/>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02206" cy="2716281"/>
                          </a:xfrm>
                          <a:prstGeom prst="rect">
                            <a:avLst/>
                          </a:prstGeom>
                          <a:noFill/>
                        </pic:spPr>
                      </pic:pic>
                    </a:graphicData>
                  </a:graphic>
                </wp:inline>
              </w:drawing>
            </w:r>
          </w:p>
        </w:tc>
      </w:tr>
    </w:tbl>
    <w:p w:rsidR="00341319" w:rsidRDefault="00324889">
      <w:pPr>
        <w:widowControl w:val="0"/>
        <w:spacing w:after="120" w:line="240" w:lineRule="auto"/>
        <w:jc w:val="both"/>
        <w:rPr>
          <w:noProof/>
          <w:sz w:val="20"/>
        </w:rPr>
      </w:pPr>
      <w:r>
        <w:rPr>
          <w:rFonts w:eastAsia="Calibri" w:cs="Times New Roman"/>
          <w:noProof/>
          <w:sz w:val="20"/>
        </w:rPr>
        <w:t xml:space="preserve">There are considerable issues of non-compliance with the Urban Waste Water Treatment Directive (UWWTD). </w:t>
      </w:r>
      <w:r>
        <w:rPr>
          <w:noProof/>
          <w:sz w:val="20"/>
        </w:rPr>
        <w:t>Recent efforts have been made, but almost one third of all agglomerations above 2000 p.e. (in a total of approximately 3200) are subject to EU infringem</w:t>
      </w:r>
      <w:r>
        <w:rPr>
          <w:noProof/>
          <w:sz w:val="20"/>
        </w:rPr>
        <w:t xml:space="preserve">ent procedures. </w:t>
      </w:r>
      <w:r>
        <w:rPr>
          <w:rFonts w:eastAsia="Calibri" w:cs="Times New Roman"/>
          <w:noProof/>
          <w:sz w:val="20"/>
        </w:rPr>
        <w:t>It shows that Italy has not achieved the obligation to reach 100% compliance by 2005</w:t>
      </w:r>
      <w:r>
        <w:rPr>
          <w:noProof/>
          <w:sz w:val="20"/>
        </w:rPr>
        <w:t xml:space="preserve">. </w:t>
      </w:r>
    </w:p>
    <w:p w:rsidR="00341319" w:rsidRDefault="00324889">
      <w:pPr>
        <w:widowControl w:val="0"/>
        <w:spacing w:after="120" w:line="240" w:lineRule="auto"/>
        <w:jc w:val="both"/>
        <w:rPr>
          <w:rFonts w:eastAsia="Calibri" w:cs="Times New Roman"/>
          <w:noProof/>
          <w:sz w:val="20"/>
        </w:rPr>
      </w:pPr>
      <w:r>
        <w:rPr>
          <w:noProof/>
          <w:sz w:val="20"/>
        </w:rPr>
        <w:t>Figure 12 shows the total generated load at Member State level (in population equivalent (p.e.)  and regardless of agglomerations) and the load that rema</w:t>
      </w:r>
      <w:r>
        <w:rPr>
          <w:noProof/>
          <w:sz w:val="20"/>
        </w:rPr>
        <w:t>ins to be addressed by Italy.</w:t>
      </w:r>
      <w:r>
        <w:rPr>
          <w:rFonts w:eastAsia="Calibri" w:cs="Times New Roman"/>
          <w:noProof/>
          <w:sz w:val="20"/>
        </w:rPr>
        <w:t xml:space="preserve"> </w:t>
      </w:r>
    </w:p>
    <w:p w:rsidR="00341319" w:rsidRDefault="00324889">
      <w:pPr>
        <w:widowControl w:val="0"/>
        <w:spacing w:after="120" w:line="240" w:lineRule="auto"/>
        <w:jc w:val="both"/>
        <w:rPr>
          <w:noProof/>
          <w:sz w:val="20"/>
        </w:rPr>
      </w:pPr>
      <w:r>
        <w:rPr>
          <w:noProof/>
          <w:sz w:val="20"/>
        </w:rPr>
        <w:t>In addition, reporting under the UWWTD and the Drinking Water Directive reveal discrepancies between regions and the need for improvement of implementation at regional level, especially with regard to monitoring. Urban wastew</w:t>
      </w:r>
      <w:r>
        <w:rPr>
          <w:noProof/>
          <w:sz w:val="20"/>
        </w:rPr>
        <w:t>ater treatment data were completely or partially missing from some regions, rendering it impossible to calculate compliance rates at national level</w:t>
      </w:r>
      <w:r>
        <w:rPr>
          <w:rFonts w:cs="Times New Roman"/>
          <w:noProof/>
          <w:sz w:val="20"/>
          <w:vertAlign w:val="superscript"/>
          <w:lang w:val="it-IT"/>
        </w:rPr>
        <w:footnoteReference w:id="114"/>
      </w:r>
      <w:r>
        <w:rPr>
          <w:noProof/>
          <w:sz w:val="20"/>
        </w:rPr>
        <w:t xml:space="preserve">. </w:t>
      </w:r>
    </w:p>
    <w:p w:rsidR="00341319" w:rsidRDefault="00324889">
      <w:pPr>
        <w:widowControl w:val="0"/>
        <w:spacing w:after="120" w:line="240" w:lineRule="auto"/>
        <w:jc w:val="both"/>
        <w:rPr>
          <w:noProof/>
          <w:sz w:val="20"/>
        </w:rPr>
      </w:pPr>
      <w:r>
        <w:rPr>
          <w:noProof/>
          <w:sz w:val="20"/>
        </w:rPr>
        <w:t xml:space="preserve">Activities to solve these issues are being implemented. </w:t>
      </w:r>
      <w:r>
        <w:rPr>
          <w:noProof/>
          <w:sz w:val="20"/>
          <w:lang w:eastAsia="en-GB"/>
        </w:rPr>
        <w:t>The ERDF will be used in the southern Italy to ad</w:t>
      </w:r>
      <w:r>
        <w:rPr>
          <w:noProof/>
          <w:sz w:val="20"/>
          <w:lang w:eastAsia="en-GB"/>
        </w:rPr>
        <w:t>dress the extensive UWWTD non-compliance, in conjunction with the National Cohesion and Development Fund.</w:t>
      </w:r>
      <w:r>
        <w:rPr>
          <w:b/>
          <w:noProof/>
          <w:sz w:val="20"/>
          <w:lang w:eastAsia="en-GB"/>
        </w:rPr>
        <w:t xml:space="preserve"> </w:t>
      </w:r>
      <w:r>
        <w:rPr>
          <w:noProof/>
          <w:sz w:val="20"/>
          <w:lang w:eastAsia="en-GB"/>
        </w:rPr>
        <w:t>EFSI is also intervening to improve water infrastructure</w:t>
      </w:r>
      <w:r>
        <w:rPr>
          <w:b/>
          <w:noProof/>
          <w:sz w:val="20"/>
          <w:lang w:eastAsia="en-GB"/>
        </w:rPr>
        <w:t xml:space="preserve">. </w:t>
      </w:r>
      <w:r>
        <w:rPr>
          <w:noProof/>
          <w:sz w:val="20"/>
          <w:lang w:eastAsia="en-GB"/>
        </w:rPr>
        <w:t>Furthermore, t</w:t>
      </w:r>
      <w:r>
        <w:rPr>
          <w:noProof/>
          <w:sz w:val="20"/>
        </w:rPr>
        <w:t xml:space="preserve">he Decree-Law </w:t>
      </w:r>
      <w:r>
        <w:rPr>
          <w:i/>
          <w:noProof/>
          <w:sz w:val="20"/>
        </w:rPr>
        <w:t>Unblock Italy</w:t>
      </w:r>
      <w:r>
        <w:rPr>
          <w:noProof/>
          <w:sz w:val="20"/>
          <w:vertAlign w:val="superscript"/>
        </w:rPr>
        <w:footnoteReference w:id="115"/>
      </w:r>
      <w:r>
        <w:rPr>
          <w:noProof/>
          <w:sz w:val="20"/>
        </w:rPr>
        <w:t xml:space="preserve"> speeds up investments in water and flooding throu</w:t>
      </w:r>
      <w:r>
        <w:rPr>
          <w:noProof/>
          <w:sz w:val="20"/>
        </w:rPr>
        <w:t>gh administrative reforms and in 2016 special commissioners to speed up compliance with the UWWTD have been appointed. Significant investments are needed for urban wastewater treatment currently estimated by Italy at EUR 4.6 billion</w:t>
      </w:r>
      <w:r>
        <w:rPr>
          <w:rFonts w:eastAsia="Calibri" w:cs="Times New Roman"/>
          <w:noProof/>
          <w:sz w:val="20"/>
          <w:vertAlign w:val="superscript"/>
          <w:lang w:val="it-IT"/>
        </w:rPr>
        <w:footnoteReference w:id="116"/>
      </w:r>
      <w:r>
        <w:rPr>
          <w:noProof/>
          <w:sz w:val="20"/>
        </w:rPr>
        <w:t>.</w:t>
      </w:r>
    </w:p>
    <w:p w:rsidR="00341319" w:rsidRDefault="00341319">
      <w:pPr>
        <w:widowControl w:val="0"/>
        <w:spacing w:after="120" w:line="240" w:lineRule="auto"/>
        <w:jc w:val="both"/>
        <w:rPr>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tblGrid>
      <w:tr w:rsidR="00341319">
        <w:trPr>
          <w:trHeight w:val="273"/>
        </w:trPr>
        <w:tc>
          <w:tcPr>
            <w:tcW w:w="4906" w:type="dxa"/>
            <w:shd w:val="clear" w:color="auto" w:fill="auto"/>
          </w:tcPr>
          <w:p w:rsidR="00341319" w:rsidRDefault="00324889">
            <w:pPr>
              <w:widowControl w:val="0"/>
              <w:spacing w:after="120"/>
              <w:jc w:val="both"/>
              <w:rPr>
                <w:noProof/>
                <w:sz w:val="20"/>
              </w:rPr>
            </w:pPr>
            <w:r>
              <w:rPr>
                <w:b/>
                <w:bCs/>
                <w:noProof/>
                <w:color w:val="1F497D" w:themeColor="text2"/>
                <w:sz w:val="20"/>
              </w:rPr>
              <w:t>Figure 12: Urban was</w:t>
            </w:r>
            <w:r>
              <w:rPr>
                <w:b/>
                <w:bCs/>
                <w:noProof/>
                <w:color w:val="1F497D" w:themeColor="text2"/>
                <w:sz w:val="20"/>
              </w:rPr>
              <w:t>te water Italian situation 2012 – Final deadline 2005</w:t>
            </w:r>
            <w:r>
              <w:rPr>
                <w:b/>
                <w:bCs/>
                <w:noProof/>
                <w:color w:val="1F497D" w:themeColor="text2"/>
                <w:sz w:val="20"/>
                <w:vertAlign w:val="superscript"/>
                <w:lang w:val="it-IT"/>
              </w:rPr>
              <w:footnoteReference w:id="117"/>
            </w:r>
          </w:p>
        </w:tc>
      </w:tr>
      <w:tr w:rsidR="00341319">
        <w:trPr>
          <w:trHeight w:val="261"/>
        </w:trPr>
        <w:tc>
          <w:tcPr>
            <w:tcW w:w="4906" w:type="dxa"/>
            <w:shd w:val="clear" w:color="auto" w:fill="auto"/>
          </w:tcPr>
          <w:p w:rsidR="00341319" w:rsidRDefault="00324889">
            <w:pPr>
              <w:widowControl w:val="0"/>
              <w:spacing w:after="120"/>
              <w:jc w:val="both"/>
              <w:rPr>
                <w:b/>
                <w:bCs/>
                <w:noProof/>
                <w:color w:val="1F497D" w:themeColor="text2"/>
                <w:sz w:val="20"/>
              </w:rPr>
            </w:pPr>
            <w:r>
              <w:rPr>
                <w:b/>
                <w:bCs/>
                <w:noProof/>
                <w:color w:val="1F497D" w:themeColor="text2"/>
                <w:sz w:val="20"/>
                <w:lang w:eastAsia="en-GB"/>
              </w:rPr>
              <w:drawing>
                <wp:inline distT="0" distB="0" distL="0" distR="0" wp14:anchorId="641DB3BC" wp14:editId="62852C74">
                  <wp:extent cx="2808356" cy="289205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0195" cy="2893950"/>
                          </a:xfrm>
                          <a:prstGeom prst="rect">
                            <a:avLst/>
                          </a:prstGeom>
                          <a:noFill/>
                        </pic:spPr>
                      </pic:pic>
                    </a:graphicData>
                  </a:graphic>
                </wp:inline>
              </w:drawing>
            </w:r>
          </w:p>
        </w:tc>
      </w:tr>
    </w:tbl>
    <w:p w:rsidR="00341319" w:rsidRDefault="00324889">
      <w:pPr>
        <w:widowControl w:val="0"/>
        <w:spacing w:after="120" w:line="240" w:lineRule="auto"/>
        <w:jc w:val="both"/>
        <w:rPr>
          <w:noProof/>
          <w:sz w:val="20"/>
        </w:rPr>
      </w:pPr>
      <w:r>
        <w:rPr>
          <w:noProof/>
          <w:sz w:val="20"/>
        </w:rPr>
        <w:t>Groundwater and surface waters pollution is also a major challenge. In addition to wastewater discharges, agriculture, and in particular the use of digestate from anaerobic digestion of a biodegradable feedstock, especially in areas characterized by intens</w:t>
      </w:r>
      <w:r>
        <w:rPr>
          <w:noProof/>
          <w:sz w:val="20"/>
        </w:rPr>
        <w:t xml:space="preserve">ive livestock production, exerts a significant pressure on water resources. A particular effect is eutrophication in the Adriatic Sea. Closing the implementation gap in the Nitrates Directive would address this situation, but further efforts both in terms </w:t>
      </w:r>
      <w:r>
        <w:rPr>
          <w:noProof/>
          <w:sz w:val="20"/>
        </w:rPr>
        <w:t xml:space="preserve">of monitoring potentially vulnerable areas and enforcing existing measures, need to be done at regional level making use of the EAFRD, which could also support supplementary measures in accordance with the Water Framework Directive.  </w:t>
      </w:r>
    </w:p>
    <w:p w:rsidR="00341319" w:rsidRDefault="00324889">
      <w:pPr>
        <w:widowControl w:val="0"/>
        <w:spacing w:after="120" w:line="240" w:lineRule="auto"/>
        <w:jc w:val="both"/>
        <w:rPr>
          <w:noProof/>
          <w:sz w:val="20"/>
        </w:rPr>
      </w:pPr>
      <w:r>
        <w:rPr>
          <w:noProof/>
          <w:sz w:val="20"/>
        </w:rPr>
        <w:t>There is a need for i</w:t>
      </w:r>
      <w:r>
        <w:rPr>
          <w:noProof/>
          <w:sz w:val="20"/>
        </w:rPr>
        <w:t>mprovements in the efficiency of the water supply system, in particular the high leakage rates (27% nationally, the figure is closer to 50% in the south) and it is urgent to invest in renewal of water infrastructure (the average age is 30 years).</w:t>
      </w:r>
      <w:r>
        <w:rPr>
          <w:rFonts w:eastAsia="Calibri" w:cs="Times New Roman"/>
          <w:noProof/>
          <w:sz w:val="20"/>
          <w:vertAlign w:val="superscript"/>
        </w:rPr>
        <w:footnoteReference w:id="118"/>
      </w:r>
      <w:r>
        <w:rPr>
          <w:noProof/>
          <w:sz w:val="20"/>
        </w:rPr>
        <w:t xml:space="preserve"> Despite </w:t>
      </w:r>
      <w:r>
        <w:rPr>
          <w:noProof/>
          <w:sz w:val="20"/>
        </w:rPr>
        <w:t xml:space="preserve">being the major water user in the country, water prices in the agricultural sector are significantly lower than domestic and industrial prices, providing little incentive for an efficient water use. </w:t>
      </w:r>
    </w:p>
    <w:p w:rsidR="00341319" w:rsidRDefault="00324889">
      <w:pPr>
        <w:widowControl w:val="0"/>
        <w:spacing w:after="120" w:line="240" w:lineRule="auto"/>
        <w:jc w:val="both"/>
        <w:rPr>
          <w:noProof/>
          <w:sz w:val="20"/>
        </w:rPr>
      </w:pPr>
      <w:r>
        <w:rPr>
          <w:noProof/>
          <w:sz w:val="20"/>
        </w:rPr>
        <w:t xml:space="preserve">Investments in the water sector from the ERDF and EAFRD </w:t>
      </w:r>
      <w:r>
        <w:rPr>
          <w:noProof/>
          <w:sz w:val="20"/>
        </w:rPr>
        <w:t xml:space="preserve">2014-20 are made subject to Action Plans for the </w:t>
      </w:r>
      <w:r>
        <w:rPr>
          <w:i/>
          <w:noProof/>
          <w:sz w:val="20"/>
        </w:rPr>
        <w:t>ex-ante</w:t>
      </w:r>
      <w:r>
        <w:rPr>
          <w:noProof/>
          <w:sz w:val="20"/>
        </w:rPr>
        <w:t xml:space="preserve"> conditionality for water, to ensure the correct application of the Water Framework Directive, including the adoption of updated RBMPs and the recovery of costs for water services.  </w:t>
      </w:r>
    </w:p>
    <w:p w:rsidR="00341319" w:rsidRDefault="00324889">
      <w:pPr>
        <w:widowControl w:val="0"/>
        <w:spacing w:after="120" w:line="240" w:lineRule="auto"/>
        <w:jc w:val="both"/>
        <w:rPr>
          <w:noProof/>
          <w:sz w:val="20"/>
        </w:rPr>
      </w:pPr>
      <w:r>
        <w:rPr>
          <w:noProof/>
          <w:sz w:val="20"/>
        </w:rPr>
        <w:t>In Italy integrat</w:t>
      </w:r>
      <w:r>
        <w:rPr>
          <w:noProof/>
          <w:sz w:val="20"/>
        </w:rPr>
        <w:t>ed water services (public water supply, wastewater treatment and sewerage) are regulated by an independent authority called AEEGSI</w:t>
      </w:r>
      <w:r>
        <w:rPr>
          <w:noProof/>
          <w:sz w:val="20"/>
          <w:vertAlign w:val="superscript"/>
        </w:rPr>
        <w:footnoteReference w:id="119"/>
      </w:r>
      <w:r>
        <w:rPr>
          <w:noProof/>
          <w:sz w:val="20"/>
        </w:rPr>
        <w:t xml:space="preserve"> which approves the tariff methodology and the tariff plans of water utilities.</w:t>
      </w:r>
    </w:p>
    <w:p w:rsidR="00341319" w:rsidRDefault="00324889">
      <w:pPr>
        <w:widowControl w:val="0"/>
        <w:spacing w:after="120" w:line="240" w:lineRule="auto"/>
        <w:jc w:val="both"/>
        <w:rPr>
          <w:noProof/>
          <w:sz w:val="20"/>
        </w:rPr>
      </w:pPr>
      <w:r>
        <w:rPr>
          <w:noProof/>
          <w:sz w:val="20"/>
          <w:lang w:eastAsia="en-GB"/>
        </w:rPr>
        <w:drawing>
          <wp:inline distT="0" distB="0" distL="0" distR="0" wp14:anchorId="2A075355" wp14:editId="76149AA6">
            <wp:extent cx="2980690" cy="2239825"/>
            <wp:effectExtent l="0" t="0" r="0" b="8255"/>
            <wp:docPr id="2" name="Picture 2" descr="P:\ENV-E2\1. ENV IMPLEMENTATION REVIEW\EIR Data management\Pictures\remaining pictures istock\clean\IT beach iStock-48274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IT beach iStock-48274697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80690" cy="2239825"/>
                    </a:xfrm>
                    <a:prstGeom prst="rect">
                      <a:avLst/>
                    </a:prstGeom>
                    <a:noFill/>
                    <a:ln>
                      <a:noFill/>
                    </a:ln>
                  </pic:spPr>
                </pic:pic>
              </a:graphicData>
            </a:graphic>
          </wp:inline>
        </w:drawing>
      </w:r>
      <w:r>
        <w:rPr>
          <w:noProof/>
          <w:sz w:val="20"/>
        </w:rPr>
        <w:t>Italy has issued guidelines in the form of M</w:t>
      </w:r>
      <w:r>
        <w:rPr>
          <w:noProof/>
          <w:sz w:val="20"/>
        </w:rPr>
        <w:t>inisterial Decrees for the definition of environmental costs needed for cost recovery</w:t>
      </w:r>
      <w:bookmarkStart w:id="23" w:name="_ftnref2"/>
      <w:bookmarkEnd w:id="23"/>
      <w:r>
        <w:rPr>
          <w:noProof/>
          <w:sz w:val="20"/>
          <w:vertAlign w:val="superscript"/>
        </w:rPr>
        <w:footnoteReference w:id="120"/>
      </w:r>
      <w:r>
        <w:rPr>
          <w:noProof/>
          <w:sz w:val="20"/>
        </w:rPr>
        <w:t xml:space="preserve"> &amp; on water abstraction measurements and distribution in the agricultural sector</w:t>
      </w:r>
      <w:bookmarkStart w:id="24" w:name="_ftnref3"/>
      <w:bookmarkEnd w:id="24"/>
      <w:r>
        <w:rPr>
          <w:noProof/>
          <w:sz w:val="20"/>
          <w:vertAlign w:val="superscript"/>
        </w:rPr>
        <w:footnoteReference w:id="121"/>
      </w:r>
      <w:r>
        <w:rPr>
          <w:noProof/>
          <w:sz w:val="20"/>
        </w:rPr>
        <w:t xml:space="preserve"> and various regulations</w:t>
      </w:r>
      <w:bookmarkStart w:id="25" w:name="_ftnref4"/>
      <w:bookmarkEnd w:id="25"/>
      <w:r>
        <w:rPr>
          <w:noProof/>
          <w:sz w:val="20"/>
        </w:rPr>
        <w:t xml:space="preserve"> governing the implementation of cost recovery including environm</w:t>
      </w:r>
      <w:r>
        <w:rPr>
          <w:noProof/>
          <w:sz w:val="20"/>
        </w:rPr>
        <w:t xml:space="preserve">ental and resource cost. </w:t>
      </w:r>
      <w:bookmarkStart w:id="26" w:name="_ftnref5"/>
      <w:bookmarkStart w:id="27" w:name="_ftnref6"/>
      <w:bookmarkStart w:id="28" w:name="_ftnref7"/>
      <w:bookmarkEnd w:id="26"/>
      <w:bookmarkEnd w:id="27"/>
      <w:bookmarkEnd w:id="28"/>
      <w:r>
        <w:rPr>
          <w:noProof/>
          <w:sz w:val="20"/>
        </w:rPr>
        <w:t>For example, by decision 662/2014/IDR</w:t>
      </w:r>
      <w:r>
        <w:rPr>
          <w:noProof/>
          <w:sz w:val="20"/>
          <w:vertAlign w:val="superscript"/>
        </w:rPr>
        <w:footnoteReference w:id="122"/>
      </w:r>
      <w:r>
        <w:rPr>
          <w:noProof/>
          <w:sz w:val="20"/>
        </w:rPr>
        <w:t>, AEEGSI has identified a first set of charges to include in the environmental resources' costs (ERC) and by decision 656/2015/R/IDR</w:t>
      </w:r>
      <w:r>
        <w:rPr>
          <w:noProof/>
          <w:sz w:val="20"/>
          <w:vertAlign w:val="superscript"/>
        </w:rPr>
        <w:footnoteReference w:id="123"/>
      </w:r>
      <w:r>
        <w:rPr>
          <w:noProof/>
          <w:sz w:val="20"/>
        </w:rPr>
        <w:t xml:space="preserve"> has regulated the relationship between service granting aut</w:t>
      </w:r>
      <w:r>
        <w:rPr>
          <w:noProof/>
          <w:sz w:val="20"/>
        </w:rPr>
        <w:t>horities and water utilities. In addition with decision 643/2013/R/IDR</w:t>
      </w:r>
      <w:r>
        <w:rPr>
          <w:noProof/>
          <w:sz w:val="20"/>
          <w:vertAlign w:val="superscript"/>
        </w:rPr>
        <w:footnoteReference w:id="124"/>
      </w:r>
      <w:r>
        <w:rPr>
          <w:noProof/>
          <w:sz w:val="20"/>
        </w:rPr>
        <w:t xml:space="preserve">, AEEGSI has introduced the </w:t>
      </w:r>
      <w:r>
        <w:rPr>
          <w:i/>
          <w:noProof/>
          <w:sz w:val="20"/>
        </w:rPr>
        <w:t>Water Tariff Method</w:t>
      </w:r>
      <w:r>
        <w:rPr>
          <w:i/>
          <w:noProof/>
          <w:sz w:val="20"/>
          <w:vertAlign w:val="superscript"/>
        </w:rPr>
        <w:footnoteReference w:id="125"/>
      </w:r>
      <w:r>
        <w:rPr>
          <w:noProof/>
          <w:sz w:val="20"/>
        </w:rPr>
        <w:t xml:space="preserve"> and with decision 664/2015/R/IDR</w:t>
      </w:r>
      <w:r>
        <w:rPr>
          <w:noProof/>
          <w:sz w:val="20"/>
          <w:vertAlign w:val="superscript"/>
        </w:rPr>
        <w:footnoteReference w:id="126"/>
      </w:r>
      <w:r>
        <w:rPr>
          <w:noProof/>
          <w:sz w:val="20"/>
        </w:rPr>
        <w:t xml:space="preserve"> it has approved a new tariff method for integrated water services relating to the 2016 – 20 period. AA</w:t>
      </w:r>
      <w:r>
        <w:rPr>
          <w:noProof/>
          <w:sz w:val="20"/>
        </w:rPr>
        <w:t>EGSI has introduced an increasing (progressive) tariff system related to consumption that ensures incentive pricing, supports investments and provides adequate incentives for users to use water resources efficiently. New rules on water tariffs entered into</w:t>
      </w:r>
      <w:r>
        <w:rPr>
          <w:noProof/>
          <w:sz w:val="20"/>
        </w:rPr>
        <w:t xml:space="preserve"> force on 01.01.2016</w:t>
      </w:r>
      <w:bookmarkStart w:id="29" w:name="_ftnref8"/>
      <w:bookmarkStart w:id="30" w:name="_ftnref9"/>
      <w:bookmarkEnd w:id="29"/>
      <w:bookmarkEnd w:id="30"/>
      <w:r>
        <w:rPr>
          <w:noProof/>
          <w:sz w:val="20"/>
        </w:rPr>
        <w:t>. Furthermore, the 2016 Budget</w:t>
      </w:r>
      <w:bookmarkStart w:id="31" w:name="_ftnref10"/>
      <w:bookmarkEnd w:id="31"/>
      <w:r>
        <w:rPr>
          <w:noProof/>
          <w:sz w:val="20"/>
        </w:rPr>
        <w:t xml:space="preserve"> Law</w:t>
      </w:r>
      <w:r>
        <w:rPr>
          <w:noProof/>
          <w:sz w:val="20"/>
          <w:vertAlign w:val="superscript"/>
        </w:rPr>
        <w:footnoteReference w:id="127"/>
      </w:r>
      <w:r>
        <w:rPr>
          <w:noProof/>
          <w:sz w:val="20"/>
        </w:rPr>
        <w:t xml:space="preserve"> has created a guarantee fund to improve water infrastructure, financed by the new tariff.</w:t>
      </w:r>
    </w:p>
    <w:p w:rsidR="00341319" w:rsidRDefault="00324889">
      <w:pPr>
        <w:widowControl w:val="0"/>
        <w:spacing w:after="120" w:line="240" w:lineRule="auto"/>
        <w:jc w:val="both"/>
        <w:rPr>
          <w:noProof/>
          <w:sz w:val="20"/>
        </w:rPr>
      </w:pPr>
      <w:r>
        <w:rPr>
          <w:noProof/>
          <w:sz w:val="20"/>
        </w:rPr>
        <w:t>The Ministry of Environment, in cooperation with District Authorities, has established a Working Group to draf</w:t>
      </w:r>
      <w:r>
        <w:rPr>
          <w:noProof/>
          <w:sz w:val="20"/>
        </w:rPr>
        <w:t>t national guidelines on the abstraction procedures and setting up environmental flows.</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Flood risk areas have already been identified and mapped in Italy</w:t>
      </w:r>
      <w:r>
        <w:rPr>
          <w:rFonts w:eastAsia="Calibri" w:cs="Times New Roman"/>
          <w:noProof/>
          <w:sz w:val="20"/>
          <w:vertAlign w:val="superscript"/>
          <w:lang w:val="it-IT"/>
        </w:rPr>
        <w:footnoteReference w:id="128"/>
      </w:r>
      <w:r>
        <w:rPr>
          <w:rFonts w:eastAsia="Calibri" w:cs="Times New Roman"/>
          <w:noProof/>
          <w:sz w:val="20"/>
        </w:rPr>
        <w:t>.</w:t>
      </w:r>
      <w:r>
        <w:rPr>
          <w:rFonts w:ascii="Calibri" w:hAnsi="Calibri"/>
          <w:noProof/>
          <w:sz w:val="20"/>
        </w:rPr>
        <w:t xml:space="preserve"> </w:t>
      </w:r>
      <w:r>
        <w:rPr>
          <w:rFonts w:eastAsia="Calibri" w:cs="Times New Roman"/>
          <w:noProof/>
          <w:sz w:val="20"/>
        </w:rPr>
        <w:t>The first cycle of Flood Risk Management Plans (FRMPs) have been completed apart from Sicily</w:t>
      </w:r>
      <w:r>
        <w:rPr>
          <w:rFonts w:eastAsia="Calibri" w:cs="Times New Roman"/>
          <w:noProof/>
          <w:sz w:val="20"/>
          <w:vertAlign w:val="superscript"/>
        </w:rPr>
        <w:footnoteReference w:id="129"/>
      </w:r>
      <w:r>
        <w:rPr>
          <w:rFonts w:eastAsia="Calibri" w:cs="Times New Roman"/>
          <w:noProof/>
          <w:sz w:val="20"/>
        </w:rPr>
        <w:t>.</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Italy</w:t>
      </w:r>
      <w:r>
        <w:rPr>
          <w:rFonts w:eastAsia="Calibri" w:cs="Times New Roman"/>
          <w:noProof/>
          <w:sz w:val="20"/>
        </w:rPr>
        <w:t xml:space="preserve"> is hit regularly by flooding incidents with serious economic damage costs (the latest serious flooding incidents occurred in October and November 2014 with a total cost of damage estimated at EUR 2.2 billion). It is estimated that 60% of the country is at</w:t>
      </w:r>
      <w:r>
        <w:rPr>
          <w:rFonts w:eastAsia="Calibri" w:cs="Times New Roman"/>
          <w:noProof/>
          <w:sz w:val="20"/>
        </w:rPr>
        <w:t xml:space="preserve"> risk of flooding. The total cost of floods extrapolated in Italy over 11 years between 2002-13 was around EUR 11 billion for the 20 major floods recorded. The average cost per flood was EUR 558 million, well above the EU average of EUR 370 million</w:t>
      </w:r>
      <w:r>
        <w:rPr>
          <w:rFonts w:eastAsia="Calibri" w:cs="Times New Roman"/>
          <w:noProof/>
          <w:sz w:val="20"/>
          <w:vertAlign w:val="superscript"/>
          <w:lang w:val="it-IT"/>
        </w:rPr>
        <w:footnoteReference w:id="130"/>
      </w:r>
      <w:r>
        <w:rPr>
          <w:rFonts w:eastAsia="Calibri" w:cs="Times New Roman"/>
          <w:noProof/>
          <w:sz w:val="20"/>
        </w:rPr>
        <w:t xml:space="preserve">. Over </w:t>
      </w:r>
      <w:r>
        <w:rPr>
          <w:rFonts w:eastAsia="Calibri" w:cs="Times New Roman"/>
          <w:noProof/>
          <w:sz w:val="20"/>
        </w:rPr>
        <w:t>a longer time period, it is estimated that the costs of damages on physical assets in the period 1950-10 amounted to EUR 52 billion</w:t>
      </w:r>
      <w:r>
        <w:rPr>
          <w:rFonts w:eastAsia="Calibri" w:cs="Times New Roman"/>
          <w:noProof/>
          <w:sz w:val="20"/>
          <w:vertAlign w:val="superscript"/>
          <w:lang w:val="it-IT"/>
        </w:rPr>
        <w:footnoteReference w:id="131"/>
      </w:r>
      <w:r>
        <w:rPr>
          <w:rFonts w:eastAsia="Calibri" w:cs="Times New Roman"/>
          <w:noProof/>
          <w:sz w:val="20"/>
        </w:rPr>
        <w:t>. In contrast, the costs of securing the entire national territory was estimated at EUR 44 billion</w:t>
      </w:r>
      <w:r>
        <w:rPr>
          <w:rFonts w:eastAsia="Calibri" w:cs="Times New Roman"/>
          <w:noProof/>
          <w:sz w:val="20"/>
          <w:vertAlign w:val="superscript"/>
          <w:lang w:val="it-IT"/>
        </w:rPr>
        <w:footnoteReference w:id="132"/>
      </w:r>
      <w:r>
        <w:rPr>
          <w:rFonts w:eastAsia="Calibri" w:cs="Times New Roman"/>
          <w:noProof/>
          <w:sz w:val="20"/>
        </w:rPr>
        <w:t>.</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 xml:space="preserve">In order to provide an </w:t>
      </w:r>
      <w:r>
        <w:rPr>
          <w:rFonts w:eastAsia="Calibri" w:cs="Times New Roman"/>
          <w:noProof/>
          <w:sz w:val="20"/>
        </w:rPr>
        <w:t>effective governance system to manage hydro-geological risk, Italy launched a National Operational Plan for the mitigation of hydrogeological risk in the period 2015-20, based on the proposals directly submitted by the regions to a constantly updated web p</w:t>
      </w:r>
      <w:r>
        <w:rPr>
          <w:rFonts w:eastAsia="Calibri" w:cs="Times New Roman"/>
          <w:noProof/>
          <w:sz w:val="20"/>
        </w:rPr>
        <w:t>latform called ReNDiS</w:t>
      </w:r>
      <w:r>
        <w:rPr>
          <w:rFonts w:eastAsia="Calibri" w:cs="Times New Roman"/>
          <w:noProof/>
          <w:sz w:val="20"/>
          <w:vertAlign w:val="superscript"/>
        </w:rPr>
        <w:footnoteReference w:id="133"/>
      </w:r>
      <w:r>
        <w:rPr>
          <w:rFonts w:eastAsia="Calibri" w:cs="Times New Roman"/>
          <w:noProof/>
          <w:sz w:val="20"/>
        </w:rPr>
        <w:t>; so far about 9,000 requests of mitigation measures for over EUR 31 billion have been received. Submitted proposals are evaluated in accordance with criteria laid down in a Council of Ministers Presidential Decree</w:t>
      </w:r>
      <w:r>
        <w:rPr>
          <w:rFonts w:eastAsia="Calibri" w:cs="Times New Roman"/>
          <w:noProof/>
          <w:sz w:val="20"/>
          <w:vertAlign w:val="superscript"/>
        </w:rPr>
        <w:footnoteReference w:id="134"/>
      </w:r>
      <w:r>
        <w:rPr>
          <w:rFonts w:eastAsia="Calibri" w:cs="Times New Roman"/>
          <w:noProof/>
          <w:sz w:val="20"/>
        </w:rPr>
        <w:t>. Furthermore, to e</w:t>
      </w:r>
      <w:r>
        <w:rPr>
          <w:rFonts w:eastAsia="Calibri" w:cs="Times New Roman"/>
          <w:noProof/>
          <w:sz w:val="20"/>
        </w:rPr>
        <w:t>nsure the funding of the most urgent measures, another Council of Ministers Presidential Decree</w:t>
      </w:r>
      <w:r>
        <w:rPr>
          <w:rFonts w:eastAsia="Calibri" w:cs="Times New Roman"/>
          <w:noProof/>
          <w:sz w:val="20"/>
          <w:vertAlign w:val="superscript"/>
        </w:rPr>
        <w:footnoteReference w:id="135"/>
      </w:r>
      <w:r>
        <w:rPr>
          <w:rFonts w:eastAsia="Calibri" w:cs="Times New Roman"/>
          <w:noProof/>
          <w:sz w:val="20"/>
        </w:rPr>
        <w:t xml:space="preserve"> identifies as part of the National Operational Programme, a Metropolitan Areas Plan</w:t>
      </w:r>
      <w:r>
        <w:rPr>
          <w:rFonts w:eastAsia="Calibri" w:cs="Times New Roman"/>
          <w:noProof/>
          <w:sz w:val="20"/>
          <w:vertAlign w:val="superscript"/>
        </w:rPr>
        <w:footnoteReference w:id="136"/>
      </w:r>
      <w:r>
        <w:rPr>
          <w:rFonts w:eastAsia="Calibri" w:cs="Times New Roman"/>
          <w:noProof/>
          <w:sz w:val="20"/>
        </w:rPr>
        <w:t xml:space="preserve"> consisting of a set of mitigation measures for metropolitan areas and urba</w:t>
      </w:r>
      <w:r>
        <w:rPr>
          <w:rFonts w:eastAsia="Calibri" w:cs="Times New Roman"/>
          <w:noProof/>
          <w:sz w:val="20"/>
        </w:rPr>
        <w:t>n areas with high levels of population exposed to flood risk. This Plan includes 33 projects already funded for a value of over EUR 650 million, and a programmatic part with another 99 projects for a value of around EUR 500 million.</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Management and preventi</w:t>
      </w:r>
      <w:r>
        <w:rPr>
          <w:rFonts w:eastAsia="Calibri" w:cs="Times New Roman"/>
          <w:noProof/>
          <w:sz w:val="20"/>
        </w:rPr>
        <w:t>on of floods is an area where potentially more economical nature-based solutions could improve resource efficiency through reducing costs and delivering multiple benefits.  In its 2014-20 ERDF and EAFRD regional programmes Italy is planning to invest in na</w:t>
      </w:r>
      <w:r>
        <w:rPr>
          <w:rFonts w:eastAsia="Calibri" w:cs="Times New Roman"/>
          <w:noProof/>
          <w:sz w:val="20"/>
        </w:rPr>
        <w:t>ture-based solutions to deal with flood control in addition to grey infrastructure. Under EFSI a new loan is underway to deal with flooding and hydrogeological risks</w:t>
      </w:r>
      <w:r>
        <w:rPr>
          <w:rFonts w:eastAsia="Calibri" w:cs="Times New Roman"/>
          <w:noProof/>
          <w:sz w:val="20"/>
          <w:vertAlign w:val="superscript"/>
        </w:rPr>
        <w:footnoteReference w:id="137"/>
      </w:r>
      <w:r>
        <w:rPr>
          <w:rFonts w:eastAsia="Calibri" w:cs="Times New Roman"/>
          <w:noProof/>
          <w:sz w:val="20"/>
        </w:rPr>
        <w:t xml:space="preserve">. Finally, among the measures included in National Operational Plan green Infrastructures </w:t>
      </w:r>
      <w:r>
        <w:rPr>
          <w:rFonts w:eastAsia="Calibri" w:cs="Times New Roman"/>
          <w:noProof/>
          <w:sz w:val="20"/>
        </w:rPr>
        <w:t>are considered a priority over other measures, as they contribute to integrated goals from both RBMPs and FRMPs.</w:t>
      </w:r>
    </w:p>
    <w:p w:rsidR="00341319" w:rsidRDefault="00324889">
      <w:pPr>
        <w:spacing w:after="120" w:line="240" w:lineRule="auto"/>
        <w:jc w:val="both"/>
        <w:rPr>
          <w:bCs/>
          <w:noProof/>
          <w:color w:val="1F497D" w:themeColor="text2"/>
        </w:rPr>
      </w:pPr>
      <w:r>
        <w:rPr>
          <w:bCs/>
          <w:noProof/>
          <w:color w:val="1F497D" w:themeColor="text2"/>
        </w:rPr>
        <w:t xml:space="preserve">Suggested action </w:t>
      </w:r>
    </w:p>
    <w:p w:rsidR="00341319" w:rsidRDefault="00324889">
      <w:pPr>
        <w:pStyle w:val="NoSpacing"/>
        <w:rPr>
          <w:noProof/>
        </w:rPr>
      </w:pPr>
      <w:r>
        <w:rPr>
          <w:noProof/>
        </w:rPr>
        <w:t>Improve water policy in line with the intervention logic of the Water Framework Directive, i.e. provide a more detailed asses</w:t>
      </w:r>
      <w:r>
        <w:rPr>
          <w:noProof/>
        </w:rPr>
        <w:t>sment of pressures to improve monitoring to know the status of water bodies and design Programmes of Measures that address all the main pressures identified, in particular from agriculture, industry and urban wastewater. The Programmes of Measures should b</w:t>
      </w:r>
      <w:r>
        <w:rPr>
          <w:noProof/>
        </w:rPr>
        <w:t xml:space="preserve">e adequately funded.  The national and regional administration in the water sector should improve coordination including using the district basin authorities created by the </w:t>
      </w:r>
      <w:r>
        <w:rPr>
          <w:i/>
          <w:noProof/>
        </w:rPr>
        <w:t>Collegato Ambientale</w:t>
      </w:r>
      <w:r>
        <w:rPr>
          <w:i/>
          <w:noProof/>
          <w:vertAlign w:val="superscript"/>
        </w:rPr>
        <w:footnoteReference w:id="138"/>
      </w:r>
      <w:r>
        <w:rPr>
          <w:noProof/>
        </w:rPr>
        <w:t>.</w:t>
      </w:r>
    </w:p>
    <w:p w:rsidR="00341319" w:rsidRDefault="00324889">
      <w:pPr>
        <w:pStyle w:val="NoSpacing"/>
        <w:rPr>
          <w:noProof/>
        </w:rPr>
      </w:pPr>
      <w:r>
        <w:rPr>
          <w:noProof/>
        </w:rPr>
        <w:t>Roll out a water pricing policy based on adopted national gu</w:t>
      </w:r>
      <w:r>
        <w:rPr>
          <w:noProof/>
        </w:rPr>
        <w:t>idelines, including metering for more efficient use of water. Water abstraction permits should be reviewed so they are consistent with environmental objectives.</w:t>
      </w:r>
    </w:p>
    <w:p w:rsidR="00341319" w:rsidRDefault="00324889">
      <w:pPr>
        <w:pStyle w:val="NoSpacing"/>
        <w:rPr>
          <w:noProof/>
        </w:rPr>
      </w:pPr>
      <w:r>
        <w:rPr>
          <w:noProof/>
        </w:rPr>
        <w:t>Ensure that new projects that can cause deterioration of the status are properly assessed accor</w:t>
      </w:r>
      <w:r>
        <w:rPr>
          <w:noProof/>
        </w:rPr>
        <w:t xml:space="preserve">ding to the Water Framework Directive Article 4(7), in particular new hydropower projects. </w:t>
      </w:r>
    </w:p>
    <w:p w:rsidR="00341319" w:rsidRDefault="00324889">
      <w:pPr>
        <w:pStyle w:val="NoSpacing"/>
        <w:rPr>
          <w:noProof/>
        </w:rPr>
      </w:pPr>
      <w:r>
        <w:rPr>
          <w:noProof/>
        </w:rPr>
        <w:t>Increase investment in water infrastructure to ensure implementation for the collection and adequate treatment of wastewater.</w:t>
      </w:r>
    </w:p>
    <w:p w:rsidR="00341319" w:rsidRDefault="00324889">
      <w:pPr>
        <w:pStyle w:val="NoSpacing"/>
        <w:rPr>
          <w:noProof/>
        </w:rPr>
      </w:pPr>
      <w:r>
        <w:rPr>
          <w:noProof/>
        </w:rPr>
        <w:t>Reduce the polluting pressures by agri</w:t>
      </w:r>
      <w:r>
        <w:rPr>
          <w:noProof/>
        </w:rPr>
        <w:t xml:space="preserve">culture on surface and ground waters such as by introducing binding requirements for farmers to improve nutrient balances. The implementation of actions in new national guidelines is a first step. </w:t>
      </w:r>
    </w:p>
    <w:p w:rsidR="00341319" w:rsidRDefault="00324889">
      <w:pPr>
        <w:pStyle w:val="NoSpacing"/>
        <w:spacing w:after="240"/>
        <w:rPr>
          <w:noProof/>
        </w:rPr>
      </w:pPr>
      <w:r>
        <w:rPr>
          <w:noProof/>
        </w:rPr>
        <w:t>Improve land use and flood control.</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32" w:name="_Toc433184092"/>
      <w:bookmarkStart w:id="33" w:name="_Toc469476714"/>
      <w:r>
        <w:rPr>
          <w:rFonts w:cs="Times New Roman"/>
          <w:b/>
          <w:noProof/>
          <w:color w:val="1F497D" w:themeColor="text2"/>
          <w:sz w:val="24"/>
          <w:szCs w:val="24"/>
          <w:lang w:eastAsia="en-GB"/>
        </w:rPr>
        <w:t xml:space="preserve">Enhancing the </w:t>
      </w:r>
      <w:r>
        <w:rPr>
          <w:rFonts w:cs="Times New Roman"/>
          <w:b/>
          <w:noProof/>
          <w:color w:val="1F497D" w:themeColor="text2"/>
          <w:sz w:val="24"/>
          <w:szCs w:val="24"/>
          <w:lang w:eastAsia="en-GB"/>
        </w:rPr>
        <w:t>sustainability of cities</w:t>
      </w:r>
      <w:bookmarkEnd w:id="32"/>
      <w:bookmarkEnd w:id="33"/>
    </w:p>
    <w:p w:rsidR="00341319" w:rsidRDefault="00324889">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w:t>
      </w:r>
      <w:r>
        <w:rPr>
          <w:noProof/>
          <w:color w:val="FFFFFF" w:themeColor="background1"/>
          <w:sz w:val="20"/>
        </w:rPr>
        <w:t xml:space="preserve">ency and urban biodiversity conservation. </w:t>
      </w:r>
    </w:p>
    <w:p w:rsidR="00341319" w:rsidRDefault="00324889">
      <w:pPr>
        <w:widowControl w:val="0"/>
        <w:shd w:val="clear" w:color="auto" w:fill="4F81BD" w:themeFill="accent1"/>
        <w:spacing w:after="120" w:line="240" w:lineRule="auto"/>
        <w:jc w:val="both"/>
        <w:rPr>
          <w:i/>
          <w:noProof/>
          <w:color w:val="FFFFFF" w:themeColor="background1"/>
          <w:sz w:val="20"/>
        </w:rPr>
      </w:pPr>
      <w:r>
        <w:rPr>
          <w:noProof/>
          <w:color w:val="FFFFFF" w:themeColor="background1"/>
          <w:sz w:val="20"/>
        </w:rPr>
        <w:t>SDG11 aims at making cities and human settlements inclusive, safe, resilient and sustainable.</w:t>
      </w:r>
    </w:p>
    <w:p w:rsidR="00341319" w:rsidRDefault="00324889">
      <w:pPr>
        <w:widowControl w:val="0"/>
        <w:spacing w:after="120" w:line="240" w:lineRule="auto"/>
        <w:jc w:val="both"/>
        <w:rPr>
          <w:noProof/>
          <w:sz w:val="20"/>
        </w:rPr>
      </w:pPr>
      <w:r>
        <w:rPr>
          <w:noProof/>
          <w:sz w:val="20"/>
        </w:rPr>
        <w:t>Europe is a Union of cities and towns; around 75% of the EU population are living in urban areas.</w:t>
      </w:r>
      <w:r>
        <w:rPr>
          <w:noProof/>
          <w:sz w:val="20"/>
          <w:vertAlign w:val="superscript"/>
          <w:lang w:val="it-IT"/>
        </w:rPr>
        <w:footnoteReference w:id="139"/>
      </w:r>
      <w:r>
        <w:rPr>
          <w:noProof/>
          <w:sz w:val="20"/>
        </w:rPr>
        <w:t xml:space="preserve"> The urban environment poses particular challenges for the environment and human health, whilst also providing opportunities and efficiency gains in the use of resources. </w:t>
      </w:r>
    </w:p>
    <w:p w:rsidR="00341319" w:rsidRDefault="00324889">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t>
      </w:r>
      <w:r>
        <w:rPr>
          <w:rFonts w:cs="Times New Roman"/>
          <w:noProof/>
          <w:sz w:val="20"/>
        </w:rPr>
        <w:t>w Urban Agenda for the EU (incorporating the Smart Cities initiative) to tackle these issues in a comprehensive way, including their connections with social and economic challenges. At the heart of this Urban Agenda will be the development of twelve partne</w:t>
      </w:r>
      <w:r>
        <w:rPr>
          <w:rFonts w:cs="Times New Roman"/>
          <w:noProof/>
          <w:sz w:val="20"/>
        </w:rPr>
        <w:t>rships on the identified urban challenges, including air quality and housing</w:t>
      </w:r>
      <w:r>
        <w:rPr>
          <w:rFonts w:cs="Times New Roman"/>
          <w:noProof/>
          <w:sz w:val="20"/>
          <w:vertAlign w:val="superscript"/>
        </w:rPr>
        <w:footnoteReference w:id="140"/>
      </w:r>
      <w:r>
        <w:rPr>
          <w:rFonts w:cs="Times New Roman"/>
          <w:noProof/>
          <w:sz w:val="20"/>
        </w:rPr>
        <w:t xml:space="preserve">. </w:t>
      </w:r>
    </w:p>
    <w:p w:rsidR="00341319" w:rsidRDefault="00324889">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141"/>
      </w:r>
      <w:r>
        <w:rPr>
          <w:rFonts w:cs="Times New Roman"/>
          <w:noProof/>
          <w:sz w:val="20"/>
        </w:rPr>
        <w:t>.</w:t>
      </w:r>
    </w:p>
    <w:p w:rsidR="00341319" w:rsidRDefault="00324889">
      <w:pPr>
        <w:widowControl w:val="0"/>
        <w:spacing w:after="120" w:line="240" w:lineRule="auto"/>
        <w:jc w:val="both"/>
        <w:rPr>
          <w:noProof/>
          <w:sz w:val="20"/>
        </w:rPr>
      </w:pPr>
      <w:r>
        <w:rPr>
          <w:noProof/>
          <w:sz w:val="20"/>
        </w:rPr>
        <w:t>The EU stimulates green cities through awards and funding, such as the EU Green Capital Award aimed at c</w:t>
      </w:r>
      <w:r>
        <w:rPr>
          <w:noProof/>
          <w:sz w:val="20"/>
        </w:rPr>
        <w:t xml:space="preserve">ities with </w:t>
      </w:r>
      <w:r>
        <w:rPr>
          <w:bCs/>
          <w:iCs/>
          <w:noProof/>
          <w:sz w:val="20"/>
        </w:rPr>
        <w:t>more than 100,000 inhabitants</w:t>
      </w:r>
      <w:r>
        <w:rPr>
          <w:noProof/>
          <w:sz w:val="20"/>
        </w:rPr>
        <w:t xml:space="preserve"> and the EU Green Leaf initiative </w:t>
      </w:r>
      <w:r>
        <w:rPr>
          <w:noProof/>
          <w:sz w:val="20"/>
          <w:lang w:val="en"/>
        </w:rPr>
        <w:t>aimed at cities and towns, with between 20,000 and 100,000 inhabitants</w:t>
      </w:r>
      <w:r>
        <w:rPr>
          <w:noProof/>
          <w:sz w:val="20"/>
        </w:rPr>
        <w:t xml:space="preserve">. </w:t>
      </w:r>
    </w:p>
    <w:p w:rsidR="00341319" w:rsidRDefault="00324889">
      <w:pPr>
        <w:widowControl w:val="0"/>
        <w:spacing w:after="120" w:line="240" w:lineRule="auto"/>
        <w:jc w:val="both"/>
        <w:rPr>
          <w:noProof/>
          <w:sz w:val="20"/>
        </w:rPr>
      </w:pPr>
      <w:r>
        <w:rPr>
          <w:noProof/>
          <w:sz w:val="20"/>
        </w:rPr>
        <w:t>In addition, Italy has allocated 5% of its ERDF budget 2014-20 to sustainable urban development.</w:t>
      </w:r>
    </w:p>
    <w:p w:rsidR="00341319" w:rsidRDefault="00324889">
      <w:pPr>
        <w:widowControl w:val="0"/>
        <w:spacing w:after="120" w:line="240" w:lineRule="auto"/>
        <w:jc w:val="both"/>
        <w:rPr>
          <w:noProof/>
          <w:sz w:val="20"/>
        </w:rPr>
      </w:pPr>
      <w:r>
        <w:rPr>
          <w:noProof/>
          <w:sz w:val="20"/>
        </w:rPr>
        <w:t xml:space="preserve">There is a </w:t>
      </w:r>
      <w:r>
        <w:rPr>
          <w:bCs/>
          <w:noProof/>
          <w:sz w:val="20"/>
        </w:rPr>
        <w:t>g</w:t>
      </w:r>
      <w:r>
        <w:rPr>
          <w:bCs/>
          <w:noProof/>
          <w:sz w:val="20"/>
        </w:rPr>
        <w:t>reat level of motorisation</w:t>
      </w:r>
      <w:r>
        <w:rPr>
          <w:noProof/>
          <w:sz w:val="20"/>
        </w:rPr>
        <w:t xml:space="preserve"> in Italy's metropolitan and medium sized cities. Medium sized cities have the highest number of cars</w:t>
      </w:r>
      <w:r>
        <w:rPr>
          <w:b/>
          <w:noProof/>
          <w:sz w:val="20"/>
        </w:rPr>
        <w:t xml:space="preserve"> </w:t>
      </w:r>
      <w:r>
        <w:rPr>
          <w:noProof/>
          <w:sz w:val="20"/>
        </w:rPr>
        <w:t>(63.8 per 100 persons) followed by the 14 metropolitan cities (62.7 per 100 persons) in 2011 compared to the national average (6</w:t>
      </w:r>
      <w:r>
        <w:rPr>
          <w:noProof/>
          <w:sz w:val="20"/>
        </w:rPr>
        <w:t>2.5 per 100 persons). In the period 2001-11, there has been a noticeable reduction in motorisation in centre-north metropolitan cities whereas in the southern metropolitan cities there has been an increase. This can be explained by public policies encourag</w:t>
      </w:r>
      <w:r>
        <w:rPr>
          <w:noProof/>
          <w:sz w:val="20"/>
        </w:rPr>
        <w:t>ing public transport. The majority of regions will be using 2014-20 ERDF funds to support clean urban infrastructure and promotion; there is also a dedicated ERDF National Programme for Metropolitan Cities 2014-20.</w:t>
      </w:r>
    </w:p>
    <w:p w:rsidR="00341319" w:rsidRDefault="00324889">
      <w:pPr>
        <w:widowControl w:val="0"/>
        <w:spacing w:after="120" w:line="240" w:lineRule="auto"/>
        <w:jc w:val="both"/>
        <w:rPr>
          <w:noProof/>
          <w:sz w:val="20"/>
        </w:rPr>
      </w:pPr>
      <w:r>
        <w:rPr>
          <w:noProof/>
          <w:sz w:val="20"/>
        </w:rPr>
        <w:t>Italy is the 10th worst in the EU with re</w:t>
      </w:r>
      <w:r>
        <w:rPr>
          <w:noProof/>
          <w:sz w:val="20"/>
        </w:rPr>
        <w:t>gard to the economic costs caused by traffic congestion.</w:t>
      </w:r>
      <w:r>
        <w:rPr>
          <w:noProof/>
          <w:sz w:val="20"/>
          <w:vertAlign w:val="superscript"/>
          <w:lang w:val="it-IT"/>
        </w:rPr>
        <w:footnoteReference w:id="142"/>
      </w:r>
      <w:r>
        <w:rPr>
          <w:noProof/>
          <w:sz w:val="20"/>
        </w:rPr>
        <w:t xml:space="preserve"> Certain urbanised areas such as Rome, Milan and the Venice-Mestre area are particularly affected. Solving the congestion problem would substantially reduce the (health costs of) air pollution and th</w:t>
      </w:r>
      <w:r>
        <w:rPr>
          <w:noProof/>
          <w:sz w:val="20"/>
        </w:rPr>
        <w:t>e direct economic costs of congestion. There is scope for a more comprehensive approach to congestion problems in Italy.</w:t>
      </w:r>
    </w:p>
    <w:p w:rsidR="00341319" w:rsidRDefault="00324889">
      <w:pPr>
        <w:widowControl w:val="0"/>
        <w:spacing w:after="120" w:line="240" w:lineRule="auto"/>
        <w:jc w:val="both"/>
        <w:rPr>
          <w:noProof/>
          <w:sz w:val="20"/>
        </w:rPr>
      </w:pPr>
      <w:r>
        <w:rPr>
          <w:noProof/>
          <w:sz w:val="20"/>
          <w:lang w:eastAsia="en-GB"/>
        </w:rPr>
        <w:drawing>
          <wp:inline distT="0" distB="0" distL="0" distR="0" wp14:anchorId="0F7DCA0B" wp14:editId="67BCC583">
            <wp:extent cx="2932430" cy="2932430"/>
            <wp:effectExtent l="0" t="0" r="1270" b="1270"/>
            <wp:docPr id="34" name="Picture 34" descr="C:\Users\schwemi\AppData\Local\Microsoft\Windows\Temporary Internet Files\Content.Word\iStock_4443425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emi\AppData\Local\Microsoft\Windows\Temporary Internet Files\Content.Word\iStock_44434250_LARG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32430" cy="2932430"/>
                    </a:xfrm>
                    <a:prstGeom prst="rect">
                      <a:avLst/>
                    </a:prstGeom>
                    <a:noFill/>
                    <a:ln>
                      <a:noFill/>
                    </a:ln>
                  </pic:spPr>
                </pic:pic>
              </a:graphicData>
            </a:graphic>
          </wp:inline>
        </w:drawing>
      </w:r>
      <w:r>
        <w:rPr>
          <w:noProof/>
          <w:sz w:val="20"/>
        </w:rPr>
        <w:t>Regarding public transport, compared to the national average index of 208.9 passengers using public transport per city, metropolitan c</w:t>
      </w:r>
      <w:r>
        <w:rPr>
          <w:noProof/>
          <w:sz w:val="20"/>
        </w:rPr>
        <w:t>ities have a figure of 242.9</w:t>
      </w:r>
      <w:r>
        <w:rPr>
          <w:noProof/>
          <w:sz w:val="20"/>
          <w:vertAlign w:val="superscript"/>
          <w:lang w:val="it-IT"/>
        </w:rPr>
        <w:footnoteReference w:id="143"/>
      </w:r>
      <w:r>
        <w:rPr>
          <w:noProof/>
          <w:sz w:val="20"/>
        </w:rPr>
        <w:t>, with a higher value in the centre-north &amp; Cagliari (391.7 &amp; 234, respectively) compared to the metropolitan cities in the south (70.8) in 2012</w:t>
      </w:r>
      <w:r>
        <w:rPr>
          <w:noProof/>
          <w:sz w:val="20"/>
          <w:vertAlign w:val="superscript"/>
          <w:lang w:val="it-IT"/>
        </w:rPr>
        <w:footnoteReference w:id="144"/>
      </w:r>
      <w:r>
        <w:rPr>
          <w:noProof/>
          <w:sz w:val="20"/>
        </w:rPr>
        <w:t>. Mobility sharing is strongly encouraged with the establishment of a national obs</w:t>
      </w:r>
      <w:r>
        <w:rPr>
          <w:noProof/>
          <w:sz w:val="20"/>
        </w:rPr>
        <w:t>ervatory</w:t>
      </w:r>
      <w:r>
        <w:rPr>
          <w:noProof/>
          <w:sz w:val="20"/>
          <w:vertAlign w:val="superscript"/>
          <w:lang w:val="it-IT"/>
        </w:rPr>
        <w:footnoteReference w:id="145"/>
      </w:r>
      <w:r>
        <w:rPr>
          <w:noProof/>
          <w:sz w:val="20"/>
        </w:rPr>
        <w:t>, and in Milan for example it is estimated that 10-20% of the vehicles are shared</w:t>
      </w:r>
      <w:r>
        <w:rPr>
          <w:noProof/>
          <w:sz w:val="20"/>
          <w:vertAlign w:val="superscript"/>
          <w:lang w:val="it-IT"/>
        </w:rPr>
        <w:footnoteReference w:id="146"/>
      </w:r>
      <w:r>
        <w:rPr>
          <w:noProof/>
          <w:sz w:val="20"/>
        </w:rPr>
        <w:t>. The ERDF is supporting the construction of the tramway in Florence reducing congestion and improving quality of life</w:t>
      </w:r>
      <w:r>
        <w:rPr>
          <w:noProof/>
          <w:sz w:val="20"/>
          <w:vertAlign w:val="superscript"/>
          <w:lang w:val="it-IT"/>
        </w:rPr>
        <w:footnoteReference w:id="147"/>
      </w:r>
      <w:r>
        <w:rPr>
          <w:noProof/>
          <w:sz w:val="20"/>
        </w:rPr>
        <w:t>. Reggio Emilia had over 1m of cycle path/inha</w:t>
      </w:r>
      <w:r>
        <w:rPr>
          <w:noProof/>
          <w:sz w:val="20"/>
        </w:rPr>
        <w:t>bitant, the highest among the 2016 Green Capital Award contenders</w:t>
      </w:r>
      <w:r>
        <w:rPr>
          <w:noProof/>
          <w:sz w:val="20"/>
          <w:vertAlign w:val="superscript"/>
          <w:lang w:val="it-IT"/>
        </w:rPr>
        <w:footnoteReference w:id="148"/>
      </w:r>
      <w:r>
        <w:rPr>
          <w:noProof/>
          <w:sz w:val="20"/>
        </w:rPr>
        <w:t>. EFSI is being used in Bologna to improve urban mobility</w:t>
      </w:r>
      <w:r>
        <w:rPr>
          <w:rFonts w:cs="Times New Roman"/>
          <w:noProof/>
          <w:sz w:val="20"/>
          <w:vertAlign w:val="superscript"/>
        </w:rPr>
        <w:footnoteReference w:id="149"/>
      </w:r>
      <w:r>
        <w:rPr>
          <w:noProof/>
          <w:sz w:val="20"/>
        </w:rPr>
        <w:t>. Connecting Italy (</w:t>
      </w:r>
      <w:r>
        <w:rPr>
          <w:i/>
          <w:noProof/>
          <w:sz w:val="20"/>
        </w:rPr>
        <w:t>Connettere Italia</w:t>
      </w:r>
      <w:r>
        <w:rPr>
          <w:noProof/>
          <w:sz w:val="20"/>
        </w:rPr>
        <w:t>), the new strategy for transport infrastructure and logistics includes a target of a 20% incre</w:t>
      </w:r>
      <w:r>
        <w:rPr>
          <w:noProof/>
          <w:sz w:val="20"/>
        </w:rPr>
        <w:t>ase in km of trams and metro lines per inhabitant by 2030, a 40% target for public transport, and a 10% target for softer transport modes (e.g. cycling). Furthermore, it is planned to have a 30% increase in the population served by high-speed trains by 203</w:t>
      </w:r>
      <w:r>
        <w:rPr>
          <w:noProof/>
          <w:sz w:val="20"/>
        </w:rPr>
        <w:t>0, a 50% increase in railway freight transport by 2021 and a maximum time of 2 hours to reach ports and airports in the core network</w:t>
      </w:r>
      <w:r>
        <w:rPr>
          <w:noProof/>
          <w:sz w:val="20"/>
          <w:vertAlign w:val="superscript"/>
        </w:rPr>
        <w:footnoteReference w:id="150"/>
      </w:r>
      <w:r>
        <w:rPr>
          <w:noProof/>
          <w:sz w:val="20"/>
        </w:rPr>
        <w:t>. Italy has also created in 2007 a national observatory on local public transport</w:t>
      </w:r>
      <w:r>
        <w:rPr>
          <w:rStyle w:val="FootnoteReference"/>
          <w:noProof/>
          <w:sz w:val="20"/>
        </w:rPr>
        <w:footnoteReference w:id="151"/>
      </w:r>
      <w:r>
        <w:rPr>
          <w:noProof/>
          <w:sz w:val="20"/>
        </w:rPr>
        <w:t>.</w:t>
      </w:r>
    </w:p>
    <w:p w:rsidR="00341319" w:rsidRDefault="00324889">
      <w:pPr>
        <w:widowControl w:val="0"/>
        <w:spacing w:after="120" w:line="240" w:lineRule="auto"/>
        <w:jc w:val="both"/>
        <w:rPr>
          <w:noProof/>
          <w:sz w:val="20"/>
        </w:rPr>
      </w:pPr>
      <w:r>
        <w:rPr>
          <w:noProof/>
          <w:sz w:val="20"/>
        </w:rPr>
        <w:t xml:space="preserve">Each inhabitant has an average of 30.3 m3 of </w:t>
      </w:r>
      <w:r>
        <w:rPr>
          <w:bCs/>
          <w:noProof/>
          <w:sz w:val="20"/>
        </w:rPr>
        <w:t xml:space="preserve">urban green space </w:t>
      </w:r>
      <w:r>
        <w:rPr>
          <w:noProof/>
          <w:sz w:val="20"/>
        </w:rPr>
        <w:t>in 2011. The lowest values are found in the centre (23 m2 per inhabitant) and the north-west (24.3 m2 per inhabitant), and in the north-east the average figure is almost doubled (45.4 m2 per in</w:t>
      </w:r>
      <w:r>
        <w:rPr>
          <w:noProof/>
          <w:sz w:val="20"/>
        </w:rPr>
        <w:t>habitant). It is also relatively high in the south (37.1 m2)</w:t>
      </w:r>
      <w:r>
        <w:rPr>
          <w:noProof/>
          <w:sz w:val="20"/>
          <w:vertAlign w:val="superscript"/>
          <w:lang w:val="it-IT"/>
        </w:rPr>
        <w:footnoteReference w:id="152"/>
      </w:r>
      <w:r>
        <w:rPr>
          <w:noProof/>
          <w:sz w:val="20"/>
        </w:rPr>
        <w:t>. The majority of Italian cities have less than 20% green urban areas.</w:t>
      </w:r>
      <w:r>
        <w:rPr>
          <w:noProof/>
          <w:sz w:val="20"/>
          <w:vertAlign w:val="superscript"/>
          <w:lang w:val="it-IT"/>
        </w:rPr>
        <w:footnoteReference w:id="153"/>
      </w:r>
      <w:r>
        <w:rPr>
          <w:noProof/>
          <w:sz w:val="20"/>
        </w:rPr>
        <w:t xml:space="preserve">  In 2012, over 86% of the residents of Reggio-Emilia lived within 300m of recreational green areas, helped through planning</w:t>
      </w:r>
      <w:r>
        <w:rPr>
          <w:noProof/>
          <w:sz w:val="20"/>
        </w:rPr>
        <w:t xml:space="preserve"> policies such as a green belt</w:t>
      </w:r>
      <w:r>
        <w:rPr>
          <w:noProof/>
          <w:sz w:val="20"/>
          <w:vertAlign w:val="superscript"/>
          <w:lang w:val="it-IT"/>
        </w:rPr>
        <w:footnoteReference w:id="154"/>
      </w:r>
      <w:r>
        <w:rPr>
          <w:noProof/>
          <w:sz w:val="20"/>
        </w:rPr>
        <w:t>. Paternò, a medium-sized city in Sicily, has used the ERDF to boost green infrastructure</w:t>
      </w:r>
      <w:r>
        <w:rPr>
          <w:noProof/>
          <w:sz w:val="20"/>
          <w:vertAlign w:val="superscript"/>
          <w:lang w:val="it-IT"/>
        </w:rPr>
        <w:footnoteReference w:id="155"/>
      </w:r>
      <w:r>
        <w:rPr>
          <w:noProof/>
          <w:sz w:val="20"/>
        </w:rPr>
        <w:t>. Another innovative project is the V</w:t>
      </w:r>
      <w:r>
        <w:rPr>
          <w:bCs/>
          <w:noProof/>
          <w:sz w:val="20"/>
        </w:rPr>
        <w:t>ertical Forest</w:t>
      </w:r>
      <w:r>
        <w:rPr>
          <w:bCs/>
          <w:noProof/>
          <w:sz w:val="20"/>
          <w:vertAlign w:val="superscript"/>
        </w:rPr>
        <w:footnoteReference w:id="156"/>
      </w:r>
      <w:r>
        <w:rPr>
          <w:bCs/>
          <w:noProof/>
          <w:sz w:val="20"/>
        </w:rPr>
        <w:t>, in the Porta Nuova district of Milan, containing plants roughly equivalent to 2.5</w:t>
      </w:r>
      <w:r>
        <w:rPr>
          <w:bCs/>
          <w:noProof/>
          <w:sz w:val="20"/>
        </w:rPr>
        <w:t xml:space="preserve"> acres of forest.</w:t>
      </w:r>
      <w:r>
        <w:rPr>
          <w:bCs/>
          <w:noProof/>
          <w:sz w:val="20"/>
          <w:vertAlign w:val="superscript"/>
        </w:rPr>
        <w:footnoteReference w:id="157"/>
      </w:r>
    </w:p>
    <w:p w:rsidR="00341319" w:rsidRDefault="00324889">
      <w:pPr>
        <w:widowControl w:val="0"/>
        <w:spacing w:after="120" w:line="240" w:lineRule="auto"/>
        <w:jc w:val="both"/>
        <w:rPr>
          <w:rFonts w:cs="Times New Roman"/>
          <w:noProof/>
          <w:sz w:val="20"/>
        </w:rPr>
      </w:pPr>
      <w:r>
        <w:rPr>
          <w:rFonts w:cs="Times New Roman"/>
          <w:noProof/>
          <w:sz w:val="20"/>
        </w:rPr>
        <w:t xml:space="preserve">A consequence of energy use and traffic is on airborne </w:t>
      </w:r>
      <w:r>
        <w:rPr>
          <w:rFonts w:cs="Times New Roman"/>
          <w:bCs/>
          <w:noProof/>
          <w:sz w:val="20"/>
        </w:rPr>
        <w:t>particulate matter</w:t>
      </w:r>
      <w:r>
        <w:rPr>
          <w:rFonts w:cs="Times New Roman"/>
          <w:noProof/>
          <w:sz w:val="20"/>
        </w:rPr>
        <w:t>. The metropolitan cities have the highest number of days when daily limit values are passed (56.1 on average) compared to medium sized cities (43.1 on average)</w:t>
      </w:r>
      <w:r>
        <w:rPr>
          <w:rFonts w:cs="Times New Roman"/>
          <w:noProof/>
          <w:sz w:val="20"/>
          <w:vertAlign w:val="superscript"/>
          <w:lang w:val="it-IT"/>
        </w:rPr>
        <w:footnoteReference w:id="158"/>
      </w:r>
      <w:r>
        <w:rPr>
          <w:rFonts w:cs="Times New Roman"/>
          <w:noProof/>
          <w:sz w:val="20"/>
        </w:rPr>
        <w:t xml:space="preserve">. </w:t>
      </w:r>
    </w:p>
    <w:p w:rsidR="00341319" w:rsidRDefault="00324889">
      <w:pPr>
        <w:widowControl w:val="0"/>
        <w:spacing w:after="120" w:line="240" w:lineRule="auto"/>
        <w:jc w:val="both"/>
        <w:rPr>
          <w:rFonts w:cs="Times New Roman"/>
          <w:noProof/>
          <w:sz w:val="20"/>
        </w:rPr>
      </w:pPr>
      <w:r>
        <w:rPr>
          <w:rFonts w:cs="Times New Roman"/>
          <w:noProof/>
          <w:sz w:val="20"/>
        </w:rPr>
        <w:t>Regarding municipal waste, medium-sized cities such as Treviso increased recycling from 52% in December 2013 to 86% in November 2015</w:t>
      </w:r>
      <w:r>
        <w:rPr>
          <w:rFonts w:cs="Times New Roman"/>
          <w:noProof/>
          <w:sz w:val="20"/>
          <w:vertAlign w:val="superscript"/>
          <w:lang w:val="it-IT"/>
        </w:rPr>
        <w:footnoteReference w:id="159"/>
      </w:r>
      <w:r>
        <w:rPr>
          <w:rFonts w:cs="Times New Roman"/>
          <w:noProof/>
          <w:sz w:val="20"/>
        </w:rPr>
        <w:t>.  In Reggio-Emilia the recycling rate is almost 60%</w:t>
      </w:r>
      <w:r>
        <w:rPr>
          <w:rFonts w:cs="Times New Roman"/>
          <w:noProof/>
          <w:sz w:val="20"/>
          <w:vertAlign w:val="superscript"/>
          <w:lang w:val="it-IT"/>
        </w:rPr>
        <w:footnoteReference w:id="160"/>
      </w:r>
      <w:r>
        <w:rPr>
          <w:rFonts w:cs="Times New Roman"/>
          <w:noProof/>
          <w:sz w:val="20"/>
        </w:rPr>
        <w:t>. In Milano separate collection is 54%</w:t>
      </w:r>
      <w:r>
        <w:rPr>
          <w:rFonts w:cs="Times New Roman"/>
          <w:noProof/>
          <w:sz w:val="20"/>
          <w:vertAlign w:val="superscript"/>
        </w:rPr>
        <w:footnoteReference w:id="161"/>
      </w:r>
      <w:r>
        <w:rPr>
          <w:rFonts w:cs="Times New Roman"/>
          <w:noProof/>
          <w:sz w:val="20"/>
        </w:rPr>
        <w:t>. The situation is worse in sou</w:t>
      </w:r>
      <w:r>
        <w:rPr>
          <w:rFonts w:cs="Times New Roman"/>
          <w:noProof/>
          <w:sz w:val="20"/>
        </w:rPr>
        <w:t>thern Italian cities which encounter serious difficulties in managing waste (with some exceptions such as the cities of Salerno and Benevento which have a higher separate collection). The ERDF has supported improvements in waste treatment in Salerno</w:t>
      </w:r>
      <w:r>
        <w:rPr>
          <w:rFonts w:cs="Times New Roman"/>
          <w:noProof/>
          <w:sz w:val="20"/>
          <w:vertAlign w:val="superscript"/>
          <w:lang w:val="it-IT"/>
        </w:rPr>
        <w:footnoteReference w:id="162"/>
      </w:r>
      <w:r>
        <w:rPr>
          <w:rFonts w:cs="Times New Roman"/>
          <w:noProof/>
          <w:sz w:val="20"/>
        </w:rPr>
        <w:t>.</w:t>
      </w:r>
    </w:p>
    <w:p w:rsidR="00341319" w:rsidRDefault="00324889">
      <w:pPr>
        <w:widowControl w:val="0"/>
        <w:spacing w:after="120" w:line="240" w:lineRule="auto"/>
        <w:jc w:val="both"/>
        <w:rPr>
          <w:rFonts w:cs="Times New Roman"/>
          <w:noProof/>
          <w:sz w:val="20"/>
        </w:rPr>
      </w:pPr>
      <w:r>
        <w:rPr>
          <w:rFonts w:cs="Times New Roman"/>
          <w:noProof/>
          <w:sz w:val="20"/>
        </w:rPr>
        <w:t>Rega</w:t>
      </w:r>
      <w:r>
        <w:rPr>
          <w:rFonts w:cs="Times New Roman"/>
          <w:noProof/>
          <w:sz w:val="20"/>
        </w:rPr>
        <w:t xml:space="preserve">rding </w:t>
      </w:r>
      <w:r>
        <w:rPr>
          <w:rFonts w:cs="Times New Roman"/>
          <w:bCs/>
          <w:noProof/>
          <w:sz w:val="20"/>
        </w:rPr>
        <w:t>leakage of drinking water</w:t>
      </w:r>
      <w:r>
        <w:rPr>
          <w:rFonts w:cs="Times New Roman"/>
          <w:noProof/>
          <w:sz w:val="20"/>
        </w:rPr>
        <w:t>, the centre and southern cities have a higher level than the national average.  The highest losses are in Catania (56.9%) and Cagliari (58.5%) in 2012</w:t>
      </w:r>
      <w:r>
        <w:rPr>
          <w:rFonts w:cs="Times New Roman"/>
          <w:noProof/>
          <w:sz w:val="20"/>
          <w:vertAlign w:val="superscript"/>
          <w:lang w:val="fr-BE"/>
        </w:rPr>
        <w:footnoteReference w:id="163"/>
      </w:r>
      <w:r>
        <w:rPr>
          <w:rFonts w:cs="Times New Roman"/>
          <w:noProof/>
          <w:sz w:val="20"/>
        </w:rPr>
        <w:t>. EFSI is being used to improve water supply in Milan</w:t>
      </w:r>
      <w:r>
        <w:rPr>
          <w:rFonts w:cs="Times New Roman"/>
          <w:noProof/>
          <w:sz w:val="20"/>
          <w:vertAlign w:val="superscript"/>
        </w:rPr>
        <w:footnoteReference w:id="164"/>
      </w:r>
      <w:r>
        <w:rPr>
          <w:rFonts w:cs="Times New Roman"/>
          <w:noProof/>
          <w:sz w:val="20"/>
        </w:rPr>
        <w:t xml:space="preserve"> and Ancona</w:t>
      </w:r>
      <w:r>
        <w:rPr>
          <w:rFonts w:cs="Times New Roman"/>
          <w:noProof/>
          <w:sz w:val="20"/>
          <w:vertAlign w:val="superscript"/>
        </w:rPr>
        <w:footnoteReference w:id="165"/>
      </w:r>
      <w:r>
        <w:rPr>
          <w:rFonts w:cs="Times New Roman"/>
          <w:noProof/>
          <w:sz w:val="20"/>
        </w:rPr>
        <w:t>.</w:t>
      </w:r>
    </w:p>
    <w:p w:rsidR="00341319" w:rsidRDefault="00324889">
      <w:pPr>
        <w:widowControl w:val="0"/>
        <w:spacing w:after="120" w:line="240" w:lineRule="auto"/>
        <w:jc w:val="both"/>
        <w:rPr>
          <w:rFonts w:cs="Times New Roman"/>
          <w:noProof/>
          <w:sz w:val="20"/>
          <w:vertAlign w:val="superscript"/>
        </w:rPr>
      </w:pPr>
      <w:r>
        <w:rPr>
          <w:rFonts w:cs="Times New Roman"/>
          <w:noProof/>
          <w:sz w:val="20"/>
        </w:rPr>
        <w:t>Metro</w:t>
      </w:r>
      <w:r>
        <w:rPr>
          <w:rFonts w:cs="Times New Roman"/>
          <w:noProof/>
          <w:sz w:val="20"/>
        </w:rPr>
        <w:t>politan cities such as Venice, Florence, Rome, Naples, Bari, Reggio Calabria, Messina, Catania and Palermo have persistent difficulties to treat waste waters.</w:t>
      </w:r>
      <w:r>
        <w:rPr>
          <w:rFonts w:cs="Times New Roman"/>
          <w:i/>
          <w:noProof/>
          <w:sz w:val="20"/>
        </w:rPr>
        <w:t xml:space="preserve"> </w:t>
      </w:r>
      <w:r>
        <w:rPr>
          <w:rFonts w:cs="Times New Roman"/>
          <w:noProof/>
          <w:sz w:val="20"/>
        </w:rPr>
        <w:t>Reggio Emilia has an almost 90% urban wastewater connection rate</w:t>
      </w:r>
      <w:r>
        <w:rPr>
          <w:rFonts w:cs="Times New Roman"/>
          <w:noProof/>
          <w:sz w:val="20"/>
          <w:vertAlign w:val="superscript"/>
          <w:lang w:val="it-IT"/>
        </w:rPr>
        <w:footnoteReference w:id="166"/>
      </w:r>
      <w:r>
        <w:rPr>
          <w:rFonts w:cs="Times New Roman"/>
          <w:noProof/>
          <w:sz w:val="20"/>
        </w:rPr>
        <w:t>. The ERDF has heavily supported</w:t>
      </w:r>
      <w:r>
        <w:rPr>
          <w:rFonts w:cs="Times New Roman"/>
          <w:noProof/>
          <w:sz w:val="20"/>
        </w:rPr>
        <w:t xml:space="preserve"> urban wastewater treatment in the Campania Region for example the project for Campi Flegrei</w:t>
      </w:r>
      <w:r>
        <w:rPr>
          <w:rFonts w:cs="Times New Roman"/>
          <w:noProof/>
          <w:sz w:val="20"/>
          <w:vertAlign w:val="superscript"/>
          <w:lang w:val="it-IT"/>
        </w:rPr>
        <w:footnoteReference w:id="167"/>
      </w:r>
      <w:r>
        <w:rPr>
          <w:rFonts w:cs="Times New Roman"/>
          <w:noProof/>
          <w:sz w:val="20"/>
        </w:rPr>
        <w:t>, whereas European Investment Bank (EIB) loans are being used especially in centre and northern Italy to ensure compliance.</w:t>
      </w:r>
      <w:r>
        <w:rPr>
          <w:rFonts w:cs="Times New Roman"/>
          <w:noProof/>
          <w:sz w:val="20"/>
          <w:vertAlign w:val="superscript"/>
        </w:rPr>
        <w:t>,</w:t>
      </w:r>
      <w:r>
        <w:rPr>
          <w:rFonts w:cs="Times New Roman"/>
          <w:noProof/>
          <w:sz w:val="20"/>
          <w:vertAlign w:val="superscript"/>
          <w:lang w:val="it-IT"/>
        </w:rPr>
        <w:footnoteReference w:id="168"/>
      </w:r>
      <w:r>
        <w:rPr>
          <w:rStyle w:val="FootnoteReference"/>
          <w:rFonts w:cs="Times New Roman"/>
          <w:noProof/>
          <w:sz w:val="20"/>
        </w:rPr>
        <w:footnoteReference w:id="169"/>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34" w:name="_Toc453686116"/>
      <w:bookmarkStart w:id="35" w:name="_Toc469476715"/>
      <w:r>
        <w:rPr>
          <w:rFonts w:cs="Times New Roman"/>
          <w:b/>
          <w:noProof/>
          <w:color w:val="1F497D" w:themeColor="text2"/>
          <w:sz w:val="24"/>
          <w:szCs w:val="24"/>
          <w:lang w:eastAsia="en-GB"/>
        </w:rPr>
        <w:t>International agreements</w:t>
      </w:r>
      <w:bookmarkEnd w:id="34"/>
      <w:bookmarkEnd w:id="35"/>
      <w:r>
        <w:rPr>
          <w:rFonts w:cs="Times New Roman"/>
          <w:b/>
          <w:noProof/>
          <w:color w:val="1F497D" w:themeColor="text2"/>
          <w:sz w:val="24"/>
          <w:szCs w:val="24"/>
          <w:lang w:eastAsia="en-GB"/>
        </w:rPr>
        <w:t xml:space="preserve"> </w:t>
      </w:r>
    </w:p>
    <w:p w:rsidR="00341319" w:rsidRDefault="00324889">
      <w:pPr>
        <w:widowControl w:val="0"/>
        <w:shd w:val="clear" w:color="auto" w:fill="4F81BD" w:themeFill="accent1"/>
        <w:spacing w:after="120" w:line="240" w:lineRule="auto"/>
        <w:jc w:val="both"/>
        <w:rPr>
          <w:rFonts w:cstheme="minorHAnsi"/>
          <w:noProof/>
          <w:color w:val="1F497D" w:themeColor="text2"/>
          <w:szCs w:val="26"/>
        </w:rPr>
      </w:pPr>
      <w:r>
        <w:rPr>
          <w:noProof/>
          <w:color w:val="FFFFFF" w:themeColor="background1"/>
          <w:sz w:val="20"/>
        </w:rPr>
        <w:t>The EU Tre</w:t>
      </w:r>
      <w:r>
        <w:rPr>
          <w:noProof/>
          <w:color w:val="FFFFFF" w:themeColor="background1"/>
          <w:sz w:val="20"/>
        </w:rPr>
        <w:t>aties require that the Union policy on the environment promotes measures at the international level to deal with regional or worldwide environmental problems.</w:t>
      </w:r>
    </w:p>
    <w:p w:rsidR="00341319" w:rsidRDefault="00324889">
      <w:pPr>
        <w:spacing w:after="120" w:line="240" w:lineRule="auto"/>
        <w:jc w:val="both"/>
        <w:rPr>
          <w:noProof/>
          <w:sz w:val="20"/>
        </w:rPr>
      </w:pPr>
      <w:r>
        <w:rPr>
          <w:noProof/>
          <w:sz w:val="20"/>
        </w:rPr>
        <w:t>Most environmental problems have a transboundary nature and often a global scope and they can onl</w:t>
      </w:r>
      <w:r>
        <w:rPr>
          <w:noProof/>
          <w:sz w:val="20"/>
        </w:rPr>
        <w:t>y be addressed effectively through international co-operation. International environmental agreements concluded by the Union are binding upon the institutions of the Union and on its Member States. This requires the EU and the Member States to sign, ratify</w:t>
      </w:r>
      <w:r>
        <w:rPr>
          <w:noProof/>
          <w:sz w:val="20"/>
        </w:rPr>
        <w:t xml:space="preserve"> and effectively implement all relevant multilateral environmental agreements (MEAs) in a timely manner. This will also be an important contribution towards the achievement of the SDGs, which Member States committed to in 2015 and include many commitments </w:t>
      </w:r>
      <w:r>
        <w:rPr>
          <w:noProof/>
          <w:sz w:val="20"/>
        </w:rPr>
        <w:t>contained already in legally binding agreements.</w:t>
      </w:r>
    </w:p>
    <w:p w:rsidR="00341319" w:rsidRDefault="00324889">
      <w:pPr>
        <w:spacing w:after="120" w:line="240" w:lineRule="auto"/>
        <w:jc w:val="both"/>
        <w:rPr>
          <w:noProof/>
          <w:sz w:val="20"/>
        </w:rPr>
      </w:pPr>
      <w:r>
        <w:rPr>
          <w:noProof/>
          <w:sz w:val="20"/>
        </w:rPr>
        <w:t>The fact that some Member States did not sign and/or ratify a number of MEAs compromises environmental implementation, including within the Union, as well as the Union’s credibility in related negotiations a</w:t>
      </w:r>
      <w:r>
        <w:rPr>
          <w:noProof/>
          <w:sz w:val="20"/>
        </w:rPr>
        <w:t>nd international meetings where supporting the participation of third countries to such agreements is an established EU policy objective. In agreements where voting takes place it has a direct impact on the number of votes to be cast by the EU.</w:t>
      </w:r>
    </w:p>
    <w:p w:rsidR="00341319" w:rsidRDefault="00324889">
      <w:pPr>
        <w:spacing w:after="120" w:line="240" w:lineRule="auto"/>
        <w:jc w:val="both"/>
        <w:rPr>
          <w:noProof/>
          <w:sz w:val="20"/>
          <w:lang w:val="en"/>
        </w:rPr>
      </w:pPr>
      <w:r>
        <w:rPr>
          <w:noProof/>
          <w:sz w:val="20"/>
        </w:rPr>
        <w:t xml:space="preserve">Currently, </w:t>
      </w:r>
      <w:r>
        <w:rPr>
          <w:noProof/>
          <w:sz w:val="20"/>
        </w:rPr>
        <w:t>Italy has signed but not yet ratified the Offshore Protocol of the Barcelona Convention</w:t>
      </w:r>
      <w:r>
        <w:rPr>
          <w:noProof/>
          <w:sz w:val="20"/>
          <w:vertAlign w:val="superscript"/>
          <w:lang w:val="it-IT"/>
        </w:rPr>
        <w:footnoteReference w:id="170"/>
      </w:r>
      <w:r>
        <w:rPr>
          <w:noProof/>
          <w:sz w:val="20"/>
        </w:rPr>
        <w:t>, the Protocol on Integrated Coastal Zone Management, two agreements under the Convention on Long-range Transboundary Air Pollution: the Gothenburg Protocol to Abate Ac</w:t>
      </w:r>
      <w:r>
        <w:rPr>
          <w:noProof/>
          <w:sz w:val="20"/>
        </w:rPr>
        <w:t>idification, Eutrophication and Ground-level Ozone and the Heavy Metals Protocol. The same applies to the Stockholm Convention on Persistent Organic Pollutants, the Kiev Protocol on Pollutant Release and Transfer Registers, and the Nagoya Protocol</w:t>
      </w:r>
      <w:r>
        <w:rPr>
          <w:noProof/>
          <w:sz w:val="20"/>
          <w:vertAlign w:val="superscript"/>
          <w:lang w:val="it-IT"/>
        </w:rPr>
        <w:footnoteReference w:id="171"/>
      </w:r>
      <w:r>
        <w:rPr>
          <w:noProof/>
          <w:sz w:val="20"/>
        </w:rPr>
        <w:t>.  The I</w:t>
      </w:r>
      <w:r>
        <w:rPr>
          <w:noProof/>
          <w:sz w:val="20"/>
        </w:rPr>
        <w:t>talian authorities have indicated their commitment to ratify the Minamata Convention on mercury, already signed in 2013.</w:t>
      </w:r>
    </w:p>
    <w:p w:rsidR="00341319" w:rsidRDefault="00324889">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341319" w:rsidRDefault="00324889">
      <w:pPr>
        <w:pStyle w:val="NoSpacing"/>
        <w:rPr>
          <w:noProof/>
        </w:rPr>
      </w:pPr>
      <w:r>
        <w:rPr>
          <w:noProof/>
        </w:rPr>
        <w:t>Increase efforts to be party to relevant multilateral environmental agreements, by signing and ratifying the remaining</w:t>
      </w:r>
      <w:r>
        <w:rPr>
          <w:noProof/>
        </w:rPr>
        <w:t xml:space="preserve"> agreements.</w:t>
      </w:r>
    </w:p>
    <w:p w:rsidR="00341319" w:rsidRDefault="00341319">
      <w:pPr>
        <w:widowControl w:val="0"/>
        <w:spacing w:after="120" w:line="240" w:lineRule="auto"/>
        <w:jc w:val="both"/>
        <w:rPr>
          <w:rFonts w:cs="Times New Roman"/>
          <w:noProof/>
          <w:sz w:val="20"/>
          <w:vertAlign w:val="superscript"/>
        </w:rPr>
      </w:pPr>
    </w:p>
    <w:p w:rsidR="00341319" w:rsidRDefault="00341319">
      <w:pPr>
        <w:widowControl w:val="0"/>
        <w:spacing w:after="120" w:line="240" w:lineRule="auto"/>
        <w:jc w:val="both"/>
        <w:rPr>
          <w:rFonts w:cs="Times New Roman"/>
          <w:b/>
          <w:noProof/>
          <w:sz w:val="20"/>
        </w:rPr>
      </w:pPr>
    </w:p>
    <w:p w:rsidR="00341319" w:rsidRDefault="00341319">
      <w:pPr>
        <w:widowControl w:val="0"/>
        <w:spacing w:line="240" w:lineRule="auto"/>
        <w:jc w:val="both"/>
        <w:rPr>
          <w:rFonts w:eastAsia="Calibri" w:cs="Times New Roman"/>
          <w:noProof/>
          <w:sz w:val="20"/>
        </w:rPr>
        <w:sectPr w:rsidR="00341319">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40" w:right="1080" w:bottom="1440" w:left="1080" w:header="708" w:footer="708" w:gutter="0"/>
          <w:cols w:num="2" w:space="357"/>
          <w:docGrid w:linePitch="360"/>
        </w:sectPr>
      </w:pPr>
    </w:p>
    <w:p w:rsidR="00341319" w:rsidRDefault="00324889">
      <w:pPr>
        <w:keepLines/>
        <w:widowControl w:val="0"/>
        <w:spacing w:after="0" w:line="240" w:lineRule="auto"/>
        <w:ind w:left="360"/>
        <w:jc w:val="center"/>
        <w:outlineLvl w:val="0"/>
        <w:rPr>
          <w:rFonts w:eastAsiaTheme="majorEastAsia" w:cs="Times New Roman"/>
          <w:b/>
          <w:bCs/>
          <w:noProof/>
          <w:color w:val="1F497D" w:themeColor="text2"/>
          <w:sz w:val="32"/>
          <w:szCs w:val="32"/>
        </w:rPr>
      </w:pPr>
      <w:bookmarkStart w:id="36" w:name="_Toc433296176"/>
      <w:bookmarkStart w:id="37" w:name="_Toc435536265"/>
      <w:bookmarkStart w:id="38" w:name="_Toc469476716"/>
      <w:r>
        <w:rPr>
          <w:rFonts w:eastAsiaTheme="majorEastAsia" w:cs="Times New Roman"/>
          <w:b/>
          <w:bCs/>
          <w:noProof/>
          <w:color w:val="1F497D" w:themeColor="text2"/>
          <w:sz w:val="32"/>
          <w:szCs w:val="32"/>
        </w:rPr>
        <w:t xml:space="preserve">Part II: </w:t>
      </w:r>
      <w:bookmarkEnd w:id="36"/>
      <w:r>
        <w:rPr>
          <w:rFonts w:eastAsiaTheme="majorEastAsia" w:cs="Times New Roman"/>
          <w:b/>
          <w:bCs/>
          <w:noProof/>
          <w:color w:val="1F497D" w:themeColor="text2"/>
          <w:sz w:val="32"/>
          <w:szCs w:val="32"/>
        </w:rPr>
        <w:t>Enabling Framework: Implementation Tools</w:t>
      </w:r>
      <w:bookmarkEnd w:id="37"/>
      <w:bookmarkEnd w:id="38"/>
    </w:p>
    <w:p w:rsidR="00341319" w:rsidRDefault="00341319">
      <w:pPr>
        <w:widowControl w:val="0"/>
        <w:spacing w:after="0" w:line="240" w:lineRule="auto"/>
        <w:jc w:val="both"/>
        <w:rPr>
          <w:rFonts w:cs="Times New Roman"/>
          <w:noProof/>
          <w:sz w:val="20"/>
        </w:rPr>
      </w:pPr>
    </w:p>
    <w:p w:rsidR="00341319" w:rsidRDefault="00324889">
      <w:pPr>
        <w:pStyle w:val="Heading1"/>
        <w:spacing w:after="240"/>
        <w:sectPr w:rsidR="00341319">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space="360"/>
          <w:docGrid w:linePitch="360"/>
        </w:sectPr>
      </w:pPr>
      <w:bookmarkStart w:id="39" w:name="_Toc469476717"/>
      <w:r>
        <w:t>Market based instruments and investments</w:t>
      </w:r>
      <w:bookmarkEnd w:id="39"/>
    </w:p>
    <w:p w:rsidR="00341319" w:rsidRDefault="00324889">
      <w:pPr>
        <w:pStyle w:val="Heading2"/>
        <w:rPr>
          <w:noProof/>
        </w:rPr>
      </w:pPr>
      <w:bookmarkStart w:id="40" w:name="_Toc469476718"/>
      <w:r>
        <w:rPr>
          <w:noProof/>
        </w:rPr>
        <w:t>Green taxation and environmentally harmful subsidies</w:t>
      </w:r>
      <w:bookmarkEnd w:id="40"/>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Circular Economy Action Plan encourages the use of financial incentives and economic instruments, such as taxation to ensure </w:t>
      </w:r>
      <w:r>
        <w:rPr>
          <w:rFonts w:cs="Times New Roman"/>
          <w:noProof/>
          <w:color w:val="FFFFFF" w:themeColor="background1"/>
          <w:sz w:val="20"/>
        </w:rPr>
        <w:t>that product prices better reflect environmental costs.</w:t>
      </w:r>
      <w:r>
        <w:rPr>
          <w:rFonts w:ascii="Calibri" w:eastAsia="Calibri" w:hAnsi="Calibri" w:cs="Times New Roman"/>
          <w:noProof/>
          <w:color w:val="FFFFFF"/>
          <w:sz w:val="20"/>
          <w:lang w:eastAsia="ar-SA"/>
        </w:rPr>
        <w:t xml:space="preserve"> The phasing out of environmentally harmful subsidies is monitored in the context of the European Semester and in national reform programmes submitted by Member States.</w:t>
      </w:r>
    </w:p>
    <w:p w:rsidR="00341319" w:rsidRDefault="00324889">
      <w:pPr>
        <w:widowControl w:val="0"/>
        <w:spacing w:after="120" w:line="240" w:lineRule="auto"/>
        <w:jc w:val="both"/>
        <w:rPr>
          <w:noProof/>
          <w:sz w:val="20"/>
        </w:rPr>
      </w:pPr>
      <w:r>
        <w:rPr>
          <w:noProof/>
          <w:sz w:val="20"/>
        </w:rPr>
        <w:t>Taxing pollution and resource us</w:t>
      </w:r>
      <w:r>
        <w:rPr>
          <w:noProof/>
          <w:sz w:val="20"/>
        </w:rPr>
        <w:t xml:space="preserve">e can generate increased revenue and brings important social and environmental benefits.  </w:t>
      </w:r>
    </w:p>
    <w:p w:rsidR="00341319" w:rsidRDefault="00324889">
      <w:pPr>
        <w:widowControl w:val="0"/>
        <w:spacing w:after="120" w:line="240" w:lineRule="auto"/>
        <w:jc w:val="both"/>
        <w:rPr>
          <w:noProof/>
          <w:sz w:val="20"/>
        </w:rPr>
      </w:pPr>
      <w:r>
        <w:rPr>
          <w:noProof/>
          <w:sz w:val="20"/>
        </w:rPr>
        <w:t>Italy has environmental tax revenues amounting to 3.6% of GDP in 2014 (EU 28 average: 2.46% of GDP).</w:t>
      </w:r>
      <w:r>
        <w:rPr>
          <w:noProof/>
          <w:sz w:val="20"/>
          <w:vertAlign w:val="superscript"/>
          <w:lang w:val="it-IT"/>
        </w:rPr>
        <w:footnoteReference w:id="172"/>
      </w:r>
      <w:r>
        <w:rPr>
          <w:noProof/>
          <w:sz w:val="20"/>
        </w:rPr>
        <w:t xml:space="preserve"> In the same year environmental tax revenues accounted for 8.28%</w:t>
      </w:r>
      <w:r>
        <w:rPr>
          <w:noProof/>
          <w:sz w:val="20"/>
        </w:rPr>
        <w:t xml:space="preserve"> of total revenues from taxes and social-security contributions (EU28 average: 6.35%) as shown in Figure 13.</w:t>
      </w:r>
    </w:p>
    <w:p w:rsidR="00341319" w:rsidRDefault="00324889">
      <w:pPr>
        <w:widowControl w:val="0"/>
        <w:spacing w:after="120" w:line="240" w:lineRule="auto"/>
        <w:jc w:val="both"/>
        <w:rPr>
          <w:noProof/>
          <w:sz w:val="20"/>
        </w:rPr>
      </w:pPr>
      <w:r>
        <w:rPr>
          <w:noProof/>
          <w:sz w:val="20"/>
        </w:rPr>
        <w:t>Shifting taxation away from labour towards taxes less harmful to growth remains a key challenge in Italy, and has been recommended as a country spe</w:t>
      </w:r>
      <w:r>
        <w:rPr>
          <w:noProof/>
          <w:sz w:val="20"/>
        </w:rPr>
        <w:t xml:space="preserve">cific recommendation (CSR) under the European Semester 2012-14.  Italy remains fairly modest in its proposed tax shift with 0.2% of GDP. A 3 year plan of measured tax cuts is planned starting with property taxes in 2016. </w:t>
      </w:r>
    </w:p>
    <w:p w:rsidR="00341319" w:rsidRDefault="00324889">
      <w:pPr>
        <w:widowControl w:val="0"/>
        <w:spacing w:after="120" w:line="240" w:lineRule="auto"/>
        <w:jc w:val="both"/>
        <w:rPr>
          <w:noProof/>
          <w:sz w:val="20"/>
        </w:rPr>
      </w:pPr>
      <w:r>
        <w:rPr>
          <w:noProof/>
          <w:sz w:val="20"/>
        </w:rPr>
        <w:t>A 2016 study shows there is consid</w:t>
      </w:r>
      <w:r>
        <w:rPr>
          <w:noProof/>
          <w:sz w:val="20"/>
        </w:rPr>
        <w:t>erable potential for shifting taxes from labour to environment</w:t>
      </w:r>
      <w:r>
        <w:rPr>
          <w:rFonts w:eastAsia="Times New Roman" w:cstheme="minorHAnsi"/>
          <w:noProof/>
          <w:sz w:val="20"/>
          <w:szCs w:val="20"/>
          <w:vertAlign w:val="superscript"/>
        </w:rPr>
        <w:footnoteReference w:id="173"/>
      </w:r>
      <w:r>
        <w:rPr>
          <w:noProof/>
          <w:sz w:val="20"/>
        </w:rPr>
        <w:t>. Under a good practice scenario</w:t>
      </w:r>
      <w:r>
        <w:rPr>
          <w:rStyle w:val="FootnoteReference"/>
          <w:noProof/>
          <w:sz w:val="20"/>
        </w:rPr>
        <w:footnoteReference w:id="174"/>
      </w:r>
      <w:r>
        <w:rPr>
          <w:noProof/>
          <w:sz w:val="20"/>
        </w:rPr>
        <w:t>, these taxes could generate an additional EUR 10.85 billion by 2018, rising to EUR 19.53 billion by 2030 (both in real 2015 terms). This is equivalent to an in</w:t>
      </w:r>
      <w:r>
        <w:rPr>
          <w:noProof/>
          <w:sz w:val="20"/>
        </w:rPr>
        <w:t xml:space="preserve">crease by 0.64% and 1.4% of GDP in 2018 and 2030, respectively. </w:t>
      </w:r>
    </w:p>
    <w:p w:rsidR="00341319" w:rsidRDefault="00324889">
      <w:pPr>
        <w:widowControl w:val="0"/>
        <w:spacing w:after="120" w:line="240" w:lineRule="auto"/>
        <w:jc w:val="both"/>
        <w:rPr>
          <w:noProof/>
          <w:sz w:val="20"/>
        </w:rPr>
      </w:pPr>
      <w:r>
        <w:rPr>
          <w:noProof/>
          <w:sz w:val="20"/>
        </w:rPr>
        <w:t>The largest potential source of revenue comes from the suggested harmonisation of taxes on transport fuels, generating EUR 9.14 billion of revenue generated by 2030 (real 2015 terms), equival</w:t>
      </w:r>
      <w:r>
        <w:rPr>
          <w:noProof/>
          <w:sz w:val="20"/>
        </w:rPr>
        <w:t xml:space="preserve">ent to 0.45% of GDP. The next largest contribution to revenue comes from the proposed water abstraction tax. This accounts for EUR 4.64 billion in 2030 (real 2015 terms), equivalent to 0.23% of GDP. </w:t>
      </w:r>
    </w:p>
    <w:p w:rsidR="00341319" w:rsidRDefault="00324889">
      <w:pPr>
        <w:widowControl w:val="0"/>
        <w:spacing w:after="120" w:line="240" w:lineRule="auto"/>
        <w:jc w:val="both"/>
        <w:rPr>
          <w:noProof/>
          <w:sz w:val="20"/>
        </w:rPr>
      </w:pPr>
      <w:r>
        <w:rPr>
          <w:noProof/>
          <w:sz w:val="20"/>
        </w:rPr>
        <w:t>Italy has a diesel differential of around 85% (as a benc</w:t>
      </w:r>
      <w:r>
        <w:rPr>
          <w:noProof/>
          <w:sz w:val="20"/>
        </w:rPr>
        <w:t>hmark a figure of 100% means the same level of taxation for petrol and diesel cars, i.e. no diesel differential)</w:t>
      </w:r>
      <w:r>
        <w:rPr>
          <w:noProof/>
          <w:sz w:val="20"/>
          <w:vertAlign w:val="superscript"/>
          <w:lang w:val="it-IT"/>
        </w:rPr>
        <w:footnoteReference w:id="175"/>
      </w:r>
      <w:r>
        <w:rPr>
          <w:noProof/>
          <w:sz w:val="20"/>
        </w:rPr>
        <w:t xml:space="preserve">, whereas externalities associated with diesel are higher than petrol and therefore it would justify higher taxation.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c>
          <w:tcPr>
            <w:tcW w:w="4909" w:type="dxa"/>
          </w:tcPr>
          <w:p w:rsidR="00341319" w:rsidRDefault="00324889">
            <w:pPr>
              <w:widowControl w:val="0"/>
              <w:spacing w:after="120"/>
              <w:jc w:val="both"/>
              <w:rPr>
                <w:b/>
                <w:noProof/>
                <w:color w:val="1F497D" w:themeColor="text2"/>
                <w:sz w:val="20"/>
              </w:rPr>
            </w:pPr>
            <w:r>
              <w:rPr>
                <w:b/>
                <w:bCs/>
                <w:noProof/>
                <w:color w:val="1F497D" w:themeColor="text2"/>
                <w:sz w:val="20"/>
              </w:rPr>
              <w:t>Figure 13: Environmental</w:t>
            </w:r>
            <w:r>
              <w:rPr>
                <w:b/>
                <w:bCs/>
                <w:noProof/>
                <w:color w:val="1F497D" w:themeColor="text2"/>
                <w:sz w:val="20"/>
              </w:rPr>
              <w:t xml:space="preserve"> tax revenues as a share of total revenues from taxes and social contributions  (excluding imputed social contributions) in 2014</w:t>
            </w:r>
            <w:r>
              <w:rPr>
                <w:b/>
                <w:bCs/>
                <w:noProof/>
                <w:color w:val="1F497D" w:themeColor="text2"/>
                <w:sz w:val="20"/>
                <w:vertAlign w:val="superscript"/>
              </w:rPr>
              <w:footnoteReference w:id="176"/>
            </w:r>
          </w:p>
        </w:tc>
      </w:tr>
      <w:tr w:rsidR="00341319">
        <w:tc>
          <w:tcPr>
            <w:tcW w:w="4909" w:type="dxa"/>
          </w:tcPr>
          <w:p w:rsidR="00341319" w:rsidRDefault="00324889">
            <w:pPr>
              <w:widowControl w:val="0"/>
              <w:spacing w:after="120"/>
              <w:jc w:val="both"/>
              <w:rPr>
                <w:noProof/>
                <w:sz w:val="20"/>
                <w:lang w:val="it-IT"/>
              </w:rPr>
            </w:pPr>
            <w:r>
              <w:rPr>
                <w:noProof/>
                <w:sz w:val="20"/>
                <w:lang w:eastAsia="en-GB"/>
              </w:rPr>
              <w:drawing>
                <wp:inline distT="0" distB="0" distL="0" distR="0" wp14:anchorId="4FF2114C" wp14:editId="148E813B">
                  <wp:extent cx="2966484" cy="4348098"/>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67440" cy="4349499"/>
                          </a:xfrm>
                          <a:prstGeom prst="rect">
                            <a:avLst/>
                          </a:prstGeom>
                          <a:noFill/>
                        </pic:spPr>
                      </pic:pic>
                    </a:graphicData>
                  </a:graphic>
                </wp:inline>
              </w:drawing>
            </w:r>
          </w:p>
        </w:tc>
      </w:tr>
    </w:tbl>
    <w:p w:rsidR="00341319" w:rsidRDefault="00324889">
      <w:pPr>
        <w:widowControl w:val="0"/>
        <w:spacing w:after="120" w:line="240" w:lineRule="auto"/>
        <w:jc w:val="both"/>
        <w:rPr>
          <w:noProof/>
          <w:sz w:val="20"/>
        </w:rPr>
      </w:pPr>
      <w:r>
        <w:rPr>
          <w:noProof/>
          <w:sz w:val="20"/>
        </w:rPr>
        <w:t xml:space="preserve">Environmentally-harmful subsidies (EHS) persist in Italy notably a reduced rate of VAT on energy and low taxation of company cars. There has been very limited progress on the removal of EHSs with some increases in excise duties and an extension for grants </w:t>
      </w:r>
      <w:r>
        <w:rPr>
          <w:noProof/>
          <w:sz w:val="20"/>
        </w:rPr>
        <w:t xml:space="preserve">for energy efficiency (so an environmentally positive subsidy) offered in the 2015 budget but so far not enacted. The </w:t>
      </w:r>
      <w:r>
        <w:rPr>
          <w:i/>
          <w:noProof/>
          <w:sz w:val="20"/>
        </w:rPr>
        <w:t>Collegato Ambientale</w:t>
      </w:r>
      <w:r>
        <w:rPr>
          <w:noProof/>
          <w:sz w:val="20"/>
        </w:rPr>
        <w:t xml:space="preserve"> establishes a catalogue of environmental friendly and harmful subsidies with a report due by 31 July of each year.</w:t>
      </w:r>
    </w:p>
    <w:p w:rsidR="00341319" w:rsidRDefault="00324889">
      <w:pPr>
        <w:widowControl w:val="0"/>
        <w:spacing w:after="120" w:line="240" w:lineRule="auto"/>
        <w:jc w:val="both"/>
        <w:rPr>
          <w:noProof/>
          <w:sz w:val="20"/>
        </w:rPr>
      </w:pPr>
      <w:r>
        <w:rPr>
          <w:noProof/>
          <w:sz w:val="20"/>
        </w:rPr>
        <w:t>It</w:t>
      </w:r>
      <w:r>
        <w:rPr>
          <w:noProof/>
          <w:sz w:val="20"/>
        </w:rPr>
        <w:t xml:space="preserve">aly has proposed to establish a Committee on Environmental Taxation, mentioned in its 2015 National Reform Programme (but not mentioned in the 2016 National Reform programme). The </w:t>
      </w:r>
      <w:r>
        <w:rPr>
          <w:i/>
          <w:noProof/>
          <w:sz w:val="20"/>
        </w:rPr>
        <w:t>Collegato Ambientale</w:t>
      </w:r>
      <w:r>
        <w:rPr>
          <w:noProof/>
          <w:sz w:val="20"/>
        </w:rPr>
        <w:t xml:space="preserve"> creates a Committee on Environmental Accounting that sh</w:t>
      </w:r>
      <w:r>
        <w:rPr>
          <w:noProof/>
          <w:sz w:val="20"/>
        </w:rPr>
        <w:t xml:space="preserve">ould produce a report by the 28 February of each year. </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41" w:name="_Toc469476719"/>
      <w:r>
        <w:rPr>
          <w:rFonts w:cs="Times New Roman"/>
          <w:b/>
          <w:noProof/>
          <w:color w:val="1F497D" w:themeColor="text2"/>
          <w:sz w:val="24"/>
          <w:szCs w:val="24"/>
          <w:lang w:eastAsia="en-GB"/>
        </w:rPr>
        <w:t>Green Public Procurement</w:t>
      </w:r>
      <w:bookmarkEnd w:id="41"/>
      <w:r>
        <w:rPr>
          <w:rFonts w:cs="Times New Roman"/>
          <w:b/>
          <w:noProof/>
          <w:color w:val="1F497D" w:themeColor="text2"/>
          <w:sz w:val="24"/>
          <w:szCs w:val="24"/>
          <w:lang w:eastAsia="en-GB"/>
        </w:rPr>
        <w:t xml:space="preserve"> </w:t>
      </w:r>
    </w:p>
    <w:p w:rsidR="00341319" w:rsidRDefault="00324889">
      <w:pPr>
        <w:widowControl w:val="0"/>
        <w:shd w:val="clear" w:color="auto" w:fill="4F81BD" w:themeFill="accent1"/>
        <w:spacing w:before="240" w:after="120" w:line="240" w:lineRule="auto"/>
        <w:contextualSpacing/>
        <w:jc w:val="both"/>
        <w:rPr>
          <w:noProof/>
          <w:color w:val="FFFFFF" w:themeColor="background1"/>
          <w:sz w:val="20"/>
        </w:rPr>
      </w:pPr>
      <w:r>
        <w:rPr>
          <w:noProof/>
          <w:color w:val="FFFFFF" w:themeColor="background1"/>
          <w:sz w:val="20"/>
        </w:rPr>
        <w:t xml:space="preserve">The EU green public procurement policies encourage Member States to take further steps to reach the target of applying green procurement criteria to at least 50% of public </w:t>
      </w:r>
      <w:r>
        <w:rPr>
          <w:noProof/>
          <w:color w:val="FFFFFF" w:themeColor="background1"/>
          <w:sz w:val="20"/>
        </w:rPr>
        <w:t>tenders.</w:t>
      </w:r>
    </w:p>
    <w:p w:rsidR="00341319" w:rsidRDefault="00324889">
      <w:pPr>
        <w:widowControl w:val="0"/>
        <w:spacing w:before="240"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environmental impact throughout their life-cycle when compared to goods, services and works with the same primary funct</w:t>
      </w:r>
      <w:r>
        <w:rPr>
          <w:rFonts w:cs="Times New Roman"/>
          <w:noProof/>
          <w:sz w:val="20"/>
        </w:rPr>
        <w:t xml:space="preserve">ion that would otherwise be procured. </w:t>
      </w:r>
    </w:p>
    <w:p w:rsidR="00341319" w:rsidRDefault="00324889">
      <w:pPr>
        <w:widowControl w:val="0"/>
        <w:spacing w:after="120" w:line="240" w:lineRule="auto"/>
        <w:jc w:val="both"/>
        <w:rPr>
          <w:rFonts w:cs="Times New Roman"/>
          <w:noProof/>
          <w:sz w:val="20"/>
        </w:rPr>
      </w:pPr>
      <w:r>
        <w:rPr>
          <w:rFonts w:cs="Times New Roman"/>
          <w:noProof/>
          <w:sz w:val="20"/>
        </w:rPr>
        <w:t>The purchasing power of public procurement in the EU equals to approximately 14% of GDP</w:t>
      </w:r>
      <w:r>
        <w:rPr>
          <w:rFonts w:cs="Times New Roman"/>
          <w:noProof/>
          <w:sz w:val="20"/>
          <w:vertAlign w:val="superscript"/>
        </w:rPr>
        <w:footnoteReference w:id="177"/>
      </w:r>
      <w:r>
        <w:rPr>
          <w:rFonts w:cs="Times New Roman"/>
          <w:noProof/>
          <w:sz w:val="20"/>
        </w:rPr>
        <w:t>. A substantial part of this money is spent on sectors with high environmental impact such as construction or transport, so GPP c</w:t>
      </w:r>
      <w:r>
        <w:rPr>
          <w:rFonts w:cs="Times New Roman"/>
          <w:noProof/>
          <w:sz w:val="20"/>
        </w:rPr>
        <w:t>an help to significantly lower the impact of public spending and foster sustainable innovative businesses. The Commission has proposed EU GPP criteria</w:t>
      </w:r>
      <w:r>
        <w:rPr>
          <w:rFonts w:cs="Times New Roman"/>
          <w:noProof/>
          <w:sz w:val="20"/>
          <w:vertAlign w:val="superscript"/>
        </w:rPr>
        <w:footnoteReference w:id="178"/>
      </w:r>
      <w:r>
        <w:rPr>
          <w:rFonts w:cs="Times New Roman"/>
          <w:noProof/>
          <w:sz w:val="20"/>
        </w:rPr>
        <w:t>.</w:t>
      </w:r>
    </w:p>
    <w:p w:rsidR="00341319" w:rsidRDefault="00324889">
      <w:pPr>
        <w:widowControl w:val="0"/>
        <w:spacing w:after="120" w:line="240" w:lineRule="auto"/>
        <w:jc w:val="both"/>
        <w:rPr>
          <w:noProof/>
          <w:sz w:val="20"/>
        </w:rPr>
      </w:pPr>
      <w:r>
        <w:rPr>
          <w:rFonts w:cs="Times New Roman"/>
          <w:noProof/>
          <w:sz w:val="20"/>
        </w:rPr>
        <w:t>In 2013 Italy has adopted the national action plan (NAP) for GPP. The NAP GPP provides that the Ministr</w:t>
      </w:r>
      <w:r>
        <w:rPr>
          <w:rFonts w:cs="Times New Roman"/>
          <w:noProof/>
          <w:sz w:val="20"/>
        </w:rPr>
        <w:t xml:space="preserve">y of the Environment set out the minimum environmental criteria (MEC), which represent the reference point at national level for </w:t>
      </w:r>
      <w:r>
        <w:rPr>
          <w:noProof/>
          <w:sz w:val="20"/>
        </w:rPr>
        <w:t>the use of GPP by contracting authorities. The Collegato Ambientale (Article 19) makes GPP mandatory.</w:t>
      </w:r>
    </w:p>
    <w:p w:rsidR="00341319" w:rsidRDefault="00324889">
      <w:pPr>
        <w:widowControl w:val="0"/>
        <w:spacing w:after="120" w:line="240" w:lineRule="auto"/>
        <w:jc w:val="both"/>
        <w:rPr>
          <w:rFonts w:cs="Times New Roman"/>
          <w:noProof/>
          <w:sz w:val="20"/>
        </w:rPr>
      </w:pPr>
      <w:r>
        <w:rPr>
          <w:noProof/>
          <w:sz w:val="20"/>
        </w:rPr>
        <w:t xml:space="preserve">One good practice is the </w:t>
      </w:r>
      <w:r>
        <w:rPr>
          <w:noProof/>
          <w:sz w:val="20"/>
        </w:rPr>
        <w:t>Remade in Italy</w:t>
      </w:r>
      <w:r>
        <w:rPr>
          <w:noProof/>
          <w:sz w:val="20"/>
        </w:rPr>
        <w:footnoteReference w:id="179"/>
      </w:r>
      <w:r>
        <w:rPr>
          <w:noProof/>
          <w:sz w:val="20"/>
        </w:rPr>
        <w:t xml:space="preserve"> accredited certification</w:t>
      </w:r>
      <w:r>
        <w:rPr>
          <w:rFonts w:cs="Times New Roman"/>
          <w:noProof/>
          <w:sz w:val="20"/>
        </w:rPr>
        <w:t xml:space="preserve"> scheme specifically aimed at the verification of recycled content in a product. </w:t>
      </w:r>
    </w:p>
    <w:p w:rsidR="00341319" w:rsidRDefault="00324889">
      <w:pPr>
        <w:widowControl w:val="0"/>
        <w:spacing w:line="240" w:lineRule="auto"/>
        <w:jc w:val="both"/>
        <w:rPr>
          <w:rFonts w:cs="Times New Roman"/>
          <w:noProof/>
          <w:sz w:val="20"/>
        </w:rPr>
      </w:pPr>
      <w:r>
        <w:rPr>
          <w:rFonts w:cs="Times New Roman"/>
          <w:noProof/>
          <w:sz w:val="20"/>
        </w:rPr>
        <w:t>Regarding the level of uptake of GPP in public authorities in Italy, there is a positive trend in the last years, also due to the inv</w:t>
      </w:r>
      <w:r>
        <w:rPr>
          <w:rFonts w:cs="Times New Roman"/>
          <w:noProof/>
          <w:sz w:val="20"/>
        </w:rPr>
        <w:t>olvement of its central purchasing body (CONSIP), which has seen the use of sustainable criteria in more than 50% of tenders for certain product categories</w:t>
      </w:r>
      <w:r>
        <w:rPr>
          <w:rFonts w:cs="Times New Roman"/>
          <w:noProof/>
          <w:sz w:val="20"/>
          <w:vertAlign w:val="superscript"/>
          <w:lang w:val="it-IT"/>
        </w:rPr>
        <w:footnoteReference w:id="180"/>
      </w:r>
      <w:r>
        <w:rPr>
          <w:rFonts w:cs="Times New Roman"/>
          <w:noProof/>
          <w:sz w:val="20"/>
        </w:rPr>
        <w:t xml:space="preserve">. The </w:t>
      </w:r>
      <w:r>
        <w:rPr>
          <w:rFonts w:cs="Times New Roman"/>
          <w:i/>
          <w:noProof/>
          <w:sz w:val="20"/>
        </w:rPr>
        <w:t>Collegato Ambientale</w:t>
      </w:r>
      <w:r>
        <w:rPr>
          <w:rFonts w:cs="Times New Roman"/>
          <w:noProof/>
          <w:sz w:val="20"/>
        </w:rPr>
        <w:t xml:space="preserve"> establishes MEC that apply to at least 50% of the value of a given procurement activity with the possibility of increasing this percentage in a period of 5 years. Furthermore, a national public procurement strategy was adopted in early 2016.</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42" w:name="_Toc469476720"/>
      <w:r>
        <w:rPr>
          <w:rFonts w:cs="Times New Roman"/>
          <w:b/>
          <w:noProof/>
          <w:color w:val="1F497D" w:themeColor="text2"/>
          <w:sz w:val="24"/>
          <w:szCs w:val="24"/>
          <w:lang w:eastAsia="en-GB"/>
        </w:rPr>
        <w:t xml:space="preserve">Investments: </w:t>
      </w:r>
      <w:r>
        <w:rPr>
          <w:rFonts w:cs="Times New Roman"/>
          <w:b/>
          <w:noProof/>
          <w:color w:val="1F497D" w:themeColor="text2"/>
          <w:sz w:val="24"/>
          <w:szCs w:val="24"/>
          <w:lang w:eastAsia="en-GB"/>
        </w:rPr>
        <w:t>the contribution of EU funds</w:t>
      </w:r>
      <w:bookmarkEnd w:id="42"/>
      <w:r>
        <w:rPr>
          <w:rFonts w:cs="Times New Roman"/>
          <w:b/>
          <w:noProof/>
          <w:color w:val="1F497D" w:themeColor="text2"/>
          <w:sz w:val="24"/>
          <w:szCs w:val="24"/>
          <w:lang w:eastAsia="en-GB"/>
        </w:rPr>
        <w:t xml:space="preserve"> </w:t>
      </w:r>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environment and climate objectives in their funding strategies and programmes for economic, social and territorial cohesion, rural develop</w:t>
      </w:r>
      <w:r>
        <w:rPr>
          <w:rFonts w:cs="Times New Roman"/>
          <w:noProof/>
          <w:color w:val="FFFFFF" w:themeColor="background1"/>
          <w:sz w:val="20"/>
        </w:rPr>
        <w:t>ment and maritime policy, and reinforce the capacity of implementing bodies to deliver cost-effective and sustainable investments in these areas.</w:t>
      </w:r>
    </w:p>
    <w:p w:rsidR="00341319" w:rsidRDefault="00324889">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Structural and Investment Funds (ESIF)</w:t>
      </w:r>
      <w:r>
        <w:rPr>
          <w:rFonts w:ascii="Calibri" w:eastAsia="Calibri" w:hAnsi="Calibri" w:cs="Times New Roman"/>
          <w:noProof/>
          <w:vertAlign w:val="superscript"/>
          <w:lang w:eastAsia="ar-SA"/>
        </w:rPr>
        <w:footnoteReference w:id="181"/>
      </w:r>
      <w:r>
        <w:rPr>
          <w:rFonts w:ascii="Calibri" w:eastAsia="Calibri" w:hAnsi="Calibri" w:cs="Times New Roman"/>
          <w:noProof/>
          <w:sz w:val="20"/>
          <w:szCs w:val="24"/>
          <w:lang w:eastAsia="ar-SA"/>
        </w:rPr>
        <w:t xml:space="preserve"> is essential to achieve the environmen</w:t>
      </w:r>
      <w:r>
        <w:rPr>
          <w:rFonts w:ascii="Calibri" w:eastAsia="Calibri" w:hAnsi="Calibri" w:cs="Times New Roman"/>
          <w:noProof/>
          <w:sz w:val="20"/>
          <w:szCs w:val="24"/>
          <w:lang w:eastAsia="ar-SA"/>
        </w:rPr>
        <w:t>tal goals and integrate these into other policy areas. Other instruments such as the Horizon 2020, the LIFE programme and the EFSI</w:t>
      </w:r>
      <w:r>
        <w:rPr>
          <w:rFonts w:ascii="Calibri" w:eastAsia="Calibri" w:hAnsi="Calibri" w:cs="Times New Roman"/>
          <w:noProof/>
          <w:vertAlign w:val="superscript"/>
          <w:lang w:eastAsia="ar-SA"/>
        </w:rPr>
        <w:footnoteReference w:id="182"/>
      </w:r>
      <w:r>
        <w:rPr>
          <w:rFonts w:ascii="Calibri" w:eastAsia="Calibri" w:hAnsi="Calibri" w:cs="Times New Roman"/>
          <w:noProof/>
          <w:sz w:val="20"/>
          <w:szCs w:val="24"/>
          <w:lang w:eastAsia="ar-SA"/>
        </w:rPr>
        <w:t xml:space="preserve"> may also support implementation and spread of best practice.</w:t>
      </w:r>
    </w:p>
    <w:p w:rsidR="00341319" w:rsidRDefault="00324889">
      <w:pPr>
        <w:widowControl w:val="0"/>
        <w:spacing w:after="120" w:line="240" w:lineRule="auto"/>
        <w:jc w:val="both"/>
        <w:rPr>
          <w:noProof/>
          <w:sz w:val="20"/>
          <w:lang w:val="en-US"/>
        </w:rPr>
      </w:pPr>
      <w:r>
        <w:rPr>
          <w:noProof/>
          <w:sz w:val="20"/>
        </w:rPr>
        <w:t xml:space="preserve">Italy receives EUR </w:t>
      </w:r>
      <w:r>
        <w:rPr>
          <w:rFonts w:eastAsia="Calibri" w:cs="Times New Roman"/>
          <w:noProof/>
          <w:sz w:val="20"/>
        </w:rPr>
        <w:t xml:space="preserve">32.8 </w:t>
      </w:r>
      <w:r>
        <w:rPr>
          <w:noProof/>
          <w:sz w:val="20"/>
        </w:rPr>
        <w:t>billion in total Cohesion Policy fundin</w:t>
      </w:r>
      <w:r>
        <w:rPr>
          <w:noProof/>
          <w:sz w:val="20"/>
        </w:rPr>
        <w:t xml:space="preserve">g over 2014-20 period (current prices, including </w:t>
      </w:r>
      <w:r>
        <w:rPr>
          <w:rFonts w:eastAsia="Calibri" w:cs="Times New Roman"/>
          <w:noProof/>
          <w:sz w:val="20"/>
        </w:rPr>
        <w:t xml:space="preserve">ERDF, ESF, </w:t>
      </w:r>
      <w:r>
        <w:rPr>
          <w:noProof/>
          <w:sz w:val="20"/>
        </w:rPr>
        <w:t xml:space="preserve">European Territorial Cooperation funding and the allocation for the Youth Employment Initiative, see Figure 14); national co-financing adds another EUR </w:t>
      </w:r>
      <w:r>
        <w:rPr>
          <w:rFonts w:eastAsia="Calibri" w:cs="Times New Roman"/>
          <w:noProof/>
          <w:sz w:val="20"/>
        </w:rPr>
        <w:t xml:space="preserve">20.2 </w:t>
      </w:r>
      <w:r>
        <w:rPr>
          <w:noProof/>
          <w:sz w:val="20"/>
        </w:rPr>
        <w:t>billion. Furthermore there is yet anoth</w:t>
      </w:r>
      <w:r>
        <w:rPr>
          <w:noProof/>
          <w:sz w:val="20"/>
        </w:rPr>
        <w:t>er EUR 54.8 billion from the National Cohesion and Development Fund</w:t>
      </w:r>
      <w:r>
        <w:rPr>
          <w:noProof/>
          <w:sz w:val="20"/>
          <w:vertAlign w:val="superscript"/>
        </w:rPr>
        <w:footnoteReference w:id="183"/>
      </w:r>
      <w:r>
        <w:rPr>
          <w:noProof/>
          <w:sz w:val="20"/>
        </w:rPr>
        <w:t>.  Italy also receives EUR 10.4 billion for rural development and EUR 537 million for fisheries and m</w:t>
      </w:r>
      <w:r>
        <w:rPr>
          <w:rFonts w:eastAsia="Calibri" w:cs="Times New Roman"/>
          <w:noProof/>
          <w:sz w:val="20"/>
        </w:rPr>
        <w:t>aritime affairs</w:t>
      </w:r>
      <w:r>
        <w:rPr>
          <w:rFonts w:eastAsia="Calibri" w:cs="Times New Roman"/>
          <w:noProof/>
          <w:sz w:val="20"/>
          <w:vertAlign w:val="superscript"/>
        </w:rPr>
        <w:footnoteReference w:id="184"/>
      </w:r>
      <w:r>
        <w:rPr>
          <w:rFonts w:eastAsia="Calibri" w:cs="Times New Roman"/>
          <w:noProof/>
          <w:sz w:val="20"/>
        </w:rPr>
        <w:t>.</w:t>
      </w:r>
      <w:r>
        <w:rPr>
          <w:noProof/>
          <w:sz w:val="20"/>
        </w:rPr>
        <w:t xml:space="preserve"> Cohesion policy (and rural development) is a mixed competence with bo</w:t>
      </w:r>
      <w:r>
        <w:rPr>
          <w:noProof/>
          <w:sz w:val="20"/>
        </w:rPr>
        <w:t>th national programmes and regional programmes. The less developed south (Basilicata, Calabria, Campania, Puglia and Sicily) and transition regions (Abruzzo, Molise and Sardinia) receive a higher intensity of funding than the more developed centre and nort</w:t>
      </w:r>
      <w:r>
        <w:rPr>
          <w:noProof/>
          <w:sz w:val="20"/>
        </w:rPr>
        <w:t>h in both the ERDF and the National Cohesion and Development Fund (80% in the south, 20% in the centre &amp; north).</w:t>
      </w:r>
    </w:p>
    <w:p w:rsidR="00341319" w:rsidRDefault="00324889">
      <w:pPr>
        <w:widowControl w:val="0"/>
        <w:spacing w:after="120" w:line="240" w:lineRule="auto"/>
        <w:jc w:val="both"/>
        <w:rPr>
          <w:noProof/>
          <w:sz w:val="20"/>
        </w:rPr>
      </w:pPr>
      <w:r>
        <w:rPr>
          <w:noProof/>
          <w:sz w:val="20"/>
        </w:rPr>
        <w:t>In addition, 30% of the first pillar of the Common Agricultural Policy (CAP) (EUR 27 billion for Pillar 1 for Italy</w:t>
      </w:r>
      <w:r>
        <w:rPr>
          <w:rFonts w:eastAsia="Calibri" w:cs="Times New Roman"/>
          <w:noProof/>
          <w:sz w:val="20"/>
          <w:vertAlign w:val="superscript"/>
        </w:rPr>
        <w:footnoteReference w:id="185"/>
      </w:r>
      <w:r>
        <w:rPr>
          <w:noProof/>
          <w:sz w:val="20"/>
        </w:rPr>
        <w:t xml:space="preserve">) will contribute to basic environmental protection.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1319">
        <w:trPr>
          <w:trHeight w:val="541"/>
        </w:trPr>
        <w:tc>
          <w:tcPr>
            <w:tcW w:w="4909" w:type="dxa"/>
          </w:tcPr>
          <w:p w:rsidR="00341319" w:rsidRDefault="00324889">
            <w:pPr>
              <w:widowControl w:val="0"/>
              <w:spacing w:after="120"/>
              <w:jc w:val="both"/>
              <w:rPr>
                <w:noProof/>
                <w:sz w:val="20"/>
              </w:rPr>
            </w:pPr>
            <w:r>
              <w:rPr>
                <w:noProof/>
                <w:sz w:val="20"/>
              </w:rPr>
              <w:t xml:space="preserve"> </w:t>
            </w:r>
            <w:r>
              <w:rPr>
                <w:b/>
                <w:bCs/>
                <w:noProof/>
                <w:color w:val="1F497D" w:themeColor="text2"/>
                <w:sz w:val="20"/>
              </w:rPr>
              <w:t>Figure 14: European Structural and Investment Funds 2014-2020: Budget Italy by theme, EUR billion</w:t>
            </w:r>
            <w:r>
              <w:rPr>
                <w:noProof/>
                <w:sz w:val="20"/>
                <w:vertAlign w:val="superscript"/>
                <w:lang w:val="it-IT"/>
              </w:rPr>
              <w:footnoteReference w:id="186"/>
            </w:r>
          </w:p>
        </w:tc>
      </w:tr>
      <w:tr w:rsidR="00341319">
        <w:trPr>
          <w:trHeight w:val="558"/>
        </w:trPr>
        <w:tc>
          <w:tcPr>
            <w:tcW w:w="4909" w:type="dxa"/>
          </w:tcPr>
          <w:p w:rsidR="00341319" w:rsidRDefault="00324889">
            <w:pPr>
              <w:widowControl w:val="0"/>
              <w:spacing w:after="120"/>
              <w:jc w:val="both"/>
              <w:rPr>
                <w:noProof/>
                <w:sz w:val="20"/>
              </w:rPr>
            </w:pPr>
            <w:r>
              <w:rPr>
                <w:noProof/>
                <w:sz w:val="20"/>
                <w:lang w:eastAsia="en-GB"/>
              </w:rPr>
              <w:drawing>
                <wp:inline distT="0" distB="0" distL="0" distR="0" wp14:anchorId="3A006823" wp14:editId="3CA7C6EE">
                  <wp:extent cx="2955851" cy="39313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9956" cy="3936808"/>
                          </a:xfrm>
                          <a:prstGeom prst="rect">
                            <a:avLst/>
                          </a:prstGeom>
                          <a:noFill/>
                        </pic:spPr>
                      </pic:pic>
                    </a:graphicData>
                  </a:graphic>
                </wp:inline>
              </w:drawing>
            </w:r>
          </w:p>
        </w:tc>
      </w:tr>
    </w:tbl>
    <w:p w:rsidR="00341319" w:rsidRDefault="00324889">
      <w:pPr>
        <w:widowControl w:val="0"/>
        <w:spacing w:after="120" w:line="240" w:lineRule="auto"/>
        <w:jc w:val="both"/>
        <w:rPr>
          <w:noProof/>
          <w:sz w:val="20"/>
        </w:rPr>
      </w:pPr>
      <w:r>
        <w:rPr>
          <w:noProof/>
          <w:sz w:val="20"/>
        </w:rPr>
        <w:t xml:space="preserve">With regard to the support by EARFD, the agri-climate environment component includes a wide range of measures, some of which are ambitious and address a wide range of environmental issues (biodiversity, water, soil, air).  </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The ERDF allocation for environm</w:t>
      </w:r>
      <w:r>
        <w:rPr>
          <w:rFonts w:eastAsia="Calibri" w:cs="Times New Roman"/>
          <w:noProof/>
          <w:sz w:val="20"/>
        </w:rPr>
        <w:t>ent (Thematic Objective 6 – T06) is EUR 2.6 billion which is 12.5% of the total allocation for the ERDF</w:t>
      </w:r>
      <w:r>
        <w:rPr>
          <w:rFonts w:eastAsia="Calibri" w:cs="Times New Roman"/>
          <w:noProof/>
          <w:sz w:val="20"/>
          <w:vertAlign w:val="superscript"/>
        </w:rPr>
        <w:footnoteReference w:id="187"/>
      </w:r>
      <w:r>
        <w:rPr>
          <w:rFonts w:eastAsia="Calibri" w:cs="Times New Roman"/>
          <w:noProof/>
          <w:sz w:val="20"/>
        </w:rPr>
        <w:t>. Investments in water and waste are only eligible in the less developed south and Sardinia. As the ERDF allocation is insufficient to close implementat</w:t>
      </w:r>
      <w:r>
        <w:rPr>
          <w:rFonts w:eastAsia="Calibri" w:cs="Times New Roman"/>
          <w:noProof/>
          <w:sz w:val="20"/>
        </w:rPr>
        <w:t xml:space="preserve">ion gaps, adequate financing from the National Cohesion and Development Fund and EIB and EFSI loans is needed. </w:t>
      </w:r>
    </w:p>
    <w:p w:rsidR="00341319" w:rsidRDefault="00324889">
      <w:pPr>
        <w:widowControl w:val="0"/>
        <w:spacing w:after="120" w:line="240" w:lineRule="auto"/>
        <w:jc w:val="both"/>
        <w:rPr>
          <w:noProof/>
          <w:sz w:val="20"/>
        </w:rPr>
      </w:pPr>
      <w:r>
        <w:rPr>
          <w:noProof/>
          <w:sz w:val="20"/>
        </w:rPr>
        <w:t xml:space="preserve">The action plans for the </w:t>
      </w:r>
      <w:r>
        <w:rPr>
          <w:i/>
          <w:noProof/>
          <w:sz w:val="20"/>
        </w:rPr>
        <w:t>ex-ante</w:t>
      </w:r>
      <w:r>
        <w:rPr>
          <w:noProof/>
          <w:sz w:val="20"/>
        </w:rPr>
        <w:t xml:space="preserve"> conditionalities for water and waste </w:t>
      </w:r>
      <w:r>
        <w:rPr>
          <w:rFonts w:eastAsia="Calibri" w:cs="Times New Roman"/>
          <w:noProof/>
          <w:sz w:val="20"/>
        </w:rPr>
        <w:t xml:space="preserve">investments under the </w:t>
      </w:r>
      <w:r>
        <w:rPr>
          <w:noProof/>
          <w:sz w:val="20"/>
        </w:rPr>
        <w:t>ERDF and EAFRD 2014-20 mentioned earlier will play a</w:t>
      </w:r>
      <w:r>
        <w:rPr>
          <w:noProof/>
          <w:sz w:val="20"/>
        </w:rPr>
        <w:t xml:space="preserve"> major role in accelerating the implementation of the environmental legislation, and foster a dialogue with the authorities. </w:t>
      </w:r>
    </w:p>
    <w:p w:rsidR="00341319" w:rsidRDefault="00324889">
      <w:pPr>
        <w:widowControl w:val="0"/>
        <w:spacing w:after="240" w:line="240" w:lineRule="auto"/>
        <w:jc w:val="both"/>
        <w:rPr>
          <w:noProof/>
          <w:sz w:val="20"/>
        </w:rPr>
      </w:pPr>
      <w:r>
        <w:rPr>
          <w:noProof/>
          <w:sz w:val="20"/>
        </w:rPr>
        <w:t>Some of the expected results from ERDF investments in the South of Italy are as follows: 877,800 Tonnes/year of additional waste r</w:t>
      </w:r>
      <w:r>
        <w:rPr>
          <w:noProof/>
          <w:sz w:val="20"/>
        </w:rPr>
        <w:t>ecycling capacity will be created; 1,373,786 additional persons will be  served by improved water supply ; 4,014,540 persons will be served by improved wastewater treatment; in terms of expected results in the whole territory, 1,693,859 persons will benefi</w:t>
      </w:r>
      <w:r>
        <w:rPr>
          <w:noProof/>
          <w:sz w:val="20"/>
        </w:rPr>
        <w:t>t from forest fire protection measures ; 77,088 Hectares of land will be rehabilitated ; 273,915 Hectares of habitats will be supported to attain a better conservation status</w:t>
      </w:r>
      <w:r>
        <w:rPr>
          <w:noProof/>
          <w:sz w:val="20"/>
          <w:vertAlign w:val="superscript"/>
        </w:rPr>
        <w:footnoteReference w:id="188"/>
      </w:r>
      <w:r>
        <w:rPr>
          <w:noProof/>
          <w:sz w:val="20"/>
        </w:rPr>
        <w:t xml:space="preserve">.  </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Current data suggest that the overall disbursement of funds for the 2007-13 p</w:t>
      </w:r>
      <w:r>
        <w:rPr>
          <w:rFonts w:eastAsia="Calibri" w:cs="Times New Roman"/>
          <w:noProof/>
          <w:sz w:val="20"/>
        </w:rPr>
        <w:t>rogramming period for the ERDF in Italy reached 80% of the allocated resources with 95% in the centre-north and 78% in the south (all figures well above the EU average), but the environmental sector is performing worse than other sectors.</w:t>
      </w:r>
      <w:r>
        <w:rPr>
          <w:noProof/>
          <w:sz w:val="20"/>
          <w:vertAlign w:val="superscript"/>
          <w:lang w:val="it-IT"/>
        </w:rPr>
        <w:footnoteReference w:id="189"/>
      </w:r>
      <w:r>
        <w:rPr>
          <w:rFonts w:eastAsia="Calibri" w:cs="Times New Roman"/>
          <w:noProof/>
          <w:sz w:val="20"/>
        </w:rPr>
        <w:t xml:space="preserve"> In 2014-20, the </w:t>
      </w:r>
      <w:r>
        <w:rPr>
          <w:rFonts w:eastAsia="Calibri" w:cs="Times New Roman"/>
          <w:noProof/>
          <w:sz w:val="20"/>
        </w:rPr>
        <w:t xml:space="preserve">EU funds will be instrumental </w:t>
      </w:r>
      <w:r>
        <w:rPr>
          <w:rFonts w:eastAsia="Calibri" w:cs="Times New Roman"/>
          <w:i/>
          <w:noProof/>
          <w:sz w:val="20"/>
        </w:rPr>
        <w:t>inter alia</w:t>
      </w:r>
      <w:r>
        <w:rPr>
          <w:rFonts w:eastAsia="Calibri" w:cs="Times New Roman"/>
          <w:noProof/>
          <w:sz w:val="20"/>
        </w:rPr>
        <w:t xml:space="preserve"> to end the persistent infringements in the water and waste sectors. </w:t>
      </w:r>
      <w:r>
        <w:rPr>
          <w:rFonts w:cs="Times New Roman"/>
          <w:noProof/>
          <w:sz w:val="20"/>
        </w:rPr>
        <w:t>Indeed, the ERDF is being used to deal with under-investment in water e.g. in Campania in a substantial way with five Major Projects.</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With regard t</w:t>
      </w:r>
      <w:r>
        <w:rPr>
          <w:rFonts w:eastAsia="Calibri" w:cs="Times New Roman"/>
          <w:noProof/>
          <w:sz w:val="20"/>
        </w:rPr>
        <w:t>o natural capital (biodiversity), clean-up of contaminated land, and risk prevention, the ERDF is available over the whole territory. In central and northern Italy investments are focused on sustainable transport and energy, research and competitiveness of</w:t>
      </w:r>
      <w:r>
        <w:rPr>
          <w:rFonts w:eastAsia="Calibri" w:cs="Times New Roman"/>
          <w:noProof/>
          <w:sz w:val="20"/>
        </w:rPr>
        <w:t xml:space="preserve"> SMEs. This includes opportunities for eco-innovation and promoting the circular economy.   </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The Cohesion Policy in Italy has suffered three main problems - fragmentation, lack of adequate administrative capacity and a weak central control. The new Nationa</w:t>
      </w:r>
      <w:r>
        <w:rPr>
          <w:rFonts w:eastAsia="Calibri" w:cs="Times New Roman"/>
          <w:noProof/>
          <w:sz w:val="20"/>
        </w:rPr>
        <w:t xml:space="preserve">l Cohesion Agency was created to resolve these issues. </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The new National Strategy for Internal Areas supported by the ESIF is another opportunity to make environmental investments</w:t>
      </w:r>
      <w:r>
        <w:rPr>
          <w:rFonts w:eastAsia="Calibri" w:cs="Times New Roman"/>
          <w:noProof/>
          <w:sz w:val="20"/>
          <w:vertAlign w:val="superscript"/>
          <w:lang w:val="it-IT"/>
        </w:rPr>
        <w:footnoteReference w:id="190"/>
      </w:r>
      <w:r>
        <w:rPr>
          <w:rFonts w:eastAsia="Calibri" w:cs="Times New Roman"/>
          <w:noProof/>
          <w:sz w:val="20"/>
        </w:rPr>
        <w:t>.</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 xml:space="preserve">A lack of administrative capacity in small municipalities can lead to </w:t>
      </w:r>
      <w:r>
        <w:rPr>
          <w:rFonts w:eastAsia="Calibri" w:cs="Times New Roman"/>
          <w:noProof/>
          <w:sz w:val="20"/>
        </w:rPr>
        <w:t>difficulties in using EU funds for environmental purposes. The cohesion policy places an emphasis on financing so-called major projects; in the case of Italy, there are several major projects in the field of urban wastewater treatment in the Campania regio</w:t>
      </w:r>
      <w:r>
        <w:rPr>
          <w:rFonts w:eastAsia="Calibri" w:cs="Times New Roman"/>
          <w:noProof/>
          <w:sz w:val="20"/>
        </w:rPr>
        <w:t>n. On the other hand, it is often smaller projects at municipal level that are needed to implement EU environmental objectives and targets (e.g. separate collection, public awareness on waste prevention, nature and biodiversity projects).</w:t>
      </w:r>
    </w:p>
    <w:p w:rsidR="00341319" w:rsidRDefault="00324889">
      <w:pPr>
        <w:widowControl w:val="0"/>
        <w:spacing w:after="120" w:line="240" w:lineRule="auto"/>
        <w:jc w:val="both"/>
        <w:rPr>
          <w:rFonts w:eastAsia="Calibri" w:cs="Times New Roman"/>
          <w:noProof/>
          <w:sz w:val="20"/>
        </w:rPr>
      </w:pPr>
      <w:r>
        <w:rPr>
          <w:rFonts w:eastAsia="Calibri" w:cs="Times New Roman"/>
          <w:noProof/>
          <w:sz w:val="20"/>
        </w:rPr>
        <w:t>The Ministry of E</w:t>
      </w:r>
      <w:r>
        <w:rPr>
          <w:rFonts w:eastAsia="Calibri" w:cs="Times New Roman"/>
          <w:noProof/>
          <w:sz w:val="20"/>
        </w:rPr>
        <w:t>nvironment has developed several initiatives &amp; projects to strengthen its support of the regions. This support aims at the better use of ESIF resources in the environmental sector during the programming period 2014-20 and the improvement of the complementa</w:t>
      </w:r>
      <w:r>
        <w:rPr>
          <w:rFonts w:eastAsia="Calibri" w:cs="Times New Roman"/>
          <w:noProof/>
          <w:sz w:val="20"/>
        </w:rPr>
        <w:t>rity between ESIF and other funds and programmes.</w:t>
      </w:r>
    </w:p>
    <w:p w:rsidR="00341319" w:rsidRDefault="00324889">
      <w:pPr>
        <w:spacing w:after="120" w:line="240" w:lineRule="auto"/>
        <w:jc w:val="both"/>
        <w:rPr>
          <w:rFonts w:eastAsia="Calibri" w:cs="Times New Roman"/>
          <w:noProof/>
          <w:sz w:val="20"/>
        </w:rPr>
      </w:pPr>
      <w:r>
        <w:rPr>
          <w:rFonts w:eastAsia="Calibri" w:cs="Times New Roman"/>
          <w:noProof/>
          <w:sz w:val="20"/>
        </w:rPr>
        <w:t xml:space="preserve">One existing project is the </w:t>
      </w:r>
      <w:r>
        <w:rPr>
          <w:rFonts w:eastAsia="Calibri" w:cs="Times New Roman"/>
          <w:i/>
          <w:noProof/>
          <w:sz w:val="20"/>
        </w:rPr>
        <w:t>Knowledge Platform</w:t>
      </w:r>
      <w:r>
        <w:rPr>
          <w:i/>
          <w:noProof/>
          <w:sz w:val="20"/>
          <w:lang w:val="en-US"/>
        </w:rPr>
        <w:t xml:space="preserve"> - </w:t>
      </w:r>
      <w:r>
        <w:rPr>
          <w:rFonts w:eastAsia="Calibri" w:cs="Times New Roman"/>
          <w:i/>
          <w:noProof/>
          <w:sz w:val="20"/>
        </w:rPr>
        <w:t>Best Practices for the Environment and Climate Action</w:t>
      </w:r>
      <w:r>
        <w:rPr>
          <w:rFonts w:eastAsia="Calibri" w:cs="Times New Roman"/>
          <w:noProof/>
          <w:sz w:val="20"/>
          <w:vertAlign w:val="superscript"/>
        </w:rPr>
        <w:footnoteReference w:id="191"/>
      </w:r>
      <w:r>
        <w:rPr>
          <w:rFonts w:eastAsia="Calibri" w:cs="Times New Roman"/>
          <w:noProof/>
          <w:sz w:val="20"/>
        </w:rPr>
        <w:t>, financed with Technical Assistance</w:t>
      </w:r>
      <w:r>
        <w:rPr>
          <w:noProof/>
          <w:sz w:val="20"/>
          <w:vertAlign w:val="superscript"/>
        </w:rPr>
        <w:footnoteReference w:id="192"/>
      </w:r>
      <w:r>
        <w:rPr>
          <w:rFonts w:eastAsia="Calibri" w:cs="Times New Roman"/>
          <w:noProof/>
          <w:sz w:val="20"/>
        </w:rPr>
        <w:t xml:space="preserve"> collecting results from EU co-financed projects through various programmes and developing networking capabilities. The transfer of acquired knowledge and results from LIFE projects have already begun to assist the Calabria and Sicily Regions (ARUPA; PRIME</w:t>
      </w:r>
      <w:r>
        <w:rPr>
          <w:rFonts w:eastAsia="Calibri" w:cs="Times New Roman"/>
          <w:noProof/>
          <w:sz w:val="20"/>
        </w:rPr>
        <w:t>; GESTIRE 2020; TRUST; AQUOR)</w:t>
      </w:r>
      <w:r>
        <w:rPr>
          <w:rFonts w:eastAsia="Calibri" w:cs="Times New Roman"/>
          <w:noProof/>
          <w:sz w:val="20"/>
          <w:vertAlign w:val="superscript"/>
        </w:rPr>
        <w:footnoteReference w:id="193"/>
      </w:r>
      <w:r>
        <w:rPr>
          <w:rFonts w:eastAsia="Calibri" w:cs="Times New Roman"/>
          <w:noProof/>
          <w:sz w:val="20"/>
        </w:rPr>
        <w:t>. The Platform supports the Regions and the SME in accessing innovative methodologies and technologies.</w:t>
      </w:r>
    </w:p>
    <w:p w:rsidR="00341319" w:rsidRDefault="00324889">
      <w:pPr>
        <w:spacing w:after="120" w:line="240" w:lineRule="auto"/>
        <w:jc w:val="both"/>
        <w:rPr>
          <w:rFonts w:eastAsia="Calibri" w:cs="Times New Roman"/>
          <w:noProof/>
          <w:sz w:val="20"/>
        </w:rPr>
      </w:pPr>
      <w:r>
        <w:rPr>
          <w:rFonts w:eastAsia="Calibri" w:cs="Times New Roman"/>
          <w:noProof/>
          <w:sz w:val="20"/>
        </w:rPr>
        <w:t>The Ministry of Environment is also a partner of several projects implemented through the Rural National Network Programme</w:t>
      </w:r>
      <w:r>
        <w:rPr>
          <w:rFonts w:eastAsia="Calibri" w:cs="Times New Roman"/>
          <w:noProof/>
          <w:sz w:val="20"/>
        </w:rPr>
        <w:t xml:space="preserve"> (co-financed by EAFRD), including the one focused on complementarity between the LIFE Programme 2014-20 and Rural Development policies</w:t>
      </w:r>
      <w:r>
        <w:rPr>
          <w:rFonts w:eastAsia="Calibri" w:cs="Times New Roman"/>
          <w:noProof/>
          <w:sz w:val="20"/>
          <w:vertAlign w:val="superscript"/>
        </w:rPr>
        <w:footnoteReference w:id="194"/>
      </w:r>
      <w:r>
        <w:rPr>
          <w:rFonts w:eastAsia="Calibri" w:cs="Times New Roman"/>
          <w:noProof/>
          <w:sz w:val="20"/>
        </w:rPr>
        <w:t>.</w:t>
      </w:r>
    </w:p>
    <w:p w:rsidR="00341319" w:rsidRDefault="00324889">
      <w:pPr>
        <w:spacing w:after="120" w:line="240" w:lineRule="auto"/>
        <w:jc w:val="both"/>
        <w:rPr>
          <w:rFonts w:eastAsia="Calibri" w:cs="Times New Roman"/>
          <w:bCs/>
          <w:noProof/>
          <w:sz w:val="20"/>
          <w:lang w:val="en-US"/>
        </w:rPr>
      </w:pPr>
      <w:r>
        <w:rPr>
          <w:rFonts w:eastAsia="Calibri" w:cs="Times New Roman"/>
          <w:bCs/>
          <w:noProof/>
          <w:sz w:val="20"/>
          <w:lang w:val="en-US"/>
        </w:rPr>
        <w:t>With the technical support of the LIFE National Contact Point at the Ministry of Environment</w:t>
      </w:r>
      <w:r>
        <w:rPr>
          <w:rFonts w:eastAsia="Calibri" w:cs="Times New Roman"/>
          <w:bCs/>
          <w:noProof/>
          <w:sz w:val="20"/>
          <w:vertAlign w:val="superscript"/>
          <w:lang w:val="en-US"/>
        </w:rPr>
        <w:footnoteReference w:id="195"/>
      </w:r>
      <w:r>
        <w:rPr>
          <w:rFonts w:eastAsia="Calibri" w:cs="Times New Roman"/>
          <w:bCs/>
          <w:noProof/>
          <w:sz w:val="20"/>
          <w:lang w:val="en-US"/>
        </w:rPr>
        <w:t>, 306 projects were co-fi</w:t>
      </w:r>
      <w:r>
        <w:rPr>
          <w:rFonts w:eastAsia="Calibri" w:cs="Times New Roman"/>
          <w:bCs/>
          <w:noProof/>
          <w:sz w:val="20"/>
          <w:lang w:val="en-US"/>
        </w:rPr>
        <w:t xml:space="preserve">nanced 2007-13 and 29 projects in 2014.  Moreover, </w:t>
      </w:r>
      <w:r>
        <w:rPr>
          <w:rFonts w:eastAsia="Calibri" w:cs="Times New Roman"/>
          <w:bCs/>
          <w:noProof/>
          <w:sz w:val="20"/>
        </w:rPr>
        <w:t>Italy is involved in 104 of the 189 projects resulting from the 2014, 2015 and 2016 one stage calls for proposals in the Societal Challenge “Climate action, environment, resource efficiency and raw materia</w:t>
      </w:r>
      <w:r>
        <w:rPr>
          <w:rFonts w:eastAsia="Calibri" w:cs="Times New Roman"/>
          <w:bCs/>
          <w:noProof/>
          <w:sz w:val="20"/>
        </w:rPr>
        <w:t>ls”</w:t>
      </w:r>
      <w:r>
        <w:rPr>
          <w:rFonts w:eastAsia="Calibri" w:cs="Times New Roman"/>
          <w:bCs/>
          <w:noProof/>
          <w:sz w:val="20"/>
          <w:lang w:val="en-US"/>
        </w:rPr>
        <w:t xml:space="preserve"> (</w:t>
      </w:r>
      <w:r>
        <w:rPr>
          <w:rFonts w:eastAsia="Calibri" w:cs="Times New Roman"/>
          <w:bCs/>
          <w:noProof/>
          <w:sz w:val="20"/>
        </w:rPr>
        <w:t>including the SC5 relevant projects resulting from the calls for SMEs Instruments - phase 2)</w:t>
      </w:r>
      <w:r>
        <w:rPr>
          <w:rFonts w:eastAsia="Calibri" w:cs="Times New Roman"/>
          <w:bCs/>
          <w:noProof/>
          <w:sz w:val="20"/>
          <w:vertAlign w:val="superscript"/>
        </w:rPr>
        <w:t xml:space="preserve"> </w:t>
      </w:r>
      <w:r>
        <w:rPr>
          <w:rFonts w:eastAsia="Calibri" w:cs="Times New Roman"/>
          <w:bCs/>
          <w:noProof/>
          <w:sz w:val="20"/>
          <w:vertAlign w:val="superscript"/>
        </w:rPr>
        <w:footnoteReference w:id="196"/>
      </w:r>
    </w:p>
    <w:p w:rsidR="00341319" w:rsidRDefault="00324889">
      <w:pPr>
        <w:spacing w:after="120" w:line="240" w:lineRule="auto"/>
        <w:jc w:val="both"/>
        <w:rPr>
          <w:bCs/>
          <w:noProof/>
          <w:color w:val="1F497D" w:themeColor="text2"/>
          <w:sz w:val="20"/>
        </w:rPr>
      </w:pPr>
      <w:r>
        <w:rPr>
          <w:rFonts w:eastAsia="Calibri" w:cs="Times New Roman"/>
          <w:noProof/>
          <w:sz w:val="20"/>
        </w:rPr>
        <w:t xml:space="preserve">With regard to the use of EFSI, </w:t>
      </w:r>
      <w:r>
        <w:rPr>
          <w:rFonts w:cs="Times New Roman"/>
          <w:noProof/>
          <w:sz w:val="20"/>
          <w:szCs w:val="20"/>
        </w:rPr>
        <w:t>in November 2014 Italy presented around 80 projects worth over EUR 40 billion, with the process still being open to new elig</w:t>
      </w:r>
      <w:r>
        <w:rPr>
          <w:rFonts w:cs="Times New Roman"/>
          <w:noProof/>
          <w:sz w:val="20"/>
          <w:szCs w:val="20"/>
        </w:rPr>
        <w:t>ible projects. EFSI environmental projects in the fields of dealing with hydrogeological hazards, urban wastewater treatment and decontaminated land are cited earlier in this Country Report.</w:t>
      </w:r>
    </w:p>
    <w:p w:rsidR="00341319" w:rsidRDefault="00341319">
      <w:pPr>
        <w:spacing w:after="120" w:line="240" w:lineRule="auto"/>
        <w:jc w:val="both"/>
        <w:rPr>
          <w:rFonts w:eastAsia="Calibri" w:cs="Times New Roman"/>
          <w:noProof/>
          <w:sz w:val="20"/>
        </w:rPr>
      </w:pPr>
    </w:p>
    <w:p w:rsidR="00341319" w:rsidRDefault="00341319">
      <w:pPr>
        <w:spacing w:after="120" w:line="240" w:lineRule="auto"/>
        <w:jc w:val="both"/>
        <w:rPr>
          <w:rFonts w:eastAsia="Calibri" w:cs="Times New Roman"/>
          <w:noProof/>
          <w:sz w:val="20"/>
        </w:rPr>
      </w:pPr>
    </w:p>
    <w:p w:rsidR="00341319" w:rsidRDefault="00341319">
      <w:pPr>
        <w:widowControl w:val="0"/>
        <w:spacing w:line="240" w:lineRule="auto"/>
        <w:jc w:val="both"/>
        <w:rPr>
          <w:noProof/>
          <w:sz w:val="20"/>
        </w:rPr>
        <w:sectPr w:rsidR="00341319">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440" w:right="1080" w:bottom="1440" w:left="1080" w:header="708" w:footer="708" w:gutter="0"/>
          <w:cols w:num="2" w:space="360"/>
          <w:docGrid w:linePitch="360"/>
        </w:sectPr>
      </w:pPr>
    </w:p>
    <w:p w:rsidR="00341319" w:rsidRDefault="00324889">
      <w:pPr>
        <w:pStyle w:val="Heading1"/>
      </w:pPr>
      <w:bookmarkStart w:id="43" w:name="_Toc469476721"/>
      <w:bookmarkStart w:id="44" w:name="_Toc435536266"/>
      <w:r>
        <w:t>Effective governance and knowledge</w:t>
      </w:r>
      <w:bookmarkEnd w:id="43"/>
    </w:p>
    <w:p w:rsidR="00341319" w:rsidRDefault="00341319">
      <w:pPr>
        <w:widowControl w:val="0"/>
        <w:spacing w:after="120" w:line="240" w:lineRule="auto"/>
        <w:jc w:val="both"/>
        <w:rPr>
          <w:noProof/>
          <w:sz w:val="20"/>
        </w:rPr>
      </w:pPr>
    </w:p>
    <w:p w:rsidR="00341319" w:rsidRDefault="00341319">
      <w:pPr>
        <w:widowControl w:val="0"/>
        <w:spacing w:after="120" w:line="240" w:lineRule="auto"/>
        <w:jc w:val="both"/>
        <w:rPr>
          <w:noProof/>
          <w:sz w:val="20"/>
        </w:rPr>
        <w:sectPr w:rsidR="00341319">
          <w:headerReference w:type="even" r:id="rId101"/>
          <w:headerReference w:type="default" r:id="rId102"/>
          <w:footerReference w:type="even" r:id="rId103"/>
          <w:footerReference w:type="default" r:id="rId104"/>
          <w:headerReference w:type="first" r:id="rId105"/>
          <w:footerReference w:type="first" r:id="rId106"/>
          <w:pgSz w:w="11906" w:h="16838" w:code="9"/>
          <w:pgMar w:top="1440" w:right="1080" w:bottom="1440" w:left="1080" w:header="709" w:footer="709" w:gutter="0"/>
          <w:cols w:space="566"/>
          <w:docGrid w:linePitch="360"/>
        </w:sectPr>
      </w:pPr>
    </w:p>
    <w:p w:rsidR="00341319" w:rsidRDefault="00324889">
      <w:pPr>
        <w:widowControl w:val="0"/>
        <w:suppressLineNumbers/>
        <w:shd w:val="clear" w:color="auto" w:fill="4F81BD" w:themeFill="accent1"/>
        <w:spacing w:after="120" w:line="240" w:lineRule="auto"/>
        <w:jc w:val="both"/>
        <w:rPr>
          <w:rFonts w:cs="Times New Roman"/>
          <w:noProof/>
          <w:color w:val="FFFFFF" w:themeColor="background1"/>
          <w:sz w:val="20"/>
        </w:rPr>
      </w:pPr>
      <w:bookmarkStart w:id="45" w:name="_Toc454457665"/>
      <w:bookmarkStart w:id="46" w:name="_Toc433798401"/>
      <w:bookmarkEnd w:id="44"/>
      <w:r>
        <w:rPr>
          <w:rFonts w:cs="Times New Roman"/>
          <w:noProof/>
          <w:color w:val="FFFFFF" w:themeColor="background1"/>
          <w:sz w:val="20"/>
        </w:rPr>
        <w:t xml:space="preserve">SDG 16 aims at providing access to justice and </w:t>
      </w:r>
      <w:r>
        <w:rPr>
          <w:rFonts w:cs="Times New Roman"/>
          <w:noProof/>
          <w:color w:val="FFFFFF" w:themeColor="background1"/>
          <w:sz w:val="20"/>
        </w:rPr>
        <w:t>building effective, accountable and inclusive institutions at all levels. SDG 17 aims at better implementation, improving policy coordination and policy coherence, stimulating science, technology and innovation, establishing partnerships and developing mea</w:t>
      </w:r>
      <w:r>
        <w:rPr>
          <w:rFonts w:cs="Times New Roman"/>
          <w:noProof/>
          <w:color w:val="FFFFFF" w:themeColor="background1"/>
          <w:sz w:val="20"/>
        </w:rPr>
        <w:t>surements of progress.</w:t>
      </w:r>
    </w:p>
    <w:p w:rsidR="00341319" w:rsidRDefault="00324889">
      <w:pPr>
        <w:widowControl w:val="0"/>
        <w:suppressLineNumbers/>
        <w:spacing w:after="120" w:line="240" w:lineRule="auto"/>
        <w:jc w:val="both"/>
        <w:rPr>
          <w:noProof/>
          <w:sz w:val="20"/>
        </w:rPr>
      </w:pPr>
      <w:r>
        <w:rPr>
          <w:noProof/>
          <w:sz w:val="20"/>
        </w:rPr>
        <w:t>Effective governance of EU environmental legislation and policies requires having an appropriate institutional framework, policy coherence and coordination, applying legal and non-legal instruments, engaging with non-governmental sta</w:t>
      </w:r>
      <w:r>
        <w:rPr>
          <w:noProof/>
          <w:sz w:val="20"/>
        </w:rPr>
        <w:t>keholders, and having adequate levels of knowledge and skills</w:t>
      </w:r>
      <w:r>
        <w:rPr>
          <w:noProof/>
          <w:sz w:val="20"/>
          <w:vertAlign w:val="superscript"/>
          <w:lang w:val="it-IT"/>
        </w:rPr>
        <w:footnoteReference w:id="197"/>
      </w:r>
      <w:r>
        <w:rPr>
          <w:noProof/>
          <w:sz w:val="20"/>
        </w:rPr>
        <w:t>. Successful implementation depends, to a large extent, on central, regional and local government fulfilling key legislative and administrative tasks, notably adoption of sound implementing legi</w:t>
      </w:r>
      <w:r>
        <w:rPr>
          <w:noProof/>
          <w:sz w:val="20"/>
        </w:rPr>
        <w:t>slation, co-ordinated action to meet environmental objectives and correct decision-making on matters such as industrial permits. Beyond fulfilment of these tasks, government must intervene to ensure day-to-day compliance by economic operators, utilities an</w:t>
      </w:r>
      <w:r>
        <w:rPr>
          <w:noProof/>
          <w:sz w:val="20"/>
        </w:rPr>
        <w:t>d individuals ("compliance assurance"). Civil society also has a role to play, including through legal action. To underpin the roles of all actors, it is crucial to collect and share knowledge and evidence on the state of the environment and on environment</w:t>
      </w:r>
      <w:r>
        <w:rPr>
          <w:noProof/>
          <w:sz w:val="20"/>
        </w:rPr>
        <w:t>al pressures, drivers and impacts.</w:t>
      </w:r>
    </w:p>
    <w:p w:rsidR="00341319" w:rsidRDefault="00324889">
      <w:pPr>
        <w:widowControl w:val="0"/>
        <w:spacing w:after="120" w:line="240" w:lineRule="auto"/>
        <w:jc w:val="both"/>
        <w:rPr>
          <w:noProof/>
          <w:sz w:val="20"/>
        </w:rPr>
      </w:pPr>
      <w:r>
        <w:rPr>
          <w:noProof/>
          <w:sz w:val="20"/>
          <w:szCs w:val="20"/>
          <w:lang w:val="en-US"/>
        </w:rPr>
        <w:t xml:space="preserve">Equally, effective governance of EU environmental legislation and policies benefits from a dialogue within Member States and between Member States and the Commission on whether the current EU environmental legislation is </w:t>
      </w:r>
      <w:r>
        <w:rPr>
          <w:noProof/>
          <w:sz w:val="20"/>
          <w:szCs w:val="20"/>
          <w:lang w:val="en-US"/>
        </w:rPr>
        <w:t>fit for purpose. Legislation can only be properly implemented when it takes into account experiences at Member State level with putting EU commitments into effect. The Make it Work initiative, a Member State driven project, established in 2014, organizes a</w:t>
      </w:r>
      <w:r>
        <w:rPr>
          <w:noProof/>
          <w:sz w:val="20"/>
          <w:szCs w:val="20"/>
          <w:lang w:val="en-US"/>
        </w:rPr>
        <w:t xml:space="preserve"> discussion on how the clarity, coherence and structure of EU environmental legislation can be improved without lowering existing protection standards.</w:t>
      </w:r>
    </w:p>
    <w:p w:rsidR="00341319" w:rsidRDefault="00324889">
      <w:pPr>
        <w:widowControl w:val="0"/>
        <w:suppressLineNumbers/>
        <w:spacing w:after="120" w:line="240" w:lineRule="auto"/>
        <w:jc w:val="both"/>
        <w:outlineLvl w:val="1"/>
        <w:rPr>
          <w:rFonts w:cs="Times New Roman"/>
          <w:b/>
          <w:noProof/>
          <w:color w:val="1F497D" w:themeColor="text2"/>
          <w:sz w:val="24"/>
          <w:szCs w:val="24"/>
          <w:lang w:eastAsia="en-GB"/>
        </w:rPr>
      </w:pPr>
      <w:bookmarkStart w:id="47" w:name="_Toc455760821"/>
      <w:bookmarkStart w:id="48" w:name="_Toc469476722"/>
      <w:r>
        <w:rPr>
          <w:rFonts w:cs="Times New Roman"/>
          <w:b/>
          <w:noProof/>
          <w:color w:val="1F497D" w:themeColor="text2"/>
          <w:sz w:val="24"/>
          <w:szCs w:val="24"/>
          <w:lang w:eastAsia="en-GB"/>
        </w:rPr>
        <w:t>Effective governance within central, regional and local government</w:t>
      </w:r>
      <w:bookmarkEnd w:id="45"/>
      <w:bookmarkEnd w:id="47"/>
      <w:bookmarkEnd w:id="48"/>
    </w:p>
    <w:bookmarkEnd w:id="46"/>
    <w:p w:rsidR="00341319" w:rsidRDefault="00324889">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 xml:space="preserve">Those involved in implementing </w:t>
      </w:r>
      <w:r>
        <w:rPr>
          <w:noProof/>
          <w:color w:val="FFFFFF" w:themeColor="background1"/>
          <w:sz w:val="20"/>
        </w:rPr>
        <w:t>environment legislation at Union, national, regional and local levels need to be equipped with the knowledge, tools and capacity to improve the delivery of benefits from that legislation, and the governance of the enforcement process.</w:t>
      </w:r>
    </w:p>
    <w:p w:rsidR="00341319" w:rsidRDefault="00341319">
      <w:pPr>
        <w:widowControl w:val="0"/>
        <w:suppressLineNumbers/>
        <w:spacing w:before="240" w:after="120" w:line="240" w:lineRule="auto"/>
        <w:jc w:val="both"/>
        <w:outlineLvl w:val="2"/>
        <w:rPr>
          <w:b/>
          <w:noProof/>
          <w:color w:val="1F497D" w:themeColor="text2"/>
        </w:rPr>
      </w:pPr>
    </w:p>
    <w:p w:rsidR="00341319" w:rsidRDefault="00324889">
      <w:pPr>
        <w:widowControl w:val="0"/>
        <w:suppressLineNumbers/>
        <w:spacing w:before="240" w:after="120" w:line="240" w:lineRule="auto"/>
        <w:jc w:val="both"/>
        <w:outlineLvl w:val="2"/>
        <w:rPr>
          <w:b/>
          <w:noProof/>
          <w:color w:val="1F497D" w:themeColor="text2"/>
        </w:rPr>
      </w:pPr>
      <w:r>
        <w:rPr>
          <w:b/>
          <w:noProof/>
          <w:color w:val="1F497D" w:themeColor="text2"/>
        </w:rPr>
        <w:t>Capacity to implemen</w:t>
      </w:r>
      <w:r>
        <w:rPr>
          <w:b/>
          <w:noProof/>
          <w:color w:val="1F497D" w:themeColor="text2"/>
        </w:rPr>
        <w:t>t rules</w:t>
      </w:r>
    </w:p>
    <w:p w:rsidR="00341319" w:rsidRDefault="00324889">
      <w:pPr>
        <w:widowControl w:val="0"/>
        <w:spacing w:after="120" w:line="240" w:lineRule="auto"/>
        <w:jc w:val="both"/>
        <w:rPr>
          <w:rFonts w:cs="Times New Roman"/>
          <w:noProof/>
          <w:color w:val="000000" w:themeColor="text1"/>
          <w:sz w:val="20"/>
        </w:rPr>
      </w:pPr>
      <w:r>
        <w:rPr>
          <w:rFonts w:cs="Times New Roman"/>
          <w:noProof/>
          <w:color w:val="000000" w:themeColor="text1"/>
          <w:sz w:val="20"/>
        </w:rPr>
        <w:t>It is crucial that central, regional and local administrations have the necessary capacities and skills and training to carry out their own tasks and co-operate and co-ordinate effectively with each other, within a system of multi-level governance.</w:t>
      </w:r>
    </w:p>
    <w:p w:rsidR="00341319" w:rsidRDefault="00324889">
      <w:pPr>
        <w:widowControl w:val="0"/>
        <w:spacing w:after="120" w:line="240" w:lineRule="auto"/>
        <w:jc w:val="both"/>
        <w:rPr>
          <w:rFonts w:cs="Times New Roman"/>
          <w:noProof/>
          <w:sz w:val="20"/>
        </w:rPr>
      </w:pPr>
      <w:r>
        <w:rPr>
          <w:rFonts w:cs="Times New Roman"/>
          <w:noProof/>
          <w:sz w:val="20"/>
        </w:rPr>
        <w:t>According to the World Bank 2015 Worldwide Governance Indicators, Italy scores well below the EU average for the government effectiveness indicator, which captures the perceptions of the quality of public services, the capacity of the civil service and it</w:t>
      </w:r>
      <w:r>
        <w:rPr>
          <w:rFonts w:cs="Times New Roman"/>
          <w:noProof/>
          <w:sz w:val="20"/>
        </w:rPr>
        <w:t>s independence from political pressures, and the quality of policy formulation.</w:t>
      </w:r>
      <w:r>
        <w:rPr>
          <w:rFonts w:cs="Times New Roman"/>
          <w:noProof/>
          <w:sz w:val="20"/>
          <w:vertAlign w:val="superscript"/>
          <w:lang w:val="it-IT"/>
        </w:rPr>
        <w:footnoteReference w:id="198"/>
      </w:r>
      <w:r>
        <w:rPr>
          <w:rFonts w:cs="Times New Roman"/>
          <w:noProof/>
          <w:sz w:val="20"/>
        </w:rPr>
        <w:t xml:space="preserve"> A CSR was adopted in 2015 to improve the institutional framework and modernising the public administration.  The Government has passed a law in August 2015 to improve the publ</w:t>
      </w:r>
      <w:r>
        <w:rPr>
          <w:rFonts w:cs="Times New Roman"/>
          <w:noProof/>
          <w:sz w:val="20"/>
        </w:rPr>
        <w:t>ic administration, and more steps were announced for 2016</w:t>
      </w:r>
      <w:r>
        <w:rPr>
          <w:rFonts w:cs="Times New Roman"/>
          <w:noProof/>
          <w:sz w:val="20"/>
          <w:vertAlign w:val="superscript"/>
          <w:lang w:val="it-IT"/>
        </w:rPr>
        <w:footnoteReference w:id="199"/>
      </w:r>
      <w:r>
        <w:rPr>
          <w:rFonts w:cs="Times New Roman"/>
          <w:noProof/>
          <w:sz w:val="20"/>
        </w:rPr>
        <w:t>.</w:t>
      </w:r>
      <w:r>
        <w:rPr>
          <w:rFonts w:eastAsia="Calibri" w:cs="Times New Roman"/>
          <w:bCs/>
          <w:noProof/>
          <w:sz w:val="24"/>
          <w:szCs w:val="24"/>
        </w:rPr>
        <w:t xml:space="preserve"> </w:t>
      </w:r>
      <w:r>
        <w:rPr>
          <w:rFonts w:cs="Times New Roman"/>
          <w:noProof/>
          <w:sz w:val="20"/>
        </w:rPr>
        <w:t>The Commission has again proposed a CSR for 2016</w:t>
      </w:r>
      <w:r>
        <w:rPr>
          <w:rFonts w:cs="Times New Roman"/>
          <w:noProof/>
          <w:sz w:val="20"/>
          <w:vertAlign w:val="superscript"/>
        </w:rPr>
        <w:footnoteReference w:id="200"/>
      </w:r>
      <w:r>
        <w:rPr>
          <w:rFonts w:cs="Times New Roman"/>
          <w:noProof/>
          <w:sz w:val="20"/>
        </w:rPr>
        <w:t xml:space="preserve"> on implementing reform of the public administration which has environmental importance as it does for other sectors</w:t>
      </w:r>
      <w:r>
        <w:rPr>
          <w:rFonts w:cs="Times New Roman"/>
          <w:noProof/>
          <w:sz w:val="20"/>
          <w:vertAlign w:val="superscript"/>
        </w:rPr>
        <w:footnoteReference w:id="201"/>
      </w:r>
      <w:r>
        <w:rPr>
          <w:rFonts w:cs="Times New Roman"/>
          <w:noProof/>
          <w:sz w:val="20"/>
        </w:rPr>
        <w:t>.</w:t>
      </w:r>
    </w:p>
    <w:p w:rsidR="00341319" w:rsidRDefault="00324889">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0B87657E" wp14:editId="644D3BC2">
            <wp:extent cx="2971800" cy="198003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Rome parliament iStock_27254833_SMALL.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75748" cy="1982661"/>
                    </a:xfrm>
                    <a:prstGeom prst="rect">
                      <a:avLst/>
                    </a:prstGeom>
                  </pic:spPr>
                </pic:pic>
              </a:graphicData>
            </a:graphic>
          </wp:inline>
        </w:drawing>
      </w:r>
    </w:p>
    <w:p w:rsidR="00341319" w:rsidRDefault="00324889">
      <w:pPr>
        <w:widowControl w:val="0"/>
        <w:spacing w:after="120" w:line="240" w:lineRule="auto"/>
        <w:jc w:val="both"/>
        <w:rPr>
          <w:rFonts w:cs="Times New Roman"/>
          <w:noProof/>
          <w:sz w:val="20"/>
        </w:rPr>
      </w:pPr>
      <w:r>
        <w:rPr>
          <w:rFonts w:cs="Times New Roman"/>
          <w:noProof/>
          <w:sz w:val="20"/>
        </w:rPr>
        <w:t>Several factors underlie t</w:t>
      </w:r>
      <w:r>
        <w:rPr>
          <w:rFonts w:cs="Times New Roman"/>
          <w:noProof/>
          <w:sz w:val="20"/>
        </w:rPr>
        <w:t>he reduced effectiveness of actions in Italian public administrations. Competences are unclearly shared among central and local administrations, generating overlapping and intra institutional conflicts. These make administrative processes uncertain both in</w:t>
      </w:r>
      <w:r>
        <w:rPr>
          <w:rFonts w:cs="Times New Roman"/>
          <w:noProof/>
          <w:sz w:val="20"/>
        </w:rPr>
        <w:t xml:space="preserve"> terms of duration and outcome. Furthermore, the lack of transparency and public control over the administrative activities reduces the accountability of the public administration</w:t>
      </w:r>
      <w:r>
        <w:rPr>
          <w:rFonts w:cs="Times New Roman"/>
          <w:noProof/>
          <w:sz w:val="20"/>
          <w:vertAlign w:val="superscript"/>
          <w:lang w:val="it-IT"/>
        </w:rPr>
        <w:footnoteReference w:id="202"/>
      </w:r>
      <w:r>
        <w:rPr>
          <w:rFonts w:cs="Times New Roman"/>
          <w:noProof/>
          <w:sz w:val="20"/>
        </w:rPr>
        <w:t>.</w:t>
      </w:r>
    </w:p>
    <w:p w:rsidR="00341319" w:rsidRDefault="00324889">
      <w:pPr>
        <w:widowControl w:val="0"/>
        <w:spacing w:after="120" w:line="240" w:lineRule="auto"/>
        <w:jc w:val="both"/>
        <w:rPr>
          <w:rFonts w:cs="Times New Roman"/>
          <w:noProof/>
          <w:sz w:val="20"/>
        </w:rPr>
      </w:pPr>
      <w:r>
        <w:rPr>
          <w:rFonts w:cs="Times New Roman"/>
          <w:noProof/>
          <w:sz w:val="20"/>
        </w:rPr>
        <w:t>The 2013 European Quality of Government Index gives a similar picture with</w:t>
      </w:r>
      <w:r>
        <w:rPr>
          <w:rFonts w:cs="Times New Roman"/>
          <w:noProof/>
          <w:sz w:val="20"/>
        </w:rPr>
        <w:t xml:space="preserve"> Italy well below the EU average, ranking 23rd of the 28 EU Member States</w:t>
      </w:r>
      <w:r>
        <w:rPr>
          <w:rFonts w:cs="Times New Roman"/>
          <w:noProof/>
          <w:sz w:val="20"/>
          <w:vertAlign w:val="superscript"/>
          <w:lang w:val="it-IT"/>
        </w:rPr>
        <w:footnoteReference w:id="203"/>
      </w:r>
      <w:r>
        <w:rPr>
          <w:rFonts w:cs="Times New Roman"/>
          <w:noProof/>
          <w:sz w:val="20"/>
        </w:rPr>
        <w:t>. Peculiarly, Italy shows the widest variation across EU regions with Trento the highest placed region and Campania the lowest.</w:t>
      </w:r>
    </w:p>
    <w:p w:rsidR="00341319" w:rsidRDefault="00324889">
      <w:pPr>
        <w:widowControl w:val="0"/>
        <w:spacing w:after="120" w:line="240" w:lineRule="auto"/>
        <w:jc w:val="both"/>
        <w:rPr>
          <w:noProof/>
          <w:sz w:val="20"/>
        </w:rPr>
      </w:pPr>
      <w:r>
        <w:rPr>
          <w:noProof/>
          <w:sz w:val="20"/>
        </w:rPr>
        <w:t xml:space="preserve">The implementation framework for the environment is fragmented and essentially reactive. Furthermore, it is recognized that administrative capacity to implement environmental requirements is weak in the </w:t>
      </w:r>
      <w:r>
        <w:rPr>
          <w:i/>
          <w:noProof/>
          <w:sz w:val="20"/>
        </w:rPr>
        <w:t>Mezzogiorno</w:t>
      </w:r>
      <w:r>
        <w:rPr>
          <w:noProof/>
          <w:sz w:val="20"/>
        </w:rPr>
        <w:t>. Furthermore, the OECD has stated that th</w:t>
      </w:r>
      <w:r>
        <w:rPr>
          <w:noProof/>
          <w:sz w:val="20"/>
        </w:rPr>
        <w:t>e Ministry of Environment is under-resourced to allow it to ensure environmental integration in all policy areas.</w:t>
      </w:r>
      <w:r>
        <w:rPr>
          <w:rFonts w:cs="Times New Roman"/>
          <w:noProof/>
          <w:sz w:val="20"/>
          <w:vertAlign w:val="superscript"/>
          <w:lang w:val="it-IT"/>
        </w:rPr>
        <w:footnoteReference w:id="204"/>
      </w:r>
      <w:r>
        <w:rPr>
          <w:noProof/>
          <w:sz w:val="20"/>
        </w:rPr>
        <w:t xml:space="preserve"> </w:t>
      </w:r>
    </w:p>
    <w:p w:rsidR="00341319" w:rsidRDefault="00324889">
      <w:pPr>
        <w:widowControl w:val="0"/>
        <w:spacing w:after="120" w:line="240" w:lineRule="auto"/>
        <w:jc w:val="both"/>
        <w:rPr>
          <w:noProof/>
          <w:sz w:val="20"/>
        </w:rPr>
      </w:pPr>
      <w:r>
        <w:rPr>
          <w:noProof/>
          <w:sz w:val="20"/>
        </w:rPr>
        <w:t>Italy agreed to adopt regional (and national) Administrative Reinforcement Plans (PRAs</w:t>
      </w:r>
      <w:r>
        <w:rPr>
          <w:rFonts w:cs="Times New Roman"/>
          <w:noProof/>
          <w:sz w:val="20"/>
          <w:vertAlign w:val="superscript"/>
          <w:lang w:val="it-IT"/>
        </w:rPr>
        <w:footnoteReference w:id="205"/>
      </w:r>
      <w:r>
        <w:rPr>
          <w:noProof/>
          <w:sz w:val="20"/>
        </w:rPr>
        <w:t>) to improve implementation of ESIF in part as a reac</w:t>
      </w:r>
      <w:r>
        <w:rPr>
          <w:noProof/>
          <w:sz w:val="20"/>
        </w:rPr>
        <w:t>tion to the aforementioned 2015 CSR</w:t>
      </w:r>
      <w:r>
        <w:rPr>
          <w:rFonts w:cs="Times New Roman"/>
          <w:noProof/>
          <w:sz w:val="20"/>
          <w:vertAlign w:val="superscript"/>
          <w:lang w:val="it-IT"/>
        </w:rPr>
        <w:footnoteReference w:id="206"/>
      </w:r>
      <w:r>
        <w:rPr>
          <w:noProof/>
          <w:sz w:val="20"/>
        </w:rPr>
        <w:t>. The PRAs cover also non-ESIF administrative capacity-building and should lead to a reform of the public administration and reinforcement of managing structures. The National Operational Programme on “Governance and Ins</w:t>
      </w:r>
      <w:r>
        <w:rPr>
          <w:noProof/>
          <w:sz w:val="20"/>
        </w:rPr>
        <w:t>titutional Capacity” 2014-20 provides another opportunity to improve administrative capacity also in the environmental sector.</w:t>
      </w:r>
    </w:p>
    <w:p w:rsidR="00341319" w:rsidRDefault="00324889">
      <w:pPr>
        <w:widowControl w:val="0"/>
        <w:spacing w:after="120" w:line="240" w:lineRule="auto"/>
        <w:jc w:val="both"/>
        <w:rPr>
          <w:noProof/>
          <w:sz w:val="20"/>
        </w:rPr>
      </w:pPr>
      <w:r>
        <w:rPr>
          <w:noProof/>
          <w:sz w:val="20"/>
        </w:rPr>
        <w:t>The fragmentation at regional and local levels and red tape are also recognized to cause problems for the activities of SMEs</w:t>
      </w:r>
      <w:r>
        <w:rPr>
          <w:noProof/>
          <w:sz w:val="20"/>
          <w:vertAlign w:val="superscript"/>
          <w:lang w:val="it-IT"/>
        </w:rPr>
        <w:footnoteReference w:id="207"/>
      </w:r>
      <w:r>
        <w:rPr>
          <w:noProof/>
          <w:sz w:val="20"/>
        </w:rPr>
        <w:t xml:space="preserve">. A </w:t>
      </w:r>
      <w:r>
        <w:rPr>
          <w:noProof/>
          <w:sz w:val="20"/>
        </w:rPr>
        <w:t>recent administrative change called the Single Environmental Authorisation</w:t>
      </w:r>
      <w:r>
        <w:rPr>
          <w:rStyle w:val="FootnoteReference"/>
          <w:noProof/>
          <w:sz w:val="20"/>
        </w:rPr>
        <w:footnoteReference w:id="208"/>
      </w:r>
      <w:r>
        <w:rPr>
          <w:noProof/>
          <w:sz w:val="20"/>
        </w:rPr>
        <w:t xml:space="preserve"> has reduced the administrative burden. However, it is still estimated that in 2015 'environmental issues' are seen as costing EUR 3.41 billion out of a total of around EUR 32 billi</w:t>
      </w:r>
      <w:r>
        <w:rPr>
          <w:noProof/>
          <w:sz w:val="20"/>
        </w:rPr>
        <w:t>on in terms of administrative burden by the first Italian Measurement Programme 2008-12.</w:t>
      </w:r>
    </w:p>
    <w:p w:rsidR="00341319" w:rsidRDefault="00324889">
      <w:pPr>
        <w:widowControl w:val="0"/>
        <w:spacing w:after="120" w:line="240" w:lineRule="auto"/>
        <w:jc w:val="both"/>
        <w:rPr>
          <w:noProof/>
          <w:sz w:val="20"/>
        </w:rPr>
      </w:pPr>
      <w:r>
        <w:rPr>
          <w:noProof/>
          <w:sz w:val="20"/>
        </w:rPr>
        <w:t>Reforms of the governance of national parks &amp; protected areas and of the waste consortia were announced in the 2016 National Reform Programme</w:t>
      </w:r>
      <w:r>
        <w:rPr>
          <w:rFonts w:cs="Times New Roman"/>
          <w:noProof/>
          <w:sz w:val="20"/>
          <w:vertAlign w:val="superscript"/>
          <w:lang w:val="it-IT"/>
        </w:rPr>
        <w:footnoteReference w:id="209"/>
      </w:r>
      <w:r>
        <w:rPr>
          <w:noProof/>
          <w:sz w:val="20"/>
        </w:rPr>
        <w:t>.</w:t>
      </w:r>
    </w:p>
    <w:p w:rsidR="00341319" w:rsidRDefault="00324889">
      <w:pPr>
        <w:widowControl w:val="0"/>
        <w:spacing w:after="120" w:line="240" w:lineRule="auto"/>
        <w:jc w:val="both"/>
        <w:rPr>
          <w:noProof/>
          <w:sz w:val="20"/>
        </w:rPr>
      </w:pPr>
      <w:r>
        <w:rPr>
          <w:noProof/>
          <w:sz w:val="20"/>
        </w:rPr>
        <w:t>Environmental policy de</w:t>
      </w:r>
      <w:r>
        <w:rPr>
          <w:noProof/>
          <w:sz w:val="20"/>
        </w:rPr>
        <w:t>velopments in Italy are mainly driven by EU Regulations and Directives. However, there has been a consistent problem with late transposition. This has resulted in several infringements and a high number of complaints to the Commission. The situation is fur</w:t>
      </w:r>
      <w:r>
        <w:rPr>
          <w:noProof/>
          <w:sz w:val="20"/>
        </w:rPr>
        <w:t xml:space="preserve">ther complicated by two levels of transposition, first at national and later regional level. If the national transposition is incorrect, this has a knock on effect on the regional level, e.g. the situation with the EIA Directive up until November 2015. </w:t>
      </w:r>
    </w:p>
    <w:p w:rsidR="00341319" w:rsidRDefault="00324889">
      <w:pPr>
        <w:widowControl w:val="0"/>
        <w:spacing w:after="120" w:line="240" w:lineRule="auto"/>
        <w:jc w:val="both"/>
        <w:rPr>
          <w:noProof/>
          <w:sz w:val="20"/>
        </w:rPr>
      </w:pPr>
      <w:r>
        <w:rPr>
          <w:noProof/>
          <w:sz w:val="20"/>
        </w:rPr>
        <w:t>It</w:t>
      </w:r>
      <w:r>
        <w:rPr>
          <w:noProof/>
          <w:sz w:val="20"/>
        </w:rPr>
        <w:t xml:space="preserve">aly has also a considerable number of infringements relating to the application of EU environmental law, some of which were established and penalised by the EU Court of Justice in areas such as management of waste. Improving the administrative capacity is </w:t>
      </w:r>
      <w:r>
        <w:rPr>
          <w:noProof/>
          <w:sz w:val="20"/>
        </w:rPr>
        <w:t xml:space="preserve">vital to address such implementation gaps. </w:t>
      </w:r>
    </w:p>
    <w:p w:rsidR="00341319" w:rsidRDefault="00324889">
      <w:pPr>
        <w:widowControl w:val="0"/>
        <w:spacing w:after="120" w:line="240" w:lineRule="auto"/>
        <w:jc w:val="both"/>
        <w:rPr>
          <w:noProof/>
          <w:sz w:val="20"/>
        </w:rPr>
      </w:pPr>
      <w:r>
        <w:rPr>
          <w:noProof/>
          <w:sz w:val="20"/>
        </w:rPr>
        <w:t>In some of the environmental cases where individuals or NGOs have gained access before the national courts over the past years, the Italian judges referred several requests for preliminary rulings to the EU Court</w:t>
      </w:r>
      <w:r>
        <w:rPr>
          <w:noProof/>
          <w:sz w:val="20"/>
        </w:rPr>
        <w:t xml:space="preserve"> of Justice. This represented a valuable contribution to the development of EU environment law, since preliminary rulings enable the Court of Justice to give a coherent interpretation of the EU law.</w:t>
      </w:r>
    </w:p>
    <w:p w:rsidR="00341319" w:rsidRDefault="00324889">
      <w:pPr>
        <w:widowControl w:val="0"/>
        <w:spacing w:before="240" w:after="120" w:line="240" w:lineRule="auto"/>
        <w:jc w:val="both"/>
        <w:outlineLvl w:val="2"/>
        <w:rPr>
          <w:b/>
          <w:noProof/>
          <w:color w:val="1F497D" w:themeColor="text2"/>
        </w:rPr>
      </w:pPr>
      <w:r>
        <w:rPr>
          <w:b/>
          <w:noProof/>
          <w:color w:val="1F497D" w:themeColor="text2"/>
          <w:lang w:eastAsia="en-GB"/>
        </w:rPr>
        <w:t>Coordination and integration</w:t>
      </w:r>
    </w:p>
    <w:p w:rsidR="00341319" w:rsidRDefault="00324889">
      <w:pPr>
        <w:widowControl w:val="0"/>
        <w:spacing w:after="120" w:line="240" w:lineRule="auto"/>
        <w:jc w:val="both"/>
        <w:rPr>
          <w:noProof/>
          <w:sz w:val="20"/>
        </w:rPr>
      </w:pPr>
      <w:r>
        <w:rPr>
          <w:noProof/>
          <w:sz w:val="20"/>
        </w:rPr>
        <w:t>In the light of its decentra</w:t>
      </w:r>
      <w:r>
        <w:rPr>
          <w:noProof/>
          <w:sz w:val="20"/>
        </w:rPr>
        <w:t>lised institutional setting which is one of the fundamental principles of administrative organization and is a constitutional principle, Italy has established the Inter-ministerial Committee for European Affairs</w:t>
      </w:r>
      <w:r>
        <w:rPr>
          <w:noProof/>
          <w:sz w:val="20"/>
          <w:vertAlign w:val="superscript"/>
        </w:rPr>
        <w:footnoteReference w:id="210"/>
      </w:r>
      <w:r>
        <w:rPr>
          <w:noProof/>
          <w:sz w:val="20"/>
        </w:rPr>
        <w:t>. This high-level political forum works unde</w:t>
      </w:r>
      <w:r>
        <w:rPr>
          <w:noProof/>
          <w:sz w:val="20"/>
        </w:rPr>
        <w:t>r the Presidency of the Council of Ministers with the aim of ensuring political coordination among national and regional authorities in relation to the European dossiers. The Inter-ministerial Committee for European Affairs is assisted by the Technical Com</w:t>
      </w:r>
      <w:r>
        <w:rPr>
          <w:noProof/>
          <w:sz w:val="20"/>
        </w:rPr>
        <w:t>mittee of Evaluation</w:t>
      </w:r>
      <w:r>
        <w:rPr>
          <w:noProof/>
          <w:sz w:val="20"/>
          <w:vertAlign w:val="superscript"/>
        </w:rPr>
        <w:footnoteReference w:id="211"/>
      </w:r>
      <w:r>
        <w:rPr>
          <w:noProof/>
          <w:sz w:val="20"/>
        </w:rPr>
        <w:t xml:space="preserve"> which facilitates the policy convergence and synergies, among the Ministries' representatives and the Regions on specific implementation issues in a timely and effective manner.</w:t>
      </w:r>
    </w:p>
    <w:p w:rsidR="00341319" w:rsidRDefault="00324889">
      <w:pPr>
        <w:widowControl w:val="0"/>
        <w:spacing w:after="120" w:line="240" w:lineRule="auto"/>
        <w:jc w:val="both"/>
        <w:rPr>
          <w:noProof/>
          <w:sz w:val="20"/>
        </w:rPr>
      </w:pPr>
      <w:r>
        <w:rPr>
          <w:noProof/>
          <w:sz w:val="20"/>
        </w:rPr>
        <w:t>At national level, the prime responsibility for co-ordin</w:t>
      </w:r>
      <w:r>
        <w:rPr>
          <w:noProof/>
          <w:sz w:val="20"/>
        </w:rPr>
        <w:t>ating environmental matters lies with the Ministry of Environment, Land and Sea. Although the Ministry does not benefit from a specific National Operational Programme on “Environment” funded by the ESIF, many projects/initiatives have been proposed to inte</w:t>
      </w:r>
      <w:r>
        <w:rPr>
          <w:noProof/>
          <w:sz w:val="20"/>
        </w:rPr>
        <w:t xml:space="preserve">grate environmental objectives and actions in other National Operational Programmes. Other key ministries for environmental integration are: the Ministry of Economic Development;, the Ministry of Agriculture, Food and Forestry;  the Ministry of Education, </w:t>
      </w:r>
      <w:r>
        <w:rPr>
          <w:noProof/>
          <w:sz w:val="20"/>
        </w:rPr>
        <w:t xml:space="preserve">University and Research;, the Ministry of Infrastructure and Transport; and the Ministry of Health; the aforementioned National Cohesion Agency is also a key actor. The regions, provinces and municipalities have also environmental competences. The general </w:t>
      </w:r>
      <w:r>
        <w:rPr>
          <w:noProof/>
          <w:sz w:val="20"/>
        </w:rPr>
        <w:t>legislative power belongs to the State and the Regions on an equal footing. Furthermore, Regional Environmental Agencies (ARPAs) exist for controlling pollution, monitoring and technical support and the national Institute for Environmental Research (ISPRA)</w:t>
      </w:r>
      <w:r>
        <w:rPr>
          <w:noProof/>
          <w:sz w:val="20"/>
          <w:vertAlign w:val="superscript"/>
        </w:rPr>
        <w:footnoteReference w:id="212"/>
      </w:r>
      <w:r>
        <w:rPr>
          <w:noProof/>
          <w:sz w:val="20"/>
        </w:rPr>
        <w:t xml:space="preserve"> has been given the role for ensuring that regional agencies perform in a uniform manner in June 2016.</w:t>
      </w:r>
    </w:p>
    <w:p w:rsidR="00341319" w:rsidRDefault="00324889">
      <w:pPr>
        <w:widowControl w:val="0"/>
        <w:spacing w:after="120" w:line="240" w:lineRule="auto"/>
        <w:jc w:val="both"/>
        <w:rPr>
          <w:noProof/>
          <w:sz w:val="20"/>
        </w:rPr>
      </w:pPr>
      <w:r>
        <w:rPr>
          <w:noProof/>
          <w:sz w:val="20"/>
        </w:rPr>
        <w:t>The sustainable development strategy has not been updated since 2002. A public consultation was launched in March 2016 on an update of the strategy intr</w:t>
      </w:r>
      <w:r>
        <w:rPr>
          <w:noProof/>
          <w:sz w:val="20"/>
        </w:rPr>
        <w:t>oducing the SDGs</w:t>
      </w:r>
      <w:r>
        <w:rPr>
          <w:noProof/>
          <w:sz w:val="20"/>
          <w:vertAlign w:val="superscript"/>
        </w:rPr>
        <w:footnoteReference w:id="213"/>
      </w:r>
      <w:r>
        <w:rPr>
          <w:noProof/>
          <w:sz w:val="20"/>
        </w:rPr>
        <w:t>. A Commission on Sustainable Development</w:t>
      </w:r>
      <w:r>
        <w:rPr>
          <w:rFonts w:cs="Times New Roman"/>
          <w:noProof/>
          <w:sz w:val="20"/>
          <w:vertAlign w:val="superscript"/>
          <w:lang w:val="it-IT"/>
        </w:rPr>
        <w:footnoteReference w:id="214"/>
      </w:r>
      <w:r>
        <w:rPr>
          <w:noProof/>
          <w:sz w:val="20"/>
        </w:rPr>
        <w:t xml:space="preserve"> was established in 2002 as part of the Committee for Economic Planning</w:t>
      </w:r>
      <w:r>
        <w:rPr>
          <w:noProof/>
          <w:sz w:val="20"/>
          <w:vertAlign w:val="superscript"/>
        </w:rPr>
        <w:footnoteReference w:id="215"/>
      </w:r>
      <w:r>
        <w:rPr>
          <w:noProof/>
          <w:sz w:val="20"/>
        </w:rPr>
        <w:t>, which is the main inter-ministerial body that defines national economic policy, outlines multi-year budgets and monitors th</w:t>
      </w:r>
      <w:r>
        <w:rPr>
          <w:noProof/>
          <w:sz w:val="20"/>
        </w:rPr>
        <w:t>eir implementation. However, the OECD has judged in 2013 that the Commission on Sustainable Development has been largely inactive</w:t>
      </w:r>
      <w:r>
        <w:rPr>
          <w:rFonts w:cs="Times New Roman"/>
          <w:noProof/>
          <w:sz w:val="20"/>
          <w:vertAlign w:val="superscript"/>
          <w:lang w:val="it-IT"/>
        </w:rPr>
        <w:footnoteReference w:id="216"/>
      </w:r>
      <w:r>
        <w:rPr>
          <w:noProof/>
          <w:sz w:val="20"/>
        </w:rPr>
        <w:t xml:space="preserve">. </w:t>
      </w:r>
    </w:p>
    <w:p w:rsidR="00341319" w:rsidRDefault="00324889">
      <w:pPr>
        <w:widowControl w:val="0"/>
        <w:spacing w:after="120" w:line="240" w:lineRule="auto"/>
        <w:jc w:val="both"/>
        <w:rPr>
          <w:noProof/>
          <w:sz w:val="20"/>
        </w:rPr>
      </w:pPr>
      <w:r>
        <w:rPr>
          <w:noProof/>
          <w:sz w:val="20"/>
        </w:rPr>
        <w:t xml:space="preserve">The </w:t>
      </w:r>
      <w:r>
        <w:rPr>
          <w:i/>
          <w:noProof/>
          <w:sz w:val="20"/>
        </w:rPr>
        <w:t>Collegato Ambientale</w:t>
      </w:r>
      <w:r>
        <w:rPr>
          <w:noProof/>
          <w:sz w:val="20"/>
        </w:rPr>
        <w:t xml:space="preserve"> foresees updating of the National Strategy on Sustainable Development every three years. It should</w:t>
      </w:r>
      <w:r>
        <w:rPr>
          <w:noProof/>
          <w:sz w:val="20"/>
        </w:rPr>
        <w:t xml:space="preserve"> be noted that there is also no environmental action plan at national level, although these exist in some regions</w:t>
      </w:r>
      <w:r>
        <w:rPr>
          <w:rFonts w:cs="Times New Roman"/>
          <w:noProof/>
          <w:sz w:val="20"/>
          <w:vertAlign w:val="superscript"/>
        </w:rPr>
        <w:footnoteReference w:id="217"/>
      </w:r>
      <w:r>
        <w:rPr>
          <w:noProof/>
          <w:sz w:val="20"/>
        </w:rPr>
        <w:t>.</w:t>
      </w:r>
    </w:p>
    <w:p w:rsidR="00341319" w:rsidRDefault="00324889">
      <w:pPr>
        <w:widowControl w:val="0"/>
        <w:spacing w:after="120" w:line="240" w:lineRule="auto"/>
        <w:jc w:val="both"/>
        <w:rPr>
          <w:noProof/>
          <w:sz w:val="20"/>
        </w:rPr>
      </w:pPr>
      <w:r>
        <w:rPr>
          <w:noProof/>
          <w:sz w:val="20"/>
        </w:rPr>
        <w:t>Italy has taken significant steps towards the inclusion of the environmental dimension into budgetary and financial issues with the creation</w:t>
      </w:r>
      <w:r>
        <w:rPr>
          <w:noProof/>
          <w:sz w:val="20"/>
        </w:rPr>
        <w:t xml:space="preserve"> of the BES indicator system (Wellbeing, Equal and Sustainable)</w:t>
      </w:r>
      <w:r>
        <w:rPr>
          <w:noProof/>
          <w:sz w:val="20"/>
          <w:vertAlign w:val="superscript"/>
        </w:rPr>
        <w:footnoteReference w:id="218"/>
      </w:r>
      <w:r>
        <w:rPr>
          <w:noProof/>
          <w:sz w:val="20"/>
        </w:rPr>
        <w:t>. The BES indicators are organised in 130 sub-indicators in 12 fields</w:t>
      </w:r>
      <w:r>
        <w:rPr>
          <w:noProof/>
          <w:sz w:val="20"/>
          <w:vertAlign w:val="superscript"/>
        </w:rPr>
        <w:footnoteReference w:id="219"/>
      </w:r>
      <w:r>
        <w:rPr>
          <w:noProof/>
          <w:sz w:val="20"/>
        </w:rPr>
        <w:t>. The law</w:t>
      </w:r>
      <w:r>
        <w:rPr>
          <w:noProof/>
          <w:sz w:val="20"/>
          <w:vertAlign w:val="superscript"/>
        </w:rPr>
        <w:footnoteReference w:id="220"/>
      </w:r>
      <w:r>
        <w:rPr>
          <w:noProof/>
          <w:sz w:val="20"/>
        </w:rPr>
        <w:t xml:space="preserve"> establishing BES also creates an </w:t>
      </w:r>
      <w:r>
        <w:rPr>
          <w:i/>
          <w:noProof/>
          <w:sz w:val="20"/>
        </w:rPr>
        <w:t>ad hoc</w:t>
      </w:r>
      <w:r>
        <w:rPr>
          <w:noProof/>
          <w:sz w:val="20"/>
        </w:rPr>
        <w:t xml:space="preserve"> Committee made of representatives from the Ministry of Economy and Fina</w:t>
      </w:r>
      <w:r>
        <w:rPr>
          <w:noProof/>
          <w:sz w:val="20"/>
        </w:rPr>
        <w:t>nce (MEF), Bank of Italy, the National Institute of Statistics (ISTAT)</w:t>
      </w:r>
      <w:r>
        <w:rPr>
          <w:noProof/>
          <w:sz w:val="20"/>
          <w:vertAlign w:val="superscript"/>
        </w:rPr>
        <w:footnoteReference w:id="221"/>
      </w:r>
      <w:r>
        <w:rPr>
          <w:noProof/>
          <w:sz w:val="20"/>
        </w:rPr>
        <w:t xml:space="preserve"> and high-level experts from the academic and research field to identify the indicators that will be attached to the Annual Financial Law</w:t>
      </w:r>
      <w:r>
        <w:rPr>
          <w:noProof/>
          <w:sz w:val="20"/>
          <w:vertAlign w:val="superscript"/>
        </w:rPr>
        <w:footnoteReference w:id="222"/>
      </w:r>
      <w:r>
        <w:rPr>
          <w:noProof/>
          <w:sz w:val="20"/>
        </w:rPr>
        <w:t>. Furthermore, MEF is tasked with the productio</w:t>
      </w:r>
      <w:r>
        <w:rPr>
          <w:noProof/>
          <w:sz w:val="20"/>
        </w:rPr>
        <w:t>n of an annual analysis reporting back to the parliament by 15 February each year as regards progress and trends of the indicators.</w:t>
      </w:r>
    </w:p>
    <w:p w:rsidR="00341319" w:rsidRDefault="00324889">
      <w:pPr>
        <w:widowControl w:val="0"/>
        <w:spacing w:after="120" w:line="240" w:lineRule="auto"/>
        <w:jc w:val="both"/>
        <w:rPr>
          <w:noProof/>
          <w:sz w:val="20"/>
        </w:rPr>
      </w:pPr>
      <w:r>
        <w:rPr>
          <w:noProof/>
          <w:sz w:val="20"/>
        </w:rPr>
        <w:t>Following the introduction of a law in 2005, Regulatory Impact Assessments (RIA) are formally required for every legislative</w:t>
      </w:r>
      <w:r>
        <w:rPr>
          <w:noProof/>
          <w:sz w:val="20"/>
        </w:rPr>
        <w:t xml:space="preserve"> proposal in Italy. However, the systematic application of RIA varies between the different sectors of the Italian public administration</w:t>
      </w:r>
      <w:r>
        <w:rPr>
          <w:rFonts w:cs="Times New Roman"/>
          <w:noProof/>
          <w:sz w:val="20"/>
          <w:vertAlign w:val="superscript"/>
          <w:lang w:val="it-IT"/>
        </w:rPr>
        <w:footnoteReference w:id="223"/>
      </w:r>
      <w:r>
        <w:rPr>
          <w:noProof/>
          <w:sz w:val="20"/>
        </w:rPr>
        <w:t>.</w:t>
      </w:r>
    </w:p>
    <w:p w:rsidR="00341319" w:rsidRDefault="00324889">
      <w:pPr>
        <w:widowControl w:val="0"/>
        <w:spacing w:after="120" w:line="240" w:lineRule="auto"/>
        <w:jc w:val="both"/>
        <w:rPr>
          <w:noProof/>
          <w:sz w:val="20"/>
          <w:szCs w:val="20"/>
        </w:rPr>
      </w:pPr>
      <w:r>
        <w:rPr>
          <w:noProof/>
          <w:sz w:val="20"/>
          <w:szCs w:val="20"/>
        </w:rPr>
        <w:t xml:space="preserve">More robust and systematic use of RIAs and Strategic Environmental Assessments (SEAs), as well as </w:t>
      </w:r>
      <w:r>
        <w:rPr>
          <w:i/>
          <w:noProof/>
          <w:sz w:val="20"/>
          <w:szCs w:val="20"/>
        </w:rPr>
        <w:t>ex post</w:t>
      </w:r>
      <w:r>
        <w:rPr>
          <w:noProof/>
          <w:sz w:val="20"/>
          <w:szCs w:val="20"/>
        </w:rPr>
        <w:t xml:space="preserve"> evaluation </w:t>
      </w:r>
      <w:r>
        <w:rPr>
          <w:noProof/>
          <w:sz w:val="20"/>
          <w:szCs w:val="20"/>
        </w:rPr>
        <w:t>of policies, would also help to mainstream environmental considerations into sectoral policies and programmes. These efforts should be grounded in the development of a more effective assessment culture</w:t>
      </w:r>
      <w:r>
        <w:rPr>
          <w:rFonts w:cs="Times New Roman"/>
          <w:noProof/>
          <w:sz w:val="20"/>
          <w:szCs w:val="20"/>
          <w:vertAlign w:val="superscript"/>
          <w:lang w:val="it-IT"/>
        </w:rPr>
        <w:footnoteReference w:id="224"/>
      </w:r>
      <w:r>
        <w:rPr>
          <w:noProof/>
          <w:sz w:val="20"/>
          <w:szCs w:val="20"/>
        </w:rPr>
        <w:t>. The transposition of the revised Environmental Impac</w:t>
      </w:r>
      <w:r>
        <w:rPr>
          <w:noProof/>
          <w:sz w:val="20"/>
          <w:szCs w:val="20"/>
        </w:rPr>
        <w:t>t Assessment (EIA) Directive</w:t>
      </w:r>
      <w:r>
        <w:rPr>
          <w:noProof/>
          <w:sz w:val="20"/>
          <w:szCs w:val="20"/>
          <w:vertAlign w:val="superscript"/>
        </w:rPr>
        <w:footnoteReference w:id="225"/>
      </w:r>
      <w:r>
        <w:rPr>
          <w:noProof/>
          <w:sz w:val="20"/>
          <w:szCs w:val="20"/>
          <w:vertAlign w:val="superscript"/>
        </w:rPr>
        <w:t xml:space="preserve"> </w:t>
      </w:r>
      <w:r>
        <w:rPr>
          <w:noProof/>
          <w:sz w:val="20"/>
          <w:szCs w:val="20"/>
        </w:rPr>
        <w:t>will be an opportunity to streamline the regulatory framework on environmental assessments. This approach would reduce duplication and avoids unnecessary overlaps in environmental assessments applicable for a particular projec</w:t>
      </w:r>
      <w:r>
        <w:rPr>
          <w:noProof/>
          <w:sz w:val="20"/>
          <w:szCs w:val="20"/>
        </w:rPr>
        <w:t>t. Moreover, streamlining helps reducing unnecessary administrative burden and accelerates decision-making, without compromising the quality of the environmental assessment procedure. The Commission has issued a guidance document in 2016</w:t>
      </w:r>
      <w:r>
        <w:rPr>
          <w:noProof/>
          <w:sz w:val="20"/>
          <w:szCs w:val="20"/>
          <w:vertAlign w:val="superscript"/>
        </w:rPr>
        <w:footnoteReference w:id="226"/>
      </w:r>
      <w:r>
        <w:rPr>
          <w:noProof/>
          <w:sz w:val="20"/>
          <w:szCs w:val="20"/>
        </w:rPr>
        <w:t xml:space="preserve"> regarding the set</w:t>
      </w:r>
      <w:r>
        <w:rPr>
          <w:noProof/>
          <w:sz w:val="20"/>
          <w:szCs w:val="20"/>
        </w:rPr>
        <w:t>ting up of coordinated and/or joint procedures that are simultaneously subject to assessments under the EIA Directive, Habitats Directive, Water Framework Directive, and the Industrial Emissions Directive.</w:t>
      </w:r>
    </w:p>
    <w:p w:rsidR="00341319" w:rsidRDefault="00324889">
      <w:pPr>
        <w:widowControl w:val="0"/>
        <w:spacing w:after="120" w:line="240" w:lineRule="auto"/>
        <w:jc w:val="both"/>
        <w:rPr>
          <w:noProof/>
          <w:sz w:val="20"/>
        </w:rPr>
      </w:pPr>
      <w:r>
        <w:rPr>
          <w:noProof/>
          <w:sz w:val="20"/>
        </w:rPr>
        <w:t xml:space="preserve"> Italy has already integrated/coordinated environm</w:t>
      </w:r>
      <w:r>
        <w:rPr>
          <w:noProof/>
          <w:sz w:val="20"/>
        </w:rPr>
        <w:t>ental assessment procedures under the EIA Directive (SEA, Habitats, Integrated Emissions Directives) which can be considered a good practice. Lessons should be learnt from past environmental crises, e.g. recurring flooding incidents in central and northern</w:t>
      </w:r>
      <w:r>
        <w:rPr>
          <w:noProof/>
          <w:sz w:val="20"/>
        </w:rPr>
        <w:t xml:space="preserve"> Italy, waste management in Campania and Lazio, water in Sicily, and traffic congestion in the Venice-Mestre area, all examples which have been cited earlier in this Country Report.  The lack of coordination among regions also affects the proper implementa</w:t>
      </w:r>
      <w:r>
        <w:rPr>
          <w:noProof/>
          <w:sz w:val="20"/>
        </w:rPr>
        <w:t>tion of the Water Framework Directive.  The occurrence of crises in Italy is linked to the convergence or divergence of subnational units (regions, provinces and municipalities) in terms of economic and environmental performance.</w:t>
      </w:r>
      <w:r>
        <w:rPr>
          <w:rFonts w:cs="Times New Roman"/>
          <w:noProof/>
          <w:sz w:val="20"/>
          <w:vertAlign w:val="superscript"/>
          <w:lang w:val="it-IT"/>
        </w:rPr>
        <w:footnoteReference w:id="227"/>
      </w:r>
      <w:r>
        <w:rPr>
          <w:noProof/>
          <w:sz w:val="20"/>
        </w:rPr>
        <w:t xml:space="preserve"> The appointment of emerge</w:t>
      </w:r>
      <w:r>
        <w:rPr>
          <w:noProof/>
          <w:sz w:val="20"/>
        </w:rPr>
        <w:t>ncy commissioners has been used to deal with crises, but this does not entail derogation from EU rules.</w:t>
      </w:r>
    </w:p>
    <w:p w:rsidR="00341319" w:rsidRDefault="00324889">
      <w:pPr>
        <w:widowControl w:val="0"/>
        <w:spacing w:after="120" w:line="240" w:lineRule="auto"/>
        <w:jc w:val="both"/>
        <w:rPr>
          <w:noProof/>
          <w:sz w:val="20"/>
          <w:lang w:val="en-US"/>
        </w:rPr>
      </w:pPr>
      <w:r>
        <w:rPr>
          <w:noProof/>
          <w:sz w:val="20"/>
          <w:lang w:val="en-US"/>
        </w:rPr>
        <w:t xml:space="preserve">The </w:t>
      </w:r>
      <w:r>
        <w:rPr>
          <w:i/>
          <w:noProof/>
          <w:sz w:val="20"/>
          <w:lang w:val="en-US"/>
        </w:rPr>
        <w:t>Collegato Ambientale</w:t>
      </w:r>
      <w:r>
        <w:rPr>
          <w:noProof/>
          <w:sz w:val="20"/>
          <w:lang w:val="en-US"/>
        </w:rPr>
        <w:t xml:space="preserve"> (Article 51) updates the governance structure for planning in the field of water and soil conservation (approved in July 2016 b</w:t>
      </w:r>
      <w:r>
        <w:rPr>
          <w:noProof/>
          <w:sz w:val="20"/>
          <w:lang w:val="en-US"/>
        </w:rPr>
        <w:t>y the State-Regions Conference</w:t>
      </w:r>
      <w:r>
        <w:rPr>
          <w:noProof/>
          <w:sz w:val="20"/>
          <w:vertAlign w:val="superscript"/>
          <w:lang w:val="en-US"/>
        </w:rPr>
        <w:footnoteReference w:id="228"/>
      </w:r>
      <w:r>
        <w:rPr>
          <w:noProof/>
          <w:sz w:val="20"/>
          <w:lang w:val="en-US"/>
        </w:rPr>
        <w:t>), making operational the District Basin Authority.</w:t>
      </w:r>
    </w:p>
    <w:p w:rsidR="00341319" w:rsidRDefault="00324889">
      <w:pPr>
        <w:widowControl w:val="0"/>
        <w:spacing w:after="120" w:line="240" w:lineRule="auto"/>
        <w:jc w:val="both"/>
        <w:rPr>
          <w:noProof/>
          <w:sz w:val="20"/>
        </w:rPr>
      </w:pPr>
      <w:r>
        <w:rPr>
          <w:noProof/>
          <w:sz w:val="20"/>
        </w:rPr>
        <w:t>Some environmental integration is taking place.  One good practice example is the Environmental Network</w:t>
      </w:r>
      <w:r>
        <w:rPr>
          <w:noProof/>
          <w:sz w:val="20"/>
          <w:vertAlign w:val="superscript"/>
          <w:lang w:val="it-IT"/>
        </w:rPr>
        <w:footnoteReference w:id="229"/>
      </w:r>
      <w:r>
        <w:rPr>
          <w:noProof/>
          <w:sz w:val="20"/>
        </w:rPr>
        <w:t xml:space="preserve">, a network of national &amp; regional environmental and managing </w:t>
      </w:r>
      <w:r>
        <w:rPr>
          <w:noProof/>
          <w:sz w:val="20"/>
        </w:rPr>
        <w:t>authorities ensuring</w:t>
      </w:r>
      <w:r>
        <w:rPr>
          <w:noProof/>
          <w:sz w:val="20"/>
          <w:vertAlign w:val="superscript"/>
        </w:rPr>
        <w:t xml:space="preserve"> </w:t>
      </w:r>
      <w:r>
        <w:rPr>
          <w:noProof/>
          <w:sz w:val="20"/>
        </w:rPr>
        <w:t>integration through the ESIF activities in existence for over 10 years. While the Network has produced many useful outputs</w:t>
      </w:r>
      <w:r>
        <w:rPr>
          <w:noProof/>
          <w:sz w:val="20"/>
          <w:lang w:val="en-US"/>
        </w:rPr>
        <w:t xml:space="preserve"> </w:t>
      </w:r>
      <w:r>
        <w:rPr>
          <w:noProof/>
          <w:sz w:val="20"/>
        </w:rPr>
        <w:t xml:space="preserve">and facilitated the exchange of experiences, it has been rather intermittent in its activities. Another example </w:t>
      </w:r>
      <w:r>
        <w:rPr>
          <w:noProof/>
          <w:sz w:val="20"/>
        </w:rPr>
        <w:t>is the register of the environmental sustainability of school buildings</w:t>
      </w:r>
      <w:r>
        <w:rPr>
          <w:noProof/>
          <w:sz w:val="20"/>
          <w:vertAlign w:val="superscript"/>
          <w:lang w:val="it-IT"/>
        </w:rPr>
        <w:footnoteReference w:id="230"/>
      </w:r>
      <w:r>
        <w:rPr>
          <w:noProof/>
          <w:sz w:val="20"/>
        </w:rPr>
        <w:t>.</w:t>
      </w:r>
    </w:p>
    <w:p w:rsidR="00341319" w:rsidRDefault="00324889">
      <w:pPr>
        <w:widowControl w:val="0"/>
        <w:spacing w:after="120" w:line="240" w:lineRule="auto"/>
        <w:jc w:val="both"/>
        <w:rPr>
          <w:noProof/>
          <w:sz w:val="20"/>
          <w:lang w:val="en-US"/>
        </w:rPr>
      </w:pPr>
      <w:r>
        <w:rPr>
          <w:noProof/>
          <w:sz w:val="20"/>
          <w:lang w:val="en-US"/>
        </w:rPr>
        <w:t>In the framework of the REACH Regulation, the national technical coordination committee (CTC) represents a best practice concerning governance at the national level. The CTC</w:t>
      </w:r>
      <w:r>
        <w:rPr>
          <w:noProof/>
          <w:sz w:val="20"/>
          <w:vertAlign w:val="superscript"/>
          <w:lang w:val="en-US"/>
        </w:rPr>
        <w:footnoteReference w:id="231"/>
      </w:r>
      <w:r>
        <w:rPr>
          <w:noProof/>
          <w:sz w:val="20"/>
          <w:lang w:val="en-US"/>
        </w:rPr>
        <w:t xml:space="preserve">gathers </w:t>
      </w:r>
      <w:r>
        <w:rPr>
          <w:noProof/>
          <w:sz w:val="20"/>
          <w:lang w:val="en-US"/>
        </w:rPr>
        <w:t>relevant branches of the public administration in order to agree a common position both at the national and at the EU level. In order to share this governance experience, a website</w:t>
      </w:r>
      <w:r>
        <w:rPr>
          <w:noProof/>
          <w:sz w:val="20"/>
          <w:vertAlign w:val="superscript"/>
          <w:lang w:val="en-US"/>
        </w:rPr>
        <w:footnoteReference w:id="232"/>
      </w:r>
      <w:r>
        <w:rPr>
          <w:noProof/>
          <w:sz w:val="20"/>
          <w:lang w:val="en-US"/>
        </w:rPr>
        <w:t xml:space="preserve"> has also been established, allowing a continuous dialogue among all releva</w:t>
      </w:r>
      <w:r>
        <w:rPr>
          <w:noProof/>
          <w:sz w:val="20"/>
          <w:lang w:val="en-US"/>
        </w:rPr>
        <w:t>nt stakeholders.</w:t>
      </w:r>
    </w:p>
    <w:p w:rsidR="00341319" w:rsidRDefault="00324889">
      <w:pPr>
        <w:widowControl w:val="0"/>
        <w:spacing w:after="120" w:line="240" w:lineRule="auto"/>
        <w:jc w:val="both"/>
        <w:rPr>
          <w:noProof/>
          <w:sz w:val="20"/>
        </w:rPr>
      </w:pPr>
      <w:r>
        <w:rPr>
          <w:noProof/>
          <w:sz w:val="20"/>
        </w:rPr>
        <w:t>The relatively low priority assigned to the environment by the national and some regional governments over much of the last decade, coupled with a highly decentralised governance system, has made it difficult to scale up positive environme</w:t>
      </w:r>
      <w:r>
        <w:rPr>
          <w:noProof/>
          <w:sz w:val="20"/>
        </w:rPr>
        <w:t>ntal initiatives, despite the efforts deployed by the environmental authorities</w:t>
      </w:r>
      <w:r>
        <w:rPr>
          <w:rFonts w:cs="Times New Roman"/>
          <w:noProof/>
          <w:sz w:val="20"/>
          <w:vertAlign w:val="superscript"/>
          <w:lang w:val="it-IT"/>
        </w:rPr>
        <w:footnoteReference w:id="233"/>
      </w:r>
      <w:r>
        <w:rPr>
          <w:noProof/>
          <w:sz w:val="20"/>
        </w:rPr>
        <w:t>. However, recent initiatives, for example to promote a green economy, indicate an increased emphasis on environmental issues by the government and should help co-ordination.</w:t>
      </w:r>
    </w:p>
    <w:p w:rsidR="00341319" w:rsidRDefault="00324889">
      <w:pPr>
        <w:widowControl w:val="0"/>
        <w:spacing w:after="120" w:line="240" w:lineRule="auto"/>
        <w:jc w:val="both"/>
        <w:rPr>
          <w:bCs/>
          <w:noProof/>
          <w:color w:val="1F497D" w:themeColor="text2"/>
        </w:rPr>
      </w:pPr>
      <w:r>
        <w:rPr>
          <w:bCs/>
          <w:noProof/>
          <w:color w:val="1F497D" w:themeColor="text2"/>
        </w:rPr>
        <w:t>S</w:t>
      </w:r>
      <w:r>
        <w:rPr>
          <w:bCs/>
          <w:noProof/>
          <w:color w:val="1F497D" w:themeColor="text2"/>
        </w:rPr>
        <w:t>uggested action</w:t>
      </w:r>
    </w:p>
    <w:p w:rsidR="00341319" w:rsidRDefault="00324889">
      <w:pPr>
        <w:pStyle w:val="NoSpacing"/>
        <w:rPr>
          <w:noProof/>
        </w:rPr>
      </w:pPr>
      <w:r>
        <w:rPr>
          <w:noProof/>
        </w:rPr>
        <w:t xml:space="preserve">Address the fragmentation at regional and local levels by developing better national level coordination mechanisms for environment. </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49" w:name="_Toc435536268"/>
      <w:bookmarkStart w:id="50" w:name="_Toc469476723"/>
      <w:r>
        <w:rPr>
          <w:rFonts w:cs="Times New Roman"/>
          <w:b/>
          <w:noProof/>
          <w:color w:val="1F497D" w:themeColor="text2"/>
          <w:sz w:val="24"/>
          <w:szCs w:val="24"/>
          <w:lang w:eastAsia="en-GB"/>
        </w:rPr>
        <w:t>Compliance assurance</w:t>
      </w:r>
      <w:bookmarkEnd w:id="49"/>
      <w:bookmarkEnd w:id="50"/>
    </w:p>
    <w:p w:rsidR="00341319" w:rsidRDefault="00324889">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w:t>
      </w:r>
      <w:r>
        <w:rPr>
          <w:rFonts w:cs="Times New Roman"/>
          <w:noProof/>
          <w:color w:val="FFFFFF" w:themeColor="background1"/>
          <w:sz w:val="20"/>
        </w:rPr>
        <w:t>environmental liability help lay the basis for the systems Member States need to have in place to secure compliance with EU environmental rules.</w:t>
      </w:r>
    </w:p>
    <w:p w:rsidR="00341319" w:rsidRDefault="00324889">
      <w:pPr>
        <w:widowControl w:val="0"/>
        <w:spacing w:after="120" w:line="240" w:lineRule="auto"/>
        <w:jc w:val="both"/>
        <w:rPr>
          <w:noProof/>
          <w:sz w:val="20"/>
        </w:rPr>
      </w:pPr>
      <w:r>
        <w:rPr>
          <w:noProof/>
          <w:sz w:val="20"/>
        </w:rPr>
        <w:t>Public authorities help ensure accountability of duty-holders by monitoring and promoting compliance and by tak</w:t>
      </w:r>
      <w:r>
        <w:rPr>
          <w:noProof/>
          <w:sz w:val="20"/>
        </w:rPr>
        <w:t>ing credible follow-up action (i.e. enforcement) when breaches occur or liabilities arise. Compliance monitoring can be done both on the initiative of authorities themselves and in response to citizen complaints. It can involve using various kinds of check</w:t>
      </w:r>
      <w:r>
        <w:rPr>
          <w:noProof/>
          <w:sz w:val="20"/>
        </w:rPr>
        <w:t>s, including inspections for permitted activities, surveillance for possible illegal activities, investigations for crimes and audits for systemic weaknesses. Similarly, there is a range of means to promote compliance, including awareness-raising campaigns</w:t>
      </w:r>
      <w:r>
        <w:rPr>
          <w:noProof/>
          <w:sz w:val="20"/>
        </w:rPr>
        <w:t xml:space="preserve"> and use of guidance documents and online information tools. Follow-up to breaches and liabilities can include administrative action (e.g. withdrawal of a permit), use of criminal law</w:t>
      </w:r>
      <w:r>
        <w:rPr>
          <w:noProof/>
          <w:sz w:val="20"/>
          <w:vertAlign w:val="superscript"/>
          <w:lang w:val="it-IT"/>
        </w:rPr>
        <w:footnoteReference w:id="234"/>
      </w:r>
      <w:r>
        <w:rPr>
          <w:noProof/>
          <w:sz w:val="20"/>
        </w:rPr>
        <w:t xml:space="preserve"> and action under liability law (e.g. required remediation after damage </w:t>
      </w:r>
      <w:r>
        <w:rPr>
          <w:noProof/>
          <w:sz w:val="20"/>
        </w:rPr>
        <w:t xml:space="preserve">from an accident using liability rules) and contractual law (e.g. measures to require compliance with nature conservation contracts). Taken together, all of these interventions represent "compliance assurance" as shown in Figure 15. </w:t>
      </w:r>
    </w:p>
    <w:p w:rsidR="00341319" w:rsidRDefault="00324889">
      <w:pPr>
        <w:widowControl w:val="0"/>
        <w:spacing w:after="120" w:line="240" w:lineRule="auto"/>
        <w:jc w:val="both"/>
        <w:rPr>
          <w:noProof/>
          <w:sz w:val="20"/>
        </w:rPr>
      </w:pPr>
      <w:r>
        <w:rPr>
          <w:noProof/>
          <w:sz w:val="20"/>
        </w:rPr>
        <w:t>Best practice has move</w:t>
      </w:r>
      <w:r>
        <w:rPr>
          <w:noProof/>
          <w:sz w:val="20"/>
        </w:rPr>
        <w:t xml:space="preserve">d towards a risk-based approach at strategic and operational levels in which the best mix of compliance monitoring, promotion and enforcement is directed at the most serious problems. Best practice also recognises the need for coordination and cooperation </w:t>
      </w:r>
      <w:r>
        <w:rPr>
          <w:noProof/>
          <w:sz w:val="20"/>
        </w:rPr>
        <w:t>between different authorities to ensure consistency, avoid duplication of work and reduce administrative burden. Active participation in established pan-European networks of inspectors, police, prosecutors and judges, such as</w:t>
      </w:r>
      <w:r>
        <w:rPr>
          <w:i/>
          <w:noProof/>
          <w:sz w:val="20"/>
        </w:rPr>
        <w:t xml:space="preserve"> IMPEL</w:t>
      </w:r>
      <w:r>
        <w:rPr>
          <w:i/>
          <w:noProof/>
          <w:sz w:val="20"/>
          <w:vertAlign w:val="superscript"/>
          <w:lang w:val="it-IT"/>
        </w:rPr>
        <w:footnoteReference w:id="235"/>
      </w:r>
      <w:r>
        <w:rPr>
          <w:i/>
          <w:noProof/>
          <w:sz w:val="20"/>
        </w:rPr>
        <w:t>, EUFJE</w:t>
      </w:r>
      <w:r>
        <w:rPr>
          <w:i/>
          <w:noProof/>
          <w:sz w:val="20"/>
          <w:vertAlign w:val="superscript"/>
          <w:lang w:val="it-IT"/>
        </w:rPr>
        <w:footnoteReference w:id="236"/>
      </w:r>
      <w:r>
        <w:rPr>
          <w:i/>
          <w:noProof/>
          <w:sz w:val="20"/>
        </w:rPr>
        <w:t>, ENPE</w:t>
      </w:r>
      <w:r>
        <w:rPr>
          <w:i/>
          <w:noProof/>
          <w:sz w:val="20"/>
          <w:vertAlign w:val="superscript"/>
          <w:lang w:val="it-IT"/>
        </w:rPr>
        <w:footnoteReference w:id="237"/>
      </w:r>
      <w:r>
        <w:rPr>
          <w:i/>
          <w:noProof/>
          <w:sz w:val="20"/>
        </w:rPr>
        <w:t xml:space="preserve"> and EnviCrimeNet</w:t>
      </w:r>
      <w:r>
        <w:rPr>
          <w:i/>
          <w:noProof/>
          <w:sz w:val="20"/>
          <w:vertAlign w:val="superscript"/>
          <w:lang w:val="it-IT"/>
        </w:rPr>
        <w:footnoteReference w:id="238"/>
      </w:r>
      <w:r>
        <w:rPr>
          <w:noProof/>
          <w:sz w:val="20"/>
        </w:rPr>
        <w:t>, is a valuable tool for sharing experience and good practices.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41319">
        <w:tc>
          <w:tcPr>
            <w:tcW w:w="4910" w:type="dxa"/>
          </w:tcPr>
          <w:p w:rsidR="00341319" w:rsidRDefault="00324889">
            <w:pPr>
              <w:widowControl w:val="0"/>
              <w:spacing w:after="120"/>
              <w:jc w:val="both"/>
              <w:rPr>
                <w:b/>
                <w:bCs/>
                <w:noProof/>
                <w:color w:val="1F497D" w:themeColor="text2"/>
                <w:sz w:val="20"/>
                <w:lang w:val="it-IT"/>
              </w:rPr>
            </w:pPr>
            <w:r>
              <w:rPr>
                <w:b/>
                <w:bCs/>
                <w:noProof/>
                <w:color w:val="1F497D" w:themeColor="text2"/>
                <w:sz w:val="20"/>
                <w:lang w:val="it-IT"/>
              </w:rPr>
              <w:t>Figure 15: Environmental compliance assurance</w:t>
            </w:r>
          </w:p>
          <w:p w:rsidR="00341319" w:rsidRDefault="00324889">
            <w:pPr>
              <w:widowControl w:val="0"/>
              <w:spacing w:after="120"/>
              <w:jc w:val="both"/>
              <w:rPr>
                <w:b/>
                <w:bCs/>
                <w:noProof/>
                <w:color w:val="1F497D" w:themeColor="text2"/>
                <w:sz w:val="20"/>
                <w:lang w:val="it-IT"/>
              </w:rPr>
            </w:pPr>
            <w:r>
              <w:rPr>
                <w:noProof/>
                <w:sz w:val="20"/>
                <w:lang w:eastAsia="en-GB"/>
              </w:rPr>
              <w:drawing>
                <wp:inline distT="0" distB="0" distL="0" distR="0" wp14:anchorId="01FA6908" wp14:editId="7E9C0C6D">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a:ln>
                            <a:noFill/>
                          </a:ln>
                        </pic:spPr>
                      </pic:pic>
                    </a:graphicData>
                  </a:graphic>
                </wp:inline>
              </w:drawing>
            </w:r>
          </w:p>
        </w:tc>
      </w:tr>
    </w:tbl>
    <w:p w:rsidR="00341319" w:rsidRDefault="00324889">
      <w:pPr>
        <w:widowControl w:val="0"/>
        <w:spacing w:after="120" w:line="240" w:lineRule="auto"/>
        <w:jc w:val="both"/>
        <w:rPr>
          <w:noProof/>
          <w:sz w:val="20"/>
        </w:rPr>
      </w:pPr>
      <w:r>
        <w:rPr>
          <w:noProof/>
          <w:sz w:val="20"/>
        </w:rPr>
        <w:t>Currently, there exist a number of sectoral obligations on inspections and the EU directive on environmental liability (ELD)</w:t>
      </w:r>
      <w:r>
        <w:rPr>
          <w:noProof/>
          <w:sz w:val="20"/>
          <w:vertAlign w:val="superscript"/>
        </w:rPr>
        <w:t xml:space="preserve"> </w:t>
      </w:r>
      <w:r>
        <w:rPr>
          <w:noProof/>
          <w:sz w:val="20"/>
          <w:vertAlign w:val="superscript"/>
          <w:lang w:val="it-IT"/>
        </w:rPr>
        <w:footnoteReference w:id="239"/>
      </w:r>
      <w:r>
        <w:rPr>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w:t>
      </w:r>
      <w:r>
        <w:rPr>
          <w:noProof/>
          <w:sz w:val="20"/>
        </w:rPr>
        <w:t xml:space="preserve">ber State. </w:t>
      </w:r>
    </w:p>
    <w:p w:rsidR="00341319" w:rsidRDefault="00324889">
      <w:pPr>
        <w:widowControl w:val="0"/>
        <w:spacing w:after="120" w:line="240" w:lineRule="auto"/>
        <w:jc w:val="both"/>
        <w:rPr>
          <w:noProof/>
          <w:sz w:val="20"/>
        </w:rPr>
      </w:pPr>
      <w:r>
        <w:rPr>
          <w:noProof/>
          <w:sz w:val="20"/>
        </w:rPr>
        <w:t>For each Member State, the following were therefore reviewed: use of risk-based compliance assurance; coordination and co-operation between authorities and participation in pan-European networks; and key aspects of implementation of the ELD bas</w:t>
      </w:r>
      <w:r>
        <w:rPr>
          <w:noProof/>
          <w:sz w:val="20"/>
        </w:rPr>
        <w:t>ed on the Commission's recently published implementation report and REFIT evaluation.</w:t>
      </w:r>
      <w:r>
        <w:rPr>
          <w:noProof/>
          <w:sz w:val="20"/>
          <w:vertAlign w:val="superscript"/>
          <w:lang w:val="it-IT"/>
        </w:rPr>
        <w:footnoteReference w:id="240"/>
      </w:r>
      <w:r>
        <w:rPr>
          <w:noProof/>
          <w:sz w:val="20"/>
        </w:rPr>
        <w:t xml:space="preserve"> </w:t>
      </w:r>
    </w:p>
    <w:p w:rsidR="00341319" w:rsidRDefault="00324889">
      <w:pPr>
        <w:widowControl w:val="0"/>
        <w:spacing w:after="120" w:line="240" w:lineRule="auto"/>
        <w:jc w:val="both"/>
        <w:rPr>
          <w:rFonts w:cstheme="minorHAnsi"/>
          <w:noProof/>
          <w:color w:val="000000" w:themeColor="text1"/>
          <w:sz w:val="20"/>
          <w:szCs w:val="20"/>
        </w:rPr>
      </w:pPr>
      <w:r>
        <w:rPr>
          <w:noProof/>
          <w:sz w:val="20"/>
        </w:rPr>
        <w:t xml:space="preserve">In Italy, some positive developments have occurred to underpin risk-based compliance assurance: </w:t>
      </w:r>
      <w:r>
        <w:rPr>
          <w:rFonts w:cstheme="minorHAnsi"/>
          <w:noProof/>
          <w:sz w:val="20"/>
          <w:szCs w:val="20"/>
        </w:rPr>
        <w:t>(i) For instance, the regional environmental agency of Lombardy (ARPA Lo</w:t>
      </w:r>
      <w:r>
        <w:rPr>
          <w:rFonts w:cstheme="minorHAnsi"/>
          <w:noProof/>
          <w:sz w:val="20"/>
          <w:szCs w:val="20"/>
        </w:rPr>
        <w:t>mbardia) has developed a good inspection planning system, mechanisms for dialogue with the regulated community to promote compliance general guidance on industrial inspections, extensive training plans</w:t>
      </w:r>
      <w:r>
        <w:rPr>
          <w:rFonts w:cstheme="minorHAnsi"/>
          <w:noProof/>
          <w:color w:val="000000" w:themeColor="text1"/>
          <w:sz w:val="20"/>
          <w:szCs w:val="20"/>
          <w:vertAlign w:val="superscript"/>
        </w:rPr>
        <w:footnoteReference w:id="241"/>
      </w:r>
      <w:r>
        <w:rPr>
          <w:rFonts w:cstheme="minorHAnsi"/>
          <w:noProof/>
          <w:sz w:val="20"/>
          <w:szCs w:val="20"/>
        </w:rPr>
        <w:t xml:space="preserve"> and an innovative use of earth observation techniques</w:t>
      </w:r>
      <w:r>
        <w:rPr>
          <w:rFonts w:cstheme="minorHAnsi"/>
          <w:noProof/>
          <w:sz w:val="20"/>
          <w:szCs w:val="20"/>
        </w:rPr>
        <w:t xml:space="preserve">. </w:t>
      </w:r>
      <w:r>
        <w:rPr>
          <w:rFonts w:cstheme="minorHAnsi"/>
          <w:noProof/>
          <w:color w:val="000000" w:themeColor="text1"/>
          <w:sz w:val="20"/>
          <w:szCs w:val="20"/>
        </w:rPr>
        <w:t>(ii) A recent revision of its Criminal Code has put Italy in a better position to tackle the most serious environmental offences.</w:t>
      </w:r>
    </w:p>
    <w:p w:rsidR="00341319" w:rsidRDefault="00324889">
      <w:pPr>
        <w:widowControl w:val="0"/>
        <w:spacing w:after="120" w:line="240" w:lineRule="auto"/>
        <w:jc w:val="both"/>
        <w:rPr>
          <w:noProof/>
          <w:sz w:val="20"/>
        </w:rPr>
      </w:pPr>
      <w:r>
        <w:rPr>
          <w:noProof/>
          <w:sz w:val="20"/>
        </w:rPr>
        <w:t>However, risk-based approaches and data collection are not applied consistently across the country</w:t>
      </w:r>
      <w:r>
        <w:rPr>
          <w:noProof/>
          <w:sz w:val="20"/>
          <w:vertAlign w:val="superscript"/>
        </w:rPr>
        <w:footnoteReference w:id="242"/>
      </w:r>
      <w:r>
        <w:rPr>
          <w:noProof/>
          <w:sz w:val="20"/>
        </w:rPr>
        <w:t>. The low deterrence of s</w:t>
      </w:r>
      <w:r>
        <w:rPr>
          <w:noProof/>
          <w:sz w:val="20"/>
        </w:rPr>
        <w:t>anctions imposed in practice and lack of cooperation between different environmental inspection authorities and between them and police and prosecutors represent challenges</w:t>
      </w:r>
      <w:r>
        <w:rPr>
          <w:noProof/>
          <w:sz w:val="20"/>
          <w:vertAlign w:val="superscript"/>
        </w:rPr>
        <w:footnoteReference w:id="243"/>
      </w:r>
      <w:r>
        <w:rPr>
          <w:noProof/>
          <w:sz w:val="20"/>
        </w:rPr>
        <w:t xml:space="preserve">. </w:t>
      </w:r>
    </w:p>
    <w:p w:rsidR="00341319" w:rsidRDefault="00324889">
      <w:pPr>
        <w:widowControl w:val="0"/>
        <w:spacing w:after="120" w:line="240" w:lineRule="auto"/>
        <w:jc w:val="both"/>
        <w:rPr>
          <w:noProof/>
          <w:sz w:val="20"/>
        </w:rPr>
      </w:pPr>
      <w:r>
        <w:rPr>
          <w:noProof/>
          <w:sz w:val="20"/>
        </w:rPr>
        <w:t xml:space="preserve">Up-to-date information is lacking in relation to the following: (i) </w:t>
      </w:r>
      <w:r>
        <w:rPr>
          <w:noProof/>
          <w:sz w:val="20"/>
        </w:rPr>
        <w:t>Data-collection arrangements to track the use and effectiveness of different compliance assurance interventions. (ii) The extent to which risk-based methods are used to direct compliance assurance both at the strategic level and in specific problem-areas h</w:t>
      </w:r>
      <w:r>
        <w:rPr>
          <w:noProof/>
          <w:sz w:val="20"/>
        </w:rPr>
        <w:t>ighlighted elsewhere in this Country Report, i.e. non-compliance with waste rules</w:t>
      </w:r>
      <w:r>
        <w:rPr>
          <w:noProof/>
          <w:sz w:val="20"/>
          <w:vertAlign w:val="superscript"/>
        </w:rPr>
        <w:footnoteReference w:id="244"/>
      </w:r>
      <w:r>
        <w:rPr>
          <w:noProof/>
          <w:sz w:val="20"/>
        </w:rPr>
        <w:t>, the threats to protected habitat types and species, air quality problems, the pressures on water quality from diffuse water pollution and deficits in urban waste-water trea</w:t>
      </w:r>
      <w:r>
        <w:rPr>
          <w:noProof/>
          <w:sz w:val="20"/>
        </w:rPr>
        <w:t>tment.</w:t>
      </w:r>
    </w:p>
    <w:p w:rsidR="00341319" w:rsidRDefault="00324889">
      <w:pPr>
        <w:widowControl w:val="0"/>
        <w:spacing w:after="120" w:line="240" w:lineRule="auto"/>
        <w:jc w:val="both"/>
        <w:rPr>
          <w:noProof/>
          <w:sz w:val="20"/>
        </w:rPr>
      </w:pPr>
      <w:r>
        <w:rPr>
          <w:noProof/>
          <w:sz w:val="20"/>
        </w:rPr>
        <w:t>Italian regional inspection authorities actively contribute to the work of IMPEL. Italy is also strongly involved in the activities of the EUFJE and EnviCrimeNet. Italy is leading a project on combating environmental crime, with participation of Bel</w:t>
      </w:r>
      <w:r>
        <w:rPr>
          <w:noProof/>
          <w:sz w:val="20"/>
        </w:rPr>
        <w:t>gium, Spain, Romania, Belgium and involvement of EnviCrimeNet, Europol, Eurojust and Interpol</w:t>
      </w:r>
      <w:r>
        <w:rPr>
          <w:noProof/>
          <w:sz w:val="20"/>
          <w:vertAlign w:val="superscript"/>
        </w:rPr>
        <w:footnoteReference w:id="245"/>
      </w:r>
      <w:r>
        <w:rPr>
          <w:noProof/>
          <w:sz w:val="20"/>
        </w:rPr>
        <w:t xml:space="preserve">. </w:t>
      </w:r>
    </w:p>
    <w:p w:rsidR="00341319" w:rsidRDefault="00324889">
      <w:pPr>
        <w:spacing w:after="120" w:line="240" w:lineRule="auto"/>
        <w:jc w:val="both"/>
        <w:rPr>
          <w:noProof/>
          <w:sz w:val="20"/>
        </w:rPr>
      </w:pPr>
      <w:r>
        <w:rPr>
          <w:noProof/>
          <w:sz w:val="20"/>
        </w:rPr>
        <w:t>Information in Italy's report for the period 2007-13 suggests a high incidence of cases potentially falling within the scope of the ELD, as well as a high numb</w:t>
      </w:r>
      <w:r>
        <w:rPr>
          <w:noProof/>
          <w:sz w:val="20"/>
        </w:rPr>
        <w:t>er of requests for action by Italian citizens or NGOs. However, while Italian authorities have participated in the Commission training programme for the ELD, Italy has not developed guidance or other administrative support tools, and there is no register f</w:t>
      </w:r>
      <w:r>
        <w:rPr>
          <w:noProof/>
          <w:sz w:val="20"/>
        </w:rPr>
        <w:t>or environmental liability cases. As regards financial security (to pay for remediation where the operator cannot), information is incomplete. The country did not establish mandatory financial security, but there is an insurance pool</w:t>
      </w:r>
      <w:r>
        <w:rPr>
          <w:noProof/>
          <w:sz w:val="20"/>
          <w:vertAlign w:val="superscript"/>
        </w:rPr>
        <w:footnoteReference w:id="246"/>
      </w:r>
      <w:r>
        <w:rPr>
          <w:noProof/>
          <w:sz w:val="20"/>
        </w:rPr>
        <w:t xml:space="preserve"> operating and suffici</w:t>
      </w:r>
      <w:r>
        <w:rPr>
          <w:noProof/>
          <w:sz w:val="20"/>
        </w:rPr>
        <w:t xml:space="preserve">ent insurance cover seems to be on offer (although not taken up). </w:t>
      </w:r>
    </w:p>
    <w:p w:rsidR="00341319" w:rsidRDefault="00324889">
      <w:pPr>
        <w:spacing w:after="120" w:line="240" w:lineRule="auto"/>
        <w:jc w:val="both"/>
        <w:rPr>
          <w:bCs/>
          <w:noProof/>
          <w:color w:val="1F497D" w:themeColor="text2"/>
        </w:rPr>
      </w:pPr>
      <w:r>
        <w:rPr>
          <w:bCs/>
          <w:noProof/>
          <w:color w:val="1F497D" w:themeColor="text2"/>
        </w:rPr>
        <w:t>Suggested action</w:t>
      </w:r>
    </w:p>
    <w:p w:rsidR="00341319" w:rsidRDefault="00324889">
      <w:pPr>
        <w:pStyle w:val="NoSpacing"/>
        <w:rPr>
          <w:noProof/>
        </w:rPr>
      </w:pPr>
      <w:r>
        <w:rPr>
          <w:noProof/>
        </w:rPr>
        <w:t xml:space="preserve">Improve transparency on the organisation and functioning of compliance assurance and on how significant risks are addressed. </w:t>
      </w:r>
    </w:p>
    <w:p w:rsidR="00341319" w:rsidRDefault="00324889">
      <w:pPr>
        <w:pStyle w:val="NoSpacing"/>
        <w:spacing w:after="240"/>
        <w:rPr>
          <w:noProof/>
        </w:rPr>
      </w:pPr>
      <w:r>
        <w:rPr>
          <w:noProof/>
        </w:rPr>
        <w:t xml:space="preserve">Step up efforts in the implementation of the </w:t>
      </w:r>
      <w:r>
        <w:rPr>
          <w:noProof/>
        </w:rPr>
        <w:t>Environmental Liability Directive (ELD) with proactive initiatives, in particular by setting up a national register of ELD incidents and drafting national guidance. Italy should moreover take further steps to ensure an effective system of financial securit</w:t>
      </w:r>
      <w:r>
        <w:rPr>
          <w:noProof/>
        </w:rPr>
        <w:t>y for environmental liabilities (so that operators not only have insurance cover available to them but actually take it up).</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51" w:name="_Toc439678163"/>
      <w:bookmarkStart w:id="52" w:name="_Toc469476724"/>
      <w:r>
        <w:rPr>
          <w:rFonts w:cs="Times New Roman"/>
          <w:b/>
          <w:noProof/>
          <w:color w:val="1F497D" w:themeColor="text2"/>
          <w:sz w:val="24"/>
          <w:szCs w:val="24"/>
          <w:lang w:eastAsia="en-GB"/>
        </w:rPr>
        <w:t>Public participation and access to justice</w:t>
      </w:r>
      <w:bookmarkEnd w:id="51"/>
      <w:bookmarkEnd w:id="52"/>
    </w:p>
    <w:p w:rsidR="00341319" w:rsidRDefault="00324889">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 xml:space="preserve">The Aarhus Convention, related EU legislation on public participation and environmental </w:t>
      </w:r>
      <w:r>
        <w:rPr>
          <w:noProof/>
          <w:color w:val="FFFFFF" w:themeColor="background1"/>
          <w:sz w:val="20"/>
        </w:rPr>
        <w:t>impact assessment, and the case-law of the Court of Justice require that citizens and their associations should be able to participate in decision-making on projects and plans and should enjoy effective environmental access to justice.</w:t>
      </w:r>
    </w:p>
    <w:p w:rsidR="00341319" w:rsidRDefault="00324889">
      <w:pPr>
        <w:widowControl w:val="0"/>
        <w:spacing w:after="120" w:line="240" w:lineRule="auto"/>
        <w:jc w:val="both"/>
        <w:rPr>
          <w:noProof/>
          <w:sz w:val="20"/>
        </w:rPr>
      </w:pPr>
      <w:r>
        <w:rPr>
          <w:noProof/>
          <w:color w:val="000000" w:themeColor="text1"/>
          <w:sz w:val="20"/>
        </w:rPr>
        <w:t>Citizens can more ef</w:t>
      </w:r>
      <w:r>
        <w:rPr>
          <w:noProof/>
          <w:color w:val="000000" w:themeColor="text1"/>
          <w:sz w:val="20"/>
        </w:rPr>
        <w:t>fectively protect the environment if they can rely on the three "pillars" of the</w:t>
      </w:r>
      <w:r>
        <w:rPr>
          <w:noProof/>
          <w:sz w:val="20"/>
        </w:rPr>
        <w:t xml:space="preserve"> Convention on Access to Information, Public Participation in Decision-making and Access to Justice in Environmental Matters ("the</w:t>
      </w:r>
      <w:r>
        <w:rPr>
          <w:b/>
          <w:noProof/>
          <w:sz w:val="20"/>
        </w:rPr>
        <w:t xml:space="preserve"> </w:t>
      </w:r>
      <w:r>
        <w:rPr>
          <w:noProof/>
          <w:color w:val="000000" w:themeColor="text1"/>
          <w:sz w:val="20"/>
        </w:rPr>
        <w:t xml:space="preserve">Aarhus Convention"). </w:t>
      </w:r>
      <w:r>
        <w:rPr>
          <w:noProof/>
          <w:sz w:val="20"/>
        </w:rPr>
        <w:t xml:space="preserve">Public participation in </w:t>
      </w:r>
      <w:r>
        <w:rPr>
          <w:noProof/>
          <w:sz w:val="20"/>
        </w:rPr>
        <w:t>the administrative decision making process is an important element to ensure that the authority takes its decision on the best possible basis. The Commission intends to examine compliance with mandatory public participation requirements more systematically</w:t>
      </w:r>
      <w:r>
        <w:rPr>
          <w:noProof/>
          <w:sz w:val="20"/>
        </w:rPr>
        <w:t xml:space="preserve"> at a later stage.</w:t>
      </w:r>
    </w:p>
    <w:p w:rsidR="00341319" w:rsidRDefault="00324889">
      <w:pPr>
        <w:widowControl w:val="0"/>
        <w:spacing w:after="120" w:line="240" w:lineRule="auto"/>
        <w:jc w:val="both"/>
        <w:rPr>
          <w:noProof/>
          <w:sz w:val="20"/>
        </w:rPr>
      </w:pPr>
      <w:r>
        <w:rPr>
          <w:noProof/>
          <w:sz w:val="20"/>
        </w:rPr>
        <w:t>Access to justice in environmental matters is a set of guarantees that allows citizens and their associations to challenge acts or omissions of the public administration before a court. It is a tool for decentralised implementation of EU</w:t>
      </w:r>
      <w:r>
        <w:rPr>
          <w:noProof/>
          <w:sz w:val="20"/>
        </w:rPr>
        <w:t xml:space="preserve"> environmental law.</w:t>
      </w:r>
    </w:p>
    <w:p w:rsidR="00341319" w:rsidRDefault="00324889">
      <w:pPr>
        <w:spacing w:after="120" w:line="240" w:lineRule="auto"/>
        <w:jc w:val="both"/>
        <w:rPr>
          <w:noProof/>
          <w:sz w:val="20"/>
        </w:rPr>
      </w:pPr>
      <w:r>
        <w:rPr>
          <w:noProof/>
          <w:sz w:val="20"/>
        </w:rPr>
        <w:t>For each Member State, two crucial elements for effective access to justice have been systematically reviewed: the legal standing for the public, including NGOs and the extent to which prohibitive costs represent a barrier.</w:t>
      </w:r>
    </w:p>
    <w:p w:rsidR="00341319" w:rsidRDefault="00324889">
      <w:pPr>
        <w:spacing w:after="120" w:line="240" w:lineRule="auto"/>
        <w:jc w:val="both"/>
        <w:rPr>
          <w:noProof/>
          <w:sz w:val="20"/>
          <w:lang w:val="en-US"/>
        </w:rPr>
      </w:pPr>
      <w:r>
        <w:rPr>
          <w:noProof/>
          <w:sz w:val="20"/>
          <w:lang w:val="en-US"/>
        </w:rPr>
        <w:t xml:space="preserve">The Italian </w:t>
      </w:r>
      <w:r>
        <w:rPr>
          <w:noProof/>
          <w:sz w:val="20"/>
          <w:lang w:val="en-US"/>
        </w:rPr>
        <w:t>legal system grants NGOs legal standing in environmental matters in particular through case law. However, the conditions are not codified in a way that the right to take an environmental case to the court is laid down in national legislation with sufficien</w:t>
      </w:r>
      <w:r>
        <w:rPr>
          <w:noProof/>
          <w:sz w:val="20"/>
          <w:lang w:val="en-US"/>
        </w:rPr>
        <w:t>t precision and clarity. It seems, for instance, that it is not clear whether local branches of recognized environmental NGOs are granted legal standing before the courts. The case law on that issue is not uniform</w:t>
      </w:r>
      <w:r>
        <w:rPr>
          <w:noProof/>
          <w:sz w:val="20"/>
          <w:vertAlign w:val="superscript"/>
          <w:lang w:val="en-US"/>
        </w:rPr>
        <w:footnoteReference w:id="247"/>
      </w:r>
      <w:r>
        <w:rPr>
          <w:noProof/>
          <w:sz w:val="20"/>
          <w:lang w:val="en-US"/>
        </w:rPr>
        <w:t xml:space="preserve">. </w:t>
      </w:r>
    </w:p>
    <w:p w:rsidR="00341319" w:rsidRDefault="00324889">
      <w:pPr>
        <w:spacing w:after="120" w:line="240" w:lineRule="auto"/>
        <w:jc w:val="both"/>
        <w:rPr>
          <w:bCs/>
          <w:iCs/>
          <w:noProof/>
          <w:color w:val="17365D" w:themeColor="text2" w:themeShade="BF"/>
        </w:rPr>
      </w:pPr>
      <w:r>
        <w:rPr>
          <w:bCs/>
          <w:iCs/>
          <w:noProof/>
          <w:color w:val="17365D" w:themeColor="text2" w:themeShade="BF"/>
        </w:rPr>
        <w:t>Suggested action</w:t>
      </w:r>
    </w:p>
    <w:p w:rsidR="00341319" w:rsidRDefault="00324889">
      <w:pPr>
        <w:pStyle w:val="NoSpacing"/>
        <w:rPr>
          <w:noProof/>
        </w:rPr>
      </w:pPr>
      <w:r>
        <w:rPr>
          <w:noProof/>
        </w:rPr>
        <w:t xml:space="preserve">.Take the necessary </w:t>
      </w:r>
      <w:r>
        <w:rPr>
          <w:noProof/>
        </w:rPr>
        <w:t>measures to ensure standing of environmental NGOs to challenge acts or omissions of a public authority in all sectoral EU environmental laws, in full compliance with EU law as well as the Aarhus Convention.</w:t>
      </w:r>
    </w:p>
    <w:p w:rsidR="00341319" w:rsidRDefault="00324889">
      <w:pPr>
        <w:pStyle w:val="NoSpacing"/>
        <w:numPr>
          <w:ilvl w:val="0"/>
          <w:numId w:val="0"/>
        </w:numPr>
        <w:ind w:left="170"/>
        <w:rPr>
          <w:noProof/>
        </w:rPr>
      </w:pPr>
      <w:r>
        <w:rPr>
          <w:noProof/>
        </w:rPr>
        <w:t xml:space="preserve"> </w:t>
      </w:r>
    </w:p>
    <w:p w:rsidR="00341319" w:rsidRDefault="00324889">
      <w:pPr>
        <w:widowControl w:val="0"/>
        <w:spacing w:after="120" w:line="240" w:lineRule="auto"/>
        <w:jc w:val="both"/>
        <w:outlineLvl w:val="1"/>
        <w:rPr>
          <w:rFonts w:cs="Times New Roman"/>
          <w:b/>
          <w:noProof/>
          <w:color w:val="1F497D" w:themeColor="text2"/>
          <w:sz w:val="24"/>
          <w:szCs w:val="24"/>
          <w:lang w:eastAsia="en-GB"/>
        </w:rPr>
      </w:pPr>
      <w:bookmarkStart w:id="53" w:name="_Toc439678165"/>
      <w:bookmarkStart w:id="54" w:name="_Toc469476725"/>
      <w:r>
        <w:rPr>
          <w:rFonts w:cs="Times New Roman"/>
          <w:b/>
          <w:noProof/>
          <w:color w:val="1F497D" w:themeColor="text2"/>
          <w:sz w:val="24"/>
          <w:szCs w:val="24"/>
          <w:lang w:eastAsia="en-GB"/>
        </w:rPr>
        <w:t>Access to Information, knowledge and evidence</w:t>
      </w:r>
      <w:bookmarkEnd w:id="53"/>
      <w:bookmarkEnd w:id="54"/>
    </w:p>
    <w:p w:rsidR="00341319" w:rsidRDefault="00324889">
      <w:pPr>
        <w:widowControl w:val="0"/>
        <w:shd w:val="clear" w:color="auto" w:fill="4F81BD" w:themeFill="accent1"/>
        <w:spacing w:after="120" w:line="240" w:lineRule="auto"/>
        <w:jc w:val="both"/>
        <w:rPr>
          <w:noProof/>
          <w:color w:val="FFFFFF" w:themeColor="background1"/>
          <w:sz w:val="20"/>
        </w:rPr>
      </w:pPr>
      <w:r>
        <w:rPr>
          <w:noProof/>
          <w:color w:val="FFFFFF" w:themeColor="background1"/>
          <w:sz w:val="20"/>
        </w:rPr>
        <w:t>T</w:t>
      </w:r>
      <w:r>
        <w:rPr>
          <w:noProof/>
          <w:color w:val="FFFFFF" w:themeColor="background1"/>
          <w:sz w:val="20"/>
        </w:rPr>
        <w:t>he Aarhus Convention and related EU legislation on access to information and the sharing of spatial data require that the public has access to clear information on the environment, including on how Union environmental law is being implemented.</w:t>
      </w:r>
    </w:p>
    <w:p w:rsidR="00341319" w:rsidRDefault="00324889">
      <w:pPr>
        <w:widowControl w:val="0"/>
        <w:spacing w:after="120" w:line="240" w:lineRule="auto"/>
        <w:jc w:val="both"/>
        <w:rPr>
          <w:noProof/>
          <w:sz w:val="20"/>
        </w:rPr>
      </w:pPr>
      <w:r>
        <w:rPr>
          <w:noProof/>
          <w:sz w:val="20"/>
        </w:rPr>
        <w:t>It is of cru</w:t>
      </w:r>
      <w:r>
        <w:rPr>
          <w:noProof/>
          <w:sz w:val="20"/>
        </w:rPr>
        <w:t>cial importance to public authorities, the public and business that environmental information is shared in an efficient and effective way. This covers reporting by businesses and public authorities and active dissemination to the public, increasingly throu</w:t>
      </w:r>
      <w:r>
        <w:rPr>
          <w:noProof/>
          <w:sz w:val="20"/>
        </w:rPr>
        <w:t>gh electronic means.</w:t>
      </w:r>
    </w:p>
    <w:p w:rsidR="00341319" w:rsidRDefault="00324889">
      <w:pPr>
        <w:widowControl w:val="0"/>
        <w:spacing w:after="120" w:line="240" w:lineRule="auto"/>
        <w:jc w:val="both"/>
        <w:rPr>
          <w:noProof/>
          <w:sz w:val="20"/>
        </w:rPr>
      </w:pPr>
      <w:r>
        <w:rPr>
          <w:noProof/>
          <w:sz w:val="20"/>
        </w:rPr>
        <w:t>The Aarhus Convention</w:t>
      </w:r>
      <w:r>
        <w:rPr>
          <w:noProof/>
          <w:sz w:val="20"/>
          <w:vertAlign w:val="superscript"/>
          <w:lang w:val="it-IT"/>
        </w:rPr>
        <w:footnoteReference w:id="248"/>
      </w:r>
      <w:r>
        <w:rPr>
          <w:noProof/>
          <w:sz w:val="20"/>
        </w:rPr>
        <w:t>, the Access to Environmental Information Directive</w:t>
      </w:r>
      <w:r>
        <w:rPr>
          <w:noProof/>
          <w:sz w:val="20"/>
          <w:vertAlign w:val="superscript"/>
          <w:lang w:val="it-IT"/>
        </w:rPr>
        <w:footnoteReference w:id="249"/>
      </w:r>
      <w:r>
        <w:rPr>
          <w:noProof/>
          <w:sz w:val="20"/>
        </w:rPr>
        <w:t xml:space="preserve"> and the INSPIRE Directive</w:t>
      </w:r>
      <w:r>
        <w:rPr>
          <w:noProof/>
          <w:sz w:val="20"/>
          <w:vertAlign w:val="superscript"/>
          <w:lang w:val="it-IT"/>
        </w:rPr>
        <w:footnoteReference w:id="250"/>
      </w:r>
      <w:r>
        <w:rPr>
          <w:noProof/>
          <w:sz w:val="20"/>
        </w:rPr>
        <w:t xml:space="preserve"> together create a legal foundation for the sharing of environmental information between public authorities and with the public. They </w:t>
      </w:r>
      <w:r>
        <w:rPr>
          <w:noProof/>
          <w:sz w:val="20"/>
        </w:rPr>
        <w:t>also represent the green part of the ongoing EU e-Government Action Plan</w:t>
      </w:r>
      <w:r>
        <w:rPr>
          <w:noProof/>
          <w:sz w:val="20"/>
          <w:vertAlign w:val="superscript"/>
          <w:lang w:val="it-IT"/>
        </w:rPr>
        <w:footnoteReference w:id="251"/>
      </w:r>
      <w:r>
        <w:rPr>
          <w:noProof/>
          <w:sz w:val="20"/>
        </w:rPr>
        <w:t xml:space="preserve">. The first two instruments create obligations to provide information to the public, both on request and actively. </w:t>
      </w:r>
    </w:p>
    <w:p w:rsidR="00341319" w:rsidRDefault="00324889">
      <w:pPr>
        <w:widowControl w:val="0"/>
        <w:spacing w:after="120" w:line="240" w:lineRule="auto"/>
        <w:jc w:val="both"/>
        <w:rPr>
          <w:noProof/>
          <w:sz w:val="20"/>
        </w:rPr>
      </w:pPr>
      <w:r>
        <w:rPr>
          <w:noProof/>
          <w:sz w:val="20"/>
        </w:rPr>
        <w:t>The access to EIA and SEA information and data is granted both at n</w:t>
      </w:r>
      <w:r>
        <w:rPr>
          <w:noProof/>
          <w:sz w:val="20"/>
        </w:rPr>
        <w:t>ational level (EIA-SEA Portal of the Ministry of Environment</w:t>
      </w:r>
      <w:r>
        <w:rPr>
          <w:noProof/>
          <w:sz w:val="20"/>
          <w:vertAlign w:val="superscript"/>
        </w:rPr>
        <w:footnoteReference w:id="252"/>
      </w:r>
      <w:r>
        <w:rPr>
          <w:noProof/>
          <w:sz w:val="20"/>
        </w:rPr>
        <w:t>) and at the different administration levels through dedicated websites, fulfilling the requirements of the national legislation concerning access to informational and public participation in env</w:t>
      </w:r>
      <w:r>
        <w:rPr>
          <w:noProof/>
          <w:sz w:val="20"/>
        </w:rPr>
        <w:t xml:space="preserve">ironmental assessments procedures and with the intention of being in line with the provisions of the revised EIA Directive (Articles 5.6). </w:t>
      </w:r>
    </w:p>
    <w:p w:rsidR="00341319" w:rsidRDefault="00324889">
      <w:pPr>
        <w:widowControl w:val="0"/>
        <w:spacing w:after="120" w:line="240" w:lineRule="auto"/>
        <w:jc w:val="both"/>
        <w:rPr>
          <w:noProof/>
          <w:sz w:val="20"/>
        </w:rPr>
      </w:pPr>
      <w:r>
        <w:rPr>
          <w:noProof/>
          <w:sz w:val="20"/>
        </w:rPr>
        <w:t>The INSPIRE Directive is a pioneering instrument for electronic data-sharing between public authorities who can vary</w:t>
      </w:r>
      <w:r>
        <w:rPr>
          <w:noProof/>
          <w:sz w:val="20"/>
        </w:rPr>
        <w:t xml:space="preserve"> in their data-sharing policies, e.g. on whether access to data is for free. The INSPIRE Directive sets up a geoportal which indicates the level of shared spatial data in each Member State – i.e. data related to specific locations, such as air quality moni</w:t>
      </w:r>
      <w:r>
        <w:rPr>
          <w:noProof/>
          <w:sz w:val="20"/>
        </w:rPr>
        <w:t xml:space="preserve">toring data. Amongst other benefits it facilitates the public authorities' reporting obligations. </w:t>
      </w:r>
    </w:p>
    <w:p w:rsidR="00341319" w:rsidRDefault="00324889">
      <w:pPr>
        <w:widowControl w:val="0"/>
        <w:spacing w:after="120" w:line="240" w:lineRule="auto"/>
        <w:jc w:val="both"/>
        <w:rPr>
          <w:noProof/>
          <w:sz w:val="20"/>
        </w:rPr>
      </w:pPr>
      <w:r>
        <w:rPr>
          <w:noProof/>
          <w:sz w:val="20"/>
        </w:rPr>
        <w:t>For each Member State, the accessibility of environmental data (based on what the INSPIRE Directive envisages) as well as data-sharing policies ('open data')</w:t>
      </w:r>
      <w:r>
        <w:rPr>
          <w:noProof/>
          <w:sz w:val="20"/>
        </w:rPr>
        <w:t xml:space="preserve"> have been systematically reviewed</w:t>
      </w:r>
      <w:r>
        <w:rPr>
          <w:noProof/>
          <w:sz w:val="20"/>
          <w:vertAlign w:val="superscript"/>
        </w:rPr>
        <w:footnoteReference w:id="253"/>
      </w:r>
      <w:r>
        <w:rPr>
          <w:noProof/>
          <w:sz w:val="20"/>
        </w:rPr>
        <w:t xml:space="preserve">. </w:t>
      </w:r>
    </w:p>
    <w:p w:rsidR="00341319" w:rsidRDefault="00324889">
      <w:pPr>
        <w:widowControl w:val="0"/>
        <w:spacing w:after="120" w:line="240" w:lineRule="auto"/>
        <w:jc w:val="both"/>
        <w:rPr>
          <w:noProof/>
          <w:sz w:val="20"/>
        </w:rPr>
      </w:pPr>
      <w:r>
        <w:rPr>
          <w:noProof/>
          <w:sz w:val="20"/>
        </w:rPr>
        <w:t>Italy's performance on the implementation of the INSPIRE Directive as enabling framework to actively disseminate environmental information to the public is lagging behind. Italy has indicated in the 3-yearly INSPIRE im</w:t>
      </w:r>
      <w:r>
        <w:rPr>
          <w:noProof/>
          <w:sz w:val="20"/>
        </w:rPr>
        <w:t>plementation report</w:t>
      </w:r>
      <w:r>
        <w:rPr>
          <w:noProof/>
          <w:sz w:val="20"/>
          <w:vertAlign w:val="superscript"/>
        </w:rPr>
        <w:footnoteReference w:id="254"/>
      </w:r>
      <w:r>
        <w:rPr>
          <w:noProof/>
          <w:sz w:val="20"/>
        </w:rPr>
        <w:t xml:space="preserve"> that the necessary data-sharing policies allowing access and use of spatial data by national administrations - including in particular local municipalities - other Member States' administrations and EU institutions without procedural o</w:t>
      </w:r>
      <w:r>
        <w:rPr>
          <w:noProof/>
          <w:sz w:val="20"/>
        </w:rPr>
        <w:t>bstacles are not yet available.</w:t>
      </w:r>
    </w:p>
    <w:p w:rsidR="00341319" w:rsidRDefault="00324889">
      <w:pPr>
        <w:widowControl w:val="0"/>
        <w:spacing w:after="120" w:line="240" w:lineRule="auto"/>
        <w:jc w:val="both"/>
        <w:rPr>
          <w:noProof/>
          <w:sz w:val="20"/>
          <w:lang w:val="en-US"/>
        </w:rPr>
      </w:pPr>
      <w:r>
        <w:rPr>
          <w:noProof/>
          <w:sz w:val="20"/>
          <w:lang w:val="en-US"/>
        </w:rPr>
        <w:t>Within Italy, the creation, management and publication of spatial information is often institutionally assigned to small municipalities, that are not able to make available spatial information in conformity with the standard</w:t>
      </w:r>
      <w:r>
        <w:rPr>
          <w:noProof/>
          <w:sz w:val="20"/>
          <w:lang w:val="en-US"/>
        </w:rPr>
        <w:t>s required by the INSPIRE Directive due to lack of technological infrastructure and of qualified personnel.</w:t>
      </w:r>
    </w:p>
    <w:p w:rsidR="00341319" w:rsidRDefault="00324889">
      <w:pPr>
        <w:widowControl w:val="0"/>
        <w:spacing w:after="120" w:line="240" w:lineRule="auto"/>
        <w:jc w:val="both"/>
        <w:rPr>
          <w:noProof/>
          <w:sz w:val="20"/>
        </w:rPr>
      </w:pPr>
      <w:r>
        <w:rPr>
          <w:noProof/>
          <w:sz w:val="20"/>
        </w:rPr>
        <w:t>Italy recently has started the preparation of legislative proposals to establish the necessary licences for overcoming the existing impediments to t</w:t>
      </w:r>
      <w:r>
        <w:rPr>
          <w:noProof/>
          <w:sz w:val="20"/>
        </w:rPr>
        <w:t xml:space="preserve">he sharing of spatial data. It should be noted though that in </w:t>
      </w:r>
      <w:r>
        <w:rPr>
          <w:noProof/>
          <w:sz w:val="20"/>
          <w:lang w:val="en-US"/>
        </w:rPr>
        <w:t>order to address the problems highlighted above the National Council for Spatial and Environmental Information (CNITA)</w:t>
      </w:r>
      <w:r>
        <w:rPr>
          <w:noProof/>
          <w:sz w:val="20"/>
          <w:vertAlign w:val="superscript"/>
          <w:lang w:val="en-US"/>
        </w:rPr>
        <w:footnoteReference w:id="255"/>
      </w:r>
      <w:r>
        <w:rPr>
          <w:noProof/>
          <w:sz w:val="20"/>
          <w:lang w:val="en-US"/>
        </w:rPr>
        <w:t xml:space="preserve"> was set up and aims to carry out a detailed assessment on how it can create an open data policy taking also into account the priorities defined in the Digital Single Market.</w:t>
      </w:r>
    </w:p>
    <w:p w:rsidR="00341319" w:rsidRDefault="00324889">
      <w:pPr>
        <w:widowControl w:val="0"/>
        <w:spacing w:after="120" w:line="240" w:lineRule="auto"/>
        <w:jc w:val="both"/>
        <w:rPr>
          <w:noProof/>
          <w:sz w:val="20"/>
        </w:rPr>
      </w:pPr>
      <w:r>
        <w:rPr>
          <w:noProof/>
          <w:sz w:val="20"/>
        </w:rPr>
        <w:t>Assessments of monitoring reports issued by Italy</w:t>
      </w:r>
      <w:r>
        <w:rPr>
          <w:noProof/>
          <w:sz w:val="20"/>
          <w:vertAlign w:val="superscript"/>
        </w:rPr>
        <w:footnoteReference w:id="256"/>
      </w:r>
      <w:r>
        <w:rPr>
          <w:noProof/>
          <w:sz w:val="20"/>
        </w:rPr>
        <w:t xml:space="preserve"> and the spatial information th</w:t>
      </w:r>
      <w:r>
        <w:rPr>
          <w:noProof/>
          <w:sz w:val="20"/>
        </w:rPr>
        <w:t>at Italy has published on the INSPIRE geoportal</w:t>
      </w:r>
      <w:r>
        <w:rPr>
          <w:noProof/>
          <w:sz w:val="20"/>
          <w:vertAlign w:val="superscript"/>
        </w:rPr>
        <w:footnoteReference w:id="257"/>
      </w:r>
      <w:r>
        <w:rPr>
          <w:noProof/>
          <w:sz w:val="20"/>
        </w:rPr>
        <w:t xml:space="preserve"> indicate that not all spatial information needed for the evaluation and implementation of EU environmental law has been made available or is accessible. The larger part of this missing spatial information co</w:t>
      </w:r>
      <w:r>
        <w:rPr>
          <w:noProof/>
          <w:sz w:val="20"/>
        </w:rPr>
        <w:t xml:space="preserve">nsists of the environmental data required to be made available under the existing reporting and monitoring regulations of EU environmental law. </w:t>
      </w:r>
    </w:p>
    <w:p w:rsidR="00341319" w:rsidRDefault="00324889">
      <w:pPr>
        <w:widowControl w:val="0"/>
        <w:spacing w:after="120" w:line="240" w:lineRule="auto"/>
        <w:jc w:val="both"/>
        <w:rPr>
          <w:bCs/>
          <w:noProof/>
          <w:color w:val="1F497D" w:themeColor="text2"/>
        </w:rPr>
      </w:pPr>
      <w:r>
        <w:rPr>
          <w:bCs/>
          <w:noProof/>
          <w:color w:val="1F497D" w:themeColor="text2"/>
        </w:rPr>
        <w:t>Suggested action</w:t>
      </w:r>
    </w:p>
    <w:p w:rsidR="00341319" w:rsidRDefault="00324889">
      <w:pPr>
        <w:pStyle w:val="NoSpacing"/>
        <w:rPr>
          <w:noProof/>
        </w:rPr>
      </w:pPr>
      <w:r>
        <w:rPr>
          <w:noProof/>
        </w:rPr>
        <w:t xml:space="preserve">Critically review the effectiveness of its data policies and amend them, taking 'best practices' into consideration. </w:t>
      </w:r>
    </w:p>
    <w:p w:rsidR="00341319" w:rsidRDefault="00324889">
      <w:pPr>
        <w:pStyle w:val="NoSpacing"/>
        <w:rPr>
          <w:noProof/>
        </w:rPr>
      </w:pPr>
      <w:r>
        <w:rPr>
          <w:noProof/>
        </w:rPr>
        <w:t>Identify and document all spatial data sets required for the implementation of environmental law, and make the data and documentation at l</w:t>
      </w:r>
      <w:r>
        <w:rPr>
          <w:noProof/>
        </w:rPr>
        <w:t>east accessible 'as is' to other public authorities and the public through the digital services foreseen in the INSPIRE Directive.</w:t>
      </w:r>
      <w:bookmarkStart w:id="55" w:name="_Toc453757161"/>
      <w:bookmarkStart w:id="56" w:name="_Toc453757162"/>
      <w:bookmarkStart w:id="57" w:name="_Toc453757163"/>
      <w:bookmarkStart w:id="58" w:name="_Toc453757164"/>
      <w:bookmarkStart w:id="59" w:name="_Toc453757165"/>
      <w:bookmarkStart w:id="60" w:name="_Toc453757166"/>
      <w:bookmarkStart w:id="61" w:name="_Toc453757167"/>
      <w:bookmarkStart w:id="62" w:name="_Toc453757168"/>
      <w:bookmarkStart w:id="63" w:name="_Toc453757169"/>
      <w:bookmarkStart w:id="64" w:name="_Toc453757174"/>
      <w:bookmarkStart w:id="65" w:name="_Toc453757175"/>
      <w:bookmarkStart w:id="66" w:name="_Toc453757176"/>
      <w:bookmarkStart w:id="67" w:name="_Toc453757177"/>
      <w:bookmarkStart w:id="68" w:name="_Toc453757178"/>
      <w:bookmarkStart w:id="69" w:name="_Toc453757179"/>
      <w:bookmarkStart w:id="70" w:name="_Toc453757180"/>
      <w:bookmarkStart w:id="71" w:name="_Toc453757181"/>
      <w:bookmarkStart w:id="72" w:name="_Toc453757182"/>
      <w:bookmarkStart w:id="73" w:name="_Toc453757183"/>
      <w:bookmarkStart w:id="74" w:name="_Toc453757184"/>
      <w:bookmarkStart w:id="75" w:name="_Toc453757185"/>
      <w:bookmarkStart w:id="76" w:name="_Toc453757186"/>
      <w:bookmarkStart w:id="77" w:name="_Toc453757187"/>
      <w:bookmarkStart w:id="78" w:name="_Toc453757188"/>
      <w:bookmarkStart w:id="79" w:name="_Toc453757189"/>
      <w:bookmarkStart w:id="80" w:name="_Toc453757190"/>
      <w:bookmarkStart w:id="81" w:name="_Toc453757191"/>
      <w:bookmarkStart w:id="82" w:name="_Toc453757192"/>
      <w:bookmarkStart w:id="83" w:name="_Toc453757193"/>
      <w:bookmarkStart w:id="84" w:name="_Toc453757194"/>
      <w:bookmarkStart w:id="85" w:name="_Toc453757195"/>
      <w:bookmarkStart w:id="86" w:name="_Toc453757196"/>
      <w:bookmarkStart w:id="87" w:name="_Toc453757197"/>
      <w:bookmarkStart w:id="88" w:name="_Toc453757198"/>
      <w:bookmarkStart w:id="89" w:name="_Toc453757199"/>
      <w:bookmarkStart w:id="90" w:name="_Toc453757200"/>
      <w:bookmarkStart w:id="91" w:name="_Toc453757201"/>
      <w:bookmarkStart w:id="92" w:name="_Toc453757202"/>
      <w:bookmarkStart w:id="93" w:name="_Toc453757203"/>
      <w:bookmarkStart w:id="94" w:name="_Toc45375720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341319" w:rsidRDefault="00341319">
      <w:pPr>
        <w:widowControl w:val="0"/>
        <w:suppressLineNumbers/>
        <w:jc w:val="center"/>
        <w:rPr>
          <w:noProof/>
        </w:rPr>
      </w:pPr>
    </w:p>
    <w:sectPr w:rsidR="00341319">
      <w:headerReference w:type="even" r:id="rId109"/>
      <w:headerReference w:type="default" r:id="rId110"/>
      <w:footerReference w:type="even" r:id="rId111"/>
      <w:footerReference w:type="default" r:id="rId112"/>
      <w:headerReference w:type="first" r:id="rId113"/>
      <w:footerReference w:type="first" r:id="rId114"/>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319" w:rsidRDefault="00324889">
      <w:pPr>
        <w:spacing w:after="0" w:line="240" w:lineRule="auto"/>
      </w:pPr>
      <w:r>
        <w:separator/>
      </w:r>
    </w:p>
  </w:endnote>
  <w:endnote w:type="continuationSeparator" w:id="0">
    <w:p w:rsidR="00341319" w:rsidRDefault="00324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89" w:rsidRPr="00324889" w:rsidRDefault="00324889" w:rsidP="003248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2016 – Italy</w:t>
    </w:r>
  </w:p>
  <w:p w:rsidR="00341319" w:rsidRDefault="00341319">
    <w:pPr>
      <w:pStyle w:val="Footer"/>
      <w:rPr>
        <w:rFonts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 xml:space="preserve">Environmental </w:t>
    </w:r>
    <w:r>
      <w:rPr>
        <w:lang w:val="fr-BE"/>
      </w:rPr>
      <w:t>Implementation Report – Italy</w:t>
    </w:r>
  </w:p>
  <w:p w:rsidR="00341319" w:rsidRDefault="00341319">
    <w:pPr>
      <w:pStyle w:val="Footer"/>
      <w:rPr>
        <w:rFonts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89" w:rsidRPr="00324889" w:rsidRDefault="00324889" w:rsidP="00324889">
    <w:pPr>
      <w:pStyle w:val="FooterCoverPage"/>
      <w:rPr>
        <w:rFonts w:ascii="Arial" w:hAnsi="Arial" w:cs="Arial"/>
        <w:b/>
        <w:sz w:val="48"/>
      </w:rPr>
    </w:pPr>
    <w:r w:rsidRPr="00324889">
      <w:rPr>
        <w:rFonts w:ascii="Arial" w:hAnsi="Arial" w:cs="Arial"/>
        <w:b/>
        <w:sz w:val="48"/>
      </w:rPr>
      <w:t>EN</w:t>
    </w:r>
    <w:r w:rsidRPr="00324889">
      <w:rPr>
        <w:rFonts w:ascii="Arial" w:hAnsi="Arial" w:cs="Arial"/>
        <w:b/>
        <w:sz w:val="48"/>
      </w:rPr>
      <w:tab/>
    </w:r>
    <w:r w:rsidRPr="00324889">
      <w:rPr>
        <w:rFonts w:ascii="Arial" w:hAnsi="Arial" w:cs="Arial"/>
        <w:b/>
        <w:sz w:val="48"/>
      </w:rPr>
      <w:tab/>
    </w:r>
    <w:fldSimple w:instr=" DOCVARIABLE &quot;LW_Confidence&quot; \* MERGEFORMAT ">
      <w:r>
        <w:t xml:space="preserve"> </w:t>
      </w:r>
    </w:fldSimple>
    <w:r w:rsidRPr="00324889">
      <w:tab/>
    </w:r>
    <w:r w:rsidRPr="00324889">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89" w:rsidRPr="00324889" w:rsidRDefault="00324889" w:rsidP="0032488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 xml:space="preserve">Environmental Implementation Report – </w:t>
    </w:r>
    <w:r>
      <w:rPr>
        <w:lang w:val="fr-BE"/>
      </w:rPr>
      <w:t>Italy</w:t>
    </w:r>
  </w:p>
  <w:p w:rsidR="00341319" w:rsidRDefault="00341319">
    <w:pPr>
      <w:pStyle w:val="Footer"/>
      <w:rPr>
        <w:rFonts w:cs="Times New Roman"/>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 xml:space="preserve">Environmental </w:t>
    </w:r>
    <w:r>
      <w:rPr>
        <w:lang w:val="fr-BE"/>
      </w:rPr>
      <w:t>Implementation Report – Italy</w:t>
    </w:r>
  </w:p>
  <w:p w:rsidR="00341319" w:rsidRDefault="00341319">
    <w:pPr>
      <w:pStyle w:val="Footer"/>
      <w:rPr>
        <w:rFonts w:cs="Times New Roman"/>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24889">
    <w:pPr>
      <w:pStyle w:val="Footer"/>
      <w:jc w:val="center"/>
      <w:rPr>
        <w:lang w:val="fr-BE"/>
      </w:rPr>
    </w:pPr>
    <w:r>
      <w:rPr>
        <w:lang w:val="fr-BE"/>
      </w:rPr>
      <w:t>Environmental Implementation Report – Italy</w:t>
    </w:r>
  </w:p>
  <w:p w:rsidR="00341319" w:rsidRDefault="00341319">
    <w:pPr>
      <w:pStyle w:val="Footer"/>
      <w:rPr>
        <w:rFonts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319" w:rsidRDefault="00324889">
      <w:pPr>
        <w:spacing w:after="0" w:line="240" w:lineRule="auto"/>
      </w:pPr>
      <w:r>
        <w:separator/>
      </w:r>
    </w:p>
  </w:footnote>
  <w:footnote w:type="continuationSeparator" w:id="0">
    <w:p w:rsidR="00341319" w:rsidRDefault="00324889">
      <w:pPr>
        <w:spacing w:after="0" w:line="240" w:lineRule="auto"/>
      </w:pPr>
      <w:r>
        <w:continuationSeparator/>
      </w:r>
    </w:p>
  </w:footnote>
  <w:footnote w:id="1">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341319" w:rsidRDefault="00324889">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Decision No. 1386</w:t>
      </w:r>
      <w:r>
        <w:rPr>
          <w:rFonts w:asciiTheme="minorHAnsi" w:hAnsiTheme="minorHAnsi"/>
          <w:sz w:val="16"/>
          <w:szCs w:val="16"/>
        </w:rPr>
        <w:t>/2013/EU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341319" w:rsidRDefault="00324889">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341319" w:rsidRDefault="00324889">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This EIR report does not cover climate change, chemicals and energy.</w:t>
      </w:r>
    </w:p>
  </w:footnote>
  <w:footnote w:id="5">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Wellbeing, equal and sustainable</w:t>
      </w:r>
    </w:p>
  </w:footnote>
  <w:footnote w:id="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p>
  </w:footnote>
  <w:footnote w:id="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5"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color w:val="auto"/>
          <w:sz w:val="16"/>
          <w:szCs w:val="16"/>
          <w:u w:val="none"/>
        </w:rPr>
        <w:t xml:space="preserve"> accessed October 2016</w:t>
      </w:r>
    </w:p>
  </w:footnote>
  <w:footnote w:id="9">
    <w:p w:rsidR="00341319" w:rsidRDefault="00324889">
      <w:pPr>
        <w:autoSpaceDE w:val="0"/>
        <w:autoSpaceDN w:val="0"/>
        <w:spacing w:after="0" w:line="240" w:lineRule="auto"/>
        <w:ind w:left="170" w:hanging="170"/>
        <w:rPr>
          <w:sz w:val="16"/>
          <w:szCs w:val="16"/>
        </w:rPr>
      </w:pPr>
      <w:r>
        <w:rPr>
          <w:rStyle w:val="FootnoteReference"/>
          <w:sz w:val="16"/>
          <w:szCs w:val="16"/>
          <w:vertAlign w:val="baseline"/>
        </w:rPr>
        <w:footnoteRef/>
      </w:r>
      <w:r>
        <w:rPr>
          <w:sz w:val="16"/>
          <w:szCs w:val="16"/>
        </w:rPr>
        <w:t xml:space="preserve"> For example the new EU co-financed </w:t>
      </w:r>
      <w:hyperlink r:id="rId6" w:history="1">
        <w:r>
          <w:rPr>
            <w:rStyle w:val="Hyperlink"/>
            <w:sz w:val="16"/>
            <w:szCs w:val="16"/>
          </w:rPr>
          <w:t>SCREEN</w:t>
        </w:r>
      </w:hyperlink>
      <w:r>
        <w:rPr>
          <w:sz w:val="16"/>
          <w:szCs w:val="16"/>
        </w:rPr>
        <w:t xml:space="preserve"> project (Synergic Circular Economy across European regioNs (SCREEN), funded by the Horizon 2020 programme involving Lazio and Lombardy.</w:t>
      </w:r>
    </w:p>
  </w:footnote>
  <w:footnote w:id="10">
    <w:p w:rsidR="00341319" w:rsidRDefault="00324889">
      <w:pPr>
        <w:pStyle w:val="FootnoteText"/>
      </w:pPr>
      <w:r>
        <w:rPr>
          <w:rStyle w:val="FootnoteReference"/>
        </w:rPr>
        <w:footnoteRef/>
      </w:r>
      <w:r>
        <w:t xml:space="preserve"> Ministry of Environment, </w:t>
      </w:r>
      <w:hyperlink r:id="rId7" w:history="1">
        <w:r>
          <w:rPr>
            <w:rStyle w:val="Hyperlink"/>
          </w:rPr>
          <w:t>Press Release</w:t>
        </w:r>
      </w:hyperlink>
      <w:r>
        <w:t>; Budget Law 232, 11.12.16, Art.9</w:t>
      </w:r>
    </w:p>
  </w:footnote>
  <w:footnote w:id="11">
    <w:p w:rsidR="00341319" w:rsidRDefault="00324889">
      <w:pPr>
        <w:pStyle w:val="FootnoteText"/>
        <w:widowControl w:val="0"/>
        <w:ind w:left="170" w:hanging="170"/>
        <w:rPr>
          <w:rFonts w:asciiTheme="minorHAnsi" w:hAnsiTheme="minorHAnsi"/>
          <w: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8" w:history="1">
        <w:r>
          <w:rPr>
            <w:rStyle w:val="Hyperlink"/>
            <w:rFonts w:asciiTheme="minorHAnsi" w:hAnsiTheme="minorHAnsi"/>
            <w:sz w:val="16"/>
            <w:szCs w:val="16"/>
            <w:lang w:val="it-IT"/>
          </w:rPr>
          <w:t>Collegato Ambientale</w:t>
        </w:r>
      </w:hyperlink>
      <w:r>
        <w:rPr>
          <w:rStyle w:val="Hyperlink"/>
          <w:rFonts w:asciiTheme="minorHAnsi" w:hAnsiTheme="minorHAnsi"/>
          <w:color w:val="auto"/>
          <w:sz w:val="16"/>
          <w:szCs w:val="16"/>
          <w:u w:val="none"/>
          <w:lang w:val="it-IT"/>
        </w:rPr>
        <w:t xml:space="preserve"> -Disposizioni in materia ambientale per promuovere misure di green economy e per il contenimento dell'uso eccessivo di risorse natura, Law n.221 of 28.12.2015, in force since 04.02.2016.</w:t>
      </w:r>
    </w:p>
  </w:footnote>
  <w:footnote w:id="12">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9" w:history="1">
        <w:r>
          <w:rPr>
            <w:rStyle w:val="Hyperlink"/>
            <w:rFonts w:asciiTheme="minorHAnsi" w:hAnsiTheme="minorHAnsi"/>
            <w:sz w:val="16"/>
            <w:szCs w:val="16"/>
            <w:lang w:val="it-IT"/>
          </w:rPr>
          <w:t>Disposizioni concernenti la donazione e la distribuzione di prodotti alimentari e farmaceutici a fini di solidarieta' sociale e per la limitazione degli sprechi</w:t>
        </w:r>
      </w:hyperlink>
      <w:r>
        <w:rPr>
          <w:rFonts w:asciiTheme="minorHAnsi" w:hAnsiTheme="minorHAnsi"/>
          <w:i/>
          <w:sz w:val="16"/>
          <w:szCs w:val="16"/>
          <w:lang w:val="it-IT"/>
        </w:rPr>
        <w:t xml:space="preserve">, </w:t>
      </w:r>
      <w:r>
        <w:rPr>
          <w:rFonts w:asciiTheme="minorHAnsi" w:hAnsiTheme="minorHAnsi"/>
          <w:sz w:val="16"/>
          <w:szCs w:val="16"/>
          <w:lang w:val="it-IT"/>
        </w:rPr>
        <w:t>Law n.166 of 1</w:t>
      </w:r>
      <w:r>
        <w:rPr>
          <w:rFonts w:asciiTheme="minorHAnsi" w:hAnsiTheme="minorHAnsi"/>
          <w:sz w:val="16"/>
          <w:szCs w:val="16"/>
          <w:lang w:val="it-IT"/>
        </w:rPr>
        <w:t>9.08.2016</w:t>
      </w:r>
    </w:p>
  </w:footnote>
  <w:footnote w:id="1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0" w:history="1">
        <w:r>
          <w:rPr>
            <w:rStyle w:val="Hyperlink"/>
            <w:rFonts w:asciiTheme="minorHAnsi" w:hAnsiTheme="minorHAnsi"/>
            <w:sz w:val="16"/>
            <w:szCs w:val="16"/>
          </w:rPr>
          <w:t>Brussels workshop 13.01.2016</w:t>
        </w:r>
      </w:hyperlink>
    </w:p>
  </w:footnote>
  <w:footnote w:id="14">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1" w:history="1">
        <w:r>
          <w:rPr>
            <w:rStyle w:val="Hyperlink"/>
            <w:rFonts w:asciiTheme="minorHAnsi" w:hAnsiTheme="minorHAnsi"/>
            <w:sz w:val="16"/>
            <w:szCs w:val="16"/>
          </w:rPr>
          <w:t>Rimateria</w:t>
        </w:r>
      </w:hyperlink>
    </w:p>
  </w:footnote>
  <w:footnote w:id="1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12"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1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Symbola, </w:t>
      </w:r>
      <w:hyperlink r:id="rId13" w:history="1">
        <w:r>
          <w:rPr>
            <w:rStyle w:val="Hyperlink"/>
            <w:rFonts w:asciiTheme="minorHAnsi" w:hAnsiTheme="minorHAnsi"/>
            <w:sz w:val="16"/>
            <w:szCs w:val="16"/>
          </w:rPr>
          <w:t>Press Release</w:t>
        </w:r>
      </w:hyperlink>
    </w:p>
  </w:footnote>
  <w:footnote w:id="1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4" w:history="1">
        <w:r>
          <w:rPr>
            <w:rStyle w:val="Hyperlink"/>
            <w:rFonts w:asciiTheme="minorHAnsi" w:hAnsiTheme="minorHAnsi"/>
            <w:sz w:val="16"/>
            <w:szCs w:val="16"/>
          </w:rPr>
          <w:t>States General</w:t>
        </w:r>
      </w:hyperlink>
      <w:r>
        <w:rPr>
          <w:rFonts w:asciiTheme="minorHAnsi" w:hAnsiTheme="minorHAnsi"/>
          <w:sz w:val="16"/>
          <w:szCs w:val="16"/>
        </w:rPr>
        <w:t xml:space="preserve"> </w:t>
      </w:r>
    </w:p>
  </w:footnote>
  <w:footnote w:id="18">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5" w:history="1">
        <w:r>
          <w:rPr>
            <w:rStyle w:val="Hyperlink"/>
            <w:rFonts w:asciiTheme="minorHAnsi" w:hAnsiTheme="minorHAnsi"/>
            <w:sz w:val="16"/>
            <w:szCs w:val="16"/>
          </w:rPr>
          <w:t>Italian Alliance for Sustainable Development</w:t>
        </w:r>
      </w:hyperlink>
      <w:r>
        <w:rPr>
          <w:rFonts w:asciiTheme="minorHAnsi" w:hAnsiTheme="minorHAnsi"/>
          <w:sz w:val="16"/>
          <w:szCs w:val="16"/>
        </w:rPr>
        <w:t xml:space="preserve"> </w:t>
      </w:r>
    </w:p>
  </w:footnote>
  <w:footnote w:id="1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6" w:history="1">
        <w:r>
          <w:rPr>
            <w:rStyle w:val="Hyperlink"/>
            <w:rFonts w:asciiTheme="minorHAnsi" w:hAnsiTheme="minorHAnsi"/>
            <w:sz w:val="16"/>
            <w:szCs w:val="16"/>
          </w:rPr>
          <w:t>A framework for Member States to support business in improving its resource efficiency</w:t>
        </w:r>
      </w:hyperlink>
      <w:r>
        <w:rPr>
          <w:rFonts w:asciiTheme="minorHAnsi" w:hAnsiTheme="minorHAnsi"/>
          <w:sz w:val="16"/>
          <w:szCs w:val="16"/>
        </w:rPr>
        <w:t xml:space="preserve">, 2015, study for the European Commission </w:t>
      </w:r>
    </w:p>
  </w:footnote>
  <w:footnote w:id="2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sz w:val="16"/>
          <w:szCs w:val="16"/>
        </w:rPr>
        <w:t>total R&amp;D expenditures as a share of GDP</w:t>
      </w:r>
    </w:p>
  </w:footnote>
  <w:footnote w:id="21">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Osservatorio Innovazione e Tecnologia per la Green Economy, T</w:t>
      </w:r>
      <w:hyperlink r:id="rId17" w:history="1">
        <w:r>
          <w:rPr>
            <w:rStyle w:val="Hyperlink"/>
            <w:rFonts w:asciiTheme="minorHAnsi" w:hAnsiTheme="minorHAnsi"/>
            <w:sz w:val="16"/>
            <w:szCs w:val="16"/>
            <w:lang w:val="it-IT"/>
          </w:rPr>
          <w:t xml:space="preserve">ecnologia e </w:t>
        </w:r>
        <w:r>
          <w:rPr>
            <w:rStyle w:val="Hyperlink"/>
            <w:rFonts w:asciiTheme="minorHAnsi" w:hAnsiTheme="minorHAnsi"/>
            <w:sz w:val="16"/>
            <w:szCs w:val="16"/>
            <w:lang w:val="it-IT"/>
          </w:rPr>
          <w:t>Innovazione nella Green Economy Italiana – Rapporto 2015</w:t>
        </w:r>
      </w:hyperlink>
    </w:p>
  </w:footnote>
  <w:footnote w:id="2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2015. </w:t>
      </w:r>
      <w:hyperlink r:id="rId18" w:history="1">
        <w:r>
          <w:rPr>
            <w:rStyle w:val="Hyperlink"/>
            <w:rFonts w:asciiTheme="minorHAnsi" w:hAnsiTheme="minorHAnsi"/>
            <w:sz w:val="16"/>
            <w:szCs w:val="16"/>
          </w:rPr>
          <w:t>Flash 426 Eurobarometer</w:t>
        </w:r>
      </w:hyperlink>
      <w:r>
        <w:rPr>
          <w:rFonts w:asciiTheme="minorHAnsi" w:hAnsiTheme="minorHAnsi"/>
          <w:sz w:val="16"/>
          <w:szCs w:val="16"/>
        </w:rPr>
        <w:t xml:space="preserve"> "SMEs, resource efficiency and green markets"</w:t>
      </w:r>
    </w:p>
  </w:footnote>
  <w:footnote w:id="2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Idem</w:t>
      </w:r>
    </w:p>
  </w:footnote>
  <w:footnote w:id="24">
    <w:p w:rsidR="00341319" w:rsidRDefault="00324889">
      <w:pPr>
        <w:pStyle w:val="FootnoteText"/>
        <w:widowControl w:val="0"/>
        <w:ind w:left="170" w:hanging="170"/>
        <w:rPr>
          <w:rFonts w:asciiTheme="minorHAnsi" w:hAnsiTheme="minorHAnsi"/>
          <w:sz w:val="16"/>
          <w:szCs w:val="16"/>
        </w:rPr>
      </w:pPr>
      <w:hyperlink r:id="rId19" w:history="1">
        <w:r>
          <w:rPr>
            <w:rStyle w:val="Hyperlink"/>
            <w:rFonts w:asciiTheme="minorHAnsi" w:hAnsiTheme="minorHAnsi"/>
            <w:color w:val="auto"/>
            <w:sz w:val="16"/>
            <w:szCs w:val="16"/>
            <w:u w:val="none"/>
          </w:rPr>
          <w:footnoteRef/>
        </w:r>
        <w:r>
          <w:rPr>
            <w:rStyle w:val="Hyperlink"/>
            <w:rFonts w:asciiTheme="minorHAnsi" w:hAnsiTheme="minorHAnsi"/>
            <w:color w:val="auto"/>
            <w:sz w:val="16"/>
            <w:szCs w:val="16"/>
            <w:u w:val="none"/>
          </w:rPr>
          <w:t xml:space="preserve"> </w:t>
        </w:r>
        <w:r>
          <w:rPr>
            <w:rStyle w:val="Hyperlink"/>
            <w:rFonts w:asciiTheme="minorHAnsi" w:hAnsiTheme="minorHAnsi"/>
            <w:sz w:val="16"/>
            <w:szCs w:val="16"/>
          </w:rPr>
          <w:t>European Commission, SMEs country sheets</w:t>
        </w:r>
      </w:hyperlink>
      <w:r>
        <w:rPr>
          <w:rFonts w:asciiTheme="minorHAnsi" w:hAnsiTheme="minorHAnsi"/>
          <w:sz w:val="16"/>
          <w:szCs w:val="16"/>
        </w:rPr>
        <w:t>, 2016</w:t>
      </w:r>
    </w:p>
  </w:footnote>
  <w:footnote w:id="2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Flash 426 Eurobarometer "SMEs, resource efficiency and green markets" defines "green job" as a job that directly </w:t>
      </w:r>
      <w:r>
        <w:rPr>
          <w:rFonts w:asciiTheme="minorHAnsi" w:hAnsiTheme="minorHAnsi"/>
          <w:sz w:val="16"/>
          <w:szCs w:val="16"/>
        </w:rPr>
        <w:t>deals with information, technologies, or materials that preserves or restores environmental quality. This requires specialised skills, knowledge, training, or experience (e.g. verifying compliance with environmental legislation, monitoring resource efficie</w:t>
      </w:r>
      <w:r>
        <w:rPr>
          <w:rFonts w:asciiTheme="minorHAnsi" w:hAnsiTheme="minorHAnsi"/>
          <w:sz w:val="16"/>
          <w:szCs w:val="16"/>
        </w:rPr>
        <w:t>ncy within the company, promoting and selling green products and services).</w:t>
      </w:r>
    </w:p>
  </w:footnote>
  <w:footnote w:id="2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RPA 2014, </w:t>
      </w:r>
      <w:hyperlink r:id="rId20" w:history="1">
        <w:r>
          <w:rPr>
            <w:rStyle w:val="Hyperlink"/>
            <w:rFonts w:asciiTheme="minorHAnsi" w:hAnsiTheme="minorHAnsi"/>
            <w:sz w:val="16"/>
            <w:szCs w:val="16"/>
          </w:rPr>
          <w:t>Economic and Social Benefits of Environmental Protection</w:t>
        </w:r>
        <w:r>
          <w:rPr>
            <w:rStyle w:val="Hyperlink"/>
            <w:rFonts w:asciiTheme="minorHAnsi" w:hAnsiTheme="minorHAnsi"/>
            <w:sz w:val="16"/>
            <w:szCs w:val="16"/>
          </w:rPr>
          <w:t xml:space="preserve"> and Resource Efficiency Related to the European Semester</w:t>
        </w:r>
      </w:hyperlink>
      <w:r>
        <w:rPr>
          <w:rFonts w:asciiTheme="minorHAnsi" w:hAnsiTheme="minorHAnsi"/>
          <w:sz w:val="16"/>
          <w:szCs w:val="16"/>
        </w:rPr>
        <w:t>, study for European Commission</w:t>
      </w:r>
    </w:p>
  </w:footnote>
  <w:footnote w:id="2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21" w:history="1">
        <w:r>
          <w:rPr>
            <w:rStyle w:val="Hyperlink"/>
            <w:rFonts w:asciiTheme="minorHAnsi" w:hAnsiTheme="minorHAnsi"/>
            <w:sz w:val="16"/>
            <w:szCs w:val="16"/>
          </w:rPr>
          <w:t>PRESOURCE</w:t>
        </w:r>
      </w:hyperlink>
    </w:p>
  </w:footnote>
  <w:footnote w:id="2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RPA, 2015. </w:t>
      </w:r>
      <w:hyperlink r:id="rId22" w:history="1">
        <w:r>
          <w:rPr>
            <w:rStyle w:val="Hyperlink"/>
            <w:rFonts w:asciiTheme="minorHAnsi" w:hAnsiTheme="minorHAnsi"/>
            <w:bCs/>
            <w:sz w:val="16"/>
            <w:szCs w:val="16"/>
          </w:rPr>
          <w:t>Assessing the Potential Cost Savings and Resource Savings of Investments in 4 SME sectors</w:t>
        </w:r>
      </w:hyperlink>
      <w:r>
        <w:rPr>
          <w:rFonts w:asciiTheme="minorHAnsi" w:hAnsiTheme="minorHAnsi"/>
          <w:bCs/>
          <w:sz w:val="16"/>
          <w:szCs w:val="16"/>
        </w:rPr>
        <w:t>, study for European Commission, p. 38 &amp; 30</w:t>
      </w:r>
    </w:p>
  </w:footnote>
  <w:footnote w:id="2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EFSI</w:t>
      </w:r>
      <w:r>
        <w:rPr>
          <w:rStyle w:val="Hyperlink"/>
          <w:rFonts w:asciiTheme="minorHAnsi" w:hAnsiTheme="minorHAnsi"/>
          <w:sz w:val="16"/>
          <w:szCs w:val="16"/>
        </w:rPr>
        <w:t xml:space="preserve"> – </w:t>
      </w:r>
      <w:hyperlink r:id="rId23" w:history="1">
        <w:r>
          <w:rPr>
            <w:rStyle w:val="Hyperlink"/>
            <w:rFonts w:asciiTheme="minorHAnsi" w:hAnsiTheme="minorHAnsi"/>
            <w:sz w:val="16"/>
            <w:szCs w:val="16"/>
          </w:rPr>
          <w:t>Country Sheet Italy</w:t>
        </w:r>
      </w:hyperlink>
    </w:p>
  </w:footnote>
  <w:footnote w:id="3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24" w:history="1">
        <w:r>
          <w:rPr>
            <w:rStyle w:val="Hyperlink"/>
            <w:rFonts w:asciiTheme="minorHAnsi" w:hAnsiTheme="minorHAnsi"/>
            <w:sz w:val="16"/>
            <w:szCs w:val="16"/>
          </w:rPr>
          <w:t>Eco-Innovation Observa</w:t>
        </w:r>
        <w:r>
          <w:rPr>
            <w:rStyle w:val="Hyperlink"/>
            <w:rFonts w:asciiTheme="minorHAnsi" w:hAnsiTheme="minorHAnsi"/>
            <w:sz w:val="16"/>
            <w:szCs w:val="16"/>
          </w:rPr>
          <w:t>tory</w:t>
        </w:r>
      </w:hyperlink>
      <w:r>
        <w:rPr>
          <w:rFonts w:asciiTheme="minorHAnsi" w:hAnsiTheme="minorHAnsi"/>
          <w:sz w:val="16"/>
          <w:szCs w:val="16"/>
        </w:rPr>
        <w:t>, p.12</w:t>
      </w:r>
    </w:p>
  </w:footnote>
  <w:footnote w:id="31">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25" w:history="1">
        <w:r>
          <w:rPr>
            <w:rStyle w:val="Hyperlink"/>
            <w:rFonts w:asciiTheme="minorHAnsi" w:hAnsiTheme="minorHAnsi"/>
            <w:sz w:val="16"/>
            <w:szCs w:val="16"/>
            <w:lang w:val="it-IT"/>
          </w:rPr>
          <w:t>Milan Expo</w:t>
        </w:r>
      </w:hyperlink>
      <w:r>
        <w:rPr>
          <w:rFonts w:asciiTheme="minorHAnsi" w:hAnsiTheme="minorHAnsi"/>
          <w:sz w:val="16"/>
          <w:szCs w:val="16"/>
          <w:lang w:val="it-IT"/>
        </w:rPr>
        <w:t xml:space="preserve"> </w:t>
      </w:r>
    </w:p>
  </w:footnote>
  <w:footnote w:id="3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Antonioli, D., Mancinelli, S., &amp; Mazzanti, M. (2013). </w:t>
      </w:r>
      <w:r>
        <w:rPr>
          <w:rFonts w:asciiTheme="minorHAnsi" w:hAnsiTheme="minorHAnsi"/>
          <w:sz w:val="16"/>
          <w:szCs w:val="16"/>
        </w:rPr>
        <w:t>Is environmental innovation embedded within high-performance organisational changes? The role of human resource managemen</w:t>
      </w:r>
      <w:r>
        <w:rPr>
          <w:rFonts w:asciiTheme="minorHAnsi" w:hAnsiTheme="minorHAnsi"/>
          <w:sz w:val="16"/>
          <w:szCs w:val="16"/>
        </w:rPr>
        <w:t xml:space="preserve">t and complementarity in green business strategies. </w:t>
      </w:r>
      <w:r>
        <w:rPr>
          <w:rFonts w:asciiTheme="minorHAnsi" w:hAnsiTheme="minorHAnsi"/>
          <w:i/>
          <w:sz w:val="16"/>
          <w:szCs w:val="16"/>
        </w:rPr>
        <w:t>Research Policy</w:t>
      </w:r>
      <w:r>
        <w:rPr>
          <w:rFonts w:asciiTheme="minorHAnsi" w:hAnsiTheme="minorHAnsi"/>
          <w:sz w:val="16"/>
          <w:szCs w:val="16"/>
        </w:rPr>
        <w:t>, 42(4), 975-988.</w:t>
      </w:r>
    </w:p>
  </w:footnote>
  <w:footnote w:id="3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26" w:history="1">
        <w:r>
          <w:rPr>
            <w:rStyle w:val="Hyperlink"/>
            <w:rFonts w:asciiTheme="minorHAnsi" w:hAnsiTheme="minorHAnsi"/>
            <w:sz w:val="16"/>
            <w:szCs w:val="16"/>
          </w:rPr>
          <w:t>European Cluster Observatory</w:t>
        </w:r>
      </w:hyperlink>
    </w:p>
  </w:footnote>
  <w:footnote w:id="3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27" w:history="1">
        <w:r>
          <w:rPr>
            <w:rStyle w:val="Hyperlink"/>
            <w:rFonts w:asciiTheme="minorHAnsi" w:hAnsiTheme="minorHAnsi"/>
            <w:sz w:val="16"/>
            <w:szCs w:val="16"/>
          </w:rPr>
          <w:t>2016 REGIOSTARS</w:t>
        </w:r>
      </w:hyperlink>
      <w:r>
        <w:rPr>
          <w:rFonts w:asciiTheme="minorHAnsi" w:hAnsiTheme="minorHAnsi"/>
          <w:sz w:val="16"/>
          <w:szCs w:val="16"/>
        </w:rPr>
        <w:t xml:space="preserve"> finalists</w:t>
      </w:r>
    </w:p>
  </w:footnote>
  <w:footnote w:id="3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28"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3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Cainelli, G., D’Amato, A., &amp; Mazzanti, M. (2015). Adoption o</w:t>
      </w:r>
      <w:r>
        <w:rPr>
          <w:rFonts w:asciiTheme="minorHAnsi" w:hAnsiTheme="minorHAnsi"/>
          <w:sz w:val="16"/>
          <w:szCs w:val="16"/>
        </w:rPr>
        <w:t xml:space="preserve">f waste-reducing technology in manufacturing: Regional factors and policy issues. </w:t>
      </w:r>
      <w:r>
        <w:rPr>
          <w:rFonts w:asciiTheme="minorHAnsi" w:hAnsiTheme="minorHAnsi"/>
          <w:i/>
          <w:sz w:val="16"/>
          <w:szCs w:val="16"/>
        </w:rPr>
        <w:t>Resource and Energy Economics</w:t>
      </w:r>
      <w:r>
        <w:rPr>
          <w:rFonts w:asciiTheme="minorHAnsi" w:hAnsiTheme="minorHAnsi"/>
          <w:sz w:val="16"/>
          <w:szCs w:val="16"/>
        </w:rPr>
        <w:t>, 39, 53-67</w:t>
      </w:r>
    </w:p>
  </w:footnote>
  <w:footnote w:id="3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Waste Management Plans/Waste Prevention Programmes</w:t>
      </w:r>
    </w:p>
  </w:footnote>
  <w:footnote w:id="38">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29" w:history="1">
        <w:r>
          <w:rPr>
            <w:rStyle w:val="Hyperlink"/>
            <w:rFonts w:asciiTheme="minorHAnsi" w:hAnsiTheme="minorHAnsi"/>
            <w:sz w:val="16"/>
            <w:szCs w:val="16"/>
          </w:rPr>
          <w:t>Municipal waste and treatment, by type of treatment method,</w:t>
        </w:r>
      </w:hyperlink>
      <w:r>
        <w:rPr>
          <w:rFonts w:asciiTheme="minorHAnsi" w:hAnsiTheme="minorHAnsi"/>
          <w:sz w:val="16"/>
          <w:szCs w:val="16"/>
        </w:rPr>
        <w:t xml:space="preserve"> accessed October 2016</w:t>
      </w:r>
    </w:p>
  </w:footnote>
  <w:footnote w:id="3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Municipal waste consists of waste collected by or on behalf of </w:t>
      </w:r>
      <w:r>
        <w:rPr>
          <w:rFonts w:asciiTheme="minorHAnsi" w:hAnsiTheme="minorHAnsi"/>
          <w:sz w:val="16"/>
          <w:szCs w:val="16"/>
        </w:rPr>
        <w:t>municipal authorities, or directly by the private sector (business or private non-profit institutions) not on behalf of municipalities.</w:t>
      </w:r>
    </w:p>
  </w:footnote>
  <w:footnote w:id="40">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30" w:history="1">
        <w:r>
          <w:rPr>
            <w:rStyle w:val="Hyperlink"/>
            <w:rFonts w:asciiTheme="minorHAnsi" w:hAnsiTheme="minorHAnsi"/>
            <w:sz w:val="16"/>
            <w:szCs w:val="16"/>
          </w:rPr>
          <w:t>Recycling rate of municipal waste</w:t>
        </w:r>
      </w:hyperlink>
      <w:r>
        <w:rPr>
          <w:rFonts w:asciiTheme="minorHAnsi" w:hAnsiTheme="minorHAnsi"/>
          <w:sz w:val="16"/>
          <w:szCs w:val="16"/>
        </w:rPr>
        <w:t xml:space="preserve">, accessed </w:t>
      </w:r>
      <w:r>
        <w:rPr>
          <w:rStyle w:val="Hyperlink"/>
          <w:rFonts w:asciiTheme="minorHAnsi" w:hAnsiTheme="minorHAnsi" w:cstheme="minorHAnsi"/>
          <w:color w:val="auto"/>
          <w:sz w:val="16"/>
          <w:szCs w:val="16"/>
          <w:u w:val="none"/>
        </w:rPr>
        <w:t>October 2016</w:t>
      </w:r>
    </w:p>
  </w:footnote>
  <w:footnote w:id="4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Member States may choose a different method than the one used by Eurostat (and referred to in this report) to calculate their recycling rates and track compliance with the 2020 target of 50% </w:t>
      </w:r>
      <w:r>
        <w:rPr>
          <w:rFonts w:asciiTheme="minorHAnsi" w:hAnsiTheme="minorHAnsi"/>
          <w:sz w:val="16"/>
          <w:szCs w:val="16"/>
        </w:rPr>
        <w:t>recycling of municipal waste.</w:t>
      </w:r>
    </w:p>
  </w:footnote>
  <w:footnote w:id="42">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Italy has introduced measures to increase separated collection and recycling since 1997.</w:t>
      </w:r>
    </w:p>
  </w:footnote>
  <w:footnote w:id="43">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ISPRA </w:t>
      </w:r>
      <w:hyperlink r:id="rId31" w:history="1">
        <w:r>
          <w:rPr>
            <w:rStyle w:val="Hyperlink"/>
            <w:rFonts w:asciiTheme="minorHAnsi" w:hAnsiTheme="minorHAnsi"/>
            <w:sz w:val="16"/>
            <w:szCs w:val="16"/>
            <w:lang w:val="it-IT"/>
          </w:rPr>
          <w:t>Rapporto Rifiuti Urbani</w:t>
        </w:r>
      </w:hyperlink>
      <w:r>
        <w:rPr>
          <w:rFonts w:asciiTheme="minorHAnsi" w:hAnsiTheme="minorHAnsi"/>
          <w:sz w:val="16"/>
          <w:szCs w:val="16"/>
          <w:lang w:val="it-IT"/>
        </w:rPr>
        <w:t xml:space="preserve"> Edizione 2015, p.57</w:t>
      </w:r>
    </w:p>
  </w:footnote>
  <w:footnote w:id="4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Mazzanti M and Montini A (2014),  Waste management beyond the Italian north-south divide: spatial analyses of geographical, economic and institutional dimensions, in </w:t>
      </w:r>
      <w:r>
        <w:rPr>
          <w:rFonts w:asciiTheme="minorHAnsi" w:hAnsiTheme="minorHAnsi"/>
          <w:i/>
          <w:sz w:val="16"/>
          <w:szCs w:val="16"/>
          <w:lang w:val="it-IT"/>
        </w:rPr>
        <w:t>Handbook on waste management</w:t>
      </w:r>
      <w:r>
        <w:rPr>
          <w:rFonts w:asciiTheme="minorHAnsi" w:hAnsiTheme="minorHAnsi"/>
          <w:sz w:val="16"/>
          <w:szCs w:val="16"/>
          <w:lang w:val="it-IT"/>
        </w:rPr>
        <w:t xml:space="preserve"> T. Kinnaman &amp; K. Takeuchi eds. </w:t>
      </w:r>
      <w:r>
        <w:rPr>
          <w:rFonts w:asciiTheme="minorHAnsi" w:hAnsiTheme="minorHAnsi"/>
          <w:sz w:val="16"/>
          <w:szCs w:val="16"/>
        </w:rPr>
        <w:t>(E. Elgar).</w:t>
      </w:r>
    </w:p>
  </w:footnote>
  <w:footnote w:id="45">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2016, </w:t>
      </w:r>
      <w:hyperlink r:id="rId32" w:history="1">
        <w:r>
          <w:rPr>
            <w:rStyle w:val="Hyperlink"/>
            <w:rFonts w:asciiTheme="minorHAnsi" w:hAnsiTheme="minorHAnsi"/>
            <w:sz w:val="16"/>
            <w:szCs w:val="16"/>
          </w:rPr>
          <w:t>Municipal Waste Management Country Fact Sheet</w:t>
        </w:r>
      </w:hyperlink>
      <w:r>
        <w:rPr>
          <w:rFonts w:asciiTheme="minorHAnsi" w:hAnsiTheme="minorHAnsi"/>
          <w:sz w:val="16"/>
          <w:szCs w:val="16"/>
        </w:rPr>
        <w:t>, p.19</w:t>
      </w:r>
    </w:p>
  </w:footnote>
  <w:footnote w:id="46">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33" w:history="1">
        <w:r>
          <w:rPr>
            <w:rStyle w:val="Hyperlink"/>
            <w:rFonts w:asciiTheme="minorHAnsi" w:hAnsiTheme="minorHAnsi"/>
            <w:sz w:val="16"/>
            <w:szCs w:val="16"/>
            <w:lang w:val="it-IT"/>
          </w:rPr>
          <w:t>European Commission roadmap</w:t>
        </w:r>
      </w:hyperlink>
      <w:r>
        <w:rPr>
          <w:rFonts w:asciiTheme="minorHAnsi" w:hAnsiTheme="minorHAnsi"/>
          <w:sz w:val="16"/>
          <w:szCs w:val="16"/>
          <w:lang w:val="it-IT"/>
        </w:rPr>
        <w:t xml:space="preserve"> </w:t>
      </w:r>
    </w:p>
  </w:footnote>
  <w:footnote w:id="47">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EFSI – </w:t>
      </w:r>
      <w:hyperlink r:id="rId34" w:history="1">
        <w:r>
          <w:rPr>
            <w:rStyle w:val="Hyperlink"/>
            <w:rFonts w:asciiTheme="minorHAnsi" w:hAnsiTheme="minorHAnsi"/>
            <w:sz w:val="16"/>
            <w:szCs w:val="16"/>
            <w:lang w:val="it-IT"/>
          </w:rPr>
          <w:t>Aimag Settore Idrico e Ambiente</w:t>
        </w:r>
      </w:hyperlink>
    </w:p>
  </w:footnote>
  <w:footnote w:id="48">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35" w:history="1">
        <w:r>
          <w:rPr>
            <w:rStyle w:val="Hyperlink"/>
            <w:rFonts w:asciiTheme="minorHAnsi" w:hAnsiTheme="minorHAnsi"/>
            <w:sz w:val="16"/>
            <w:szCs w:val="16"/>
          </w:rPr>
          <w:t>Municipal waste and treatment, by type of treatment method,</w:t>
        </w:r>
      </w:hyperlink>
      <w:r>
        <w:rPr>
          <w:rFonts w:asciiTheme="minorHAnsi" w:hAnsiTheme="minorHAnsi"/>
          <w:sz w:val="16"/>
          <w:szCs w:val="16"/>
        </w:rPr>
        <w:t xml:space="preserve"> accessed October 2016</w:t>
      </w:r>
    </w:p>
  </w:footnote>
  <w:footnote w:id="49">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36" w:history="1">
        <w:r>
          <w:rPr>
            <w:rStyle w:val="Hyperlink"/>
            <w:rFonts w:asciiTheme="minorHAnsi" w:hAnsiTheme="minorHAnsi"/>
            <w:sz w:val="16"/>
            <w:szCs w:val="16"/>
          </w:rPr>
          <w:t>Decree Law N° 133</w:t>
        </w:r>
      </w:hyperlink>
      <w:r>
        <w:rPr>
          <w:rFonts w:asciiTheme="minorHAnsi" w:hAnsiTheme="minorHAnsi"/>
          <w:sz w:val="16"/>
          <w:szCs w:val="16"/>
        </w:rPr>
        <w:t xml:space="preserve"> of 12.09.2014</w:t>
      </w:r>
    </w:p>
  </w:footnote>
  <w:footnote w:id="50">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37" w:history="1">
        <w:r>
          <w:rPr>
            <w:rStyle w:val="Hyperlink"/>
            <w:rFonts w:asciiTheme="minorHAnsi" w:hAnsiTheme="minorHAnsi"/>
            <w:sz w:val="16"/>
            <w:szCs w:val="16"/>
          </w:rPr>
          <w:t>Decree DPCM</w:t>
        </w:r>
      </w:hyperlink>
      <w:r>
        <w:rPr>
          <w:rFonts w:asciiTheme="minorHAnsi" w:hAnsiTheme="minorHAnsi"/>
          <w:sz w:val="16"/>
          <w:szCs w:val="16"/>
        </w:rPr>
        <w:t xml:space="preserve"> 10.08.2016</w:t>
      </w:r>
    </w:p>
  </w:footnote>
  <w:footnote w:id="5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ISPRA </w:t>
      </w:r>
      <w:hyperlink r:id="rId38" w:history="1">
        <w:r>
          <w:rPr>
            <w:rStyle w:val="Hyperlink"/>
            <w:rFonts w:asciiTheme="minorHAnsi" w:hAnsiTheme="minorHAnsi"/>
            <w:sz w:val="16"/>
            <w:szCs w:val="16"/>
            <w:lang w:val="it-IT"/>
          </w:rPr>
          <w:t>Rapporto Rifiuti Urbani</w:t>
        </w:r>
      </w:hyperlink>
      <w:r>
        <w:rPr>
          <w:rFonts w:asciiTheme="minorHAnsi" w:hAnsiTheme="minorHAnsi"/>
          <w:sz w:val="16"/>
          <w:szCs w:val="16"/>
          <w:lang w:val="it-IT"/>
        </w:rPr>
        <w:t xml:space="preserve"> Edizione 2015</w:t>
      </w:r>
    </w:p>
  </w:footnote>
  <w:footnote w:id="52">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39" w:history="1">
        <w:r>
          <w:rPr>
            <w:rStyle w:val="Hyperlink"/>
            <w:rFonts w:asciiTheme="minorHAnsi" w:hAnsiTheme="minorHAnsi"/>
            <w:sz w:val="16"/>
            <w:szCs w:val="16"/>
            <w:lang w:val="it-IT"/>
          </w:rPr>
          <w:t>Decree DCPM</w:t>
        </w:r>
      </w:hyperlink>
      <w:r>
        <w:rPr>
          <w:rFonts w:asciiTheme="minorHAnsi" w:hAnsiTheme="minorHAnsi"/>
          <w:sz w:val="16"/>
          <w:szCs w:val="16"/>
          <w:lang w:val="it-IT"/>
        </w:rPr>
        <w:t xml:space="preserve"> 07.03.2016</w:t>
      </w:r>
    </w:p>
  </w:footnote>
  <w:footnote w:id="53">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Consorzio Italiano Compostatori, presentation, Waste D</w:t>
      </w:r>
      <w:r>
        <w:rPr>
          <w:rFonts w:asciiTheme="minorHAnsi" w:hAnsiTheme="minorHAnsi"/>
          <w:sz w:val="16"/>
          <w:szCs w:val="16"/>
          <w:lang w:val="it-IT"/>
        </w:rPr>
        <w:t>irectors, Brussels, 26.10.2016</w:t>
      </w:r>
    </w:p>
  </w:footnote>
  <w:footnote w:id="54">
    <w:p w:rsidR="00341319" w:rsidRDefault="00324889">
      <w:pPr>
        <w:pStyle w:val="FootnoteText"/>
        <w:ind w:left="170" w:hanging="170"/>
        <w:rPr>
          <w:rFonts w:asciiTheme="minorHAnsi" w:hAnsiTheme="minorHAnsi"/>
          <w:sz w:val="16"/>
          <w:szCs w:val="16"/>
          <w:lang w:val="en-US"/>
        </w:rPr>
      </w:pPr>
      <w:r>
        <w:rPr>
          <w:rStyle w:val="FootnoteReference"/>
          <w:rFonts w:asciiTheme="minorHAnsi" w:hAnsiTheme="minorHAnsi"/>
          <w:sz w:val="16"/>
          <w:szCs w:val="16"/>
          <w:vertAlign w:val="baseline"/>
        </w:rPr>
        <w:footnoteRef/>
      </w:r>
      <w:r>
        <w:rPr>
          <w:rFonts w:asciiTheme="minorHAnsi" w:hAnsiTheme="minorHAnsi"/>
          <w:sz w:val="16"/>
          <w:szCs w:val="16"/>
          <w:lang w:val="en-US"/>
        </w:rPr>
        <w:t xml:space="preserve"> </w:t>
      </w:r>
      <w:r>
        <w:rPr>
          <w:rFonts w:asciiTheme="minorHAnsi" w:hAnsiTheme="minorHAnsi"/>
          <w:sz w:val="16"/>
          <w:szCs w:val="16"/>
        </w:rPr>
        <w:t xml:space="preserve">Bio Intelligence service, 2011. </w:t>
      </w:r>
      <w:hyperlink r:id="rId40"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study for the European Commission</w:t>
      </w:r>
    </w:p>
  </w:footnote>
  <w:footnote w:id="5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w:t>
      </w:r>
      <w:hyperlink r:id="rId41" w:history="1">
        <w:r>
          <w:rPr>
            <w:rStyle w:val="Hyperlink"/>
            <w:rFonts w:asciiTheme="minorHAnsi" w:hAnsiTheme="minorHAnsi"/>
            <w:sz w:val="16"/>
            <w:szCs w:val="16"/>
          </w:rPr>
          <w:t>Roadmap</w:t>
        </w:r>
      </w:hyperlink>
      <w:r>
        <w:rPr>
          <w:rFonts w:asciiTheme="minorHAnsi" w:hAnsiTheme="minorHAnsi"/>
          <w:sz w:val="16"/>
          <w:szCs w:val="16"/>
        </w:rPr>
        <w:t xml:space="preserve"> </w:t>
      </w:r>
      <w:r>
        <w:rPr>
          <w:rFonts w:asciiTheme="minorHAnsi" w:hAnsiTheme="minorHAnsi"/>
          <w:sz w:val="16"/>
          <w:szCs w:val="16"/>
          <w:lang w:val="en"/>
        </w:rPr>
        <w:t>outlines how we can transform Europe's economy into a sustainable one by 2050.</w:t>
      </w:r>
    </w:p>
  </w:footnote>
  <w:footnote w:id="56">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ISPRA </w:t>
      </w:r>
      <w:hyperlink r:id="rId42" w:history="1">
        <w:r>
          <w:rPr>
            <w:rStyle w:val="Hyperlink"/>
            <w:rFonts w:asciiTheme="minorHAnsi" w:hAnsiTheme="minorHAnsi"/>
            <w:sz w:val="16"/>
            <w:szCs w:val="16"/>
            <w:lang w:val="it-IT"/>
          </w:rPr>
          <w:t>Rapporto Rifiuti Urbani</w:t>
        </w:r>
      </w:hyperlink>
      <w:r>
        <w:rPr>
          <w:rFonts w:asciiTheme="minorHAnsi" w:hAnsiTheme="minorHAnsi"/>
          <w:sz w:val="16"/>
          <w:szCs w:val="16"/>
          <w:lang w:val="it-IT"/>
        </w:rPr>
        <w:t xml:space="preserve"> Edizione 2015, p.36</w:t>
      </w:r>
    </w:p>
  </w:footnote>
  <w:footnote w:id="57">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Programma Nazionale di Riforma 2016, April 2016, p.58</w:t>
      </w:r>
    </w:p>
  </w:footnote>
  <w:footnote w:id="58">
    <w:p w:rsidR="00341319" w:rsidRDefault="00324889">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Sites of Community Importance (SCIs) are designated pursu</w:t>
      </w:r>
      <w:r>
        <w:rPr>
          <w:rFonts w:asciiTheme="minorHAnsi" w:hAnsiTheme="minorHAnsi"/>
          <w:sz w:val="16"/>
          <w:szCs w:val="16"/>
        </w:rPr>
        <w:t xml:space="preserve">ant to the Habitats Directive whereas Special Areas of Protection (SPAs) are designated pursuant to the Birds Directive; figures of coverage do not add up due to the fact that some SCIs and SPAs overlap. Special Areas of Conservation (SACs) </w:t>
      </w:r>
      <w:r>
        <w:rPr>
          <w:rFonts w:asciiTheme="minorHAnsi" w:hAnsiTheme="minorHAnsi"/>
          <w:sz w:val="16"/>
          <w:szCs w:val="16"/>
          <w:lang w:val="en"/>
        </w:rPr>
        <w:t>means a SCI des</w:t>
      </w:r>
      <w:r>
        <w:rPr>
          <w:rFonts w:asciiTheme="minorHAnsi" w:hAnsiTheme="minorHAnsi"/>
          <w:sz w:val="16"/>
          <w:szCs w:val="16"/>
          <w:lang w:val="en"/>
        </w:rPr>
        <w:t>ignated by the Member States.</w:t>
      </w:r>
    </w:p>
  </w:footnote>
  <w:footnote w:id="5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represented by the sites designated to date. This is expressed as a percent</w:t>
      </w:r>
      <w:r>
        <w:rPr>
          <w:rFonts w:asciiTheme="minorHAnsi" w:hAnsiTheme="minorHAnsi"/>
          <w:sz w:val="16"/>
          <w:szCs w:val="16"/>
        </w:rPr>
        <w:t xml:space="preserve">age of species and habitats for which further areas need to be designated in order to complete the network in that country. </w:t>
      </w:r>
      <w:hyperlink r:id="rId43" w:history="1">
        <w:r>
          <w:rPr>
            <w:rStyle w:val="Hyperlink"/>
            <w:rFonts w:asciiTheme="minorHAnsi" w:hAnsiTheme="minorHAnsi"/>
            <w:sz w:val="16"/>
            <w:szCs w:val="16"/>
          </w:rPr>
          <w:t>The current data</w:t>
        </w:r>
      </w:hyperlink>
      <w:r>
        <w:rPr>
          <w:rFonts w:asciiTheme="minorHAnsi" w:hAnsiTheme="minorHAnsi"/>
          <w:sz w:val="16"/>
          <w:szCs w:val="16"/>
        </w:rPr>
        <w:t>, which were accesse</w:t>
      </w:r>
      <w:r>
        <w:rPr>
          <w:rFonts w:asciiTheme="minorHAnsi" w:hAnsiTheme="minorHAnsi"/>
          <w:sz w:val="16"/>
          <w:szCs w:val="16"/>
        </w:rPr>
        <w:t>d in 2014-15, reflect the situation up until December 2013.</w:t>
      </w:r>
    </w:p>
  </w:footnote>
  <w:footnote w:id="60">
    <w:p w:rsidR="00341319" w:rsidRDefault="00324889">
      <w:pPr>
        <w:pStyle w:val="FootnoteText"/>
        <w:ind w:left="170" w:hanging="170"/>
      </w:pPr>
      <w:r>
        <w:rPr>
          <w:rStyle w:val="FootnoteReference"/>
          <w:rFonts w:asciiTheme="minorHAnsi" w:hAnsiTheme="minorHAnsi"/>
          <w:vertAlign w:val="baseline"/>
        </w:rPr>
        <w:footnoteRef/>
      </w:r>
      <w:r>
        <w:rPr>
          <w:rFonts w:asciiTheme="minorHAnsi" w:hAnsiTheme="minorHAnsi"/>
        </w:rPr>
        <w:t xml:space="preserve"> </w:t>
      </w:r>
      <w:r>
        <w:rPr>
          <w:rFonts w:asciiTheme="minorHAnsi" w:hAnsiTheme="minorHAnsi"/>
          <w:sz w:val="16"/>
          <w:szCs w:val="16"/>
        </w:rPr>
        <w:t xml:space="preserve">The percentages in Figure 5 refer to percentages of the total number of assessments (one assessment covering 1 species or 1 habitat in a given biographical region with the Member State); if a </w:t>
      </w:r>
      <w:r>
        <w:rPr>
          <w:rFonts w:asciiTheme="minorHAnsi" w:hAnsiTheme="minorHAnsi"/>
          <w:sz w:val="16"/>
          <w:szCs w:val="16"/>
        </w:rPr>
        <w:t>habitat type or a species occurs in more than 1 Biogeographic region within a given Member State, there will be as many individual assessments as there are Biogeographic regions with an occurrence of that species or habitat in this Member</w:t>
      </w:r>
      <w:r>
        <w:rPr>
          <w:sz w:val="16"/>
          <w:szCs w:val="16"/>
        </w:rPr>
        <w:t xml:space="preserve"> State.</w:t>
      </w:r>
    </w:p>
  </w:footnote>
  <w:footnote w:id="6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w:t>
      </w:r>
      <w:r>
        <w:rPr>
          <w:rFonts w:asciiTheme="minorHAnsi" w:hAnsiTheme="minorHAnsi"/>
          <w:sz w:val="16"/>
          <w:szCs w:val="16"/>
        </w:rPr>
        <w:t xml:space="preserve"> Commission, internal assessment.</w:t>
      </w:r>
    </w:p>
  </w:footnote>
  <w:footnote w:id="6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core of the ‘Article 17’ report is the assessment of conservation status of the habitats and species targeted by the Habitats Directive.</w:t>
      </w:r>
    </w:p>
  </w:footnote>
  <w:footnote w:id="6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Conservation status is assessed using a standard methodology as being either </w:t>
      </w:r>
      <w:r>
        <w:rPr>
          <w:rFonts w:asciiTheme="minorHAnsi" w:hAnsiTheme="minorHAnsi"/>
          <w:sz w:val="16"/>
          <w:szCs w:val="16"/>
        </w:rPr>
        <w:t xml:space="preserve">‘favourable’, ‘unfavourable-inadequate’ and ‘unfavourable-bad’, based on four parameters as defined in Article 1 of the Habitats Directive. </w:t>
      </w:r>
    </w:p>
  </w:footnote>
  <w:footnote w:id="6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Please note that a direct comparison between 2007 and 2013 data is complicated by the fact that Bulgaria and Roma</w:t>
      </w:r>
      <w:r>
        <w:rPr>
          <w:rFonts w:asciiTheme="minorHAnsi" w:hAnsiTheme="minorHAnsi"/>
          <w:sz w:val="16"/>
          <w:szCs w:val="16"/>
        </w:rPr>
        <w:t>nia were not covered by the 2007 reporting cycle, that the ‘unknown’ assessments have strongly diminished particularly for species, and that some reported changes are not genuine as they result from improved data / monitoring methods.</w:t>
      </w:r>
    </w:p>
  </w:footnote>
  <w:footnote w:id="65">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w:t>
      </w:r>
      <w:r>
        <w:rPr>
          <w:rFonts w:asciiTheme="minorHAnsi" w:hAnsiTheme="minorHAnsi" w:cstheme="minorHAnsi"/>
          <w:iCs/>
          <w:sz w:val="16"/>
          <w:szCs w:val="16"/>
        </w:rPr>
        <w:t xml:space="preserve">the percentage of biogeographical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w:t>
      </w:r>
      <w:r>
        <w:rPr>
          <w:rFonts w:asciiTheme="minorHAnsi" w:hAnsiTheme="minorHAnsi"/>
          <w:sz w:val="16"/>
          <w:szCs w:val="16"/>
        </w:rPr>
        <w:t xml:space="preserve">Article 17 of the Habitats Directive reporting - </w:t>
      </w:r>
      <w:hyperlink r:id="rId44" w:history="1">
        <w:r>
          <w:rPr>
            <w:rStyle w:val="Hyperlink"/>
            <w:rFonts w:asciiTheme="minorHAnsi" w:hAnsiTheme="minorHAnsi"/>
            <w:sz w:val="16"/>
            <w:szCs w:val="16"/>
          </w:rPr>
          <w:t>national summary of Italy</w:t>
        </w:r>
      </w:hyperlink>
    </w:p>
  </w:footnote>
  <w:footnote w:id="66">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Agricultural Fund for Rural Development</w:t>
      </w:r>
    </w:p>
  </w:footnote>
  <w:footnote w:id="6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45" w:history="1">
        <w:r>
          <w:rPr>
            <w:rStyle w:val="Hyperlink"/>
            <w:rFonts w:asciiTheme="minorHAnsi" w:hAnsiTheme="minorHAnsi"/>
            <w:sz w:val="16"/>
            <w:szCs w:val="16"/>
          </w:rPr>
          <w:t>GESTIRE 2020 LIFE integrated project</w:t>
        </w:r>
      </w:hyperlink>
      <w:r>
        <w:rPr>
          <w:rFonts w:asciiTheme="minorHAnsi" w:hAnsiTheme="minorHAnsi"/>
          <w:sz w:val="16"/>
          <w:szCs w:val="16"/>
        </w:rPr>
        <w:t xml:space="preserve"> </w:t>
      </w:r>
    </w:p>
  </w:footnote>
  <w:footnote w:id="6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Article 12 of the Birds Directive reporting - </w:t>
      </w:r>
      <w:hyperlink r:id="rId46" w:history="1">
        <w:r>
          <w:rPr>
            <w:rStyle w:val="Hyperlink"/>
            <w:rFonts w:asciiTheme="minorHAnsi" w:hAnsiTheme="minorHAnsi"/>
            <w:sz w:val="16"/>
            <w:szCs w:val="16"/>
          </w:rPr>
          <w:t>national summary of Italy</w:t>
        </w:r>
      </w:hyperlink>
    </w:p>
  </w:footnote>
  <w:footnote w:id="6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70">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Programma Nazionale di Riforma 2016, April 2016, p.58</w:t>
      </w:r>
    </w:p>
  </w:footnote>
  <w:footnote w:id="7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Ministry of Environment</w:t>
      </w:r>
      <w:r>
        <w:rPr>
          <w:rStyle w:val="Hyperlink"/>
          <w:rFonts w:asciiTheme="minorHAnsi" w:hAnsiTheme="minorHAnsi"/>
          <w:sz w:val="16"/>
          <w:szCs w:val="16"/>
          <w:u w:val="none"/>
          <w:lang w:val="it-IT"/>
        </w:rPr>
        <w:t xml:space="preserve">, </w:t>
      </w:r>
      <w:hyperlink r:id="rId47" w:history="1">
        <w:r>
          <w:rPr>
            <w:rStyle w:val="Hyperlink"/>
            <w:rFonts w:asciiTheme="minorHAnsi" w:hAnsiTheme="minorHAnsi"/>
            <w:sz w:val="16"/>
            <w:szCs w:val="16"/>
            <w:lang w:val="it-IT"/>
          </w:rPr>
          <w:t>Collegato Ambientale</w:t>
        </w:r>
      </w:hyperlink>
    </w:p>
  </w:footnote>
  <w:footnote w:id="72">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European Union, Green Infrastructure — Enhancing Europe’s Natural Capital, </w:t>
      </w:r>
      <w:hyperlink r:id="rId48" w:history="1">
        <w:r>
          <w:rPr>
            <w:rStyle w:val="Hyperlink"/>
            <w:rFonts w:asciiTheme="minorHAnsi" w:hAnsiTheme="minorHAnsi"/>
            <w:sz w:val="16"/>
            <w:szCs w:val="16"/>
            <w:lang w:val="it-IT"/>
          </w:rPr>
          <w:t>COM/2</w:t>
        </w:r>
        <w:r>
          <w:rPr>
            <w:rStyle w:val="Hyperlink"/>
            <w:rFonts w:asciiTheme="minorHAnsi" w:hAnsiTheme="minorHAnsi"/>
            <w:sz w:val="16"/>
            <w:szCs w:val="16"/>
            <w:lang w:val="it-IT"/>
          </w:rPr>
          <w:t>013/0249</w:t>
        </w:r>
      </w:hyperlink>
    </w:p>
  </w:footnote>
  <w:footnote w:id="73">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Ministry of Environment, </w:t>
      </w:r>
      <w:hyperlink r:id="rId49" w:history="1">
        <w:r>
          <w:rPr>
            <w:rStyle w:val="Hyperlink"/>
            <w:rFonts w:asciiTheme="minorHAnsi" w:hAnsiTheme="minorHAnsi"/>
            <w:sz w:val="16"/>
            <w:szCs w:val="16"/>
            <w:lang w:val="it-IT"/>
          </w:rPr>
          <w:t xml:space="preserve">Carta di Roma </w:t>
        </w:r>
      </w:hyperlink>
    </w:p>
  </w:footnote>
  <w:footnote w:id="74">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50" w:history="1">
        <w:r>
          <w:rPr>
            <w:rStyle w:val="Hyperlink"/>
            <w:rFonts w:asciiTheme="minorHAnsi" w:hAnsiTheme="minorHAnsi"/>
            <w:sz w:val="16"/>
            <w:szCs w:val="16"/>
            <w:lang w:val="it-IT"/>
          </w:rPr>
          <w:t>EcoSistema Filtro</w:t>
        </w:r>
      </w:hyperlink>
      <w:r>
        <w:rPr>
          <w:rFonts w:asciiTheme="minorHAnsi" w:hAnsiTheme="minorHAnsi"/>
          <w:sz w:val="16"/>
          <w:szCs w:val="16"/>
          <w:lang w:val="it-IT"/>
        </w:rPr>
        <w:t xml:space="preserve"> </w:t>
      </w:r>
    </w:p>
  </w:footnote>
  <w:footnote w:id="7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51" w:history="1">
        <w:r>
          <w:rPr>
            <w:rStyle w:val="Hyperlink"/>
            <w:rFonts w:asciiTheme="minorHAnsi" w:hAnsiTheme="minorHAnsi"/>
            <w:sz w:val="16"/>
            <w:szCs w:val="16"/>
          </w:rPr>
          <w:t>Green Surge case studies Milan &amp; Bari</w:t>
        </w:r>
      </w:hyperlink>
    </w:p>
  </w:footnote>
  <w:footnote w:id="7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52" w:history="1">
        <w:r>
          <w:rPr>
            <w:rStyle w:val="Hyperlink"/>
            <w:rFonts w:asciiTheme="minorHAnsi" w:hAnsiTheme="minorHAnsi"/>
            <w:sz w:val="16"/>
            <w:szCs w:val="16"/>
          </w:rPr>
          <w:t>Draft results of CORINE Land Cover (CLC) inventory 2012</w:t>
        </w:r>
      </w:hyperlink>
      <w:r>
        <w:rPr>
          <w:rFonts w:asciiTheme="minorHAnsi" w:hAnsiTheme="minorHAnsi"/>
          <w:sz w:val="16"/>
          <w:szCs w:val="16"/>
        </w:rPr>
        <w:t xml:space="preserve"> ; mean annual land take 2006-12 as a % of 2006 artificial land.</w:t>
      </w:r>
    </w:p>
  </w:footnote>
  <w:footnote w:id="7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53" w:history="1">
        <w:r>
          <w:rPr>
            <w:rStyle w:val="Hyperlink"/>
            <w:rFonts w:asciiTheme="minorHAnsi" w:hAnsiTheme="minorHAnsi"/>
            <w:sz w:val="16"/>
            <w:szCs w:val="16"/>
          </w:rPr>
          <w:t>Built up Areas</w:t>
        </w:r>
      </w:hyperlink>
      <w:r>
        <w:rPr>
          <w:rFonts w:asciiTheme="minorHAnsi" w:hAnsiTheme="minorHAnsi"/>
          <w:sz w:val="16"/>
          <w:szCs w:val="16"/>
        </w:rPr>
        <w:t xml:space="preserve">, accessed June 2016 </w:t>
      </w:r>
    </w:p>
  </w:footnote>
  <w:footnote w:id="7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sz w:val="16"/>
          <w:szCs w:val="16"/>
        </w:rPr>
        <w:t>Eurostat,</w:t>
      </w:r>
      <w:hyperlink r:id="rId54" w:history="1">
        <w:r>
          <w:rPr>
            <w:rStyle w:val="Hyperlink"/>
            <w:sz w:val="16"/>
            <w:szCs w:val="16"/>
          </w:rPr>
          <w:t xml:space="preserve"> Soil water erosion rate</w:t>
        </w:r>
      </w:hyperlink>
      <w:r>
        <w:rPr>
          <w:sz w:val="16"/>
          <w:szCs w:val="16"/>
        </w:rPr>
        <w:t>, Figure 2, accessed November 2016</w:t>
      </w:r>
    </w:p>
  </w:footnote>
  <w:footnote w:id="7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Land cover 2012 and changes country analysis [publication forthcoming]</w:t>
      </w:r>
    </w:p>
  </w:footnote>
  <w:footnote w:id="80">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UN Convention to Combat Desertification</w:t>
      </w:r>
    </w:p>
  </w:footnote>
  <w:footnote w:id="8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Ministry of Environment – </w:t>
      </w:r>
      <w:hyperlink r:id="rId55" w:history="1">
        <w:r>
          <w:rPr>
            <w:rStyle w:val="Hyperlink"/>
            <w:rFonts w:asciiTheme="minorHAnsi" w:hAnsiTheme="minorHAnsi"/>
            <w:sz w:val="16"/>
            <w:szCs w:val="16"/>
          </w:rPr>
          <w:t>Press Release</w:t>
        </w:r>
      </w:hyperlink>
      <w:r>
        <w:rPr>
          <w:rFonts w:asciiTheme="minorHAnsi" w:hAnsiTheme="minorHAnsi"/>
          <w:sz w:val="16"/>
          <w:szCs w:val="16"/>
        </w:rPr>
        <w:t xml:space="preserve"> 12.05.16</w:t>
      </w:r>
    </w:p>
  </w:footnote>
  <w:footnote w:id="8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Style w:val="Hyperlink"/>
          <w:rFonts w:asciiTheme="minorHAnsi" w:hAnsiTheme="minorHAnsi"/>
          <w:color w:val="auto"/>
          <w:sz w:val="16"/>
          <w:szCs w:val="16"/>
          <w:u w:val="none"/>
        </w:rPr>
        <w:t>Law 426/1998 has identified the so-called Siti di Interesse Nazionale (SIN), i.e. highly polluted sites in Italy which need to be decontaminated. For example, the industrial area of Taranto, which comp</w:t>
      </w:r>
      <w:r>
        <w:rPr>
          <w:rStyle w:val="Hyperlink"/>
          <w:rFonts w:asciiTheme="minorHAnsi" w:hAnsiTheme="minorHAnsi"/>
          <w:color w:val="auto"/>
          <w:sz w:val="16"/>
          <w:szCs w:val="16"/>
          <w:u w:val="none"/>
        </w:rPr>
        <w:t>rises the ILVA steel plant, has been included in the list of SIN.</w:t>
      </w:r>
    </w:p>
  </w:footnote>
  <w:footnote w:id="8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w:t>
      </w:r>
      <w:hyperlink r:id="rId56" w:history="1">
        <w:r>
          <w:rPr>
            <w:rStyle w:val="Hyperlink"/>
            <w:rFonts w:asciiTheme="minorHAnsi" w:hAnsiTheme="minorHAnsi"/>
            <w:sz w:val="16"/>
            <w:szCs w:val="16"/>
          </w:rPr>
          <w:t>Marine Strategy Framework Directive 2008/56/EC</w:t>
        </w:r>
      </w:hyperlink>
    </w:p>
  </w:footnote>
  <w:footnote w:id="84">
    <w:p w:rsidR="00341319" w:rsidRDefault="00324889">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MSFD defines Good Environmental S</w:t>
      </w:r>
      <w:r>
        <w:rPr>
          <w:rFonts w:asciiTheme="minorHAnsi" w:hAnsiTheme="minorHAnsi"/>
          <w:sz w:val="16"/>
          <w:szCs w:val="16"/>
        </w:rPr>
        <w:t xml:space="preserve">tatus (GES) in Article 3 as: </w:t>
      </w:r>
    </w:p>
    <w:p w:rsidR="00341319" w:rsidRDefault="00324889">
      <w:pPr>
        <w:pStyle w:val="FootnoteText"/>
        <w:widowControl w:val="0"/>
        <w:ind w:left="170" w:hanging="170"/>
        <w:rPr>
          <w:rFonts w:asciiTheme="minorHAnsi" w:hAnsiTheme="minorHAnsi"/>
          <w:sz w:val="16"/>
          <w:szCs w:val="16"/>
        </w:rPr>
      </w:pPr>
      <w:r>
        <w:rPr>
          <w:rFonts w:asciiTheme="minorHAnsi" w:hAnsiTheme="minorHAnsi"/>
          <w:sz w:val="16"/>
          <w:szCs w:val="16"/>
        </w:rPr>
        <w:t>“The environmental status of marine waters where these provide ecologically diverse and dynamic oceans and seas which are clean, healthy and productive”</w:t>
      </w:r>
    </w:p>
  </w:footnote>
  <w:footnote w:id="8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2012 Data provided by the European Environmental Agency – not published</w:t>
      </w:r>
    </w:p>
  </w:footnote>
  <w:footnote w:id="8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Report from the Commission "The first phase of implementation of the Marine Strategy Framework Directive (2008/56/EC) - The European Commission's assessment and guidance" </w:t>
      </w:r>
      <w:hyperlink r:id="rId57" w:history="1">
        <w:r>
          <w:rPr>
            <w:rStyle w:val="Hyperlink"/>
            <w:rFonts w:asciiTheme="minorHAnsi" w:hAnsiTheme="minorHAnsi"/>
            <w:sz w:val="16"/>
            <w:szCs w:val="16"/>
          </w:rPr>
          <w:t>COM(2014)097</w:t>
        </w:r>
      </w:hyperlink>
      <w:r>
        <w:rPr>
          <w:rFonts w:asciiTheme="minorHAnsi" w:hAnsiTheme="minorHAnsi"/>
          <w:sz w:val="16"/>
          <w:szCs w:val="16"/>
        </w:rPr>
        <w:t xml:space="preserve"> &amp;</w:t>
      </w:r>
      <w:r>
        <w:rPr>
          <w:rFonts w:asciiTheme="minorHAnsi" w:eastAsiaTheme="minorHAnsi" w:hAnsiTheme="minorHAnsi" w:cs="Calibri"/>
          <w:sz w:val="22"/>
          <w:szCs w:val="16"/>
        </w:rPr>
        <w:t xml:space="preserve"> </w:t>
      </w:r>
      <w:r>
        <w:rPr>
          <w:rFonts w:asciiTheme="minorHAnsi" w:hAnsiTheme="minorHAnsi"/>
          <w:sz w:val="16"/>
          <w:szCs w:val="16"/>
        </w:rPr>
        <w:t xml:space="preserve">Commission Staff Working Document Accompanying the </w:t>
      </w:r>
      <w:r>
        <w:rPr>
          <w:rFonts w:asciiTheme="minorHAnsi" w:hAnsiTheme="minorHAnsi"/>
          <w:sz w:val="16"/>
          <w:szCs w:val="16"/>
        </w:rPr>
        <w:t>Commission Report assessing Member States' monitoring programmes under the Marine Strategy Framework Directive (COM(2017)3 and SWD(2017)1 final)</w:t>
      </w:r>
    </w:p>
  </w:footnote>
  <w:footnote w:id="87">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RTD project: </w:t>
      </w:r>
      <w:hyperlink r:id="rId58" w:history="1">
        <w:r>
          <w:rPr>
            <w:rStyle w:val="Hyperlink"/>
            <w:rFonts w:asciiTheme="minorHAnsi" w:hAnsiTheme="minorHAnsi"/>
            <w:sz w:val="16"/>
            <w:szCs w:val="16"/>
          </w:rPr>
          <w:t>KNOWSEAS</w:t>
        </w:r>
      </w:hyperlink>
      <w:r>
        <w:rPr>
          <w:rStyle w:val="Hyperlink"/>
          <w:rFonts w:asciiTheme="minorHAnsi" w:hAnsiTheme="minorHAnsi"/>
          <w:sz w:val="16"/>
          <w:szCs w:val="16"/>
        </w:rPr>
        <w:t xml:space="preserve">; </w:t>
      </w:r>
      <w:hyperlink r:id="rId59" w:history="1">
        <w:r>
          <w:rPr>
            <w:rStyle w:val="Hyperlink"/>
            <w:rFonts w:asciiTheme="minorHAnsi" w:hAnsiTheme="minorHAnsi"/>
            <w:sz w:val="16"/>
            <w:szCs w:val="16"/>
          </w:rPr>
          <w:t>MYOCEAN</w:t>
        </w:r>
      </w:hyperlink>
      <w:r>
        <w:rPr>
          <w:rStyle w:val="Hyperlink"/>
          <w:rFonts w:asciiTheme="minorHAnsi" w:hAnsiTheme="minorHAnsi"/>
          <w:sz w:val="16"/>
          <w:szCs w:val="16"/>
        </w:rPr>
        <w:t xml:space="preserve">; </w:t>
      </w:r>
      <w:hyperlink r:id="rId60" w:history="1">
        <w:r>
          <w:rPr>
            <w:rStyle w:val="Hyperlink"/>
            <w:rFonts w:asciiTheme="minorHAnsi" w:hAnsiTheme="minorHAnsi"/>
            <w:sz w:val="16"/>
            <w:szCs w:val="16"/>
          </w:rPr>
          <w:t>VECTORS</w:t>
        </w:r>
      </w:hyperlink>
      <w:r>
        <w:rPr>
          <w:rStyle w:val="Hyperlink"/>
          <w:rFonts w:asciiTheme="minorHAnsi" w:hAnsiTheme="minorHAnsi"/>
          <w:sz w:val="16"/>
          <w:szCs w:val="16"/>
        </w:rPr>
        <w:t xml:space="preserve">; </w:t>
      </w:r>
      <w:hyperlink r:id="rId61" w:history="1">
        <w:r>
          <w:rPr>
            <w:rStyle w:val="Hyperlink"/>
            <w:rFonts w:asciiTheme="minorHAnsi" w:hAnsiTheme="minorHAnsi"/>
            <w:sz w:val="16"/>
            <w:szCs w:val="16"/>
          </w:rPr>
          <w:t>HERMIONE</w:t>
        </w:r>
      </w:hyperlink>
      <w:r>
        <w:rPr>
          <w:rStyle w:val="Hyperlink"/>
          <w:rFonts w:asciiTheme="minorHAnsi" w:hAnsiTheme="minorHAnsi"/>
          <w:sz w:val="16"/>
          <w:szCs w:val="16"/>
        </w:rPr>
        <w:t xml:space="preserve">; </w:t>
      </w:r>
      <w:hyperlink r:id="rId62" w:history="1">
        <w:r>
          <w:rPr>
            <w:rStyle w:val="Hyperlink"/>
            <w:rFonts w:asciiTheme="minorHAnsi" w:hAnsiTheme="minorHAnsi"/>
            <w:sz w:val="16"/>
            <w:szCs w:val="16"/>
          </w:rPr>
          <w:t>CORALFISH</w:t>
        </w:r>
      </w:hyperlink>
      <w:r>
        <w:rPr>
          <w:rStyle w:val="Hyperlink"/>
          <w:rFonts w:asciiTheme="minorHAnsi" w:hAnsiTheme="minorHAnsi"/>
          <w:sz w:val="16"/>
          <w:szCs w:val="16"/>
        </w:rPr>
        <w:t xml:space="preserve">; </w:t>
      </w:r>
      <w:hyperlink r:id="rId63" w:history="1">
        <w:r>
          <w:rPr>
            <w:rStyle w:val="Hyperlink"/>
            <w:rFonts w:asciiTheme="minorHAnsi" w:hAnsiTheme="minorHAnsi"/>
            <w:sz w:val="16"/>
            <w:szCs w:val="16"/>
          </w:rPr>
          <w:t>PERSEUS</w:t>
        </w:r>
      </w:hyperlink>
    </w:p>
  </w:footnote>
  <w:footnote w:id="88">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64" w:history="1">
        <w:r>
          <w:rPr>
            <w:rStyle w:val="Hyperlink"/>
            <w:rFonts w:asciiTheme="minorHAnsi" w:hAnsiTheme="minorHAnsi"/>
            <w:sz w:val="16"/>
            <w:szCs w:val="16"/>
            <w:lang w:val="it-IT"/>
          </w:rPr>
          <w:t>Piano Strategico Nazionale della Portualità e della Logistica</w:t>
        </w:r>
      </w:hyperlink>
      <w:r>
        <w:rPr>
          <w:rFonts w:asciiTheme="minorHAnsi" w:hAnsiTheme="minorHAnsi"/>
          <w:sz w:val="16"/>
          <w:szCs w:val="16"/>
          <w:lang w:val="it-IT"/>
        </w:rPr>
        <w:t xml:space="preserve">  p.189</w:t>
      </w:r>
    </w:p>
  </w:footnote>
  <w:footnote w:id="8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2016. </w:t>
      </w:r>
      <w:hyperlink r:id="rId65" w:history="1">
        <w:r>
          <w:rPr>
            <w:rStyle w:val="Hyperlink"/>
            <w:rFonts w:asciiTheme="minorHAnsi" w:hAnsiTheme="minorHAnsi"/>
            <w:sz w:val="16"/>
            <w:szCs w:val="16"/>
          </w:rPr>
          <w:t>Air Quality Standards</w:t>
        </w:r>
      </w:hyperlink>
    </w:p>
  </w:footnote>
  <w:footnote w:id="9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See </w:t>
      </w:r>
      <w:hyperlink r:id="rId66"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67" w:history="1">
        <w:r>
          <w:rPr>
            <w:rStyle w:val="Hyperlink"/>
            <w:rFonts w:asciiTheme="minorHAnsi" w:hAnsiTheme="minorHAnsi"/>
            <w:sz w:val="16"/>
            <w:szCs w:val="16"/>
          </w:rPr>
          <w:t>Air pollutant emissions data viewer (NEC Directive)</w:t>
        </w:r>
      </w:hyperlink>
    </w:p>
  </w:footnote>
  <w:footnote w:id="9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The current national emission ceilings apply since 2010 (</w:t>
      </w:r>
      <w:hyperlink r:id="rId68"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w:t>
      </w:r>
      <w:r>
        <w:rPr>
          <w:rFonts w:asciiTheme="minorHAnsi" w:hAnsiTheme="minorHAnsi"/>
          <w:sz w:val="16"/>
          <w:szCs w:val="16"/>
        </w:rPr>
        <w:t xml:space="preserve">have been set by </w:t>
      </w:r>
      <w:hyperlink r:id="rId69"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w:t>
      </w:r>
      <w:r>
        <w:rPr>
          <w:rFonts w:asciiTheme="minorHAnsi" w:hAnsiTheme="minorHAnsi"/>
          <w:sz w:val="16"/>
          <w:szCs w:val="16"/>
        </w:rPr>
        <w:t>ctive 2003/35/EC and repealing Directive 2001/81/EC.</w:t>
      </w:r>
    </w:p>
  </w:footnote>
  <w:footnote w:id="9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Particulate matter (PM) is a mixture of aerosol particles (solid and liquid) covering a wide range of sizes and chemical compositions. PM10 (PM2.5) refers to particles with a diameter of 10 (2.5) micro</w:t>
      </w:r>
      <w:r>
        <w:rPr>
          <w:rFonts w:asciiTheme="minorHAnsi" w:hAnsiTheme="minorHAnsi"/>
          <w:sz w:val="16"/>
          <w:szCs w:val="16"/>
        </w:rPr>
        <w:t>metres or less. PM is emitted from many human sources, including combustion.</w:t>
      </w:r>
    </w:p>
  </w:footnote>
  <w:footnote w:id="9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Low level ozone is produced by photochemical action on pollution and it is also a greenhouse gas</w:t>
      </w:r>
    </w:p>
  </w:footnote>
  <w:footnote w:id="9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NOx is emitted during fuel combustion e.g. from industrial facilities and the road transport sector. NOx is a group of gases comprising nitrogen monoxide (NO) and nitrogen dioxide (NO2).</w:t>
      </w:r>
    </w:p>
  </w:footnote>
  <w:footnote w:id="9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stheme="minorHAnsi"/>
          <w:sz w:val="16"/>
          <w:szCs w:val="16"/>
        </w:rPr>
        <w:t xml:space="preserve">European Environment Agency, 2016. </w:t>
      </w:r>
      <w:hyperlink r:id="rId70"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(Table 10.2, p.60, please see details in this report as regards the underpinning methodology)</w:t>
      </w:r>
    </w:p>
  </w:footnote>
  <w:footnote w:id="9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stheme="minorHAnsi"/>
          <w:sz w:val="16"/>
          <w:szCs w:val="16"/>
        </w:rPr>
        <w:t xml:space="preserve">Based on European Environment Agency, 2016. </w:t>
      </w:r>
      <w:hyperlink r:id="rId71"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(Figures 4.1, 5.1 and 6.1)</w:t>
      </w:r>
    </w:p>
  </w:footnote>
  <w:footnote w:id="9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72" w:history="1">
        <w:r>
          <w:rPr>
            <w:rStyle w:val="Hyperlink"/>
            <w:rFonts w:asciiTheme="minorHAnsi" w:hAnsiTheme="minorHAnsi"/>
            <w:sz w:val="16"/>
            <w:szCs w:val="16"/>
          </w:rPr>
          <w:t>Ministry of Environment</w:t>
        </w:r>
      </w:hyperlink>
      <w:r>
        <w:rPr>
          <w:rFonts w:asciiTheme="minorHAnsi" w:hAnsiTheme="minorHAnsi"/>
          <w:sz w:val="16"/>
          <w:szCs w:val="16"/>
        </w:rPr>
        <w:t xml:space="preserve"> – Press Release 01.06.16</w:t>
      </w:r>
    </w:p>
  </w:footnote>
  <w:footnote w:id="9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Eurostat, </w:t>
      </w:r>
      <w:hyperlink r:id="rId73" w:history="1">
        <w:r>
          <w:rPr>
            <w:rStyle w:val="Hyperlink"/>
            <w:rFonts w:asciiTheme="minorHAnsi" w:hAnsiTheme="minorHAnsi"/>
            <w:sz w:val="16"/>
            <w:szCs w:val="16"/>
          </w:rPr>
          <w:t>Safeguarding Clean Air</w:t>
        </w:r>
      </w:hyperlink>
      <w:r>
        <w:rPr>
          <w:rFonts w:asciiTheme="minorHAnsi" w:hAnsiTheme="minorHAnsi"/>
          <w:sz w:val="16"/>
          <w:szCs w:val="16"/>
        </w:rPr>
        <w:t xml:space="preserve">, accessed June 2106 </w:t>
      </w:r>
    </w:p>
  </w:footnote>
  <w:footnote w:id="9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See </w:t>
      </w:r>
      <w:hyperlink r:id="rId74" w:history="1">
        <w:r>
          <w:rPr>
            <w:rStyle w:val="Hyperlink"/>
            <w:rFonts w:asciiTheme="minorHAnsi" w:hAnsiTheme="minorHAnsi"/>
            <w:sz w:val="16"/>
            <w:szCs w:val="16"/>
          </w:rPr>
          <w:t>The EEA/Eionet Air Quality Portal</w:t>
        </w:r>
      </w:hyperlink>
      <w:r>
        <w:rPr>
          <w:rFonts w:asciiTheme="minorHAnsi" w:hAnsiTheme="minorHAnsi"/>
          <w:sz w:val="16"/>
          <w:szCs w:val="16"/>
        </w:rPr>
        <w:t xml:space="preserve"> and the related Central Data Repository</w:t>
      </w:r>
    </w:p>
  </w:footnote>
  <w:footnote w:id="10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These figures are based on the </w:t>
      </w:r>
      <w:hyperlink r:id="rId75" w:history="1">
        <w:r>
          <w:rPr>
            <w:rStyle w:val="Hyperlink"/>
            <w:rFonts w:asciiTheme="minorHAnsi" w:hAnsiTheme="minorHAnsi"/>
            <w:sz w:val="16"/>
            <w:szCs w:val="16"/>
          </w:rPr>
          <w:t>Impact Asses</w:t>
        </w:r>
        <w:r>
          <w:rPr>
            <w:rStyle w:val="Hyperlink"/>
            <w:rFonts w:asciiTheme="minorHAnsi" w:hAnsiTheme="minorHAnsi"/>
            <w:sz w:val="16"/>
            <w:szCs w:val="16"/>
          </w:rPr>
          <w:t>sment</w:t>
        </w:r>
      </w:hyperlink>
      <w:r>
        <w:rPr>
          <w:rFonts w:asciiTheme="minorHAnsi" w:hAnsiTheme="minorHAnsi"/>
          <w:sz w:val="16"/>
          <w:szCs w:val="16"/>
        </w:rPr>
        <w:t xml:space="preserve"> for the European Commission Integrated Clean Air Package, 2013</w:t>
      </w:r>
    </w:p>
  </w:footnote>
  <w:footnote w:id="101">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Under the provisions of the revised National Emission Ceilings Directive, Member States now may apply for emission inventory adjustments. Pending evaluation of any adjustment applicatio</w:t>
      </w:r>
      <w:r>
        <w:rPr>
          <w:rFonts w:asciiTheme="minorHAnsi" w:hAnsiTheme="minorHAnsi"/>
          <w:sz w:val="16"/>
          <w:szCs w:val="16"/>
        </w:rPr>
        <w:t>n, Member States should keep emissions under close control with a view to further reductions.</w:t>
      </w:r>
    </w:p>
  </w:footnote>
  <w:footnote w:id="102">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WHO/JRC, 2011, Burden of disease from environmental noise, Fritschi, L., Brown, A.L., Kim, R., Schwela, D., Kephalopoulos, S. (eds), </w:t>
      </w:r>
      <w:hyperlink r:id="rId76"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103">
    <w:p w:rsidR="00341319" w:rsidRDefault="00324889">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Noise Directive requires Member States </w:t>
      </w:r>
      <w:r>
        <w:rPr>
          <w:rFonts w:asciiTheme="minorHAnsi" w:hAnsiTheme="minorHAnsi"/>
          <w:sz w:val="16"/>
          <w:szCs w:val="16"/>
        </w:rPr>
        <w:t>to prepare and publish, every 5 years, noise maps and noise management action plans for agglomerations with more than 100,000 inhabitants, and for major roads, railways and airports.</w:t>
      </w:r>
    </w:p>
  </w:footnote>
  <w:footnote w:id="104">
    <w:p w:rsidR="00341319" w:rsidRDefault="00324889">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vertAlign w:val="baseline"/>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77"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78" w:history="1">
        <w:r>
          <w:rPr>
            <w:rStyle w:val="Hyperlink"/>
            <w:rFonts w:asciiTheme="minorHAnsi" w:hAnsiTheme="minorHAnsi"/>
            <w:sz w:val="16"/>
            <w:szCs w:val="16"/>
          </w:rPr>
          <w:t xml:space="preserve">Urban Waste Water Treatment </w:t>
        </w:r>
        <w:r>
          <w:rPr>
            <w:rStyle w:val="Hyperlink"/>
            <w:rFonts w:asciiTheme="minorHAnsi" w:hAnsiTheme="minorHAnsi"/>
            <w:sz w:val="16"/>
            <w:szCs w:val="16"/>
          </w:rPr>
          <w:t>Directive (91/271/EEC)</w:t>
        </w:r>
      </w:hyperlink>
      <w:r>
        <w:rPr>
          <w:rFonts w:asciiTheme="minorHAnsi" w:hAnsiTheme="minorHAnsi"/>
          <w:sz w:val="16"/>
          <w:szCs w:val="16"/>
        </w:rPr>
        <w:t xml:space="preserve"> concerning discharges of municipal and some industrial waste waters; the </w:t>
      </w:r>
      <w:hyperlink r:id="rId79"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80"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81"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82" w:history="1">
        <w:r>
          <w:rPr>
            <w:rStyle w:val="Hyperlink"/>
            <w:rFonts w:asciiTheme="minorHAnsi" w:hAnsiTheme="minorHAnsi"/>
            <w:sz w:val="16"/>
            <w:szCs w:val="16"/>
          </w:rPr>
          <w:t>Floods Directive (2007/60/EC)</w:t>
        </w:r>
      </w:hyperlink>
    </w:p>
  </w:footnote>
  <w:footnote w:id="10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Style w:val="Hyperlink"/>
          <w:rFonts w:asciiTheme="minorHAnsi" w:hAnsiTheme="minorHAnsi"/>
          <w:color w:val="auto"/>
          <w:sz w:val="16"/>
          <w:szCs w:val="16"/>
        </w:rPr>
        <w:t>European Commission, 2016.</w:t>
      </w:r>
      <w:r>
        <w:rPr>
          <w:rFonts w:asciiTheme="minorHAnsi" w:hAnsiTheme="minorHAnsi"/>
          <w:sz w:val="16"/>
          <w:szCs w:val="16"/>
        </w:rPr>
        <w:t xml:space="preserve"> </w:t>
      </w:r>
      <w:hyperlink r:id="rId83" w:history="1">
        <w:r>
          <w:rPr>
            <w:rStyle w:val="Hyperlink"/>
            <w:rFonts w:asciiTheme="minorHAnsi" w:hAnsiTheme="minorHAnsi"/>
            <w:sz w:val="16"/>
            <w:szCs w:val="16"/>
          </w:rPr>
          <w:t>EU Resource Efficiency Scoreboard 2015</w:t>
        </w:r>
      </w:hyperlink>
    </w:p>
  </w:footnote>
  <w:footnote w:id="10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Good ecological status is defined in the Water Framework Directive, referring to the quality of the biological community,</w:t>
      </w:r>
      <w:r>
        <w:rPr>
          <w:rFonts w:asciiTheme="minorHAnsi" w:hAnsiTheme="minorHAnsi"/>
          <w:sz w:val="16"/>
          <w:szCs w:val="16"/>
        </w:rPr>
        <w:t xml:space="preserve"> the hydrological characteristics and the chemical characteristics.</w:t>
      </w:r>
    </w:p>
  </w:footnote>
  <w:footnote w:id="10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Many European river basins and waters have been altered by human activities, such as land drainage, dredging, flood protection and, building of dams.</w:t>
      </w:r>
    </w:p>
  </w:footnote>
  <w:footnote w:id="10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sz w:val="16"/>
          <w:szCs w:val="16"/>
          <w:lang w:val="en"/>
        </w:rPr>
        <w:t>Good chemical status is defined</w:t>
      </w:r>
      <w:r>
        <w:rPr>
          <w:rFonts w:asciiTheme="minorHAnsi" w:hAnsiTheme="minorHAnsi"/>
          <w:sz w:val="16"/>
          <w:szCs w:val="16"/>
        </w:rPr>
        <w:t xml:space="preserve"> in</w:t>
      </w:r>
      <w:r>
        <w:rPr>
          <w:rFonts w:asciiTheme="minorHAnsi" w:hAnsiTheme="minorHAnsi"/>
          <w:sz w:val="16"/>
          <w:szCs w:val="16"/>
        </w:rPr>
        <w:t xml:space="preserve"> the Water Framework Directive</w:t>
      </w:r>
      <w:r>
        <w:rPr>
          <w:rFonts w:asciiTheme="minorHAnsi" w:hAnsiTheme="minorHAnsi"/>
          <w:sz w:val="16"/>
          <w:szCs w:val="16"/>
          <w:lang w:val="en"/>
        </w:rPr>
        <w:t xml:space="preserve"> referring to compliance with all the quality standards established for chemical substances at European level.</w:t>
      </w:r>
    </w:p>
  </w:footnote>
  <w:footnote w:id="10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For groundwater, a precautionary approach has been taken that comprises a prohibition on direct discharges to gro</w:t>
      </w:r>
      <w:r>
        <w:rPr>
          <w:rFonts w:asciiTheme="minorHAnsi" w:hAnsiTheme="minorHAnsi"/>
          <w:sz w:val="16"/>
          <w:szCs w:val="16"/>
        </w:rPr>
        <w:t>undwater, and a requirement to monitor groundwater bodies.</w:t>
      </w:r>
    </w:p>
  </w:footnote>
  <w:footnote w:id="11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Diffuse pollution comes from widespread activities with no one discrete source, e.g. acid rain, pesticides, urban run-off, etc.</w:t>
      </w:r>
    </w:p>
  </w:footnote>
  <w:footnote w:id="11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84"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98/83/EC; COM(2016)666, p.13</w:t>
      </w:r>
    </w:p>
  </w:footnote>
  <w:footnote w:id="11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r>
        <w:rPr>
          <w:rFonts w:asciiTheme="minorHAnsi" w:hAnsiTheme="minorHAnsi"/>
          <w:sz w:val="16"/>
          <w:szCs w:val="16"/>
        </w:rPr>
        <w:t xml:space="preserve">2016. </w:t>
      </w:r>
      <w:hyperlink r:id="rId85" w:history="1">
        <w:r>
          <w:rPr>
            <w:rStyle w:val="Hyperlink"/>
            <w:rFonts w:asciiTheme="minorHAnsi" w:hAnsiTheme="minorHAnsi"/>
            <w:sz w:val="16"/>
            <w:szCs w:val="16"/>
          </w:rPr>
          <w:t>European bathing water quality in 2015</w:t>
        </w:r>
      </w:hyperlink>
      <w:r>
        <w:rPr>
          <w:rFonts w:asciiTheme="minorHAnsi" w:hAnsiTheme="minorHAnsi"/>
          <w:sz w:val="16"/>
          <w:szCs w:val="16"/>
        </w:rPr>
        <w:t>, p. 26</w:t>
      </w:r>
    </w:p>
  </w:footnote>
  <w:footnote w:id="11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86" w:history="1">
        <w:r>
          <w:rPr>
            <w:rStyle w:val="Hyperlink"/>
            <w:rFonts w:asciiTheme="minorHAnsi" w:hAnsiTheme="minorHAnsi"/>
            <w:sz w:val="16"/>
            <w:szCs w:val="16"/>
          </w:rPr>
          <w:t>State of bathing water</w:t>
        </w:r>
      </w:hyperlink>
      <w:r>
        <w:rPr>
          <w:rStyle w:val="Hyperlink"/>
          <w:rFonts w:asciiTheme="minorHAnsi" w:hAnsiTheme="minorHAnsi"/>
          <w:sz w:val="16"/>
          <w:szCs w:val="16"/>
        </w:rPr>
        <w:t xml:space="preserve"> country reports -Italy</w:t>
      </w:r>
      <w:r>
        <w:rPr>
          <w:rFonts w:asciiTheme="minorHAnsi" w:hAnsiTheme="minorHAnsi"/>
          <w:sz w:val="16"/>
          <w:szCs w:val="16"/>
        </w:rPr>
        <w:t>, 2016</w:t>
      </w:r>
    </w:p>
  </w:footnote>
  <w:footnote w:id="11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Eighth Report on the Implementation Status and the Programmes for Implementation of </w:t>
      </w:r>
      <w:r>
        <w:rPr>
          <w:rFonts w:asciiTheme="minorHAnsi" w:hAnsiTheme="minorHAnsi"/>
          <w:sz w:val="16"/>
          <w:szCs w:val="16"/>
        </w:rPr>
        <w:t xml:space="preserve">the Urban Waste Water Directive </w:t>
      </w:r>
      <w:hyperlink r:id="rId87"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88" w:history="1">
        <w:r>
          <w:rPr>
            <w:rStyle w:val="Hyperlink"/>
            <w:rFonts w:asciiTheme="minorHAnsi" w:hAnsiTheme="minorHAnsi"/>
            <w:sz w:val="16"/>
            <w:szCs w:val="16"/>
          </w:rPr>
          <w:t>(SWD(2016)45 final</w:t>
        </w:r>
      </w:hyperlink>
      <w:r>
        <w:rPr>
          <w:rFonts w:asciiTheme="minorHAnsi" w:hAnsiTheme="minorHAnsi"/>
          <w:sz w:val="16"/>
          <w:szCs w:val="16"/>
        </w:rPr>
        <w:t>).</w:t>
      </w:r>
    </w:p>
  </w:footnote>
  <w:footnote w:id="115">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89" w:history="1">
        <w:r>
          <w:rPr>
            <w:rStyle w:val="Hyperlink"/>
            <w:rFonts w:asciiTheme="minorHAnsi" w:hAnsiTheme="minorHAnsi"/>
            <w:sz w:val="16"/>
            <w:szCs w:val="16"/>
          </w:rPr>
          <w:t>Sblocca-Italia</w:t>
        </w:r>
      </w:hyperlink>
      <w:r>
        <w:rPr>
          <w:rFonts w:asciiTheme="minorHAnsi" w:hAnsiTheme="minorHAnsi"/>
          <w:sz w:val="16"/>
          <w:szCs w:val="16"/>
        </w:rPr>
        <w:t xml:space="preserve"> Law 164/2014</w:t>
      </w:r>
    </w:p>
  </w:footnote>
  <w:footnote w:id="11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European Commission, </w:t>
      </w:r>
      <w:hyperlink r:id="rId90" w:history="1">
        <w:r>
          <w:rPr>
            <w:rStyle w:val="Hyperlink"/>
            <w:rFonts w:asciiTheme="minorHAnsi" w:hAnsiTheme="minorHAnsi"/>
            <w:sz w:val="16"/>
            <w:szCs w:val="16"/>
          </w:rPr>
          <w:t>Facts and Figures about Urban Waste Water Treatment</w:t>
        </w:r>
      </w:hyperlink>
      <w:r>
        <w:rPr>
          <w:rFonts w:asciiTheme="minorHAnsi" w:hAnsiTheme="minorHAnsi"/>
          <w:sz w:val="16"/>
          <w:szCs w:val="16"/>
        </w:rPr>
        <w:t xml:space="preserve"> </w:t>
      </w:r>
    </w:p>
  </w:footnote>
  <w:footnote w:id="117">
    <w:p w:rsidR="00341319" w:rsidRDefault="00324889">
      <w:pPr>
        <w:widowControl w:val="0"/>
        <w:spacing w:after="0" w:line="240" w:lineRule="auto"/>
        <w:ind w:left="170" w:hanging="170"/>
        <w:rPr>
          <w:color w:val="1F497D"/>
          <w:sz w:val="16"/>
          <w:szCs w:val="16"/>
        </w:rPr>
      </w:pPr>
      <w:r>
        <w:rPr>
          <w:rStyle w:val="FootnoteReference"/>
          <w:sz w:val="16"/>
          <w:szCs w:val="16"/>
          <w:vertAlign w:val="baseline"/>
        </w:rPr>
        <w:footnoteRef/>
      </w:r>
      <w:r>
        <w:rPr>
          <w:sz w:val="16"/>
          <w:szCs w:val="16"/>
        </w:rPr>
        <w:t xml:space="preserve"> European Commission, 2016</w:t>
      </w:r>
      <w:hyperlink r:id="rId91" w:history="1">
        <w:r>
          <w:rPr>
            <w:rStyle w:val="Hyperlink"/>
            <w:sz w:val="16"/>
            <w:szCs w:val="16"/>
          </w:rPr>
          <w:t>. Urban waste water, 8th implementation report</w:t>
        </w:r>
      </w:hyperlink>
      <w:r>
        <w:rPr>
          <w:sz w:val="16"/>
          <w:szCs w:val="16"/>
        </w:rPr>
        <w:t xml:space="preserve"> </w:t>
      </w:r>
    </w:p>
  </w:footnote>
  <w:footnote w:id="11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92" w:history="1">
        <w:r>
          <w:rPr>
            <w:rStyle w:val="Hyperlink"/>
            <w:rFonts w:asciiTheme="minorHAnsi" w:hAnsiTheme="minorHAnsi"/>
            <w:sz w:val="16"/>
            <w:szCs w:val="16"/>
          </w:rPr>
          <w:t>Partnership Agreement 2014-20</w:t>
        </w:r>
      </w:hyperlink>
      <w:r>
        <w:rPr>
          <w:rFonts w:asciiTheme="minorHAnsi" w:hAnsiTheme="minorHAnsi"/>
          <w:sz w:val="16"/>
          <w:szCs w:val="16"/>
        </w:rPr>
        <w:t xml:space="preserve">, section 1A, </w:t>
      </w:r>
      <w:hyperlink r:id="rId93" w:history="1"/>
      <w:r>
        <w:rPr>
          <w:rFonts w:asciiTheme="minorHAnsi" w:hAnsiTheme="minorHAnsi"/>
          <w:sz w:val="16"/>
          <w:szCs w:val="16"/>
        </w:rPr>
        <w:t>pp.66-7</w:t>
      </w:r>
    </w:p>
  </w:footnote>
  <w:footnote w:id="119">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Autorità per l'energia elettrica, il gas ed il sistema idrico</w:t>
      </w:r>
    </w:p>
  </w:footnote>
  <w:footnote w:id="120">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Decreto MATTM n. 39 del 24/2/15 di approvazione criteri per la definizione degli ERC per tutti gli usi</w:t>
      </w:r>
    </w:p>
  </w:footnote>
  <w:footnote w:id="12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Decreto MiPAFF del 31/7/2015 Approvazione delle linee guida per la regolamentazione da parte delle Regioni delle modalita' di quantificazione dei volu</w:t>
      </w:r>
      <w:r>
        <w:rPr>
          <w:rFonts w:asciiTheme="minorHAnsi" w:hAnsiTheme="minorHAnsi"/>
          <w:sz w:val="16"/>
          <w:szCs w:val="16"/>
          <w:lang w:val="it-IT"/>
        </w:rPr>
        <w:t>mi idrici ad uso irriguo</w:t>
      </w:r>
    </w:p>
  </w:footnote>
  <w:footnote w:id="122">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Delibera 662/R/2014/IDR dell'AEEGSI “Individuazione ed esplicitazione dei costi ambientali e della risorsa con riferimento a quanto previsto nel metodo tariffario idrico (MTI) per l’anno 2015</w:t>
      </w:r>
    </w:p>
  </w:footnote>
  <w:footnote w:id="123">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Delibera 656/2015/R/IDR dell'AEEGSI</w:t>
      </w:r>
      <w:r>
        <w:rPr>
          <w:rFonts w:asciiTheme="minorHAnsi" w:hAnsiTheme="minorHAnsi"/>
          <w:sz w:val="16"/>
          <w:szCs w:val="16"/>
          <w:lang w:val="it-IT"/>
        </w:rPr>
        <w:t xml:space="preserve"> “Convenzione tipo per la regolazione dei rapporti tra enti affidanti e gestori del servizio idrico integrato -Disposizioni sui contenuti minimi essenziali”</w:t>
      </w:r>
    </w:p>
  </w:footnote>
  <w:footnote w:id="124">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Delibera 27/12/13 n. 643/2013/R/IDR dell'AEEGSI Approvazione del metodo tariffario idrico e delle</w:t>
      </w:r>
      <w:r>
        <w:rPr>
          <w:rFonts w:asciiTheme="minorHAnsi" w:hAnsiTheme="minorHAnsi"/>
          <w:sz w:val="16"/>
          <w:szCs w:val="16"/>
          <w:lang w:val="it-IT"/>
        </w:rPr>
        <w:t xml:space="preserve"> disposizioni di completamento</w:t>
      </w:r>
    </w:p>
  </w:footnote>
  <w:footnote w:id="125">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Metodo Tariffario Idrico - MTI</w:t>
      </w:r>
    </w:p>
  </w:footnote>
  <w:footnote w:id="126">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Delibera 664/2015/R/IDR dell'AEEGSI “Approvazione, ai fini della valorizzazione dei conguagli nell’ambito del metodo tariffario per il secondo periodo regolatorio mti-2, delle predisposizion</w:t>
      </w:r>
      <w:r>
        <w:rPr>
          <w:rFonts w:asciiTheme="minorHAnsi" w:hAnsiTheme="minorHAnsi"/>
          <w:sz w:val="16"/>
          <w:szCs w:val="16"/>
          <w:lang w:val="it-IT"/>
        </w:rPr>
        <w:t>i tariffarie relative all’ambito territoriale ottimale sarnese vesuviano, per il periodo 2012-2015”</w:t>
      </w:r>
    </w:p>
  </w:footnote>
  <w:footnote w:id="127">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Legge di stabilità 2016</w:t>
      </w:r>
    </w:p>
  </w:footnote>
  <w:footnote w:id="12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94" w:history="1">
        <w:r>
          <w:rPr>
            <w:rStyle w:val="Hyperlink"/>
            <w:rFonts w:asciiTheme="minorHAnsi" w:hAnsiTheme="minorHAnsi"/>
            <w:bCs/>
            <w:sz w:val="16"/>
            <w:szCs w:val="16"/>
          </w:rPr>
          <w:t>Report on the progress in implementation of the Floods Directive</w:t>
        </w:r>
      </w:hyperlink>
      <w:r>
        <w:rPr>
          <w:rFonts w:asciiTheme="minorHAnsi" w:hAnsiTheme="minorHAnsi"/>
          <w:sz w:val="16"/>
          <w:szCs w:val="16"/>
        </w:rPr>
        <w:t xml:space="preserve"> p. 55</w:t>
      </w:r>
    </w:p>
  </w:footnote>
  <w:footnote w:id="129">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hyperlink r:id="rId95" w:history="1">
        <w:r>
          <w:rPr>
            <w:rStyle w:val="Hyperlink"/>
            <w:rFonts w:asciiTheme="minorHAnsi" w:hAnsiTheme="minorHAnsi"/>
            <w:sz w:val="16"/>
            <w:szCs w:val="16"/>
          </w:rPr>
          <w:t>Italian government</w:t>
        </w:r>
      </w:hyperlink>
    </w:p>
  </w:footnote>
  <w:footnote w:id="13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RPA 2014, </w:t>
      </w:r>
      <w:hyperlink r:id="rId96" w:history="1">
        <w:r>
          <w:rPr>
            <w:rStyle w:val="Hyperlink"/>
            <w:rFonts w:asciiTheme="minorHAnsi" w:hAnsiTheme="minorHAnsi"/>
            <w:sz w:val="16"/>
            <w:szCs w:val="16"/>
          </w:rPr>
          <w:t>Economic and Social Benefits of Environmental Protection and Resource Efficiency Related to the European Semester</w:t>
        </w:r>
      </w:hyperlink>
      <w:r>
        <w:rPr>
          <w:rFonts w:asciiTheme="minorHAnsi" w:hAnsiTheme="minorHAnsi"/>
          <w:sz w:val="16"/>
          <w:szCs w:val="16"/>
        </w:rPr>
        <w:t>, study for European Commission</w:t>
      </w:r>
    </w:p>
  </w:footnote>
  <w:footnote w:id="131">
    <w:p w:rsidR="00341319" w:rsidRDefault="00324889">
      <w:pPr>
        <w:pStyle w:val="FootnoteText"/>
        <w:widowControl w:val="0"/>
        <w:ind w:left="170" w:hanging="170"/>
        <w:rPr>
          <w:rFonts w:asciiTheme="minorHAnsi" w:hAnsiTheme="minorHAnsi"/>
          <w:sz w:val="16"/>
          <w:szCs w:val="16"/>
          <w:lang w:val="en-US"/>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Consiglio Nazionale dei Geologi (CNG), 2010. Terra e sviluppo, </w:t>
      </w:r>
      <w:r>
        <w:rPr>
          <w:rFonts w:asciiTheme="minorHAnsi" w:hAnsiTheme="minorHAnsi"/>
          <w:sz w:val="16"/>
          <w:szCs w:val="16"/>
          <w:lang w:val="it-IT"/>
        </w:rPr>
        <w:t xml:space="preserve">decalogo della terra 2010 – Rapporto sullo stato del territorio italiano. </w:t>
      </w:r>
      <w:r>
        <w:rPr>
          <w:rFonts w:asciiTheme="minorHAnsi" w:hAnsiTheme="minorHAnsi"/>
          <w:sz w:val="16"/>
          <w:szCs w:val="16"/>
          <w:lang w:val="en-US"/>
        </w:rPr>
        <w:t>Roma, 13.10.2010</w:t>
      </w:r>
    </w:p>
  </w:footnote>
  <w:footnote w:id="132">
    <w:p w:rsidR="00341319" w:rsidRDefault="00324889">
      <w:pPr>
        <w:pStyle w:val="FootnoteText"/>
        <w:widowControl w:val="0"/>
        <w:ind w:left="170" w:hanging="170"/>
        <w:rPr>
          <w:rFonts w:asciiTheme="minorHAnsi" w:hAnsiTheme="minorHAnsi"/>
          <w:sz w:val="16"/>
          <w:szCs w:val="16"/>
          <w:lang w:val="en-US"/>
        </w:rPr>
      </w:pPr>
      <w:r>
        <w:rPr>
          <w:rStyle w:val="FootnoteReference"/>
          <w:rFonts w:asciiTheme="minorHAnsi" w:hAnsiTheme="minorHAnsi"/>
          <w:sz w:val="16"/>
          <w:szCs w:val="16"/>
          <w:vertAlign w:val="baseline"/>
        </w:rPr>
        <w:footnoteRef/>
      </w:r>
      <w:r>
        <w:rPr>
          <w:rFonts w:asciiTheme="minorHAnsi" w:hAnsiTheme="minorHAnsi"/>
          <w:sz w:val="16"/>
          <w:szCs w:val="16"/>
          <w:lang w:val="en-US"/>
        </w:rPr>
        <w:t xml:space="preserve"> </w:t>
      </w:r>
      <w:r>
        <w:rPr>
          <w:rFonts w:asciiTheme="minorHAnsi" w:hAnsiTheme="minorHAnsi"/>
          <w:sz w:val="16"/>
          <w:szCs w:val="16"/>
        </w:rPr>
        <w:t xml:space="preserve">Analysis of the potential for growth and job creation through the protection of water resources, pack 2,  final report, (2015), ACTeon &amp; IMDEA et al (unpublished </w:t>
      </w:r>
      <w:r>
        <w:rPr>
          <w:rFonts w:asciiTheme="minorHAnsi" w:hAnsiTheme="minorHAnsi"/>
          <w:sz w:val="16"/>
          <w:szCs w:val="16"/>
        </w:rPr>
        <w:t>consultants' report carried out for the Commission)</w:t>
      </w:r>
    </w:p>
  </w:footnote>
  <w:footnote w:id="133">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Repertorio Nazionale degli interventi per la Difesa del Suolo</w:t>
      </w:r>
    </w:p>
  </w:footnote>
  <w:footnote w:id="134">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97" w:history="1">
        <w:r>
          <w:rPr>
            <w:rStyle w:val="Hyperlink"/>
            <w:rFonts w:asciiTheme="minorHAnsi" w:hAnsiTheme="minorHAnsi"/>
            <w:sz w:val="16"/>
            <w:szCs w:val="16"/>
            <w:lang w:val="it-IT"/>
          </w:rPr>
          <w:t>Individuazione dei criteri e d</w:t>
        </w:r>
        <w:r>
          <w:rPr>
            <w:rStyle w:val="Hyperlink"/>
            <w:rFonts w:asciiTheme="minorHAnsi" w:hAnsiTheme="minorHAnsi"/>
            <w:sz w:val="16"/>
            <w:szCs w:val="16"/>
            <w:lang w:val="it-IT"/>
          </w:rPr>
          <w:t>elle modalità per stabilire le priorità di attribuzione delle risorse agli interventi di mitigazione del rischio idrogeologico</w:t>
        </w:r>
      </w:hyperlink>
      <w:r>
        <w:rPr>
          <w:rFonts w:asciiTheme="minorHAnsi" w:hAnsiTheme="minorHAnsi"/>
          <w:sz w:val="16"/>
          <w:szCs w:val="16"/>
          <w:lang w:val="it-IT"/>
        </w:rPr>
        <w:t xml:space="preserve"> , DCPM 28.05.15</w:t>
      </w:r>
    </w:p>
  </w:footnote>
  <w:footnote w:id="135">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98" w:history="1">
        <w:r>
          <w:rPr>
            <w:rStyle w:val="Hyperlink"/>
            <w:rFonts w:asciiTheme="minorHAnsi" w:hAnsiTheme="minorHAnsi"/>
            <w:sz w:val="16"/>
            <w:szCs w:val="16"/>
            <w:lang w:val="it-IT"/>
          </w:rPr>
          <w:t>Individuazione degli interven</w:t>
        </w:r>
        <w:r>
          <w:rPr>
            <w:rStyle w:val="Hyperlink"/>
            <w:rFonts w:asciiTheme="minorHAnsi" w:hAnsiTheme="minorHAnsi"/>
            <w:sz w:val="16"/>
            <w:szCs w:val="16"/>
            <w:lang w:val="it-IT"/>
          </w:rPr>
          <w:t>ti compresi nel Piano stralcio aree metropolitane ed aree urbane con alto livello di popolazione esposta a rischio di alluvione</w:t>
        </w:r>
      </w:hyperlink>
      <w:r>
        <w:rPr>
          <w:rFonts w:asciiTheme="minorHAnsi" w:hAnsiTheme="minorHAnsi"/>
          <w:sz w:val="16"/>
          <w:szCs w:val="16"/>
          <w:lang w:val="it-IT"/>
        </w:rPr>
        <w:t>, DCPM 15.09.15</w:t>
      </w:r>
    </w:p>
  </w:footnote>
  <w:footnote w:id="136">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Piano Stralcio Aree Metropolitane</w:t>
      </w:r>
    </w:p>
  </w:footnote>
  <w:footnote w:id="137">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EFSI – </w:t>
      </w:r>
      <w:hyperlink r:id="rId99" w:history="1">
        <w:r>
          <w:rPr>
            <w:rStyle w:val="Hyperlink"/>
            <w:rFonts w:asciiTheme="minorHAnsi" w:hAnsiTheme="minorHAnsi"/>
            <w:sz w:val="16"/>
            <w:szCs w:val="16"/>
            <w:lang w:val="it-IT"/>
          </w:rPr>
          <w:t>Italian Flood Prevention Loan</w:t>
        </w:r>
      </w:hyperlink>
    </w:p>
  </w:footnote>
  <w:footnote w:id="138">
    <w:p w:rsidR="00341319" w:rsidRDefault="00324889">
      <w:pPr>
        <w:pStyle w:val="FootnoteText"/>
        <w:ind w:left="170" w:hanging="170"/>
        <w:rPr>
          <w:rFonts w:asciiTheme="minorHAnsi" w:hAnsiTheme="minorHAnsi"/>
          <w:sz w:val="16"/>
          <w:szCs w:val="16"/>
          <w:lang w:val="en-US"/>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Collegato Ambientale (art. 51) updates the governance structure for planning in the field of water and soil conservation (approval in July 2016 – Conferenza Stato Regioni), making operational the district Basin Autho</w:t>
      </w:r>
      <w:r>
        <w:rPr>
          <w:rFonts w:asciiTheme="minorHAnsi" w:hAnsiTheme="minorHAnsi"/>
          <w:sz w:val="16"/>
          <w:szCs w:val="16"/>
        </w:rPr>
        <w:t>rity.</w:t>
      </w:r>
    </w:p>
  </w:footnote>
  <w:footnote w:id="139">
    <w:p w:rsidR="00341319" w:rsidRDefault="00324889">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vertAlign w:val="baseline"/>
        </w:rPr>
        <w:footnoteRef/>
      </w:r>
      <w:r>
        <w:rPr>
          <w:rFonts w:asciiTheme="minorHAnsi" w:hAnsiTheme="minorHAnsi"/>
          <w:sz w:val="16"/>
          <w:szCs w:val="16"/>
          <w:lang w:val="fr-FR"/>
        </w:rPr>
        <w:t xml:space="preserve"> European Environment Agency, </w:t>
      </w:r>
      <w:hyperlink r:id="rId100" w:history="1">
        <w:r>
          <w:rPr>
            <w:rStyle w:val="Hyperlink"/>
            <w:rFonts w:asciiTheme="minorHAnsi" w:hAnsiTheme="minorHAnsi"/>
            <w:sz w:val="16"/>
            <w:szCs w:val="16"/>
            <w:lang w:val="fr-FR"/>
          </w:rPr>
          <w:t>Urban environment</w:t>
        </w:r>
      </w:hyperlink>
    </w:p>
  </w:footnote>
  <w:footnote w:id="140">
    <w:p w:rsidR="00341319" w:rsidRDefault="00324889">
      <w:pPr>
        <w:pStyle w:val="FootnoteText"/>
        <w:ind w:left="170" w:hanging="170"/>
        <w:rPr>
          <w:rFonts w:asciiTheme="minorHAnsi" w:hAnsiTheme="minorHAnsi"/>
          <w:sz w:val="16"/>
          <w:szCs w:val="16"/>
          <w:lang w:val="fr-FR"/>
        </w:rPr>
      </w:pPr>
      <w:r>
        <w:rPr>
          <w:rStyle w:val="FootnoteReference"/>
          <w:rFonts w:asciiTheme="minorHAnsi" w:hAnsiTheme="minorHAnsi"/>
          <w:sz w:val="16"/>
          <w:szCs w:val="16"/>
          <w:vertAlign w:val="baseline"/>
        </w:rPr>
        <w:footnoteRef/>
      </w:r>
      <w:r>
        <w:rPr>
          <w:rFonts w:asciiTheme="minorHAnsi" w:hAnsiTheme="minorHAnsi"/>
          <w:sz w:val="16"/>
          <w:szCs w:val="16"/>
          <w:lang w:val="fr-FR"/>
        </w:rPr>
        <w:t xml:space="preserve">  </w:t>
      </w:r>
      <w:hyperlink r:id="rId101" w:history="1">
        <w:r>
          <w:rPr>
            <w:rStyle w:val="Hyperlink"/>
            <w:rFonts w:asciiTheme="minorHAnsi" w:hAnsiTheme="minorHAnsi"/>
            <w:sz w:val="16"/>
            <w:szCs w:val="16"/>
            <w:lang w:val="fr-FR"/>
          </w:rPr>
          <w:t>http://urbanagendaforthe.eu/</w:t>
        </w:r>
      </w:hyperlink>
    </w:p>
  </w:footnote>
  <w:footnote w:id="141">
    <w:p w:rsidR="00341319" w:rsidRDefault="00324889">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Commission is developing an </w:t>
      </w:r>
      <w:hyperlink r:id="rId102"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w:t>
      </w:r>
      <w:r>
        <w:rPr>
          <w:rFonts w:asciiTheme="minorHAnsi" w:hAnsiTheme="minorHAnsi"/>
          <w:sz w:val="16"/>
          <w:szCs w:val="16"/>
        </w:rPr>
        <w:t>EUROCITIES, ICLEI, CEMR, Committee of the Regions, Covenant of Mayors and others.</w:t>
      </w:r>
    </w:p>
  </w:footnote>
  <w:footnote w:id="14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03" w:history="1">
        <w:r>
          <w:rPr>
            <w:rStyle w:val="Hyperlink"/>
            <w:rFonts w:asciiTheme="minorHAnsi" w:hAnsiTheme="minorHAnsi"/>
            <w:sz w:val="16"/>
            <w:szCs w:val="16"/>
          </w:rPr>
          <w:t>INRIX scorecard</w:t>
        </w:r>
      </w:hyperlink>
      <w:r>
        <w:rPr>
          <w:rFonts w:asciiTheme="minorHAnsi" w:hAnsiTheme="minorHAnsi"/>
          <w:sz w:val="16"/>
          <w:szCs w:val="16"/>
        </w:rPr>
        <w:t xml:space="preserve"> </w:t>
      </w:r>
    </w:p>
  </w:footnote>
  <w:footnote w:id="143">
    <w:p w:rsidR="00341319" w:rsidRDefault="00324889">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Number of passengers taking public transport divided by the resident population of a give</w:t>
      </w:r>
      <w:r>
        <w:rPr>
          <w:rFonts w:asciiTheme="minorHAnsi" w:hAnsiTheme="minorHAnsi"/>
          <w:sz w:val="16"/>
          <w:szCs w:val="16"/>
        </w:rPr>
        <w:t>n city</w:t>
      </w:r>
    </w:p>
  </w:footnote>
  <w:footnote w:id="144">
    <w:p w:rsidR="00341319" w:rsidRDefault="00324889">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w:t>
      </w:r>
      <w:hyperlink r:id="rId104" w:history="1">
        <w:r>
          <w:rPr>
            <w:rStyle w:val="Hyperlink"/>
            <w:rFonts w:asciiTheme="minorHAnsi" w:hAnsiTheme="minorHAnsi"/>
            <w:sz w:val="16"/>
            <w:szCs w:val="16"/>
          </w:rPr>
          <w:t>Partnership Agreement 2014-20</w:t>
        </w:r>
      </w:hyperlink>
      <w:r>
        <w:rPr>
          <w:rFonts w:asciiTheme="minorHAnsi" w:hAnsiTheme="minorHAnsi"/>
          <w:sz w:val="16"/>
          <w:szCs w:val="16"/>
        </w:rPr>
        <w:t>, section 1A,</w:t>
      </w:r>
      <w:r>
        <w:rPr>
          <w:rFonts w:asciiTheme="minorHAnsi" w:hAnsiTheme="minorHAnsi"/>
          <w:sz w:val="16"/>
          <w:szCs w:val="16"/>
          <w:lang w:val="en-US"/>
        </w:rPr>
        <w:t xml:space="preserve"> </w:t>
      </w:r>
      <w:r>
        <w:rPr>
          <w:rFonts w:asciiTheme="minorHAnsi" w:hAnsiTheme="minorHAnsi"/>
          <w:sz w:val="16"/>
          <w:szCs w:val="16"/>
        </w:rPr>
        <w:t>pp.139</w:t>
      </w:r>
      <w:hyperlink r:id="rId105" w:history="1"/>
      <w:hyperlink r:id="rId106" w:history="1"/>
    </w:p>
  </w:footnote>
  <w:footnote w:id="14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07" w:history="1">
        <w:r>
          <w:rPr>
            <w:rStyle w:val="Hyperlink"/>
            <w:rFonts w:asciiTheme="minorHAnsi" w:hAnsiTheme="minorHAnsi"/>
            <w:sz w:val="16"/>
            <w:szCs w:val="16"/>
          </w:rPr>
          <w:t>Observatory on Mobility Sharing</w:t>
        </w:r>
      </w:hyperlink>
      <w:r>
        <w:rPr>
          <w:rFonts w:asciiTheme="minorHAnsi" w:hAnsiTheme="minorHAnsi"/>
          <w:sz w:val="16"/>
          <w:szCs w:val="16"/>
        </w:rPr>
        <w:t xml:space="preserve"> </w:t>
      </w:r>
    </w:p>
  </w:footnote>
  <w:footnote w:id="14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Foundation on Sustainable Development, </w:t>
      </w:r>
      <w:hyperlink r:id="rId108" w:history="1">
        <w:r>
          <w:rPr>
            <w:rStyle w:val="Hyperlink"/>
            <w:rFonts w:asciiTheme="minorHAnsi" w:hAnsiTheme="minorHAnsi"/>
            <w:sz w:val="16"/>
            <w:szCs w:val="16"/>
          </w:rPr>
          <w:t>mobility sharing</w:t>
        </w:r>
      </w:hyperlink>
      <w:r>
        <w:rPr>
          <w:rFonts w:asciiTheme="minorHAnsi" w:hAnsiTheme="minorHAnsi"/>
          <w:sz w:val="16"/>
          <w:szCs w:val="16"/>
        </w:rPr>
        <w:t>, p.17</w:t>
      </w:r>
    </w:p>
  </w:footnote>
  <w:footnote w:id="14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09" w:history="1">
        <w:r>
          <w:rPr>
            <w:rStyle w:val="Hyperlink"/>
            <w:rFonts w:asciiTheme="minorHAnsi" w:hAnsiTheme="minorHAnsi"/>
            <w:sz w:val="16"/>
            <w:szCs w:val="16"/>
          </w:rPr>
          <w:t>regional projects</w:t>
        </w:r>
      </w:hyperlink>
      <w:r>
        <w:rPr>
          <w:rFonts w:asciiTheme="minorHAnsi" w:hAnsiTheme="minorHAnsi"/>
          <w:sz w:val="16"/>
          <w:szCs w:val="16"/>
        </w:rPr>
        <w:t xml:space="preserve">, Florence tram </w:t>
      </w:r>
    </w:p>
  </w:footnote>
  <w:footnote w:id="14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Green Capital Goo</w:t>
      </w:r>
      <w:r>
        <w:rPr>
          <w:rFonts w:asciiTheme="minorHAnsi" w:hAnsiTheme="minorHAnsi"/>
          <w:sz w:val="16"/>
          <w:szCs w:val="16"/>
        </w:rPr>
        <w:t>d practice report 2016, p.15</w:t>
      </w:r>
    </w:p>
  </w:footnote>
  <w:footnote w:id="149">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EFSI – </w:t>
      </w:r>
      <w:hyperlink r:id="rId110" w:history="1">
        <w:r>
          <w:rPr>
            <w:rStyle w:val="Hyperlink"/>
            <w:rFonts w:asciiTheme="minorHAnsi" w:hAnsiTheme="minorHAnsi"/>
            <w:sz w:val="16"/>
            <w:szCs w:val="16"/>
            <w:lang w:val="it-IT"/>
          </w:rPr>
          <w:t>Ambiente Urbano Bologna V</w:t>
        </w:r>
      </w:hyperlink>
    </w:p>
  </w:footnote>
  <w:footnote w:id="150">
    <w:p w:rsidR="00341319" w:rsidRDefault="00324889">
      <w:pPr>
        <w:pStyle w:val="FootnoteText"/>
        <w:ind w:left="170" w:hanging="170"/>
        <w:rPr>
          <w:rStyle w:val="Hyperlink"/>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r>
        <w:rPr>
          <w:rFonts w:asciiTheme="minorHAnsi" w:hAnsiTheme="minorHAnsi"/>
          <w:sz w:val="16"/>
          <w:szCs w:val="16"/>
          <w:lang w:val="it-IT"/>
        </w:rPr>
        <w:fldChar w:fldCharType="begin"/>
      </w:r>
      <w:r>
        <w:rPr>
          <w:rFonts w:asciiTheme="minorHAnsi" w:hAnsiTheme="minorHAnsi"/>
          <w:sz w:val="16"/>
          <w:szCs w:val="16"/>
          <w:lang w:val="it-IT"/>
        </w:rPr>
        <w:instrText xml:space="preserve"> HYPERLINK "http://www.mit.gov.it/sites/default/files/media/notizia/2016-07/Strategie%20per%20le%20infrastrutture_2016.pdf" </w:instrText>
      </w:r>
      <w:r>
        <w:rPr>
          <w:rFonts w:asciiTheme="minorHAnsi" w:hAnsiTheme="minorHAnsi"/>
          <w:sz w:val="16"/>
          <w:szCs w:val="16"/>
          <w:lang w:val="it-IT"/>
        </w:rPr>
        <w:fldChar w:fldCharType="separate"/>
      </w:r>
      <w:r>
        <w:rPr>
          <w:rStyle w:val="Hyperlink"/>
          <w:rFonts w:asciiTheme="minorHAnsi" w:hAnsiTheme="minorHAnsi"/>
          <w:sz w:val="16"/>
          <w:szCs w:val="16"/>
          <w:lang w:val="it-IT"/>
        </w:rPr>
        <w:t>Connettere l’Italia - Strategie per le infrastrutture</w:t>
      </w:r>
    </w:p>
    <w:p w:rsidR="00341319" w:rsidRDefault="00324889">
      <w:pPr>
        <w:pStyle w:val="FootnoteText"/>
        <w:ind w:left="170" w:hanging="170"/>
        <w:rPr>
          <w:rFonts w:asciiTheme="minorHAnsi" w:hAnsiTheme="minorHAnsi"/>
          <w:sz w:val="16"/>
          <w:szCs w:val="16"/>
          <w:lang w:val="it-IT"/>
        </w:rPr>
      </w:pPr>
      <w:r>
        <w:rPr>
          <w:rStyle w:val="Hyperlink"/>
          <w:rFonts w:asciiTheme="minorHAnsi" w:hAnsiTheme="minorHAnsi"/>
          <w:sz w:val="16"/>
          <w:szCs w:val="16"/>
          <w:lang w:val="it-IT"/>
        </w:rPr>
        <w:t>di trasporto e logistica</w:t>
      </w:r>
      <w:r>
        <w:rPr>
          <w:rFonts w:asciiTheme="minorHAnsi" w:hAnsiTheme="minorHAnsi"/>
          <w:sz w:val="16"/>
          <w:szCs w:val="16"/>
          <w:lang w:val="it-IT"/>
        </w:rPr>
        <w:fldChar w:fldCharType="end"/>
      </w:r>
      <w:r>
        <w:rPr>
          <w:rFonts w:asciiTheme="minorHAnsi" w:hAnsiTheme="minorHAnsi"/>
          <w:sz w:val="16"/>
          <w:szCs w:val="16"/>
          <w:lang w:val="it-IT"/>
        </w:rPr>
        <w:t>, pp.44-46</w:t>
      </w:r>
    </w:p>
  </w:footnote>
  <w:footnote w:id="15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11" w:history="1">
        <w:r>
          <w:rPr>
            <w:rStyle w:val="Hyperlink"/>
            <w:rFonts w:asciiTheme="minorHAnsi" w:hAnsiTheme="minorHAnsi"/>
            <w:sz w:val="16"/>
            <w:szCs w:val="16"/>
            <w:lang w:val="it-IT"/>
          </w:rPr>
          <w:t>Osservatorio Nazionale sulle politiche del Trasporto Pubblico Locale</w:t>
        </w:r>
      </w:hyperlink>
    </w:p>
  </w:footnote>
  <w:footnote w:id="152">
    <w:p w:rsidR="00341319" w:rsidRDefault="00324889">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ISTAT </w:t>
      </w:r>
      <w:hyperlink r:id="rId112" w:history="1">
        <w:r>
          <w:rPr>
            <w:rStyle w:val="Hyperlink"/>
            <w:rFonts w:asciiTheme="minorHAnsi" w:hAnsiTheme="minorHAnsi"/>
            <w:sz w:val="16"/>
            <w:szCs w:val="16"/>
          </w:rPr>
          <w:t>Green Space</w:t>
        </w:r>
      </w:hyperlink>
    </w:p>
  </w:footnote>
  <w:footnote w:id="15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113" w:history="1">
        <w:r>
          <w:rPr>
            <w:rStyle w:val="Hyperlink"/>
            <w:rFonts w:asciiTheme="minorHAnsi" w:hAnsiTheme="minorHAnsi"/>
            <w:sz w:val="16"/>
            <w:szCs w:val="16"/>
          </w:rPr>
          <w:t>Green Urban Areas</w:t>
        </w:r>
      </w:hyperlink>
      <w:r>
        <w:rPr>
          <w:rFonts w:asciiTheme="minorHAnsi" w:hAnsiTheme="minorHAnsi"/>
          <w:sz w:val="16"/>
          <w:szCs w:val="16"/>
        </w:rPr>
        <w:t xml:space="preserve"> </w:t>
      </w:r>
    </w:p>
  </w:footnote>
  <w:footnote w:id="15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Green Capital Good practice report 2016, p.19</w:t>
      </w:r>
    </w:p>
  </w:footnote>
  <w:footnote w:id="15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GRaBS, (Green and Blue Space Adaptation for Urban Areas and Eco Towns),Interreg IV C</w:t>
      </w:r>
    </w:p>
  </w:footnote>
  <w:footnote w:id="156">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bCs/>
          <w:sz w:val="16"/>
          <w:szCs w:val="16"/>
        </w:rPr>
        <w:t>Bosco Verticale</w:t>
      </w:r>
    </w:p>
  </w:footnote>
  <w:footnote w:id="15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ten Brink P., Mutafoglu K., Schweitzer J-P., Kettunen M., Twigger-Ross C., Baker J., Kuipers Y., Emonts M., Tyrväinen L., Hujala T., and Ojala A. (2016) </w:t>
      </w:r>
      <w:r>
        <w:rPr>
          <w:rFonts w:asciiTheme="minorHAnsi" w:hAnsiTheme="minorHAnsi"/>
          <w:iCs/>
          <w:sz w:val="16"/>
          <w:szCs w:val="16"/>
        </w:rPr>
        <w:t>The Health and Social Benefits of Nature and Biodiversity Protection</w:t>
      </w:r>
      <w:r>
        <w:rPr>
          <w:rFonts w:asciiTheme="minorHAnsi" w:hAnsiTheme="minorHAnsi"/>
          <w:sz w:val="16"/>
          <w:szCs w:val="16"/>
        </w:rPr>
        <w:t>. A report for the European Commis</w:t>
      </w:r>
      <w:r>
        <w:rPr>
          <w:rFonts w:asciiTheme="minorHAnsi" w:hAnsiTheme="minorHAnsi"/>
          <w:sz w:val="16"/>
          <w:szCs w:val="16"/>
        </w:rPr>
        <w:t>sion, Institute for European Environmental Policy, London/Brussels, p.12</w:t>
      </w:r>
    </w:p>
  </w:footnote>
  <w:footnote w:id="15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14" w:history="1">
        <w:r>
          <w:rPr>
            <w:rStyle w:val="Hyperlink"/>
            <w:rFonts w:asciiTheme="minorHAnsi" w:hAnsiTheme="minorHAnsi"/>
            <w:sz w:val="16"/>
            <w:szCs w:val="16"/>
          </w:rPr>
          <w:t>Partnership Agreement 2014-20,</w:t>
        </w:r>
      </w:hyperlink>
      <w:r>
        <w:rPr>
          <w:rFonts w:asciiTheme="minorHAnsi" w:hAnsiTheme="minorHAnsi"/>
          <w:sz w:val="16"/>
          <w:szCs w:val="16"/>
        </w:rPr>
        <w:t xml:space="preserve"> section 1</w:t>
      </w:r>
      <w:r>
        <w:rPr>
          <w:rFonts w:asciiTheme="minorHAnsi" w:hAnsiTheme="minorHAnsi"/>
          <w:sz w:val="16"/>
          <w:szCs w:val="16"/>
        </w:rPr>
        <w:t xml:space="preserve">A, </w:t>
      </w:r>
      <w:hyperlink r:id="rId115" w:history="1"/>
      <w:r>
        <w:rPr>
          <w:rFonts w:asciiTheme="minorHAnsi" w:hAnsiTheme="minorHAnsi"/>
          <w:sz w:val="16"/>
          <w:szCs w:val="16"/>
        </w:rPr>
        <w:t>pp.141</w:t>
      </w:r>
    </w:p>
  </w:footnote>
  <w:footnote w:id="15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16" w:history="1">
        <w:r>
          <w:rPr>
            <w:rStyle w:val="Hyperlink"/>
            <w:rFonts w:asciiTheme="minorHAnsi" w:hAnsiTheme="minorHAnsi"/>
            <w:sz w:val="16"/>
            <w:szCs w:val="16"/>
          </w:rPr>
          <w:t>Bru</w:t>
        </w:r>
        <w:r>
          <w:rPr>
            <w:rStyle w:val="Hyperlink"/>
            <w:rFonts w:asciiTheme="minorHAnsi" w:hAnsiTheme="minorHAnsi"/>
            <w:sz w:val="16"/>
            <w:szCs w:val="16"/>
          </w:rPr>
          <w:t>ssels workshop</w:t>
        </w:r>
      </w:hyperlink>
      <w:r>
        <w:rPr>
          <w:rFonts w:asciiTheme="minorHAnsi" w:hAnsiTheme="minorHAnsi"/>
          <w:sz w:val="16"/>
          <w:szCs w:val="16"/>
        </w:rPr>
        <w:t xml:space="preserve"> 13.01.2016</w:t>
      </w:r>
    </w:p>
  </w:footnote>
  <w:footnote w:id="16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Green Capital Good practice report 2016, p.35</w:t>
      </w:r>
    </w:p>
  </w:footnote>
  <w:footnote w:id="16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Consorzio Italiano Compostatori, presentation, Waste Directors, Brussels, 26.10.2016</w:t>
      </w:r>
    </w:p>
  </w:footnote>
  <w:footnote w:id="16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17" w:history="1">
        <w:r>
          <w:rPr>
            <w:rStyle w:val="Hyperlink"/>
            <w:rFonts w:asciiTheme="minorHAnsi" w:hAnsiTheme="minorHAnsi"/>
            <w:sz w:val="16"/>
            <w:szCs w:val="16"/>
          </w:rPr>
          <w:t>regional projects</w:t>
        </w:r>
      </w:hyperlink>
      <w:r>
        <w:rPr>
          <w:rFonts w:asciiTheme="minorHAnsi" w:hAnsiTheme="minorHAnsi"/>
          <w:sz w:val="16"/>
          <w:szCs w:val="16"/>
        </w:rPr>
        <w:t>, Salerno waste</w:t>
      </w:r>
    </w:p>
  </w:footnote>
  <w:footnote w:id="163">
    <w:p w:rsidR="00341319" w:rsidRDefault="00324889">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rPr>
        <w:t xml:space="preserve"> ISTAT </w:t>
      </w:r>
      <w:hyperlink r:id="rId118" w:history="1">
        <w:r>
          <w:rPr>
            <w:rStyle w:val="Hyperlink"/>
            <w:rFonts w:asciiTheme="minorHAnsi" w:hAnsiTheme="minorHAnsi"/>
            <w:sz w:val="16"/>
            <w:szCs w:val="16"/>
          </w:rPr>
          <w:t>UrBes</w:t>
        </w:r>
      </w:hyperlink>
      <w:r>
        <w:rPr>
          <w:rFonts w:asciiTheme="minorHAnsi" w:hAnsiTheme="minorHAnsi"/>
          <w:sz w:val="16"/>
          <w:szCs w:val="16"/>
        </w:rPr>
        <w:t xml:space="preserve"> 2015, p.30 </w:t>
      </w:r>
    </w:p>
  </w:footnote>
  <w:footnote w:id="16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EFSI</w:t>
      </w:r>
      <w:r>
        <w:rPr>
          <w:rStyle w:val="Hyperlink"/>
          <w:rFonts w:asciiTheme="minorHAnsi" w:hAnsiTheme="minorHAnsi"/>
          <w:sz w:val="16"/>
          <w:szCs w:val="16"/>
        </w:rPr>
        <w:t xml:space="preserve">, </w:t>
      </w:r>
      <w:hyperlink r:id="rId119" w:history="1">
        <w:r>
          <w:rPr>
            <w:rStyle w:val="Hyperlink"/>
            <w:rFonts w:asciiTheme="minorHAnsi" w:hAnsiTheme="minorHAnsi"/>
            <w:sz w:val="16"/>
            <w:szCs w:val="16"/>
          </w:rPr>
          <w:t>MM water infrastructure upgrade</w:t>
        </w:r>
      </w:hyperlink>
    </w:p>
  </w:footnote>
  <w:footnote w:id="165">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EFSI</w:t>
      </w:r>
      <w:r>
        <w:rPr>
          <w:rStyle w:val="Hyperlink"/>
          <w:rFonts w:asciiTheme="minorHAnsi" w:hAnsiTheme="minorHAnsi"/>
          <w:sz w:val="16"/>
          <w:szCs w:val="16"/>
          <w:lang w:val="it-IT"/>
        </w:rPr>
        <w:t xml:space="preserve">, </w:t>
      </w:r>
      <w:hyperlink r:id="rId120" w:history="1">
        <w:r>
          <w:rPr>
            <w:rStyle w:val="Hyperlink"/>
            <w:rFonts w:asciiTheme="minorHAnsi" w:hAnsiTheme="minorHAnsi"/>
            <w:sz w:val="16"/>
            <w:szCs w:val="16"/>
            <w:lang w:val="it-IT"/>
          </w:rPr>
          <w:t>multiservizi settore idrico Ancona</w:t>
        </w:r>
      </w:hyperlink>
    </w:p>
  </w:footnote>
  <w:footnote w:id="166">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European Green Capital Good practice report 2016, p.41</w:t>
      </w:r>
    </w:p>
  </w:footnote>
  <w:footnote w:id="167">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European Commission, </w:t>
      </w:r>
      <w:hyperlink r:id="rId121" w:history="1">
        <w:r>
          <w:rPr>
            <w:rStyle w:val="Hyperlink"/>
            <w:rFonts w:asciiTheme="minorHAnsi" w:hAnsiTheme="minorHAnsi"/>
            <w:sz w:val="16"/>
            <w:szCs w:val="16"/>
            <w:lang w:val="it-IT"/>
          </w:rPr>
          <w:t xml:space="preserve">regional projects, </w:t>
        </w:r>
      </w:hyperlink>
      <w:r>
        <w:rPr>
          <w:rFonts w:asciiTheme="minorHAnsi" w:hAnsiTheme="minorHAnsi"/>
          <w:color w:val="333333"/>
          <w:sz w:val="16"/>
          <w:szCs w:val="16"/>
          <w:lang w:val="it-IT"/>
        </w:rPr>
        <w:t>Lake Flegrei</w:t>
      </w:r>
      <w:r>
        <w:rPr>
          <w:rFonts w:asciiTheme="minorHAnsi" w:hAnsiTheme="minorHAnsi"/>
          <w:sz w:val="16"/>
          <w:szCs w:val="16"/>
          <w:lang w:val="it-IT"/>
        </w:rPr>
        <w:t xml:space="preserve"> </w:t>
      </w:r>
    </w:p>
  </w:footnote>
  <w:footnote w:id="168">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EIB </w:t>
      </w:r>
      <w:hyperlink r:id="rId122" w:history="1">
        <w:r>
          <w:rPr>
            <w:rStyle w:val="Hyperlink"/>
            <w:rFonts w:asciiTheme="minorHAnsi" w:hAnsiTheme="minorHAnsi"/>
            <w:sz w:val="16"/>
            <w:szCs w:val="16"/>
            <w:lang w:val="it-IT"/>
          </w:rPr>
          <w:t>Viver Hydrobond</w:t>
        </w:r>
      </w:hyperlink>
    </w:p>
  </w:footnote>
  <w:footnote w:id="169">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B</w:t>
      </w:r>
      <w:r>
        <w:rPr>
          <w:rFonts w:asciiTheme="minorHAnsi" w:hAnsiTheme="minorHAnsi"/>
          <w:sz w:val="16"/>
          <w:szCs w:val="16"/>
        </w:rPr>
        <w:t xml:space="preserve">reaking </w:t>
      </w:r>
      <w:hyperlink r:id="rId123" w:history="1">
        <w:r>
          <w:rPr>
            <w:rStyle w:val="Hyperlink"/>
            <w:rFonts w:asciiTheme="minorHAnsi" w:hAnsiTheme="minorHAnsi"/>
            <w:sz w:val="16"/>
            <w:szCs w:val="16"/>
          </w:rPr>
          <w:t>Down Investment Barriers at Ground Level</w:t>
        </w:r>
      </w:hyperlink>
      <w:r>
        <w:rPr>
          <w:rFonts w:asciiTheme="minorHAnsi" w:hAnsiTheme="minorHAnsi"/>
          <w:sz w:val="16"/>
          <w:szCs w:val="16"/>
        </w:rPr>
        <w:t>, p.31</w:t>
      </w:r>
    </w:p>
  </w:footnote>
  <w:footnote w:id="17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Protocol for the Protection of the Mediterranean Sea against Pollution Resulting from Exploration and </w:t>
      </w:r>
      <w:r>
        <w:rPr>
          <w:rFonts w:asciiTheme="minorHAnsi" w:hAnsiTheme="minorHAnsi"/>
          <w:sz w:val="16"/>
          <w:szCs w:val="16"/>
        </w:rPr>
        <w:t xml:space="preserve">Exploitation of the Continental Shelf and the Seabed and its Subsoil.   </w:t>
      </w:r>
    </w:p>
  </w:footnote>
  <w:footnote w:id="17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Protocol on Access to Genetic Resources and the Fair and Equitable Sharing of Benefits Arising from their Utilization to the Convention on Biological Diversity.</w:t>
      </w:r>
    </w:p>
  </w:footnote>
  <w:footnote w:id="172">
    <w:p w:rsidR="00341319" w:rsidRDefault="00324889">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vertAlign w:val="baseline"/>
        </w:rPr>
        <w:footnoteRef/>
      </w:r>
      <w:r>
        <w:rPr>
          <w:rFonts w:asciiTheme="minorHAnsi" w:hAnsiTheme="minorHAnsi"/>
          <w:sz w:val="16"/>
          <w:szCs w:val="16"/>
          <w:lang w:val="fr-FR"/>
        </w:rPr>
        <w:t xml:space="preserve"> </w:t>
      </w:r>
      <w:r>
        <w:rPr>
          <w:rFonts w:asciiTheme="minorHAnsi" w:hAnsiTheme="minorHAnsi"/>
          <w:sz w:val="16"/>
          <w:szCs w:val="16"/>
          <w:lang w:val="fr-BE"/>
        </w:rPr>
        <w:t xml:space="preserve">Eurostat, </w:t>
      </w:r>
      <w:hyperlink r:id="rId124"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June 2016</w:t>
      </w:r>
    </w:p>
  </w:footnote>
  <w:footnote w:id="173">
    <w:p w:rsidR="00341319" w:rsidRDefault="00324889">
      <w:pPr>
        <w:spacing w:after="0" w:line="240" w:lineRule="auto"/>
        <w:ind w:left="170" w:hanging="170"/>
        <w:jc w:val="both"/>
        <w:rPr>
          <w:rFonts w:cstheme="minorHAnsi"/>
          <w:sz w:val="16"/>
          <w:szCs w:val="16"/>
        </w:rPr>
      </w:pPr>
      <w:r>
        <w:rPr>
          <w:rFonts w:cstheme="minorHAnsi"/>
          <w:sz w:val="16"/>
          <w:szCs w:val="16"/>
        </w:rPr>
        <w:footnoteRef/>
      </w:r>
      <w:r>
        <w:rPr>
          <w:rFonts w:cstheme="minorHAnsi"/>
          <w:sz w:val="16"/>
          <w:szCs w:val="16"/>
        </w:rPr>
        <w:t xml:space="preserve"> Eunomia Research and Consulting, IEEP, Aarhus University, ENT, 2016. </w:t>
      </w:r>
      <w:hyperlink r:id="rId125" w:history="1">
        <w:r>
          <w:rPr>
            <w:rStyle w:val="Hyperlink"/>
            <w:rFonts w:cstheme="minorHAnsi"/>
            <w:sz w:val="16"/>
            <w:szCs w:val="16"/>
          </w:rPr>
          <w:t>Study on Assessing the Environmental Fiscal Reform Potential for the EU28</w:t>
        </w:r>
      </w:hyperlink>
      <w:r>
        <w:rPr>
          <w:rStyle w:val="Hyperlink"/>
          <w:rFonts w:cstheme="minorHAnsi"/>
          <w:sz w:val="16"/>
          <w:szCs w:val="16"/>
        </w:rPr>
        <w:t xml:space="preserve">. </w:t>
      </w:r>
      <w:r>
        <w:rPr>
          <w:rStyle w:val="Hyperlink"/>
          <w:rFonts w:cstheme="minorHAnsi"/>
          <w:color w:val="auto"/>
          <w:sz w:val="16"/>
          <w:szCs w:val="16"/>
          <w:u w:val="none"/>
        </w:rPr>
        <w:t xml:space="preserve">N.B. National governments are responsible for setting tax rates within the EU Single Market rules and this </w:t>
      </w:r>
      <w:r>
        <w:rPr>
          <w:rStyle w:val="Hyperlink"/>
          <w:rFonts w:cstheme="minorHAnsi"/>
          <w:color w:val="auto"/>
          <w:sz w:val="16"/>
          <w:szCs w:val="16"/>
          <w:u w:val="none"/>
        </w:rPr>
        <w:t xml:space="preserve">report is not suggesting concrete changes as to the level of environmental taxation. It merely presents the findings of the 2016 study by Eunomia </w:t>
      </w:r>
      <w:r>
        <w:rPr>
          <w:rStyle w:val="Hyperlink"/>
          <w:rFonts w:cstheme="minorHAnsi"/>
          <w:i/>
          <w:color w:val="auto"/>
          <w:sz w:val="16"/>
          <w:szCs w:val="16"/>
          <w:u w:val="none"/>
        </w:rPr>
        <w:t>et al</w:t>
      </w:r>
      <w:r>
        <w:rPr>
          <w:rStyle w:val="Hyperlink"/>
          <w:rFonts w:cstheme="minorHAnsi"/>
          <w:color w:val="auto"/>
          <w:sz w:val="16"/>
          <w:szCs w:val="16"/>
          <w:u w:val="none"/>
        </w:rPr>
        <w:t xml:space="preserve"> on the potential benefits various environmental taxes could bring. It is then for the national authoriti</w:t>
      </w:r>
      <w:r>
        <w:rPr>
          <w:rStyle w:val="Hyperlink"/>
          <w:rFonts w:cstheme="minorHAnsi"/>
          <w:color w:val="auto"/>
          <w:sz w:val="16"/>
          <w:szCs w:val="16"/>
          <w:u w:val="none"/>
        </w:rPr>
        <w:t>es to assess this study and their concrete impacts in the national context. A first step in this respect, already done by a number of Member States, is to set up expert groups to assess these and make specific proposals.</w:t>
      </w:r>
    </w:p>
  </w:footnote>
  <w:footnote w:id="174">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w:t>
      </w:r>
      <w:r>
        <w:rPr>
          <w:rFonts w:asciiTheme="minorHAnsi" w:hAnsiTheme="minorHAnsi"/>
          <w:sz w:val="16"/>
          <w:szCs w:val="16"/>
        </w:rPr>
        <w:t>benchmarking to a successful taxation practice in another Member State.</w:t>
      </w:r>
    </w:p>
  </w:footnote>
  <w:footnote w:id="17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Update by European Commission, 2015 based on Harding M., 2014. </w:t>
      </w:r>
      <w:hyperlink r:id="rId126" w:history="1">
        <w:r>
          <w:rPr>
            <w:rStyle w:val="Hyperlink"/>
            <w:rFonts w:asciiTheme="minorHAnsi" w:hAnsiTheme="minorHAnsi"/>
            <w:sz w:val="16"/>
            <w:szCs w:val="16"/>
          </w:rPr>
          <w:t>The Diesel Differential: Differences in the Tax Treatment of Gasoline and Diesel for Road Use</w:t>
        </w:r>
      </w:hyperlink>
      <w:r>
        <w:rPr>
          <w:rFonts w:asciiTheme="minorHAnsi" w:hAnsiTheme="minorHAnsi"/>
          <w:sz w:val="16"/>
          <w:szCs w:val="16"/>
        </w:rPr>
        <w:t xml:space="preserve">. OECD Taxation Working Papers, No. 21; European Environment Agency 2016, </w:t>
      </w:r>
      <w:hyperlink r:id="rId127" w:history="1">
        <w:r>
          <w:rPr>
            <w:rStyle w:val="Hyperlink"/>
            <w:rFonts w:asciiTheme="minorHAnsi" w:hAnsiTheme="minorHAnsi"/>
            <w:sz w:val="16"/>
            <w:szCs w:val="16"/>
          </w:rPr>
          <w:t>Environmental taxation and EU environmental policies</w:t>
        </w:r>
      </w:hyperlink>
      <w:r>
        <w:rPr>
          <w:rFonts w:asciiTheme="minorHAnsi" w:hAnsiTheme="minorHAnsi"/>
          <w:sz w:val="16"/>
          <w:szCs w:val="16"/>
        </w:rPr>
        <w:t>, table 4.3, p.24</w:t>
      </w:r>
    </w:p>
  </w:footnote>
  <w:footnote w:id="176">
    <w:p w:rsidR="00341319" w:rsidRDefault="00324889">
      <w:pPr>
        <w:pStyle w:val="FootnoteText"/>
        <w:ind w:left="170" w:hanging="170"/>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Eurostat, </w:t>
      </w:r>
      <w:hyperlink r:id="rId128"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October 2016</w:t>
      </w:r>
    </w:p>
  </w:footnote>
  <w:footnote w:id="177">
    <w:p w:rsidR="00341319" w:rsidRDefault="00324889">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European Commission, 2015</w:t>
      </w:r>
      <w:r>
        <w:rPr>
          <w:rFonts w:asciiTheme="minorHAnsi" w:hAnsiTheme="minorHAnsi"/>
          <w:sz w:val="16"/>
          <w:szCs w:val="16"/>
        </w:rPr>
        <w:t xml:space="preserve">. </w:t>
      </w:r>
      <w:hyperlink r:id="rId129" w:history="1">
        <w:r>
          <w:rPr>
            <w:rStyle w:val="Hyperlink"/>
            <w:rFonts w:asciiTheme="minorHAnsi" w:hAnsiTheme="minorHAnsi"/>
            <w:sz w:val="16"/>
            <w:szCs w:val="16"/>
          </w:rPr>
          <w:t>Public procurement</w:t>
        </w:r>
      </w:hyperlink>
    </w:p>
  </w:footnote>
  <w:footnote w:id="178">
    <w:p w:rsidR="00341319" w:rsidRDefault="00324889">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130"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w:t>
      </w:r>
      <w:r>
        <w:rPr>
          <w:sz w:val="16"/>
          <w:szCs w:val="16"/>
          <w:lang w:val="en"/>
        </w:rPr>
        <w:t>ear, verifiable, justifiable and ambitious environmental criteria for products and services, based on a life-cycle approach and scientific evidence base.</w:t>
      </w:r>
    </w:p>
  </w:footnote>
  <w:footnote w:id="179">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31" w:history="1">
        <w:r>
          <w:rPr>
            <w:rStyle w:val="Hyperlink"/>
            <w:rFonts w:asciiTheme="minorHAnsi" w:hAnsiTheme="minorHAnsi"/>
            <w:sz w:val="16"/>
            <w:szCs w:val="16"/>
            <w:lang w:val="it-IT"/>
          </w:rPr>
          <w:t>Remade in Italy</w:t>
        </w:r>
      </w:hyperlink>
      <w:r>
        <w:rPr>
          <w:rFonts w:asciiTheme="minorHAnsi" w:hAnsiTheme="minorHAnsi"/>
          <w:sz w:val="16"/>
          <w:szCs w:val="16"/>
          <w:lang w:val="it-IT"/>
        </w:rPr>
        <w:t xml:space="preserve"> </w:t>
      </w:r>
    </w:p>
  </w:footnote>
  <w:footnote w:id="180">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Presentation made by CONSIP, Rome Conference 25.11.14 on 'L’uso strategico degli appalti pubblici per un'economia sostenibile'</w:t>
      </w:r>
    </w:p>
  </w:footnote>
  <w:footnote w:id="181">
    <w:p w:rsidR="00341319" w:rsidRDefault="00324889">
      <w:pPr>
        <w:pStyle w:val="FootnoteText"/>
        <w:ind w:left="170" w:hanging="170"/>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ESIF comprises five funds – the European Regional Development Funds (ERDF), the Cohesion Fund (CF), the European Social Fund (</w:t>
      </w:r>
      <w:r>
        <w:rPr>
          <w:rFonts w:asciiTheme="minorHAnsi" w:hAnsiTheme="minorHAnsi" w:cstheme="minorHAnsi"/>
          <w:sz w:val="16"/>
          <w:szCs w:val="16"/>
        </w:rPr>
        <w:t>ESF), the European Agricultural Fund for Rural Development (EAFRD), and the European Maritime and Fisheries Fund (EMFF). The ERDF, the CF and the ESF together form the Cohesion Policy funds.</w:t>
      </w:r>
    </w:p>
  </w:footnote>
  <w:footnote w:id="182">
    <w:p w:rsidR="00341319" w:rsidRDefault="00324889">
      <w:pPr>
        <w:pStyle w:val="FootnoteText"/>
        <w:widowControl w:val="0"/>
        <w:ind w:left="170" w:hanging="170"/>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Investment Bank, 2016 </w:t>
      </w:r>
      <w:hyperlink r:id="rId132" w:history="1">
        <w:r>
          <w:rPr>
            <w:rStyle w:val="Hyperlink"/>
            <w:rFonts w:asciiTheme="minorHAnsi" w:hAnsiTheme="minorHAnsi" w:cstheme="minorHAnsi"/>
            <w:sz w:val="16"/>
            <w:szCs w:val="16"/>
          </w:rPr>
          <w:t>European Fund for Strategic Investments</w:t>
        </w:r>
      </w:hyperlink>
    </w:p>
  </w:footnote>
  <w:footnote w:id="183">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Fondo per lo Sviluppo e la Coesione</w:t>
      </w:r>
    </w:p>
  </w:footnote>
  <w:footnote w:id="184">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33" w:history="1">
        <w:r>
          <w:rPr>
            <w:rStyle w:val="Hyperlink"/>
            <w:rFonts w:asciiTheme="minorHAnsi" w:hAnsiTheme="minorHAnsi"/>
            <w:sz w:val="16"/>
            <w:szCs w:val="16"/>
            <w:lang w:val="it-IT"/>
          </w:rPr>
          <w:t>European Commission</w:t>
        </w:r>
      </w:hyperlink>
      <w:r>
        <w:rPr>
          <w:rFonts w:asciiTheme="minorHAnsi" w:hAnsiTheme="minorHAnsi"/>
          <w:sz w:val="16"/>
          <w:szCs w:val="16"/>
          <w:lang w:val="it-IT"/>
        </w:rPr>
        <w:t xml:space="preserve">; </w:t>
      </w:r>
      <w:hyperlink r:id="rId134" w:history="1">
        <w:r>
          <w:rPr>
            <w:rStyle w:val="Hyperlink"/>
            <w:rFonts w:asciiTheme="minorHAnsi" w:hAnsiTheme="minorHAnsi"/>
            <w:sz w:val="16"/>
            <w:szCs w:val="16"/>
            <w:lang w:val="it-IT"/>
          </w:rPr>
          <w:t xml:space="preserve">Dipartimento per </w:t>
        </w:r>
        <w:r>
          <w:rPr>
            <w:rStyle w:val="Hyperlink"/>
            <w:rFonts w:asciiTheme="minorHAnsi" w:hAnsiTheme="minorHAnsi"/>
            <w:sz w:val="16"/>
            <w:szCs w:val="16"/>
            <w:lang w:val="it-IT"/>
          </w:rPr>
          <w:t>le Politiche de Coesione</w:t>
        </w:r>
      </w:hyperlink>
    </w:p>
  </w:footnote>
  <w:footnote w:id="18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35" w:history="1">
        <w:r>
          <w:rPr>
            <w:rStyle w:val="Hyperlink"/>
            <w:rFonts w:asciiTheme="minorHAnsi" w:hAnsiTheme="minorHAnsi"/>
            <w:sz w:val="16"/>
            <w:szCs w:val="16"/>
          </w:rPr>
          <w:t>Common Agriculture Policy</w:t>
        </w:r>
      </w:hyperlink>
      <w:r>
        <w:rPr>
          <w:rFonts w:asciiTheme="minorHAnsi" w:hAnsiTheme="minorHAnsi"/>
          <w:sz w:val="16"/>
          <w:szCs w:val="16"/>
        </w:rPr>
        <w:t>; Pillar 1 is the non-rural development (non-EAFRD) part of the CAP</w:t>
      </w:r>
    </w:p>
  </w:footnote>
  <w:footnote w:id="186">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36" w:history="1">
        <w:r>
          <w:rPr>
            <w:rStyle w:val="Hyperlink"/>
            <w:rFonts w:asciiTheme="minorHAnsi" w:hAnsiTheme="minorHAnsi"/>
            <w:sz w:val="16"/>
            <w:szCs w:val="16"/>
          </w:rPr>
          <w:t>European Structural and Investment Funds Data By Country</w:t>
        </w:r>
      </w:hyperlink>
    </w:p>
  </w:footnote>
  <w:footnote w:id="18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This figure includes risks and land decontamination too. The narrow environmental allocation (water, waste, nature, air) is EUR 1.4 billion</w:t>
      </w:r>
    </w:p>
  </w:footnote>
  <w:footnote w:id="188">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37" w:history="1">
        <w:r>
          <w:rPr>
            <w:rStyle w:val="Hyperlink"/>
            <w:rFonts w:asciiTheme="minorHAnsi" w:hAnsiTheme="minorHAnsi"/>
            <w:sz w:val="16"/>
            <w:szCs w:val="16"/>
          </w:rPr>
          <w:t>European Structural and Investment Funds - Italy</w:t>
        </w:r>
      </w:hyperlink>
    </w:p>
  </w:footnote>
  <w:footnote w:id="189">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Final data for the period 2007-13 will only be available at the end of 2017.  </w:t>
      </w:r>
    </w:p>
  </w:footnote>
  <w:footnote w:id="190">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Programma Nazionale di Riforma 2016, Ap</w:t>
      </w:r>
      <w:r>
        <w:rPr>
          <w:rFonts w:asciiTheme="minorHAnsi" w:hAnsiTheme="minorHAnsi"/>
          <w:sz w:val="16"/>
          <w:szCs w:val="16"/>
          <w:lang w:val="it-IT"/>
        </w:rPr>
        <w:t>ril 2016, p.132</w:t>
      </w:r>
    </w:p>
  </w:footnote>
  <w:footnote w:id="19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38" w:history="1">
        <w:r>
          <w:rPr>
            <w:rStyle w:val="Hyperlink"/>
            <w:rFonts w:asciiTheme="minorHAnsi" w:hAnsiTheme="minorHAnsi"/>
            <w:sz w:val="16"/>
            <w:szCs w:val="16"/>
            <w:lang w:val="it-IT"/>
          </w:rPr>
          <w:t>La Piattaforma delle Conoscenze</w:t>
        </w:r>
      </w:hyperlink>
      <w:r>
        <w:rPr>
          <w:rFonts w:asciiTheme="minorHAnsi" w:hAnsiTheme="minorHAnsi"/>
          <w:sz w:val="16"/>
          <w:szCs w:val="16"/>
          <w:lang w:val="it-IT"/>
        </w:rPr>
        <w:t xml:space="preserve"> , Ministry of the Environment </w:t>
      </w:r>
    </w:p>
  </w:footnote>
  <w:footnote w:id="192">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39" w:history="1">
        <w:r>
          <w:rPr>
            <w:rStyle w:val="Hyperlink"/>
            <w:rFonts w:asciiTheme="minorHAnsi" w:hAnsiTheme="minorHAnsi"/>
            <w:sz w:val="16"/>
            <w:szCs w:val="16"/>
          </w:rPr>
          <w:t>PONGAT 2007-13</w:t>
        </w:r>
      </w:hyperlink>
      <w:r>
        <w:rPr>
          <w:rFonts w:asciiTheme="minorHAnsi" w:hAnsiTheme="minorHAnsi"/>
          <w:sz w:val="16"/>
          <w:szCs w:val="16"/>
        </w:rPr>
        <w:t xml:space="preserve"> </w:t>
      </w:r>
    </w:p>
  </w:footnote>
  <w:footnote w:id="193">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LIFE projects</w:t>
      </w:r>
      <w:r>
        <w:rPr>
          <w:rStyle w:val="Hyperlink"/>
          <w:rFonts w:asciiTheme="minorHAnsi" w:hAnsiTheme="minorHAnsi"/>
          <w:sz w:val="16"/>
          <w:szCs w:val="16"/>
        </w:rPr>
        <w:t xml:space="preserve">: </w:t>
      </w:r>
      <w:hyperlink r:id="rId140" w:history="1">
        <w:r>
          <w:rPr>
            <w:rStyle w:val="Hyperlink"/>
            <w:rFonts w:asciiTheme="minorHAnsi" w:hAnsiTheme="minorHAnsi"/>
            <w:sz w:val="16"/>
            <w:szCs w:val="16"/>
          </w:rPr>
          <w:t>ARUPA</w:t>
        </w:r>
      </w:hyperlink>
      <w:r>
        <w:rPr>
          <w:rStyle w:val="Hyperlink"/>
          <w:rFonts w:asciiTheme="minorHAnsi" w:hAnsiTheme="minorHAnsi"/>
          <w:sz w:val="16"/>
          <w:szCs w:val="16"/>
        </w:rPr>
        <w:t xml:space="preserve">; </w:t>
      </w:r>
      <w:hyperlink r:id="rId141" w:history="1">
        <w:r>
          <w:rPr>
            <w:rStyle w:val="Hyperlink"/>
            <w:rFonts w:asciiTheme="minorHAnsi" w:hAnsiTheme="minorHAnsi"/>
            <w:sz w:val="16"/>
            <w:szCs w:val="16"/>
          </w:rPr>
          <w:t>PRIME</w:t>
        </w:r>
      </w:hyperlink>
      <w:r>
        <w:rPr>
          <w:rStyle w:val="Hyperlink"/>
          <w:rFonts w:asciiTheme="minorHAnsi" w:hAnsiTheme="minorHAnsi"/>
          <w:sz w:val="16"/>
          <w:szCs w:val="16"/>
        </w:rPr>
        <w:t xml:space="preserve">; </w:t>
      </w:r>
      <w:hyperlink r:id="rId142" w:history="1">
        <w:r>
          <w:rPr>
            <w:rStyle w:val="Hyperlink"/>
            <w:rFonts w:asciiTheme="minorHAnsi" w:hAnsiTheme="minorHAnsi"/>
            <w:sz w:val="16"/>
            <w:szCs w:val="16"/>
          </w:rPr>
          <w:t>GESTIRE 2020</w:t>
        </w:r>
      </w:hyperlink>
      <w:r>
        <w:rPr>
          <w:rStyle w:val="Hyperlink"/>
          <w:rFonts w:asciiTheme="minorHAnsi" w:hAnsiTheme="minorHAnsi"/>
          <w:sz w:val="16"/>
          <w:szCs w:val="16"/>
        </w:rPr>
        <w:t xml:space="preserve">; </w:t>
      </w:r>
      <w:hyperlink r:id="rId143" w:history="1">
        <w:r>
          <w:rPr>
            <w:rStyle w:val="Hyperlink"/>
            <w:rFonts w:asciiTheme="minorHAnsi" w:hAnsiTheme="minorHAnsi"/>
            <w:sz w:val="16"/>
            <w:szCs w:val="16"/>
          </w:rPr>
          <w:t>TRUST</w:t>
        </w:r>
      </w:hyperlink>
      <w:r>
        <w:rPr>
          <w:rStyle w:val="Hyperlink"/>
          <w:rFonts w:asciiTheme="minorHAnsi" w:hAnsiTheme="minorHAnsi"/>
          <w:sz w:val="16"/>
          <w:szCs w:val="16"/>
        </w:rPr>
        <w:t xml:space="preserve">; </w:t>
      </w:r>
      <w:hyperlink r:id="rId144" w:history="1">
        <w:r>
          <w:rPr>
            <w:rStyle w:val="Hyperlink"/>
            <w:rFonts w:asciiTheme="minorHAnsi" w:hAnsiTheme="minorHAnsi"/>
            <w:sz w:val="16"/>
            <w:szCs w:val="16"/>
          </w:rPr>
          <w:t>AQUOR</w:t>
        </w:r>
      </w:hyperlink>
    </w:p>
  </w:footnote>
  <w:footnote w:id="194">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45" w:history="1">
        <w:r>
          <w:rPr>
            <w:rStyle w:val="Hyperlink"/>
            <w:rFonts w:asciiTheme="minorHAnsi" w:hAnsiTheme="minorHAnsi"/>
            <w:sz w:val="16"/>
            <w:szCs w:val="16"/>
            <w:lang w:val="it-IT"/>
          </w:rPr>
          <w:t xml:space="preserve">Complementarietà e sviluppo di sinergie con il programma per l’ambiente e l’azione per </w:t>
        </w:r>
        <w:r>
          <w:rPr>
            <w:rStyle w:val="Hyperlink"/>
            <w:rFonts w:asciiTheme="minorHAnsi" w:hAnsiTheme="minorHAnsi"/>
            <w:sz w:val="16"/>
            <w:szCs w:val="16"/>
            <w:lang w:val="it-IT"/>
          </w:rPr>
          <w:t>il clima LIFE a supporto dei PSR 2014/2020</w:t>
        </w:r>
      </w:hyperlink>
    </w:p>
  </w:footnote>
  <w:footnote w:id="195">
    <w:p w:rsidR="00341319" w:rsidRDefault="00324889">
      <w:pPr>
        <w:pStyle w:val="FootnoteText"/>
        <w:ind w:left="170" w:hanging="170"/>
        <w:rPr>
          <w:rFonts w:asciiTheme="minorHAnsi" w:hAnsiTheme="minorHAnsi"/>
          <w:sz w:val="16"/>
          <w:szCs w:val="16"/>
          <w:lang w:val="en-US"/>
        </w:rPr>
      </w:pPr>
      <w:r>
        <w:rPr>
          <w:rStyle w:val="FootnoteReference"/>
          <w:rFonts w:asciiTheme="minorHAnsi" w:hAnsiTheme="minorHAnsi"/>
          <w:sz w:val="16"/>
          <w:szCs w:val="16"/>
          <w:vertAlign w:val="baseline"/>
        </w:rPr>
        <w:footnoteRef/>
      </w:r>
      <w:r>
        <w:rPr>
          <w:rFonts w:asciiTheme="minorHAnsi" w:hAnsiTheme="minorHAnsi"/>
          <w:sz w:val="16"/>
          <w:szCs w:val="16"/>
          <w:lang w:val="en-US"/>
        </w:rPr>
        <w:t xml:space="preserve"> </w:t>
      </w:r>
      <w:hyperlink r:id="rId146" w:history="1">
        <w:r>
          <w:rPr>
            <w:rStyle w:val="Hyperlink"/>
            <w:rFonts w:asciiTheme="minorHAnsi" w:hAnsiTheme="minorHAnsi"/>
            <w:sz w:val="16"/>
            <w:szCs w:val="16"/>
            <w:lang w:val="en-US"/>
          </w:rPr>
          <w:t>LIFE projects national page</w:t>
        </w:r>
      </w:hyperlink>
      <w:r>
        <w:rPr>
          <w:rFonts w:asciiTheme="minorHAnsi" w:hAnsiTheme="minorHAnsi"/>
          <w:sz w:val="16"/>
          <w:szCs w:val="16"/>
          <w:lang w:val="en-US"/>
        </w:rPr>
        <w:t xml:space="preserve">, Ministry of Environment </w:t>
      </w:r>
    </w:p>
  </w:footnote>
  <w:footnote w:id="196">
    <w:p w:rsidR="00341319" w:rsidRDefault="00324889">
      <w:pPr>
        <w:pStyle w:val="FootnoteText"/>
        <w:ind w:left="170" w:hanging="170"/>
        <w:rPr>
          <w:rFonts w:asciiTheme="minorHAnsi" w:hAnsiTheme="minorHAnsi"/>
          <w:sz w:val="16"/>
          <w:szCs w:val="16"/>
          <w:lang w:val="en-US"/>
        </w:rPr>
      </w:pPr>
      <w:r>
        <w:rPr>
          <w:rStyle w:val="FootnoteReference"/>
          <w:rFonts w:asciiTheme="minorHAnsi" w:hAnsiTheme="minorHAnsi"/>
          <w:sz w:val="16"/>
          <w:szCs w:val="16"/>
          <w:vertAlign w:val="baseline"/>
        </w:rPr>
        <w:footnoteRef/>
      </w:r>
      <w:r>
        <w:rPr>
          <w:rFonts w:asciiTheme="minorHAnsi" w:hAnsiTheme="minorHAnsi"/>
          <w:sz w:val="16"/>
          <w:szCs w:val="16"/>
          <w:lang w:val="en-US"/>
        </w:rPr>
        <w:t xml:space="preserve"> European Commission, </w:t>
      </w:r>
      <w:hyperlink r:id="rId147" w:history="1">
        <w:r>
          <w:rPr>
            <w:rStyle w:val="Hyperlink"/>
            <w:rFonts w:asciiTheme="minorHAnsi" w:hAnsiTheme="minorHAnsi"/>
            <w:sz w:val="16"/>
            <w:szCs w:val="16"/>
            <w:lang w:val="en-US"/>
          </w:rPr>
          <w:t>Horizon 2020</w:t>
        </w:r>
      </w:hyperlink>
      <w:r>
        <w:rPr>
          <w:rFonts w:asciiTheme="minorHAnsi" w:hAnsiTheme="minorHAnsi"/>
          <w:sz w:val="16"/>
          <w:szCs w:val="16"/>
          <w:lang w:val="en-US"/>
        </w:rPr>
        <w:t xml:space="preserve"> </w:t>
      </w:r>
    </w:p>
  </w:footnote>
  <w:footnote w:id="197">
    <w:p w:rsidR="00341319" w:rsidRDefault="00324889">
      <w:pPr>
        <w:widowControl w:val="0"/>
        <w:spacing w:after="0" w:line="240" w:lineRule="auto"/>
        <w:ind w:left="170" w:hanging="170"/>
        <w:rPr>
          <w:b/>
          <w:sz w:val="16"/>
          <w:szCs w:val="16"/>
        </w:rPr>
      </w:pPr>
      <w:r>
        <w:rPr>
          <w:rStyle w:val="FootnoteReference"/>
          <w:sz w:val="16"/>
          <w:szCs w:val="16"/>
          <w:vertAlign w:val="baseline"/>
        </w:rPr>
        <w:footnoteRef/>
      </w:r>
      <w:r>
        <w:rPr>
          <w:sz w:val="16"/>
          <w:szCs w:val="16"/>
        </w:rPr>
        <w:t xml:space="preserve"> The Commission has work ongoing to improve the country-specific knowledge about quality and functioning of the administrative systems of Member States.</w:t>
      </w:r>
    </w:p>
  </w:footnote>
  <w:footnote w:id="198">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World Bank - </w:t>
      </w:r>
      <w:hyperlink r:id="rId148" w:history="1">
        <w:r>
          <w:rPr>
            <w:rStyle w:val="Hyperlink"/>
            <w:rFonts w:asciiTheme="minorHAnsi" w:hAnsiTheme="minorHAnsi"/>
            <w:sz w:val="16"/>
            <w:szCs w:val="16"/>
            <w:lang w:val="it-IT"/>
          </w:rPr>
          <w:t>Wo</w:t>
        </w:r>
        <w:r>
          <w:rPr>
            <w:rStyle w:val="Hyperlink"/>
            <w:rFonts w:asciiTheme="minorHAnsi" w:hAnsiTheme="minorHAnsi"/>
            <w:sz w:val="16"/>
            <w:szCs w:val="16"/>
            <w:lang w:val="it-IT"/>
          </w:rPr>
          <w:t>rldwide Governance Indicators</w:t>
        </w:r>
      </w:hyperlink>
      <w:r>
        <w:rPr>
          <w:rFonts w:asciiTheme="minorHAnsi" w:hAnsiTheme="minorHAnsi"/>
          <w:sz w:val="16"/>
          <w:szCs w:val="16"/>
          <w:lang w:val="it-IT"/>
        </w:rPr>
        <w:t xml:space="preserve"> </w:t>
      </w:r>
    </w:p>
  </w:footnote>
  <w:footnote w:id="199">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Programma Nazionale di Riforma 2016, April 2016, p.3 &amp; pp.87-91, (Law 124/2015)</w:t>
      </w:r>
    </w:p>
  </w:footnote>
  <w:footnote w:id="20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2016 CSR proposed 18.05.16</w:t>
      </w:r>
    </w:p>
  </w:footnote>
  <w:footnote w:id="20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this CSR also refers to stepping up the fight against corruption by revising the statute of limitations and redu</w:t>
      </w:r>
      <w:r>
        <w:rPr>
          <w:rFonts w:asciiTheme="minorHAnsi" w:hAnsiTheme="minorHAnsi"/>
          <w:sz w:val="16"/>
          <w:szCs w:val="16"/>
        </w:rPr>
        <w:t>cing the length of civil justice proceedings by enforcing reforms and through effective case management.</w:t>
      </w:r>
    </w:p>
  </w:footnote>
  <w:footnote w:id="20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2016  </w:t>
      </w:r>
      <w:hyperlink r:id="rId149" w:history="1">
        <w:r>
          <w:rPr>
            <w:rStyle w:val="Hyperlink"/>
            <w:rFonts w:asciiTheme="minorHAnsi" w:hAnsiTheme="minorHAnsi"/>
            <w:sz w:val="16"/>
            <w:szCs w:val="16"/>
          </w:rPr>
          <w:t>Country Report for Italy</w:t>
        </w:r>
      </w:hyperlink>
    </w:p>
  </w:footnote>
  <w:footnote w:id="20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Charron N., 2013. </w:t>
      </w:r>
      <w:hyperlink r:id="rId150" w:history="1">
        <w:r>
          <w:rPr>
            <w:rFonts w:asciiTheme="minorHAnsi" w:hAnsiTheme="minorHAnsi"/>
            <w:color w:val="0000FF"/>
            <w:sz w:val="16"/>
            <w:szCs w:val="16"/>
            <w:u w:val="single"/>
          </w:rPr>
          <w:t>European Quality of Government Index (EQI)</w:t>
        </w:r>
      </w:hyperlink>
    </w:p>
  </w:footnote>
  <w:footnote w:id="204">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OECD, </w:t>
      </w:r>
      <w:hyperlink r:id="rId151" w:history="1">
        <w:r>
          <w:rPr>
            <w:rStyle w:val="Hyperlink"/>
            <w:rFonts w:asciiTheme="minorHAnsi" w:hAnsiTheme="minorHAnsi"/>
            <w:sz w:val="16"/>
            <w:szCs w:val="16"/>
            <w:lang w:val="it-IT"/>
          </w:rPr>
          <w:t>Environmental Performance Review Italy</w:t>
        </w:r>
      </w:hyperlink>
      <w:r>
        <w:rPr>
          <w:rFonts w:asciiTheme="minorHAnsi" w:hAnsiTheme="minorHAnsi"/>
          <w:sz w:val="16"/>
          <w:szCs w:val="16"/>
          <w:lang w:val="it-IT"/>
        </w:rPr>
        <w:t xml:space="preserve"> 2013</w:t>
      </w:r>
    </w:p>
  </w:footnote>
  <w:footnote w:id="205">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Programma Rafforzamento Amministrativa</w:t>
      </w:r>
    </w:p>
  </w:footnote>
  <w:footnote w:id="20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Style w:val="Hyperlink"/>
          <w:rFonts w:asciiTheme="minorHAnsi" w:hAnsiTheme="minorHAnsi"/>
          <w:sz w:val="16"/>
          <w:szCs w:val="16"/>
        </w:rPr>
        <w:t>Partnership Agreement 2014-20.</w:t>
      </w:r>
    </w:p>
  </w:footnote>
  <w:footnote w:id="20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52" w:anchor="sba-fact-sheets" w:history="1">
        <w:r>
          <w:rPr>
            <w:rStyle w:val="Hyperlink"/>
            <w:rFonts w:asciiTheme="minorHAnsi" w:hAnsiTheme="minorHAnsi"/>
            <w:sz w:val="16"/>
            <w:szCs w:val="16"/>
          </w:rPr>
          <w:t>Small Business Act Italy Fact Sheet</w:t>
        </w:r>
      </w:hyperlink>
      <w:r>
        <w:rPr>
          <w:rFonts w:asciiTheme="minorHAnsi" w:hAnsiTheme="minorHAnsi"/>
          <w:sz w:val="16"/>
          <w:szCs w:val="16"/>
        </w:rPr>
        <w:t xml:space="preserve">, 2015  </w:t>
      </w:r>
    </w:p>
  </w:footnote>
  <w:footnote w:id="208">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Autorizzazione Unica Ambientale (AUA)</w:t>
      </w:r>
    </w:p>
  </w:footnote>
  <w:footnote w:id="209">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Programma Nazionale di Riforma 2016, April 2016, p.58</w:t>
      </w:r>
    </w:p>
  </w:footnote>
  <w:footnote w:id="210">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r>
        <w:rPr>
          <w:rFonts w:asciiTheme="minorHAnsi" w:hAnsiTheme="minorHAnsi"/>
          <w:iCs/>
          <w:sz w:val="16"/>
          <w:szCs w:val="16"/>
          <w:lang w:val="it-IT"/>
        </w:rPr>
        <w:t>Comitato Interministeriale per gli Affari Europei</w:t>
      </w:r>
    </w:p>
    <w:p w:rsidR="00341319" w:rsidRDefault="00324889">
      <w:pPr>
        <w:pStyle w:val="FootnoteText"/>
        <w:ind w:left="170" w:hanging="170"/>
        <w:rPr>
          <w:rFonts w:asciiTheme="minorHAnsi" w:hAnsiTheme="minorHAnsi"/>
          <w:sz w:val="16"/>
          <w:szCs w:val="16"/>
        </w:rPr>
      </w:pPr>
      <w:hyperlink r:id="rId153" w:history="1">
        <w:r>
          <w:rPr>
            <w:rStyle w:val="Hyperlink"/>
            <w:rFonts w:asciiTheme="minorHAnsi" w:hAnsiTheme="minorHAnsi"/>
            <w:sz w:val="16"/>
            <w:szCs w:val="16"/>
          </w:rPr>
          <w:t>Law No. 234 of 24 December 2012, Art. 2</w:t>
        </w:r>
      </w:hyperlink>
    </w:p>
  </w:footnote>
  <w:footnote w:id="21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r>
        <w:rPr>
          <w:rFonts w:asciiTheme="minorHAnsi" w:hAnsiTheme="minorHAnsi"/>
          <w:iCs/>
          <w:sz w:val="16"/>
          <w:szCs w:val="16"/>
          <w:lang w:val="it-IT"/>
        </w:rPr>
        <w:t>Comitato Tecnico di Valutazione</w:t>
      </w:r>
    </w:p>
    <w:p w:rsidR="00341319" w:rsidRDefault="00324889">
      <w:pPr>
        <w:pStyle w:val="FootnoteText"/>
        <w:ind w:left="170" w:hanging="170"/>
        <w:rPr>
          <w:rFonts w:asciiTheme="minorHAnsi" w:hAnsiTheme="minorHAnsi"/>
          <w:sz w:val="16"/>
          <w:szCs w:val="16"/>
          <w:lang w:val="it-IT"/>
        </w:rPr>
      </w:pPr>
      <w:hyperlink r:id="rId154" w:history="1">
        <w:r>
          <w:rPr>
            <w:rStyle w:val="Hyperlink"/>
            <w:rFonts w:asciiTheme="minorHAnsi" w:hAnsiTheme="minorHAnsi"/>
            <w:sz w:val="16"/>
            <w:szCs w:val="16"/>
            <w:lang w:val="it-IT"/>
          </w:rPr>
          <w:t>Law No. 234 of 24 December 2012, Art. 19</w:t>
        </w:r>
      </w:hyperlink>
      <w:r>
        <w:rPr>
          <w:rFonts w:asciiTheme="minorHAnsi" w:hAnsiTheme="minorHAnsi"/>
          <w:sz w:val="16"/>
          <w:szCs w:val="16"/>
          <w:lang w:val="it-IT"/>
        </w:rPr>
        <w:t xml:space="preserve"> </w:t>
      </w:r>
    </w:p>
  </w:footnote>
  <w:footnote w:id="212">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Istituto superiore per la protezione e la ricerca ambientale</w:t>
      </w:r>
    </w:p>
  </w:footnote>
  <w:footnote w:id="21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Ministry of Environment</w:t>
      </w:r>
      <w:r>
        <w:rPr>
          <w:rStyle w:val="Hyperlink"/>
          <w:rFonts w:asciiTheme="minorHAnsi" w:hAnsiTheme="minorHAnsi"/>
          <w:sz w:val="16"/>
          <w:szCs w:val="16"/>
          <w:u w:val="none"/>
        </w:rPr>
        <w:t xml:space="preserve"> – </w:t>
      </w:r>
      <w:hyperlink r:id="rId155" w:history="1">
        <w:r>
          <w:rPr>
            <w:rStyle w:val="Hyperlink"/>
            <w:rFonts w:asciiTheme="minorHAnsi" w:hAnsiTheme="minorHAnsi"/>
            <w:sz w:val="16"/>
            <w:szCs w:val="16"/>
          </w:rPr>
          <w:t>Press Release</w:t>
        </w:r>
      </w:hyperlink>
      <w:r>
        <w:rPr>
          <w:rStyle w:val="Hyperlink"/>
          <w:rFonts w:asciiTheme="minorHAnsi" w:hAnsiTheme="minorHAnsi"/>
          <w:sz w:val="16"/>
          <w:szCs w:val="16"/>
        </w:rPr>
        <w:t xml:space="preserve"> </w:t>
      </w:r>
      <w:r>
        <w:rPr>
          <w:rStyle w:val="Hyperlink"/>
          <w:rFonts w:asciiTheme="minorHAnsi" w:hAnsiTheme="minorHAnsi"/>
          <w:color w:val="auto"/>
          <w:sz w:val="16"/>
          <w:szCs w:val="16"/>
          <w:u w:val="none"/>
        </w:rPr>
        <w:t>31.03.16</w:t>
      </w:r>
      <w:r>
        <w:rPr>
          <w:rFonts w:asciiTheme="minorHAnsi" w:hAnsiTheme="minorHAnsi"/>
          <w:sz w:val="16"/>
          <w:szCs w:val="16"/>
        </w:rPr>
        <w:t xml:space="preserve"> </w:t>
      </w:r>
    </w:p>
  </w:footnote>
  <w:footnote w:id="21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Ministry of Environm</w:t>
      </w:r>
      <w:r>
        <w:rPr>
          <w:rFonts w:asciiTheme="minorHAnsi" w:hAnsiTheme="minorHAnsi"/>
          <w:sz w:val="16"/>
          <w:szCs w:val="16"/>
        </w:rPr>
        <w:t xml:space="preserve">ent, </w:t>
      </w:r>
      <w:hyperlink r:id="rId156" w:history="1">
        <w:r>
          <w:rPr>
            <w:rStyle w:val="Hyperlink"/>
            <w:rFonts w:asciiTheme="minorHAnsi" w:hAnsiTheme="minorHAnsi"/>
            <w:sz w:val="16"/>
            <w:szCs w:val="16"/>
          </w:rPr>
          <w:t>Sustainable Development Strategy</w:t>
        </w:r>
      </w:hyperlink>
    </w:p>
  </w:footnote>
  <w:footnote w:id="215">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Comitato interministeriale per la programmazione economica (CIPE)</w:t>
      </w:r>
    </w:p>
  </w:footnote>
  <w:footnote w:id="21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OECD, </w:t>
      </w:r>
      <w:hyperlink r:id="rId157" w:history="1">
        <w:r>
          <w:rPr>
            <w:rStyle w:val="Hyperlink"/>
            <w:rFonts w:asciiTheme="minorHAnsi" w:hAnsiTheme="minorHAnsi"/>
            <w:sz w:val="16"/>
            <w:szCs w:val="16"/>
          </w:rPr>
          <w:t>Environmental Performance Review Italy</w:t>
        </w:r>
      </w:hyperlink>
      <w:r>
        <w:rPr>
          <w:rFonts w:asciiTheme="minorHAnsi" w:hAnsiTheme="minorHAnsi"/>
          <w:sz w:val="16"/>
          <w:szCs w:val="16"/>
        </w:rPr>
        <w:t xml:space="preserve"> 2013</w:t>
      </w:r>
    </w:p>
  </w:footnote>
  <w:footnote w:id="21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158" w:history="1">
        <w:r>
          <w:rPr>
            <w:rStyle w:val="Hyperlink"/>
            <w:rFonts w:asciiTheme="minorHAnsi" w:hAnsiTheme="minorHAnsi"/>
            <w:sz w:val="16"/>
            <w:szCs w:val="16"/>
          </w:rPr>
          <w:t xml:space="preserve">More from less – material resource </w:t>
        </w:r>
        <w:r>
          <w:rPr>
            <w:rStyle w:val="Hyperlink"/>
            <w:rFonts w:asciiTheme="minorHAnsi" w:hAnsiTheme="minorHAnsi"/>
            <w:sz w:val="16"/>
            <w:szCs w:val="16"/>
          </w:rPr>
          <w:t>efficiency in Europe</w:t>
        </w:r>
      </w:hyperlink>
      <w:r>
        <w:rPr>
          <w:rFonts w:asciiTheme="minorHAnsi" w:hAnsiTheme="minorHAnsi"/>
          <w:sz w:val="16"/>
          <w:szCs w:val="16"/>
        </w:rPr>
        <w:t>. 2015 overview of policies, instruments and targets in 32 countries, 2016, Italy report, p.9</w:t>
      </w:r>
    </w:p>
  </w:footnote>
  <w:footnote w:id="218">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Benessere equo e sostenibile</w:t>
      </w:r>
    </w:p>
  </w:footnote>
  <w:footnote w:id="219">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59" w:history="1">
        <w:r>
          <w:rPr>
            <w:rStyle w:val="Hyperlink"/>
            <w:rFonts w:asciiTheme="minorHAnsi" w:hAnsiTheme="minorHAnsi"/>
            <w:sz w:val="16"/>
            <w:szCs w:val="16"/>
            <w:lang w:val="it-IT"/>
          </w:rPr>
          <w:t>BES webpage</w:t>
        </w:r>
      </w:hyperlink>
      <w:r>
        <w:rPr>
          <w:rFonts w:asciiTheme="minorHAnsi" w:hAnsiTheme="minorHAnsi"/>
          <w:sz w:val="16"/>
          <w:szCs w:val="16"/>
          <w:lang w:val="it-IT"/>
        </w:rPr>
        <w:t>, ISTAT</w:t>
      </w:r>
    </w:p>
  </w:footnote>
  <w:footnote w:id="220">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60" w:history="1">
        <w:r>
          <w:rPr>
            <w:rStyle w:val="Hyperlink"/>
            <w:rFonts w:asciiTheme="minorHAnsi" w:hAnsiTheme="minorHAnsi"/>
            <w:sz w:val="16"/>
            <w:szCs w:val="16"/>
          </w:rPr>
          <w:t>Law No. 163 of 4 August  2016 n° 163, Art 1,6 &amp; Art.14</w:t>
        </w:r>
      </w:hyperlink>
      <w:r>
        <w:rPr>
          <w:rFonts w:asciiTheme="minorHAnsi" w:hAnsiTheme="minorHAnsi"/>
          <w:sz w:val="16"/>
          <w:szCs w:val="16"/>
        </w:rPr>
        <w:t xml:space="preserve"> G.U. 25/08/2016</w:t>
      </w:r>
    </w:p>
  </w:footnote>
  <w:footnote w:id="221">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Istituto nazionale di statistica</w:t>
      </w:r>
    </w:p>
  </w:footnote>
  <w:footnote w:id="222">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Documento di Econ</w:t>
      </w:r>
      <w:r>
        <w:rPr>
          <w:rFonts w:asciiTheme="minorHAnsi" w:hAnsiTheme="minorHAnsi"/>
          <w:sz w:val="16"/>
          <w:szCs w:val="16"/>
          <w:lang w:val="it-IT"/>
        </w:rPr>
        <w:t>omia e Finanza</w:t>
      </w:r>
    </w:p>
  </w:footnote>
  <w:footnote w:id="22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RPA 2014, </w:t>
      </w:r>
      <w:hyperlink r:id="rId161" w:history="1">
        <w:r>
          <w:rPr>
            <w:rStyle w:val="Hyperlink"/>
            <w:rFonts w:asciiTheme="minorHAnsi" w:hAnsiTheme="minorHAnsi"/>
            <w:sz w:val="16"/>
            <w:szCs w:val="16"/>
          </w:rPr>
          <w:t>Economic and Social Benefits of Environmental Protection and Resource Efficiency Related to the European Semester</w:t>
        </w:r>
      </w:hyperlink>
      <w:r>
        <w:rPr>
          <w:rFonts w:asciiTheme="minorHAnsi" w:hAnsiTheme="minorHAnsi"/>
          <w:sz w:val="16"/>
          <w:szCs w:val="16"/>
        </w:rPr>
        <w:t>, st</w:t>
      </w:r>
      <w:r>
        <w:rPr>
          <w:rFonts w:asciiTheme="minorHAnsi" w:hAnsiTheme="minorHAnsi"/>
          <w:sz w:val="16"/>
          <w:szCs w:val="16"/>
        </w:rPr>
        <w:t>udy for European Commission</w:t>
      </w:r>
    </w:p>
  </w:footnote>
  <w:footnote w:id="22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OECD, </w:t>
      </w:r>
      <w:hyperlink r:id="rId162" w:history="1">
        <w:r>
          <w:rPr>
            <w:rStyle w:val="Hyperlink"/>
            <w:rFonts w:asciiTheme="minorHAnsi" w:hAnsiTheme="minorHAnsi"/>
            <w:sz w:val="16"/>
            <w:szCs w:val="16"/>
          </w:rPr>
          <w:t>Environmental Performance Review Italy</w:t>
        </w:r>
      </w:hyperlink>
      <w:r>
        <w:rPr>
          <w:rFonts w:asciiTheme="minorHAnsi" w:hAnsiTheme="minorHAnsi"/>
          <w:sz w:val="16"/>
          <w:szCs w:val="16"/>
        </w:rPr>
        <w:t xml:space="preserve"> 2013</w:t>
      </w:r>
    </w:p>
  </w:footnote>
  <w:footnote w:id="22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transposition of Directive 2014/52/EU is due in May 2017</w:t>
      </w:r>
    </w:p>
  </w:footnote>
  <w:footnote w:id="226">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w:t>
      </w:r>
      <w:r>
        <w:rPr>
          <w:rFonts w:asciiTheme="minorHAnsi" w:hAnsiTheme="minorHAnsi"/>
          <w:sz w:val="16"/>
          <w:szCs w:val="16"/>
        </w:rPr>
        <w:t xml:space="preserve">an Commission, 2016. Commission notice — </w:t>
      </w:r>
      <w:hyperlink r:id="rId163" w:history="1">
        <w:r>
          <w:rPr>
            <w:rStyle w:val="Hyperlink"/>
            <w:rFonts w:asciiTheme="minorHAnsi" w:hAnsiTheme="minorHAnsi"/>
            <w:sz w:val="16"/>
            <w:szCs w:val="16"/>
          </w:rPr>
          <w:t>Commission guidance document on streamlining environmental assessments conducted under Article 2(3) of the Environmental Impact As</w:t>
        </w:r>
        <w:r>
          <w:rPr>
            <w:rStyle w:val="Hyperlink"/>
            <w:rFonts w:asciiTheme="minorHAnsi" w:hAnsiTheme="minorHAnsi"/>
            <w:sz w:val="16"/>
            <w:szCs w:val="16"/>
          </w:rPr>
          <w:t>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22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Waste management beyond the Italian north-south divide: spatial analyses of geographical, economic and institutional dimensions, </w:t>
      </w:r>
      <w:r>
        <w:rPr>
          <w:rFonts w:asciiTheme="minorHAnsi" w:hAnsiTheme="minorHAnsi"/>
          <w:sz w:val="16"/>
          <w:szCs w:val="16"/>
        </w:rPr>
        <w:t>Mazzanti M and Montini A (2014), Handbook on waste management edited by T. Kinnaman &amp; K. Takeuchi (E. Elgar).</w:t>
      </w:r>
    </w:p>
  </w:footnote>
  <w:footnote w:id="228">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Conferenza Stato Regioni</w:t>
      </w:r>
    </w:p>
  </w:footnote>
  <w:footnote w:id="229">
    <w:p w:rsidR="00341319" w:rsidRDefault="00324889">
      <w:pPr>
        <w:pStyle w:val="FootnoteText"/>
        <w:widowControl w:val="0"/>
        <w:ind w:left="170" w:hanging="170"/>
        <w:rPr>
          <w:rFonts w:asciiTheme="minorHAnsi" w:hAnsiTheme="minorHAnsi"/>
          <w:sz w:val="16"/>
          <w:szCs w:val="16"/>
          <w:lang w:val="en-US"/>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64" w:history="1">
        <w:r>
          <w:rPr>
            <w:rStyle w:val="Hyperlink"/>
            <w:rFonts w:asciiTheme="minorHAnsi" w:hAnsiTheme="minorHAnsi"/>
            <w:sz w:val="16"/>
            <w:szCs w:val="16"/>
            <w:lang w:val="it-IT"/>
          </w:rPr>
          <w:t>Rete delle Autorità Ambientali e delle Autorità di Gest</w:t>
        </w:r>
        <w:r>
          <w:rPr>
            <w:rStyle w:val="Hyperlink"/>
            <w:rFonts w:asciiTheme="minorHAnsi" w:hAnsiTheme="minorHAnsi"/>
            <w:sz w:val="16"/>
            <w:szCs w:val="16"/>
            <w:lang w:val="it-IT"/>
          </w:rPr>
          <w:t>ione</w:t>
        </w:r>
      </w:hyperlink>
      <w:r>
        <w:rPr>
          <w:rStyle w:val="Hyperlink"/>
          <w:rFonts w:asciiTheme="minorHAnsi" w:hAnsiTheme="minorHAnsi"/>
          <w:sz w:val="16"/>
          <w:szCs w:val="16"/>
          <w:lang w:val="it-IT"/>
        </w:rPr>
        <w:t xml:space="preserve">. </w:t>
      </w:r>
      <w:r>
        <w:rPr>
          <w:rStyle w:val="Hyperlink"/>
          <w:rFonts w:asciiTheme="minorHAnsi" w:hAnsiTheme="minorHAnsi"/>
          <w:sz w:val="16"/>
          <w:szCs w:val="16"/>
          <w:lang w:val="en-US"/>
        </w:rPr>
        <w:t>The Italian network  regularly participates in the meetings and activities of the European ENEA-MA.</w:t>
      </w:r>
    </w:p>
  </w:footnote>
  <w:footnote w:id="230">
    <w:p w:rsidR="00341319" w:rsidRDefault="00324889">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Programma Nazionale di Riforma 2016, April 2016, p.83</w:t>
      </w:r>
    </w:p>
  </w:footnote>
  <w:footnote w:id="231">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Ministry of Environment, </w:t>
      </w:r>
      <w:hyperlink r:id="rId165" w:history="1">
        <w:r>
          <w:rPr>
            <w:rStyle w:val="Hyperlink"/>
            <w:rFonts w:asciiTheme="minorHAnsi" w:hAnsiTheme="minorHAnsi"/>
            <w:sz w:val="16"/>
            <w:szCs w:val="16"/>
          </w:rPr>
          <w:t>Ministerial Decree 22.11.2007</w:t>
        </w:r>
      </w:hyperlink>
    </w:p>
  </w:footnote>
  <w:footnote w:id="232">
    <w:p w:rsidR="00341319" w:rsidRDefault="00324889">
      <w:pPr>
        <w:pStyle w:val="FootnoteText"/>
        <w:ind w:left="170" w:hanging="170"/>
        <w:rPr>
          <w:rFonts w:asciiTheme="minorHAnsi" w:hAnsiTheme="minorHAnsi"/>
          <w:sz w:val="16"/>
          <w:szCs w:val="16"/>
          <w:lang w:val="it-IT"/>
        </w:rPr>
      </w:pPr>
      <w:r>
        <w:rPr>
          <w:rStyle w:val="FootnoteReference"/>
          <w:rFonts w:asciiTheme="minorHAnsi" w:hAnsiTheme="minorHAnsi"/>
          <w:sz w:val="16"/>
          <w:szCs w:val="16"/>
          <w:vertAlign w:val="baseline"/>
        </w:rPr>
        <w:footnoteRef/>
      </w:r>
      <w:r>
        <w:rPr>
          <w:rFonts w:asciiTheme="minorHAnsi" w:hAnsiTheme="minorHAnsi"/>
          <w:sz w:val="16"/>
          <w:szCs w:val="16"/>
          <w:lang w:val="it-IT"/>
        </w:rPr>
        <w:t xml:space="preserve"> </w:t>
      </w:r>
      <w:hyperlink r:id="rId166" w:history="1">
        <w:r>
          <w:rPr>
            <w:rStyle w:val="Hyperlink"/>
            <w:rFonts w:asciiTheme="minorHAnsi" w:hAnsiTheme="minorHAnsi"/>
            <w:sz w:val="16"/>
            <w:szCs w:val="16"/>
            <w:lang w:val="it-IT"/>
          </w:rPr>
          <w:t xml:space="preserve">REACH - Prodotti Chimici: informiamo i cittadini </w:t>
        </w:r>
      </w:hyperlink>
      <w:r>
        <w:rPr>
          <w:rFonts w:asciiTheme="minorHAnsi" w:hAnsiTheme="minorHAnsi"/>
          <w:sz w:val="16"/>
          <w:szCs w:val="16"/>
          <w:lang w:val="it-IT"/>
        </w:rPr>
        <w:t xml:space="preserve"> </w:t>
      </w:r>
    </w:p>
  </w:footnote>
  <w:footnote w:id="23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For example, in the water field, this is also reflected in the low quality of the data monitored and reported under the Drinking Water and Urban Wastewater Treatment Directives.</w:t>
      </w:r>
    </w:p>
  </w:footnote>
  <w:footnote w:id="23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w:t>
      </w:r>
      <w:hyperlink r:id="rId167" w:history="1">
        <w:r>
          <w:rPr>
            <w:rStyle w:val="Hyperlink"/>
            <w:rFonts w:asciiTheme="minorHAnsi" w:hAnsiTheme="minorHAnsi"/>
            <w:sz w:val="16"/>
            <w:szCs w:val="16"/>
          </w:rPr>
          <w:t>Environmental Crime Directive 2008/99/EC</w:t>
        </w:r>
      </w:hyperlink>
      <w:r>
        <w:rPr>
          <w:rStyle w:val="Hyperlink"/>
          <w:rFonts w:asciiTheme="minorHAnsi" w:hAnsiTheme="minorHAnsi"/>
          <w:sz w:val="16"/>
          <w:szCs w:val="16"/>
        </w:rPr>
        <w:t>.</w:t>
      </w:r>
    </w:p>
  </w:footnote>
  <w:footnote w:id="235">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68" w:history="1">
        <w:r>
          <w:rPr>
            <w:rStyle w:val="Hyperlink"/>
            <w:rFonts w:asciiTheme="minorHAnsi" w:hAnsiTheme="minorHAnsi"/>
            <w:sz w:val="16"/>
            <w:szCs w:val="16"/>
          </w:rPr>
          <w:t>European Union Network fo</w:t>
        </w:r>
        <w:r>
          <w:rPr>
            <w:rStyle w:val="Hyperlink"/>
            <w:rFonts w:asciiTheme="minorHAnsi" w:hAnsiTheme="minorHAnsi"/>
            <w:sz w:val="16"/>
            <w:szCs w:val="16"/>
          </w:rPr>
          <w:t>r the Implementation and Enforcement of Environmental Law</w:t>
        </w:r>
      </w:hyperlink>
    </w:p>
  </w:footnote>
  <w:footnote w:id="236">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69" w:history="1">
        <w:r>
          <w:rPr>
            <w:rStyle w:val="Hyperlink"/>
            <w:rFonts w:asciiTheme="minorHAnsi" w:hAnsiTheme="minorHAnsi"/>
            <w:sz w:val="16"/>
            <w:szCs w:val="16"/>
          </w:rPr>
          <w:t>European Union Forum of judges for the environment</w:t>
        </w:r>
      </w:hyperlink>
    </w:p>
  </w:footnote>
  <w:footnote w:id="23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70" w:history="1">
        <w:r>
          <w:rPr>
            <w:rStyle w:val="Hyperlink"/>
            <w:rFonts w:asciiTheme="minorHAnsi" w:hAnsiTheme="minorHAnsi"/>
            <w:sz w:val="16"/>
            <w:szCs w:val="16"/>
          </w:rPr>
          <w:t>The European Network of Prosecutors for the Environ</w:t>
        </w:r>
        <w:r>
          <w:rPr>
            <w:rStyle w:val="Hyperlink"/>
            <w:rFonts w:asciiTheme="minorHAnsi" w:hAnsiTheme="minorHAnsi"/>
            <w:sz w:val="16"/>
            <w:szCs w:val="16"/>
          </w:rPr>
          <w:t>ment</w:t>
        </w:r>
      </w:hyperlink>
    </w:p>
  </w:footnote>
  <w:footnote w:id="238">
    <w:p w:rsidR="00341319" w:rsidRDefault="00324889">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vertAlign w:val="baseline"/>
        </w:rPr>
        <w:footnoteRef/>
      </w:r>
      <w:r>
        <w:rPr>
          <w:rFonts w:asciiTheme="minorHAnsi" w:hAnsiTheme="minorHAnsi"/>
          <w:sz w:val="16"/>
          <w:szCs w:val="16"/>
          <w:lang w:val="fr-FR"/>
        </w:rPr>
        <w:t xml:space="preserve"> </w:t>
      </w:r>
      <w:hyperlink r:id="rId171" w:history="1">
        <w:r>
          <w:rPr>
            <w:rStyle w:val="Hyperlink"/>
            <w:rFonts w:asciiTheme="minorHAnsi" w:hAnsiTheme="minorHAnsi"/>
            <w:sz w:val="16"/>
            <w:szCs w:val="16"/>
            <w:lang w:val="fr-BE"/>
          </w:rPr>
          <w:t>EnviCrimeNet</w:t>
        </w:r>
      </w:hyperlink>
    </w:p>
  </w:footnote>
  <w:footnote w:id="239">
    <w:p w:rsidR="00341319" w:rsidRDefault="00324889">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vertAlign w:val="baseline"/>
        </w:rPr>
        <w:footnoteRef/>
      </w:r>
      <w:r>
        <w:rPr>
          <w:rFonts w:asciiTheme="minorHAnsi" w:hAnsiTheme="minorHAnsi"/>
          <w:sz w:val="16"/>
          <w:szCs w:val="16"/>
          <w:lang w:val="fr-FR"/>
        </w:rPr>
        <w:t xml:space="preserve"> European Union, </w:t>
      </w:r>
      <w:hyperlink r:id="rId172" w:history="1">
        <w:r>
          <w:rPr>
            <w:rStyle w:val="Hyperlink"/>
            <w:rFonts w:asciiTheme="minorHAnsi" w:hAnsiTheme="minorHAnsi"/>
            <w:sz w:val="16"/>
            <w:szCs w:val="16"/>
            <w:lang w:val="fr-FR"/>
          </w:rPr>
          <w:t>Environmental Liability Directive 2004/35/CE</w:t>
        </w:r>
      </w:hyperlink>
    </w:p>
  </w:footnote>
  <w:footnote w:id="24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COM(2016) 204 final and COM(2016) 121 final of 14.4.2016. This highlighted the need for better evidence on how the directive is used in practice; for tools to support its implementation, such as guidance, training and ELD registers; and for financial secu</w:t>
      </w:r>
      <w:r>
        <w:rPr>
          <w:rFonts w:asciiTheme="minorHAnsi" w:hAnsiTheme="minorHAnsi"/>
          <w:sz w:val="16"/>
          <w:szCs w:val="16"/>
        </w:rPr>
        <w:t>rity to be available in case events or incidents generate remediation costs.</w:t>
      </w:r>
    </w:p>
  </w:footnote>
  <w:footnote w:id="24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IMPEL IRI Italy, p. 4, 19, 21 and 30.</w:t>
      </w:r>
    </w:p>
  </w:footnote>
  <w:footnote w:id="242">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Amec Foster Wheeler Environment &amp; Infrastructure/Millieu, 'Assessment and Summary of the Member States implementation reports for the IED</w:t>
      </w:r>
      <w:r>
        <w:rPr>
          <w:rFonts w:asciiTheme="minorHAnsi" w:hAnsiTheme="minorHAnsi"/>
          <w:sz w:val="16"/>
          <w:szCs w:val="16"/>
        </w:rPr>
        <w:t xml:space="preserve">, IPPCD, SED and WID' 2016, p. 265, study for European Commission </w:t>
      </w:r>
    </w:p>
  </w:footnote>
  <w:footnote w:id="243">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IMPEL IRI Italy, p. 4 and 13. </w:t>
      </w:r>
    </w:p>
  </w:footnote>
  <w:footnote w:id="244">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rFonts w:asciiTheme="minorHAnsi" w:hAnsiTheme="minorHAnsi"/>
          <w:color w:val="000000" w:themeColor="text1"/>
          <w:sz w:val="16"/>
          <w:szCs w:val="16"/>
        </w:rPr>
        <w:t xml:space="preserve">Since the 1990s, the Commission has been obliged to pursue infringement procedures targeting significant number of irregular landfills in Italy. Lack of </w:t>
      </w:r>
      <w:r>
        <w:rPr>
          <w:rFonts w:asciiTheme="minorHAnsi" w:hAnsiTheme="minorHAnsi"/>
          <w:color w:val="000000" w:themeColor="text1"/>
          <w:sz w:val="16"/>
          <w:szCs w:val="16"/>
        </w:rPr>
        <w:t>proper compliance monitoring and effective measures to tackle organised waste crime have been identified to be amongst the causes of the Naples waste crisis, see</w:t>
      </w:r>
      <w:r>
        <w:rPr>
          <w:rFonts w:asciiTheme="minorHAnsi" w:hAnsiTheme="minorHAnsi"/>
          <w:sz w:val="16"/>
          <w:szCs w:val="16"/>
        </w:rPr>
        <w:t xml:space="preserve"> Study 'Implementing EU Waste Legislation for Green Growth', BioIntelligence Service, p. 175.</w:t>
      </w:r>
    </w:p>
  </w:footnote>
  <w:footnote w:id="245">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EU funded "Tackling Environmental Crimes through Standardised Methodologies –</w:t>
      </w:r>
      <w:hyperlink r:id="rId173" w:history="1">
        <w:r>
          <w:rPr>
            <w:rStyle w:val="Hyperlink"/>
            <w:rFonts w:asciiTheme="minorHAnsi" w:hAnsiTheme="minorHAnsi"/>
            <w:sz w:val="16"/>
            <w:szCs w:val="16"/>
          </w:rPr>
          <w:t xml:space="preserve"> TECUM'</w:t>
        </w:r>
      </w:hyperlink>
      <w:r>
        <w:rPr>
          <w:rFonts w:asciiTheme="minorHAnsi" w:hAnsiTheme="minorHAnsi"/>
          <w:sz w:val="16"/>
          <w:szCs w:val="16"/>
        </w:rPr>
        <w:t xml:space="preserve"> project aims at reinforcing the capacities of police services and specialized agencies in fighting environmental crime, es</w:t>
      </w:r>
      <w:r>
        <w:rPr>
          <w:rFonts w:asciiTheme="minorHAnsi" w:hAnsiTheme="minorHAnsi"/>
          <w:sz w:val="16"/>
          <w:szCs w:val="16"/>
        </w:rPr>
        <w:t>pecially where organized crime is involved. The project will tackle illicit waste trafficking as well as related evolutionary forms of environmental crime, addressing the problems by an operational inter-agency approach aimed at standardization of transnat</w:t>
      </w:r>
      <w:r>
        <w:rPr>
          <w:rFonts w:asciiTheme="minorHAnsi" w:hAnsiTheme="minorHAnsi"/>
          <w:sz w:val="16"/>
          <w:szCs w:val="16"/>
        </w:rPr>
        <w:t xml:space="preserve">ional investigation procedures. </w:t>
      </w:r>
    </w:p>
  </w:footnote>
  <w:footnote w:id="246">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Pool Inquinamento</w:t>
      </w:r>
    </w:p>
  </w:footnote>
  <w:footnote w:id="247">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Commission, </w:t>
      </w:r>
      <w:hyperlink r:id="rId174" w:history="1">
        <w:r>
          <w:rPr>
            <w:rStyle w:val="Hyperlink"/>
            <w:rFonts w:asciiTheme="minorHAnsi" w:hAnsiTheme="minorHAnsi"/>
            <w:sz w:val="16"/>
            <w:szCs w:val="16"/>
          </w:rPr>
          <w:t>2012/2013 access to justice in environmental matters</w:t>
        </w:r>
      </w:hyperlink>
    </w:p>
  </w:footnote>
  <w:footnote w:id="248">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UNECE, 1998. </w:t>
      </w:r>
      <w:hyperlink r:id="rId175" w:history="1">
        <w:r>
          <w:rPr>
            <w:rStyle w:val="Hyperlink"/>
            <w:rFonts w:asciiTheme="minorHAnsi" w:hAnsiTheme="minorHAnsi"/>
            <w:sz w:val="16"/>
            <w:szCs w:val="16"/>
          </w:rPr>
          <w:t>Convention on Access to Information, Public Participation in Decision-Making and Access to Justice in Environmental Matters</w:t>
        </w:r>
      </w:hyperlink>
    </w:p>
  </w:footnote>
  <w:footnote w:id="249">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w:t>
      </w:r>
      <w:hyperlink r:id="rId176" w:history="1">
        <w:r>
          <w:rPr>
            <w:rStyle w:val="Hyperlink"/>
            <w:rFonts w:asciiTheme="minorHAnsi" w:hAnsiTheme="minorHAnsi"/>
            <w:sz w:val="16"/>
            <w:szCs w:val="16"/>
          </w:rPr>
          <w:t>Directive 2003/4/EC on public access to environmental information</w:t>
        </w:r>
      </w:hyperlink>
    </w:p>
  </w:footnote>
  <w:footnote w:id="250">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w:t>
      </w:r>
      <w:hyperlink r:id="rId177"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p>
  </w:footnote>
  <w:footnote w:id="251">
    <w:p w:rsidR="00341319" w:rsidRDefault="00324889">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Union, EU eGovernment Action Plan 2016-2020 - Accelerating the digital transformation of government </w:t>
      </w:r>
      <w:hyperlink r:id="rId178" w:history="1">
        <w:r>
          <w:rPr>
            <w:rStyle w:val="Hyperlink"/>
            <w:rFonts w:asciiTheme="minorHAnsi" w:hAnsiTheme="minorHAnsi"/>
            <w:sz w:val="16"/>
            <w:szCs w:val="16"/>
          </w:rPr>
          <w:t>COM(2016) 179</w:t>
        </w:r>
      </w:hyperlink>
    </w:p>
  </w:footnote>
  <w:footnote w:id="252">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Ministry of Environment, </w:t>
      </w:r>
      <w:hyperlink r:id="rId179" w:history="1">
        <w:r>
          <w:rPr>
            <w:rStyle w:val="Hyperlink"/>
            <w:rFonts w:asciiTheme="minorHAnsi" w:hAnsiTheme="minorHAnsi"/>
            <w:sz w:val="16"/>
            <w:szCs w:val="16"/>
          </w:rPr>
          <w:t>EIA-SEA Portal</w:t>
        </w:r>
      </w:hyperlink>
      <w:r>
        <w:rPr>
          <w:rFonts w:asciiTheme="minorHAnsi" w:hAnsiTheme="minorHAnsi"/>
          <w:sz w:val="16"/>
          <w:szCs w:val="16"/>
        </w:rPr>
        <w:t xml:space="preserve"> </w:t>
      </w:r>
    </w:p>
  </w:footnote>
  <w:footnote w:id="253">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Upon request by the Commission, most Member States provided an INSPIRE Action Plan addressing implementat</w:t>
      </w:r>
      <w:r>
        <w:rPr>
          <w:rFonts w:asciiTheme="minorHAnsi" w:hAnsiTheme="minorHAnsi"/>
          <w:sz w:val="16"/>
          <w:szCs w:val="16"/>
        </w:rPr>
        <w:t xml:space="preserve">ion issues. These plans are currently being assessed by the Commission. </w:t>
      </w:r>
    </w:p>
  </w:footnote>
  <w:footnote w:id="254">
    <w:p w:rsidR="00341319" w:rsidRDefault="00341319">
      <w:pPr>
        <w:pStyle w:val="FootnoteText"/>
        <w:widowControl w:val="0"/>
        <w:ind w:left="170" w:hanging="170"/>
        <w:rPr>
          <w:rFonts w:asciiTheme="minorHAnsi" w:hAnsiTheme="minorHAnsi"/>
          <w:sz w:val="16"/>
          <w:szCs w:val="16"/>
        </w:rPr>
      </w:pPr>
    </w:p>
  </w:footnote>
  <w:footnote w:id="255">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Consulta nazionale per l'informazione territoriale e ambientale, </w:t>
      </w:r>
      <w:hyperlink r:id="rId180" w:history="1">
        <w:r>
          <w:rPr>
            <w:rStyle w:val="Hyperlink"/>
            <w:rFonts w:asciiTheme="minorHAnsi" w:hAnsiTheme="minorHAnsi"/>
            <w:sz w:val="16"/>
            <w:szCs w:val="16"/>
          </w:rPr>
          <w:t>Decree 12.01.2016</w:t>
        </w:r>
      </w:hyperlink>
    </w:p>
  </w:footnote>
  <w:footnote w:id="256">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81" w:history="1">
        <w:r>
          <w:rPr>
            <w:rStyle w:val="Hyperlink"/>
            <w:rFonts w:asciiTheme="minorHAnsi" w:hAnsiTheme="minorHAnsi"/>
            <w:sz w:val="16"/>
            <w:szCs w:val="16"/>
          </w:rPr>
          <w:t>Inspire indicator trends</w:t>
        </w:r>
      </w:hyperlink>
    </w:p>
  </w:footnote>
  <w:footnote w:id="257">
    <w:p w:rsidR="00341319" w:rsidRDefault="00324889">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182"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89" w:rsidRPr="00324889" w:rsidRDefault="00324889" w:rsidP="003248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v</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5</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10</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89" w:rsidRPr="00324889" w:rsidRDefault="00324889" w:rsidP="0032488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11</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15</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16</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23</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889" w:rsidRPr="00324889" w:rsidRDefault="00324889" w:rsidP="0032488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24</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27</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28</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34</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3</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2</w:t>
          </w:r>
          <w:r>
            <w:rPr>
              <w:rFonts w:cstheme="minorHAnsi"/>
              <w:b/>
              <w:noProof/>
              <w:color w:val="1F497D" w:themeColor="text2"/>
              <w:sz w:val="28"/>
            </w:rPr>
            <w:fldChar w:fldCharType="end"/>
          </w:r>
        </w:p>
      </w:tc>
    </w:tr>
  </w:tbl>
  <w:p w:rsidR="00341319" w:rsidRDefault="003413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41319">
      <w:tc>
        <w:tcPr>
          <w:tcW w:w="0" w:type="auto"/>
          <w:tcBorders>
            <w:top w:val="nil"/>
            <w:left w:val="nil"/>
            <w:bottom w:val="nil"/>
            <w:right w:val="single" w:sz="6" w:space="0" w:color="000000" w:themeColor="text1"/>
          </w:tcBorders>
          <w:vAlign w:val="center"/>
          <w:hideMark/>
        </w:tcPr>
        <w:p w:rsidR="00341319" w:rsidRDefault="00324889">
          <w:pPr>
            <w:pStyle w:val="Header"/>
            <w:spacing w:line="276" w:lineRule="auto"/>
            <w:jc w:val="right"/>
            <w:rPr>
              <w:rFonts w:cstheme="minorHAnsi"/>
              <w:b/>
              <w:bCs/>
              <w:color w:val="1F497D" w:themeColor="text2"/>
            </w:rPr>
          </w:pPr>
          <w:r>
            <w:rPr>
              <w:rFonts w:cstheme="minorHAnsi"/>
              <w:b/>
              <w:bCs/>
              <w:color w:val="1F497D" w:themeColor="text2"/>
            </w:rPr>
            <w:t>Italy</w:t>
          </w:r>
        </w:p>
      </w:tc>
      <w:tc>
        <w:tcPr>
          <w:tcW w:w="1152" w:type="dxa"/>
          <w:tcBorders>
            <w:top w:val="nil"/>
            <w:left w:val="single" w:sz="6" w:space="0" w:color="000000" w:themeColor="text1"/>
            <w:bottom w:val="nil"/>
            <w:right w:val="nil"/>
          </w:tcBorders>
          <w:hideMark/>
        </w:tcPr>
        <w:p w:rsidR="00341319" w:rsidRDefault="00324889">
          <w:pPr>
            <w:pStyle w:val="Header"/>
            <w:spacing w:line="276" w:lineRule="auto"/>
            <w:rPr>
              <w:rFonts w:cstheme="minorHAnsi"/>
              <w:b/>
              <w:bCs/>
              <w:color w:val="1F497D" w:themeColor="text2"/>
            </w:rPr>
          </w:pPr>
          <w:r>
            <w:rPr>
              <w:rFonts w:cstheme="minorHAnsi"/>
              <w:b/>
              <w:color w:val="1F497D" w:themeColor="text2"/>
              <w:sz w:val="28"/>
            </w:rPr>
            <w:fldChar w:fldCharType="begin"/>
          </w:r>
          <w:r>
            <w:rPr>
              <w:rFonts w:cstheme="minorHAnsi"/>
              <w:b/>
              <w:color w:val="1F497D" w:themeColor="text2"/>
              <w:sz w:val="28"/>
            </w:rPr>
            <w:instrText xml:space="preserve"> PAGE   \* MERGEFORMAT </w:instrText>
          </w:r>
          <w:r>
            <w:rPr>
              <w:rFonts w:cstheme="minorHAnsi"/>
              <w:b/>
              <w:color w:val="1F497D" w:themeColor="text2"/>
              <w:sz w:val="28"/>
            </w:rPr>
            <w:fldChar w:fldCharType="separate"/>
          </w:r>
          <w:r>
            <w:rPr>
              <w:rFonts w:cstheme="minorHAnsi"/>
              <w:b/>
              <w:noProof/>
              <w:color w:val="1F497D" w:themeColor="text2"/>
              <w:sz w:val="28"/>
            </w:rPr>
            <w:t>4</w:t>
          </w:r>
          <w:r>
            <w:rPr>
              <w:rFonts w:cstheme="minorHAnsi"/>
              <w:b/>
              <w:noProof/>
              <w:color w:val="1F497D" w:themeColor="text2"/>
              <w:sz w:val="28"/>
            </w:rPr>
            <w:fldChar w:fldCharType="end"/>
          </w:r>
        </w:p>
      </w:tc>
    </w:tr>
  </w:tbl>
  <w:p w:rsidR="00341319" w:rsidRDefault="00341319">
    <w:pPr>
      <w:pStyle w:val="Header"/>
      <w:rPr>
        <w:b/>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19" w:rsidRDefault="003413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0EB"/>
    <w:multiLevelType w:val="hybridMultilevel"/>
    <w:tmpl w:val="EC8C3D0E"/>
    <w:lvl w:ilvl="0" w:tplc="08090009">
      <w:start w:val="1"/>
      <w:numFmt w:val="bullet"/>
      <w:lvlText w:val=""/>
      <w:lvlJc w:val="left"/>
      <w:pPr>
        <w:ind w:left="360" w:hanging="360"/>
      </w:pPr>
      <w:rPr>
        <w:rFonts w:ascii="Wingdings" w:hAnsi="Wingdings" w:hint="default"/>
      </w:rPr>
    </w:lvl>
    <w:lvl w:ilvl="1" w:tplc="69FE9362">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A2861F9"/>
    <w:multiLevelType w:val="hybridMultilevel"/>
    <w:tmpl w:val="ACA271EC"/>
    <w:lvl w:ilvl="0" w:tplc="E9CE42D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1E1410AC"/>
    <w:multiLevelType w:val="hybridMultilevel"/>
    <w:tmpl w:val="9D009A90"/>
    <w:lvl w:ilvl="0" w:tplc="08090009">
      <w:start w:val="1"/>
      <w:numFmt w:val="bullet"/>
      <w:lvlText w:val=""/>
      <w:lvlJc w:val="left"/>
      <w:pPr>
        <w:ind w:left="360" w:hanging="360"/>
      </w:pPr>
      <w:rPr>
        <w:rFonts w:ascii="Wingdings" w:hAnsi="Wingdings" w:hint="default"/>
      </w:rPr>
    </w:lvl>
    <w:lvl w:ilvl="1" w:tplc="69FE9362">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8">
    <w:nsid w:val="2DEE3361"/>
    <w:multiLevelType w:val="hybridMultilevel"/>
    <w:tmpl w:val="AD320B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42769F7"/>
    <w:multiLevelType w:val="hybridMultilevel"/>
    <w:tmpl w:val="0A62B724"/>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nsid w:val="3BC95B3B"/>
    <w:multiLevelType w:val="multilevel"/>
    <w:tmpl w:val="CBD2C0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1217BF"/>
    <w:multiLevelType w:val="hybridMultilevel"/>
    <w:tmpl w:val="5A64363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AB666C1"/>
    <w:multiLevelType w:val="hybridMultilevel"/>
    <w:tmpl w:val="69EE517E"/>
    <w:lvl w:ilvl="0" w:tplc="B8E24918">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475F5A"/>
    <w:multiLevelType w:val="hybridMultilevel"/>
    <w:tmpl w:val="B0DC574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2D263C3"/>
    <w:multiLevelType w:val="hybridMultilevel"/>
    <w:tmpl w:val="212CF2CE"/>
    <w:lvl w:ilvl="0" w:tplc="8B8CDF1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0">
    <w:nsid w:val="73EC06F4"/>
    <w:multiLevelType w:val="multilevel"/>
    <w:tmpl w:val="1A963740"/>
    <w:styleLink w:val="List107"/>
    <w:lvl w:ilvl="0">
      <w:start w:val="1"/>
      <w:numFmt w:val="lowerLetter"/>
      <w:lvlText w:val="(%1)"/>
      <w:lvlJc w:val="left"/>
      <w:rPr>
        <w:b/>
        <w:bCs/>
        <w:color w:val="000000"/>
        <w:position w:val="0"/>
        <w:u w:color="000000"/>
        <w:rtl w:val="0"/>
      </w:rPr>
    </w:lvl>
    <w:lvl w:ilvl="1">
      <w:start w:val="1"/>
      <w:numFmt w:val="lowerLetter"/>
      <w:lvlText w:val="%2."/>
      <w:lvlJc w:val="left"/>
      <w:rPr>
        <w:b/>
        <w:bCs/>
        <w:color w:val="000000"/>
        <w:position w:val="0"/>
        <w:u w:color="000000"/>
        <w:rtl w:val="0"/>
      </w:rPr>
    </w:lvl>
    <w:lvl w:ilvl="2">
      <w:start w:val="1"/>
      <w:numFmt w:val="lowerRoman"/>
      <w:lvlText w:val="%3."/>
      <w:lvlJc w:val="left"/>
      <w:rPr>
        <w:b/>
        <w:bCs/>
        <w:color w:val="000000"/>
        <w:position w:val="0"/>
        <w:u w:color="000000"/>
        <w:rtl w:val="0"/>
      </w:rPr>
    </w:lvl>
    <w:lvl w:ilvl="3">
      <w:start w:val="1"/>
      <w:numFmt w:val="decimal"/>
      <w:lvlText w:val="%4."/>
      <w:lvlJc w:val="left"/>
      <w:rPr>
        <w:b/>
        <w:bCs/>
        <w:color w:val="000000"/>
        <w:position w:val="0"/>
        <w:u w:color="000000"/>
        <w:rtl w:val="0"/>
      </w:rPr>
    </w:lvl>
    <w:lvl w:ilvl="4">
      <w:start w:val="1"/>
      <w:numFmt w:val="lowerLetter"/>
      <w:lvlText w:val="%5."/>
      <w:lvlJc w:val="left"/>
      <w:rPr>
        <w:b/>
        <w:bCs/>
        <w:color w:val="000000"/>
        <w:position w:val="0"/>
        <w:u w:color="000000"/>
        <w:rtl w:val="0"/>
      </w:rPr>
    </w:lvl>
    <w:lvl w:ilvl="5">
      <w:start w:val="1"/>
      <w:numFmt w:val="lowerRoman"/>
      <w:lvlText w:val="%6."/>
      <w:lvlJc w:val="left"/>
      <w:rPr>
        <w:b/>
        <w:bCs/>
        <w:color w:val="000000"/>
        <w:position w:val="0"/>
        <w:u w:color="000000"/>
        <w:rtl w:val="0"/>
      </w:rPr>
    </w:lvl>
    <w:lvl w:ilvl="6">
      <w:start w:val="1"/>
      <w:numFmt w:val="decimal"/>
      <w:lvlText w:val="%7."/>
      <w:lvlJc w:val="left"/>
      <w:rPr>
        <w:b/>
        <w:bCs/>
        <w:color w:val="000000"/>
        <w:position w:val="0"/>
        <w:u w:color="000000"/>
        <w:rtl w:val="0"/>
      </w:rPr>
    </w:lvl>
    <w:lvl w:ilvl="7">
      <w:start w:val="1"/>
      <w:numFmt w:val="lowerLetter"/>
      <w:lvlText w:val="%8."/>
      <w:lvlJc w:val="left"/>
      <w:rPr>
        <w:b/>
        <w:bCs/>
        <w:color w:val="000000"/>
        <w:position w:val="0"/>
        <w:u w:color="000000"/>
        <w:rtl w:val="0"/>
      </w:rPr>
    </w:lvl>
    <w:lvl w:ilvl="8">
      <w:start w:val="1"/>
      <w:numFmt w:val="lowerRoman"/>
      <w:lvlText w:val="%9."/>
      <w:lvlJc w:val="left"/>
      <w:rPr>
        <w:b/>
        <w:bCs/>
        <w:color w:val="000000"/>
        <w:position w:val="0"/>
        <w:u w:color="000000"/>
        <w:rtl w:val="0"/>
      </w:rPr>
    </w:lvl>
  </w:abstractNum>
  <w:abstractNum w:abstractNumId="31">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CF3375E"/>
    <w:multiLevelType w:val="hybridMultilevel"/>
    <w:tmpl w:val="8CA2C7DA"/>
    <w:lvl w:ilvl="0" w:tplc="2ABCD1E2">
      <w:start w:val="1"/>
      <w:numFmt w:val="bullet"/>
      <w:lvlText w:val=""/>
      <w:lvlJc w:val="left"/>
      <w:pPr>
        <w:ind w:left="360" w:hanging="360"/>
      </w:pPr>
      <w:rPr>
        <w:rFonts w:ascii="Symbol" w:hAnsi="Symbol" w:hint="default"/>
      </w:rPr>
    </w:lvl>
    <w:lvl w:ilvl="1" w:tplc="69FE9362">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16"/>
  </w:num>
  <w:num w:numId="3">
    <w:abstractNumId w:val="28"/>
  </w:num>
  <w:num w:numId="4">
    <w:abstractNumId w:val="23"/>
  </w:num>
  <w:num w:numId="5">
    <w:abstractNumId w:val="14"/>
  </w:num>
  <w:num w:numId="6">
    <w:abstractNumId w:val="12"/>
  </w:num>
  <w:num w:numId="7">
    <w:abstractNumId w:val="32"/>
  </w:num>
  <w:num w:numId="8">
    <w:abstractNumId w:val="22"/>
  </w:num>
  <w:num w:numId="9">
    <w:abstractNumId w:val="10"/>
  </w:num>
  <w:num w:numId="10">
    <w:abstractNumId w:val="7"/>
  </w:num>
  <w:num w:numId="11">
    <w:abstractNumId w:val="4"/>
  </w:num>
  <w:num w:numId="12">
    <w:abstractNumId w:val="3"/>
  </w:num>
  <w:num w:numId="13">
    <w:abstractNumId w:val="25"/>
  </w:num>
  <w:num w:numId="14">
    <w:abstractNumId w:val="27"/>
  </w:num>
  <w:num w:numId="15">
    <w:abstractNumId w:val="26"/>
  </w:num>
  <w:num w:numId="16">
    <w:abstractNumId w:val="29"/>
  </w:num>
  <w:num w:numId="17">
    <w:abstractNumId w:val="6"/>
  </w:num>
  <w:num w:numId="18">
    <w:abstractNumId w:val="13"/>
  </w:num>
  <w:num w:numId="19">
    <w:abstractNumId w:val="17"/>
  </w:num>
  <w:num w:numId="20">
    <w:abstractNumId w:val="15"/>
  </w:num>
  <w:num w:numId="21">
    <w:abstractNumId w:val="1"/>
  </w:num>
  <w:num w:numId="22">
    <w:abstractNumId w:val="19"/>
  </w:num>
  <w:num w:numId="23">
    <w:abstractNumId w:val="11"/>
  </w:num>
  <w:num w:numId="24">
    <w:abstractNumId w:val="2"/>
  </w:num>
  <w:num w:numId="25">
    <w:abstractNumId w:val="33"/>
  </w:num>
  <w:num w:numId="26">
    <w:abstractNumId w:val="9"/>
  </w:num>
  <w:num w:numId="27">
    <w:abstractNumId w:val="30"/>
  </w:num>
  <w:num w:numId="28">
    <w:abstractNumId w:val="8"/>
  </w:num>
  <w:num w:numId="29">
    <w:abstractNumId w:val="24"/>
  </w:num>
  <w:num w:numId="30">
    <w:abstractNumId w:val="21"/>
  </w:num>
  <w:num w:numId="31">
    <w:abstractNumId w:val="18"/>
  </w:num>
  <w:num w:numId="32">
    <w:abstractNumId w:val="5"/>
  </w:num>
  <w:num w:numId="33">
    <w:abstractNumId w:val="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D924C5C7A18C4D06A5C8ACE45B95256D"/>
    <w:docVar w:name="LW_CROSSREFERENCE" w:val="{COM(2017) 63 final}_x000a_{SWD(2017) 33 - 46 final}_x000a_{SWD(2017) 48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47"/>
    <w:docVar w:name="LW_REF.INTERNE" w:val="&lt;UNUSED&gt;"/>
    <w:docVar w:name="LW_SUPERTITRE" w:val="&lt;UNUSED&gt;"/>
    <w:docVar w:name="LW_TITRE.OBJ.CP" w:val="The EU Environmental Implementation Review_x000b_Country Report - ITALY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341319"/>
    <w:rsid w:val="00324889"/>
    <w:rsid w:val="003413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29"/>
      </w:numPr>
      <w:spacing w:after="0" w:line="240" w:lineRule="auto"/>
      <w:jc w:val="center"/>
      <w:outlineLvl w:val="0"/>
    </w:pPr>
    <w:rPr>
      <w:rFonts w:ascii="Calibri" w:eastAsiaTheme="majorEastAsia" w:hAnsi="Calibri" w:cs="Times New Roman"/>
      <w:b/>
      <w:bCs/>
      <w:noProof/>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noProof/>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300" w:line="240" w:lineRule="auto"/>
      <w:contextualSpacing/>
      <w:jc w:val="center"/>
    </w:pPr>
    <w:rPr>
      <w:rFonts w:eastAsiaTheme="majorEastAsia" w:cstheme="majorBidi"/>
      <w:b/>
      <w:color w:val="17365D" w:themeColor="text2" w:themeShade="BF"/>
      <w:spacing w:val="5"/>
      <w:kern w:val="28"/>
      <w:sz w:val="32"/>
      <w:szCs w:val="32"/>
      <w:lang w:val="it-IT"/>
    </w:rPr>
  </w:style>
  <w:style w:type="character" w:customStyle="1" w:styleId="TitleChar">
    <w:name w:val="Title Char"/>
    <w:basedOn w:val="DefaultParagraphFont"/>
    <w:link w:val="Title"/>
    <w:uiPriority w:val="10"/>
    <w:rPr>
      <w:rFonts w:eastAsiaTheme="majorEastAsia" w:cstheme="majorBidi"/>
      <w:b/>
      <w:color w:val="17365D" w:themeColor="text2" w:themeShade="BF"/>
      <w:spacing w:val="5"/>
      <w:kern w:val="28"/>
      <w:sz w:val="32"/>
      <w:szCs w:val="32"/>
      <w:lang w:val="it-IT"/>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Pr>
      <w:bCs/>
      <w:iCs/>
      <w:color w:val="17365D" w:themeColor="text2" w:themeShade="BF"/>
      <w:sz w:val="22"/>
    </w:rPr>
  </w:style>
  <w:style w:type="paragraph" w:customStyle="1" w:styleId="BVIfnrCarChar1">
    <w:name w:val="BVI fnr Car Char1"/>
    <w:aliases w:val=" BVI fnr Car Car Car Char1,BVI fnr Car Car Char1, BVI fnr Car Car Car Car Car Char1, BVI fnr Car Car Car Car Char Car Car Char1, BVI fnr Car Char Char Char,BVI fnr Car Char Char Char, BVI fnr Car Char1,BVI fnr Car Car Car Char1"/>
    <w:basedOn w:val="Normal"/>
    <w:pPr>
      <w:spacing w:after="160" w:line="240" w:lineRule="exact"/>
      <w:jc w:val="both"/>
    </w:pPr>
    <w:rPr>
      <w:rFonts w:eastAsia="Times New Roman" w:cs="Times New Roman"/>
      <w:sz w:val="20"/>
      <w:szCs w:val="20"/>
      <w:vertAlign w:val="superscript"/>
      <w:lang w:val="it-IT" w:eastAsia="en-GB"/>
    </w:rPr>
  </w:style>
  <w:style w:type="paragraph" w:styleId="Subtitle">
    <w:name w:val="Subtitle"/>
    <w:basedOn w:val="Normal"/>
    <w:next w:val="Normal"/>
    <w:link w:val="SubtitleChar"/>
    <w:autoRedefine/>
    <w:uiPriority w:val="11"/>
    <w:qFormat/>
    <w:pPr>
      <w:spacing w:line="240" w:lineRule="auto"/>
      <w:jc w:val="both"/>
    </w:pPr>
    <w:rPr>
      <w:bCs/>
      <w:sz w:val="20"/>
    </w:rPr>
  </w:style>
  <w:style w:type="character" w:customStyle="1" w:styleId="SubtitleChar">
    <w:name w:val="Subtitle Char"/>
    <w:basedOn w:val="DefaultParagraphFont"/>
    <w:link w:val="Subtitle"/>
    <w:uiPriority w:val="11"/>
    <w:rPr>
      <w:bCs/>
      <w:sz w:val="20"/>
    </w:rPr>
  </w:style>
  <w:style w:type="paragraph" w:styleId="HTMLPreformatted">
    <w:name w:val="HTML Preformatted"/>
    <w:basedOn w:val="Normal"/>
    <w:link w:val="HTMLPreformattedChar"/>
    <w:uiPriority w:val="99"/>
    <w:semiHidden/>
    <w:unhideWhenUsed/>
    <w:pPr>
      <w:spacing w:after="0" w:line="240" w:lineRule="auto"/>
      <w:jc w:val="both"/>
    </w:pPr>
    <w:rPr>
      <w:rFonts w:ascii="Consolas" w:hAnsi="Consolas"/>
      <w:sz w:val="20"/>
      <w:szCs w:val="20"/>
      <w:lang w:val="it-IT"/>
    </w:rPr>
  </w:style>
  <w:style w:type="character" w:customStyle="1" w:styleId="HTMLPreformattedChar">
    <w:name w:val="HTML Preformatted Char"/>
    <w:basedOn w:val="DefaultParagraphFont"/>
    <w:link w:val="HTMLPreformatted"/>
    <w:uiPriority w:val="99"/>
    <w:semiHidden/>
    <w:rPr>
      <w:rFonts w:ascii="Consolas" w:hAnsi="Consolas"/>
      <w:sz w:val="20"/>
      <w:szCs w:val="20"/>
      <w:lang w:val="it-IT"/>
    </w:rPr>
  </w:style>
  <w:style w:type="numbering" w:customStyle="1" w:styleId="List107">
    <w:name w:val="List 107"/>
    <w:basedOn w:val="NoList"/>
    <w:pPr>
      <w:numPr>
        <w:numId w:val="27"/>
      </w:numPr>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29"/>
      </w:numPr>
      <w:spacing w:after="0" w:line="240" w:lineRule="auto"/>
      <w:jc w:val="center"/>
      <w:outlineLvl w:val="0"/>
    </w:pPr>
    <w:rPr>
      <w:rFonts w:ascii="Calibri" w:eastAsiaTheme="majorEastAsia" w:hAnsi="Calibri" w:cs="Times New Roman"/>
      <w:b/>
      <w:bCs/>
      <w:noProof/>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noProof/>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300" w:line="240" w:lineRule="auto"/>
      <w:contextualSpacing/>
      <w:jc w:val="center"/>
    </w:pPr>
    <w:rPr>
      <w:rFonts w:eastAsiaTheme="majorEastAsia" w:cstheme="majorBidi"/>
      <w:b/>
      <w:color w:val="17365D" w:themeColor="text2" w:themeShade="BF"/>
      <w:spacing w:val="5"/>
      <w:kern w:val="28"/>
      <w:sz w:val="32"/>
      <w:szCs w:val="32"/>
      <w:lang w:val="it-IT"/>
    </w:rPr>
  </w:style>
  <w:style w:type="character" w:customStyle="1" w:styleId="TitleChar">
    <w:name w:val="Title Char"/>
    <w:basedOn w:val="DefaultParagraphFont"/>
    <w:link w:val="Title"/>
    <w:uiPriority w:val="10"/>
    <w:rPr>
      <w:rFonts w:eastAsiaTheme="majorEastAsia" w:cstheme="majorBidi"/>
      <w:b/>
      <w:color w:val="17365D" w:themeColor="text2" w:themeShade="BF"/>
      <w:spacing w:val="5"/>
      <w:kern w:val="28"/>
      <w:sz w:val="32"/>
      <w:szCs w:val="32"/>
      <w:lang w:val="it-IT"/>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Pr>
      <w:bCs/>
      <w:iCs/>
      <w:color w:val="17365D" w:themeColor="text2" w:themeShade="BF"/>
      <w:sz w:val="22"/>
    </w:rPr>
  </w:style>
  <w:style w:type="paragraph" w:customStyle="1" w:styleId="BVIfnrCarChar1">
    <w:name w:val="BVI fnr Car Char1"/>
    <w:aliases w:val=" BVI fnr Car Car Car Char1,BVI fnr Car Car Char1, BVI fnr Car Car Car Car Car Char1, BVI fnr Car Car Car Car Char Car Car Char1, BVI fnr Car Char Char Char,BVI fnr Car Char Char Char, BVI fnr Car Char1,BVI fnr Car Car Car Char1"/>
    <w:basedOn w:val="Normal"/>
    <w:pPr>
      <w:spacing w:after="160" w:line="240" w:lineRule="exact"/>
      <w:jc w:val="both"/>
    </w:pPr>
    <w:rPr>
      <w:rFonts w:eastAsia="Times New Roman" w:cs="Times New Roman"/>
      <w:sz w:val="20"/>
      <w:szCs w:val="20"/>
      <w:vertAlign w:val="superscript"/>
      <w:lang w:val="it-IT" w:eastAsia="en-GB"/>
    </w:rPr>
  </w:style>
  <w:style w:type="paragraph" w:styleId="Subtitle">
    <w:name w:val="Subtitle"/>
    <w:basedOn w:val="Normal"/>
    <w:next w:val="Normal"/>
    <w:link w:val="SubtitleChar"/>
    <w:autoRedefine/>
    <w:uiPriority w:val="11"/>
    <w:qFormat/>
    <w:pPr>
      <w:spacing w:line="240" w:lineRule="auto"/>
      <w:jc w:val="both"/>
    </w:pPr>
    <w:rPr>
      <w:bCs/>
      <w:sz w:val="20"/>
    </w:rPr>
  </w:style>
  <w:style w:type="character" w:customStyle="1" w:styleId="SubtitleChar">
    <w:name w:val="Subtitle Char"/>
    <w:basedOn w:val="DefaultParagraphFont"/>
    <w:link w:val="Subtitle"/>
    <w:uiPriority w:val="11"/>
    <w:rPr>
      <w:bCs/>
      <w:sz w:val="20"/>
    </w:rPr>
  </w:style>
  <w:style w:type="paragraph" w:styleId="HTMLPreformatted">
    <w:name w:val="HTML Preformatted"/>
    <w:basedOn w:val="Normal"/>
    <w:link w:val="HTMLPreformattedChar"/>
    <w:uiPriority w:val="99"/>
    <w:semiHidden/>
    <w:unhideWhenUsed/>
    <w:pPr>
      <w:spacing w:after="0" w:line="240" w:lineRule="auto"/>
      <w:jc w:val="both"/>
    </w:pPr>
    <w:rPr>
      <w:rFonts w:ascii="Consolas" w:hAnsi="Consolas"/>
      <w:sz w:val="20"/>
      <w:szCs w:val="20"/>
      <w:lang w:val="it-IT"/>
    </w:rPr>
  </w:style>
  <w:style w:type="character" w:customStyle="1" w:styleId="HTMLPreformattedChar">
    <w:name w:val="HTML Preformatted Char"/>
    <w:basedOn w:val="DefaultParagraphFont"/>
    <w:link w:val="HTMLPreformatted"/>
    <w:uiPriority w:val="99"/>
    <w:semiHidden/>
    <w:rPr>
      <w:rFonts w:ascii="Consolas" w:hAnsi="Consolas"/>
      <w:sz w:val="20"/>
      <w:szCs w:val="20"/>
      <w:lang w:val="it-IT"/>
    </w:rPr>
  </w:style>
  <w:style w:type="numbering" w:customStyle="1" w:styleId="List107">
    <w:name w:val="List 107"/>
    <w:basedOn w:val="NoList"/>
    <w:pPr>
      <w:numPr>
        <w:numId w:val="27"/>
      </w:numPr>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3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media/image2.png"/><Relationship Id="rId47" Type="http://schemas.openxmlformats.org/officeDocument/2006/relationships/header" Target="header16.xml"/><Relationship Id="rId63" Type="http://schemas.openxmlformats.org/officeDocument/2006/relationships/image" Target="media/image11.png"/><Relationship Id="rId68" Type="http://schemas.openxmlformats.org/officeDocument/2006/relationships/header" Target="header24.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footer" Target="footer41.xml"/><Relationship Id="rId16" Type="http://schemas.openxmlformats.org/officeDocument/2006/relationships/hyperlink" Target="mailto:ENV-EIR@ec.europa.eu" TargetMode="External"/><Relationship Id="rId107"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image" Target="media/image5.png"/><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footer" Target="footer22.xml"/><Relationship Id="rId74" Type="http://schemas.openxmlformats.org/officeDocument/2006/relationships/header" Target="header27.xml"/><Relationship Id="rId79" Type="http://schemas.openxmlformats.org/officeDocument/2006/relationships/image" Target="media/image15.jpeg"/><Relationship Id="rId87" Type="http://schemas.openxmlformats.org/officeDocument/2006/relationships/header" Target="header31.xml"/><Relationship Id="rId102" Type="http://schemas.openxmlformats.org/officeDocument/2006/relationships/header" Target="header38.xml"/><Relationship Id="rId110" Type="http://schemas.openxmlformats.org/officeDocument/2006/relationships/header" Target="header41.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header" Target="header29.xml"/><Relationship Id="rId90" Type="http://schemas.openxmlformats.org/officeDocument/2006/relationships/footer" Target="footer32.xml"/><Relationship Id="rId95" Type="http://schemas.openxmlformats.org/officeDocument/2006/relationships/header" Target="header3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3.png"/><Relationship Id="rId48" Type="http://schemas.openxmlformats.org/officeDocument/2006/relationships/header" Target="header17.xml"/><Relationship Id="rId56" Type="http://schemas.openxmlformats.org/officeDocument/2006/relationships/footer" Target="footer20.xm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image" Target="media/image13.png"/><Relationship Id="rId100" Type="http://schemas.openxmlformats.org/officeDocument/2006/relationships/footer" Target="footer36.xml"/><Relationship Id="rId105" Type="http://schemas.openxmlformats.org/officeDocument/2006/relationships/header" Target="header39.xml"/><Relationship Id="rId113" Type="http://schemas.openxmlformats.org/officeDocument/2006/relationships/header" Target="header42.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footer" Target="footer25.xml"/><Relationship Id="rId80" Type="http://schemas.openxmlformats.org/officeDocument/2006/relationships/image" Target="media/image16.jpeg"/><Relationship Id="rId85" Type="http://schemas.openxmlformats.org/officeDocument/2006/relationships/header" Target="header30.xml"/><Relationship Id="rId93" Type="http://schemas.openxmlformats.org/officeDocument/2006/relationships/image" Target="media/image17.png"/><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image" Target="media/image6.png"/><Relationship Id="rId59" Type="http://schemas.openxmlformats.org/officeDocument/2006/relationships/image" Target="media/image7.png"/><Relationship Id="rId67" Type="http://schemas.openxmlformats.org/officeDocument/2006/relationships/footer" Target="footer23.xml"/><Relationship Id="rId103" Type="http://schemas.openxmlformats.org/officeDocument/2006/relationships/footer" Target="footer37.xml"/><Relationship Id="rId108" Type="http://schemas.openxmlformats.org/officeDocument/2006/relationships/image" Target="media/image20.jpeg"/><Relationship Id="rId11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image" Target="media/image10.jpeg"/><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footer" Target="footer28.xml"/><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header" Target="header35.xml"/><Relationship Id="rId111"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6.xml"/><Relationship Id="rId57" Type="http://schemas.openxmlformats.org/officeDocument/2006/relationships/header" Target="header21.xml"/><Relationship Id="rId106" Type="http://schemas.openxmlformats.org/officeDocument/2006/relationships/footer" Target="footer39.xml"/><Relationship Id="rId114" Type="http://schemas.openxmlformats.org/officeDocument/2006/relationships/footer" Target="footer42.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4.png"/><Relationship Id="rId52" Type="http://schemas.openxmlformats.org/officeDocument/2006/relationships/footer" Target="footer18.xml"/><Relationship Id="rId60" Type="http://schemas.openxmlformats.org/officeDocument/2006/relationships/image" Target="media/image8.png"/><Relationship Id="rId65" Type="http://schemas.openxmlformats.org/officeDocument/2006/relationships/header" Target="header23.xml"/><Relationship Id="rId73" Type="http://schemas.openxmlformats.org/officeDocument/2006/relationships/footer" Target="footer26.xml"/><Relationship Id="rId78" Type="http://schemas.openxmlformats.org/officeDocument/2006/relationships/image" Target="media/image14.png"/><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image" Target="media/image18.png"/><Relationship Id="rId99" Type="http://schemas.openxmlformats.org/officeDocument/2006/relationships/header" Target="header36.xml"/><Relationship Id="rId101" Type="http://schemas.openxmlformats.org/officeDocument/2006/relationships/header" Target="header3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0.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image" Target="media/image12.png"/><Relationship Id="rId97" Type="http://schemas.openxmlformats.org/officeDocument/2006/relationships/footer" Target="footer34.xml"/><Relationship Id="rId104" Type="http://schemas.openxmlformats.org/officeDocument/2006/relationships/footer" Target="footer38.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s>
</file>

<file path=word/_rels/footnotes.xml.rels><?xml version="1.0" encoding="UTF-8" standalone="yes"?>
<Relationships xmlns="http://schemas.openxmlformats.org/package/2006/relationships"><Relationship Id="rId26" Type="http://schemas.openxmlformats.org/officeDocument/2006/relationships/hyperlink" Target="http://www.emergingindustries.eu/Upload/CMS/Docs/ECES_Pilot.pdf" TargetMode="External"/><Relationship Id="rId117" Type="http://schemas.openxmlformats.org/officeDocument/2006/relationships/hyperlink" Target="http://ec.europa.eu/regional_policy/it/projects/italy/environmental-improvements-to-refuse-treatment" TargetMode="External"/><Relationship Id="rId21" Type="http://schemas.openxmlformats.org/officeDocument/2006/relationships/hyperlink" Target="http://www.presource.eu/" TargetMode="External"/><Relationship Id="rId42" Type="http://schemas.openxmlformats.org/officeDocument/2006/relationships/hyperlink" Target="http://www.isprambiente.gov.it/files/pubblicazioni/rapporti/rifiuti-urbani-2015/RapportoRifiutiUrbani_Ed.2015n.230_Vers.Integrale_agg22_12_2015.pdf" TargetMode="External"/><Relationship Id="rId47" Type="http://schemas.openxmlformats.org/officeDocument/2006/relationships/hyperlink" Target="http://www.minambiente.it/pagina/collegato-ambientale" TargetMode="External"/><Relationship Id="rId63" Type="http://schemas.openxmlformats.org/officeDocument/2006/relationships/hyperlink" Target="http://www.perseus-net.eu/site/content.php" TargetMode="External"/><Relationship Id="rId68" Type="http://schemas.openxmlformats.org/officeDocument/2006/relationships/hyperlink" Target="http://eur-lex.europa.eu/legal-content/EN/TXT/?uri=celex:32001L0081" TargetMode="External"/><Relationship Id="rId84" Type="http://schemas.openxmlformats.org/officeDocument/2006/relationships/hyperlink" Target="http://ec.europa.eu/environment/water/water-drink/reporting_en.html" TargetMode="External"/><Relationship Id="rId89" Type="http://schemas.openxmlformats.org/officeDocument/2006/relationships/hyperlink" Target="http://www.altalex.com/documents/leggi/2014/11/14/sblocca-italia-il-testo-coordinato-del-decreto-legge-in-gazzetta" TargetMode="External"/><Relationship Id="rId112" Type="http://schemas.openxmlformats.org/officeDocument/2006/relationships/hyperlink" Target="http://www.istat.it/it/archivio/86880" TargetMode="External"/><Relationship Id="rId133" Type="http://schemas.openxmlformats.org/officeDocument/2006/relationships/hyperlink" Target="https://cohesiondata.ec.europa.eu/countries/IT" TargetMode="External"/><Relationship Id="rId138" Type="http://schemas.openxmlformats.org/officeDocument/2006/relationships/hyperlink" Target="http://www.pdc.minambiente.it/" TargetMode="External"/><Relationship Id="rId154" Type="http://schemas.openxmlformats.org/officeDocument/2006/relationships/hyperlink" Target="http://www.normattiva.it/uri-res/N2Ls?urn:nir:stato:legge:2012-12-24;234" TargetMode="External"/><Relationship Id="rId159" Type="http://schemas.openxmlformats.org/officeDocument/2006/relationships/hyperlink" Target="http://www.istat.it/en/well-being-measures" TargetMode="External"/><Relationship Id="rId175" Type="http://schemas.openxmlformats.org/officeDocument/2006/relationships/hyperlink" Target="http://www.unece.org/fileadmin/DAM/env/pp/documents/cep43e.pdf" TargetMode="External"/><Relationship Id="rId170" Type="http://schemas.openxmlformats.org/officeDocument/2006/relationships/hyperlink" Target="http://www.environmentalprosecutors.eu" TargetMode="External"/><Relationship Id="rId16" Type="http://schemas.openxmlformats.org/officeDocument/2006/relationships/hyperlink" Target="http://ec.europa.eu/environment/enveco/resource_efficiency/pdf/business/RE_in_Business_Final_Report_111115.pdf" TargetMode="External"/><Relationship Id="rId107" Type="http://schemas.openxmlformats.org/officeDocument/2006/relationships/hyperlink" Target="http://osservatoriosharingmobility.it/" TargetMode="External"/><Relationship Id="rId11" Type="http://schemas.openxmlformats.org/officeDocument/2006/relationships/hyperlink" Target="http://rimateriapiombino.it/" TargetMode="External"/><Relationship Id="rId32" Type="http://schemas.openxmlformats.org/officeDocument/2006/relationships/hyperlink" Target="http://wmge.eionet.europa.eu/sites/etc-wmge.vito.be/files/Italy_MSW_2016.pdf" TargetMode="External"/><Relationship Id="rId37" Type="http://schemas.openxmlformats.org/officeDocument/2006/relationships/hyperlink" Target="http://www.gazzettaufficiale.it/eli/id/2016/10/05/16A07192/sg" TargetMode="External"/><Relationship Id="rId53" Type="http://schemas.openxmlformats.org/officeDocument/2006/relationships/hyperlink" Target="http://ec.europa.eu/eurostat/web/environmental-data-centre-on-natural-resources/data/main-tables" TargetMode="External"/><Relationship Id="rId58" Type="http://schemas.openxmlformats.org/officeDocument/2006/relationships/hyperlink" Target="http://www.knowseas.com/" TargetMode="External"/><Relationship Id="rId74" Type="http://schemas.openxmlformats.org/officeDocument/2006/relationships/hyperlink" Target="http://www.eionet.europa.eu/aqportal" TargetMode="External"/><Relationship Id="rId79" Type="http://schemas.openxmlformats.org/officeDocument/2006/relationships/hyperlink" Target="http://eur-lex.europa.eu/legal-content/EN/TXT/?uri=CELEX%3A31998L0083" TargetMode="External"/><Relationship Id="rId102" Type="http://schemas.openxmlformats.org/officeDocument/2006/relationships/hyperlink" Target="http://ec.europa.eu/environment/urban/tool.htm" TargetMode="External"/><Relationship Id="rId123" Type="http://schemas.openxmlformats.org/officeDocument/2006/relationships/hyperlink" Target="http://www.eib.org/attachments/thematic/breaking_down_investment_barriers_en.pdf" TargetMode="External"/><Relationship Id="rId128" Type="http://schemas.openxmlformats.org/officeDocument/2006/relationships/hyperlink" Target="http://ec.europa.eu/eurostat/tgm/table.do?tab=table&amp;init=1&amp;language=en&amp;pcode=t2020_rt320&amp;plugin=1http://ec.europa.eu/eurostat/en/web/products-datasets/-/T2020_RT320" TargetMode="External"/><Relationship Id="rId144" Type="http://schemas.openxmlformats.org/officeDocument/2006/relationships/hyperlink" Target="http://www.lifeaquor.org/en" TargetMode="External"/><Relationship Id="rId149" Type="http://schemas.openxmlformats.org/officeDocument/2006/relationships/hyperlink" Target="http://ec.europa.eu/europe2020/pdf/csr2016/cr2016_italy_en.pdf" TargetMode="External"/><Relationship Id="rId5" Type="http://schemas.openxmlformats.org/officeDocument/2006/relationships/hyperlink" Target="http://ec.europa.eu/eurostat/tgm/table.do?tab=table&amp;init=1&amp;language=en&amp;pcode=tsdpc100&amp;plugin=1" TargetMode="External"/><Relationship Id="rId90" Type="http://schemas.openxmlformats.org/officeDocument/2006/relationships/hyperlink" Target="http://ec.europa.eu/environment/water/water-urbanwaste/implementation/factsfigures_en.htm" TargetMode="External"/><Relationship Id="rId95" Type="http://schemas.openxmlformats.org/officeDocument/2006/relationships/hyperlink" Target="http://www.governo.it/sites/governo.it/files/CDM137.pdf" TargetMode="External"/><Relationship Id="rId160" Type="http://schemas.openxmlformats.org/officeDocument/2006/relationships/hyperlink" Target="http://www.altalex.com/documents/news/2016/08/26/contenuto-della-legge-di-bilancio-modifiche-alla-legge-196-del-2009" TargetMode="External"/><Relationship Id="rId165" Type="http://schemas.openxmlformats.org/officeDocument/2006/relationships/hyperlink" Target="http://www.minambiente.it/sites/default/files/archivio/allegati/reach/Decreto_del_Ministero_della_Salute_del_22_novembre_2007_pubblicato_nella_GU_il_15_gennaio_2008_n12.pdf" TargetMode="External"/><Relationship Id="rId181" Type="http://schemas.openxmlformats.org/officeDocument/2006/relationships/hyperlink" Target="http://inspire.ec.europa.eu/portfolio/inspire-dashboard" TargetMode="External"/><Relationship Id="rId22" Type="http://schemas.openxmlformats.org/officeDocument/2006/relationships/hyperlink" Target="http://ec.europa.eu/environment/integration/green_semester/pdf/SME%20Investments%20in%20Resource%20Efficiency.pdf" TargetMode="External"/><Relationship Id="rId27" Type="http://schemas.openxmlformats.org/officeDocument/2006/relationships/hyperlink" Target="http://ec.europa.eu/regional_policy/en/regio-stars-awards/" TargetMode="External"/><Relationship Id="rId43" Type="http://schemas.openxmlformats.org/officeDocument/2006/relationships/hyperlink" Target="http://ec.europa.eu/environment/nature/info/pubs/docs/nat2000newsl/nat37_en.pdf" TargetMode="External"/><Relationship Id="rId48" Type="http://schemas.openxmlformats.org/officeDocument/2006/relationships/hyperlink" Target="http://eur-lex.europa.eu/legal-content/EN/TXT/?uri=CELEX:52013DC0249" TargetMode="External"/><Relationship Id="rId64" Type="http://schemas.openxmlformats.org/officeDocument/2006/relationships/hyperlink" Target="http://www.mit.gov.it/mit/mop_all.php?p_id=23291" TargetMode="External"/><Relationship Id="rId69" Type="http://schemas.openxmlformats.org/officeDocument/2006/relationships/hyperlink" Target="http://eur-lex.europa.eu/legal-content/EN/TXT/?uri=uriserv:OJ.L_.2016.344.01.0001.01.ENG&amp;toc=OJ:L:2016:344:TOC" TargetMode="External"/><Relationship Id="rId113" Type="http://schemas.openxmlformats.org/officeDocument/2006/relationships/hyperlink" Target="http://www.eea.europa.eu/data-and-maps/figures/percentage-of-green-urban-areas-1" TargetMode="External"/><Relationship Id="rId118" Type="http://schemas.openxmlformats.org/officeDocument/2006/relationships/hyperlink" Target="http://www.istat.it/it/files/2015/04/UrBes_2015.pdf" TargetMode="External"/><Relationship Id="rId134" Type="http://schemas.openxmlformats.org/officeDocument/2006/relationships/hyperlink" Target="http://www.opencoesione.gov.it/risorse_2014_2020/" TargetMode="External"/><Relationship Id="rId139" Type="http://schemas.openxmlformats.org/officeDocument/2006/relationships/hyperlink" Target="http://www.agenziacoesione.gov.it/opencms/export/sites/dps/it/documentazione/pongat/Documenti/Programma_Complementare_PON_GAT_2007-2013.pdf" TargetMode="External"/><Relationship Id="rId80" Type="http://schemas.openxmlformats.org/officeDocument/2006/relationships/hyperlink" Target="http://eur-lex.europa.eu/legal-content/EN/TXT/?qid=1481624135097&amp;uri=CELEX:32000L0060" TargetMode="External"/><Relationship Id="rId85" Type="http://schemas.openxmlformats.org/officeDocument/2006/relationships/hyperlink" Target="http://www.eea.europa.eu/publications/european-bathing-water-quality-2015" TargetMode="External"/><Relationship Id="rId150" Type="http://schemas.openxmlformats.org/officeDocument/2006/relationships/hyperlink" Target="https://nicholascharron.wordpress.com/european-quality-of-government-index-eqi/" TargetMode="External"/><Relationship Id="rId155" Type="http://schemas.openxmlformats.org/officeDocument/2006/relationships/hyperlink" Target="http://www.minambiente.it/comunicati/al-le-consultazioni-la-strategia-nazionale-lo-sviluppo-sostenibile" TargetMode="External"/><Relationship Id="rId171" Type="http://schemas.openxmlformats.org/officeDocument/2006/relationships/hyperlink" Target="http://envicrimenet.com/" TargetMode="External"/><Relationship Id="rId176" Type="http://schemas.openxmlformats.org/officeDocument/2006/relationships/hyperlink" Target="http://eur-lex.europa.eu/legal-content/GA/ALL/?uri=CELEX:32003L0004" TargetMode="External"/><Relationship Id="rId12" Type="http://schemas.openxmlformats.org/officeDocument/2006/relationships/hyperlink" Target="http://ec.europa.eu/eurostat/tgm/table.do?tab=table&amp;init=1&amp;language=en&amp;pcode=tsdpc100&amp;plugin=1" TargetMode="External"/><Relationship Id="rId17" Type="http://schemas.openxmlformats.org/officeDocument/2006/relationships/hyperlink" Target="http://www.recyclingpoint.info/italian-council-for-eco-innovation-tecnologia-e-innovazione-nella-green-economy-italiana/" TargetMode="External"/><Relationship Id="rId33" Type="http://schemas.openxmlformats.org/officeDocument/2006/relationships/hyperlink" Target="http://ec.europa.eu/environment/waste/framework/pdf/IT_SOUTH_Roadmap_FINAL.pdf" TargetMode="External"/><Relationship Id="rId38" Type="http://schemas.openxmlformats.org/officeDocument/2006/relationships/hyperlink" Target="http://www.isprambiente.gov.it/files/pubblicazioni/rapporti/rifiuti-urbani-2015/RapportoRifiutiUrbani_Ed.2015n.230_Vers.Integrale_agg22_12_2015.pdf" TargetMode="External"/><Relationship Id="rId59" Type="http://schemas.openxmlformats.org/officeDocument/2006/relationships/hyperlink" Target="http://www.ecmwf.int/en/research/projects/myocean" TargetMode="External"/><Relationship Id="rId103" Type="http://schemas.openxmlformats.org/officeDocument/2006/relationships/hyperlink" Target="http://www.inrix.com/scorecard/key-findings-us/" TargetMode="External"/><Relationship Id="rId108" Type="http://schemas.openxmlformats.org/officeDocument/2006/relationships/hyperlink" Target="http://www.fondazionesvilupposostenibile.org/f/Documenti/2015/sharing+mobilty/Presentazione_Cavicchioli_Cristina__RSE_Gdl_dati_indagini.pdf" TargetMode="External"/><Relationship Id="rId124" Type="http://schemas.openxmlformats.org/officeDocument/2006/relationships/hyperlink" Target="http://ec.europa.eu/eurostat/en/web/products-datasets/-/T2020_RT320" TargetMode="External"/><Relationship Id="rId129" Type="http://schemas.openxmlformats.org/officeDocument/2006/relationships/hyperlink" Target="http://ec.europa.eu/internal_market/scoreboard/performance_per_policy_area/public_procurement/index_en.htm" TargetMode="External"/><Relationship Id="rId54" Type="http://schemas.openxmlformats.org/officeDocument/2006/relationships/hyperlink" Target="http://ec.europa.eu/eurostat/statistics-explained/index.php/Agri-environmental_indicator_-_soil_erosion" TargetMode="External"/><Relationship Id="rId70" Type="http://schemas.openxmlformats.org/officeDocument/2006/relationships/hyperlink" Target="http://www.eea.europa.eu/publications/air-quality-in-europe-2016" TargetMode="External"/><Relationship Id="rId75" Type="http://schemas.openxmlformats.org/officeDocument/2006/relationships/hyperlink" Target="http://ec.europa.eu/environment/archives/air/pdf/Impact_assessment_en.pdf" TargetMode="External"/><Relationship Id="rId91" Type="http://schemas.openxmlformats.org/officeDocument/2006/relationships/hyperlink" Target="http://ec.europa.eu/environment/water/water-urbanwaste/implementation/implementationreports_en.htm" TargetMode="External"/><Relationship Id="rId96" Type="http://schemas.openxmlformats.org/officeDocument/2006/relationships/hyperlink" Target="http://ec.europa.eu/environment/integration/green_semester/pdf/RPA%20Final%20Report-annexes.pdf" TargetMode="External"/><Relationship Id="rId140" Type="http://schemas.openxmlformats.org/officeDocument/2006/relationships/hyperlink" Target="http://www.arupalife.eu/" TargetMode="External"/><Relationship Id="rId145" Type="http://schemas.openxmlformats.org/officeDocument/2006/relationships/hyperlink" Target="http://www.reterurale.it/flex/cm/pages/ServeBLOB.php/L/IT/IDPagina/8492." TargetMode="External"/><Relationship Id="rId161" Type="http://schemas.openxmlformats.org/officeDocument/2006/relationships/hyperlink" Target="http://ec.europa.eu/environment/integration/green_semester/pdf/RPA%20Final%20Report-annexes.pdf" TargetMode="External"/><Relationship Id="rId166" Type="http://schemas.openxmlformats.org/officeDocument/2006/relationships/hyperlink" Target="http://www.reach.gov.it" TargetMode="External"/><Relationship Id="rId182" Type="http://schemas.openxmlformats.org/officeDocument/2006/relationships/hyperlink" Target="http://inspire-geoportal.ec.europa.eu/resources/INSPIREResourcesReports/resourcesReport_2016-05-09/"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cordis.europa.eu/project/rcn/205933_en.html" TargetMode="External"/><Relationship Id="rId23" Type="http://schemas.openxmlformats.org/officeDocument/2006/relationships/hyperlink" Target="http://ec.europa.eu/priorities/sites/beta-political/files/italy-ip-state-of-play-may-2016_en.pdf" TargetMode="External"/><Relationship Id="rId28" Type="http://schemas.openxmlformats.org/officeDocument/2006/relationships/hyperlink" Target="https://ec.europa.eu/environment/ecoap/scoreboard_en" TargetMode="External"/><Relationship Id="rId49" Type="http://schemas.openxmlformats.org/officeDocument/2006/relationships/hyperlink" Target="http://www.minambiente.it/notizie/carta-di-roma-sul-capitale-naturale-e-culturale" TargetMode="External"/><Relationship Id="rId114" Type="http://schemas.openxmlformats.org/officeDocument/2006/relationships/hyperlink" Target="http://www.agenziacoesione.gov.it/opencms/export/sites/dps/it/documentazione/AccordoPartenariato/1_AP__ITALIA_Sezione_1A.pdf" TargetMode="External"/><Relationship Id="rId119" Type="http://schemas.openxmlformats.org/officeDocument/2006/relationships/hyperlink" Target="http://www.eib.org/projects/pipelines/pipeline/20150851" TargetMode="External"/><Relationship Id="rId44" Type="http://schemas.openxmlformats.org/officeDocument/2006/relationships/hyperlink" Target="https://circabc.europa.eu/sd/a/34ac4b21-2c1d-49df-9e80-0939a3a5ee58/IT_20140528.pdf" TargetMode="External"/><Relationship Id="rId60" Type="http://schemas.openxmlformats.org/officeDocument/2006/relationships/hyperlink" Target="http://www.marine-vectors.eu/Landing_pages/Ecosystem_futures" TargetMode="External"/><Relationship Id="rId65" Type="http://schemas.openxmlformats.org/officeDocument/2006/relationships/hyperlink" Target="http://ec.europa.eu/environment/air/quality/standards.htm" TargetMode="External"/><Relationship Id="rId81" Type="http://schemas.openxmlformats.org/officeDocument/2006/relationships/hyperlink" Target="http://eur-lex.europa.eu/legal-content/EN/TXT/?uri=CELEX%3A31991L0676" TargetMode="External"/><Relationship Id="rId86" Type="http://schemas.openxmlformats.org/officeDocument/2006/relationships/hyperlink" Target="http://www.eea.europa.eu/themes/water/status-and-monitoring/state-of-bathing-water" TargetMode="External"/><Relationship Id="rId130" Type="http://schemas.openxmlformats.org/officeDocument/2006/relationships/hyperlink" Target="http://eur-lex.europa.eu/legal-content/EN/TXT/?uri=CELEX:52008DC0400http://eur-lex.europa.eu/legal-content/EN/TXT/?uri=CELEX:52008DC0400" TargetMode="External"/><Relationship Id="rId135" Type="http://schemas.openxmlformats.org/officeDocument/2006/relationships/hyperlink" Target="http://ec.europa.eu/agriculture/cap-in-your-country/pdf/it_it.pdf" TargetMode="External"/><Relationship Id="rId151" Type="http://schemas.openxmlformats.org/officeDocument/2006/relationships/hyperlink" Target="http://www.oecd.org/env/country-reviews/EPR%20Assessment%20and%20recs%20ITALY%202013.pdf" TargetMode="External"/><Relationship Id="rId156" Type="http://schemas.openxmlformats.org/officeDocument/2006/relationships/hyperlink" Target="http://www.minambiente.it/pagina/strategia-dazione-ambientale-lo-sviluppo-sostenibile-italia-0" TargetMode="External"/><Relationship Id="rId177" Type="http://schemas.openxmlformats.org/officeDocument/2006/relationships/hyperlink" Target="http://eur-lex.europa.eu/LexUriServ/LexUriServ.do?uri=CELEX:32007L0002:EN:NOT"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www.gazzettaufficiale.it/eli/id/2016/08/30/16G00179/sg" TargetMode="External"/><Relationship Id="rId172" Type="http://schemas.openxmlformats.org/officeDocument/2006/relationships/hyperlink" Target="http://eur-lex.europa.eu/legal-content/EN/TXT/?uri=CELEX%3A32004L0035" TargetMode="External"/><Relationship Id="rId180" Type="http://schemas.openxmlformats.org/officeDocument/2006/relationships/hyperlink" Target="http://www.gazzettaufficiale.it/eli/id/2016/03/26/16A02445/sg" TargetMode="External"/><Relationship Id="rId13" Type="http://schemas.openxmlformats.org/officeDocument/2006/relationships/hyperlink" Target="http://www.symbola.net/html/press/pressrelease/LItaliain10selfie2016diFondazioneSymbola" TargetMode="External"/><Relationship Id="rId18" Type="http://schemas.openxmlformats.org/officeDocument/2006/relationships/hyperlink" Target="https://data.europa.eu/euodp/en/data/dataset/S2088_426_ENG" TargetMode="External"/><Relationship Id="rId39" Type="http://schemas.openxmlformats.org/officeDocument/2006/relationships/hyperlink" Target="http://www.gazzettaufficiale.it/eli/id/2016/04/19/16A03003/sg" TargetMode="External"/><Relationship Id="rId109" Type="http://schemas.openxmlformats.org/officeDocument/2006/relationships/hyperlink" Target="http://ec.europa.eu/regional_policy/en/projects/italy/time-to-discover-the-splendour-of-florence-by-tram" TargetMode="External"/><Relationship Id="rId34" Type="http://schemas.openxmlformats.org/officeDocument/2006/relationships/hyperlink" Target="http://www.eib.org/projects/pipeline/2015/20150647.htm" TargetMode="External"/><Relationship Id="rId50" Type="http://schemas.openxmlformats.org/officeDocument/2006/relationships/hyperlink" Target="http://ec.europa.eu/environment/integration/research/newsalert/pdf/constructed_wetlands_boost_biodiversity_evidence_from_italy_457na2_en.pdf" TargetMode="External"/><Relationship Id="rId55" Type="http://schemas.openxmlformats.org/officeDocument/2006/relationships/hyperlink" Target="http://www.minambiente.it/comunicati/ddl-consumo-suolo-galletti-bene-ok-camera-e-urgenza-nazionale" TargetMode="External"/><Relationship Id="rId76" Type="http://schemas.openxmlformats.org/officeDocument/2006/relationships/hyperlink" Target="http://www.euro.who.int/en/media-centre/sections/press-releases/2011/03/new-evidence-from-who-on-health-effects-of-traffic-related-noise-in-europe" TargetMode="External"/><Relationship Id="rId97" Type="http://schemas.openxmlformats.org/officeDocument/2006/relationships/hyperlink" Target="http://www.minambiente.it/sites/default/files/dpcm_28_maggio_2015_rischio_idrogeologico.pdf" TargetMode="External"/><Relationship Id="rId104" Type="http://schemas.openxmlformats.org/officeDocument/2006/relationships/hyperlink" Target="http://www.agenziacoesione.gov.it/opencms/export/sites/dps/it/documentazione/AccordoPartenariato/1_AP__ITALIA_Sezione_1A.pdf" TargetMode="External"/><Relationship Id="rId120" Type="http://schemas.openxmlformats.org/officeDocument/2006/relationships/hyperlink" Target="http://www.eib.org/projects/pipeline/2014/20140761.htm?lang=en" TargetMode="External"/><Relationship Id="rId125" Type="http://schemas.openxmlformats.org/officeDocument/2006/relationships/hyperlink" Target="http://ec.europa.eu/environment/integration/green_semester/pdf/Eunomia%20EFR%20Final%20Report%20MAIN%20REPORT.pdf" TargetMode="External"/><Relationship Id="rId141" Type="http://schemas.openxmlformats.org/officeDocument/2006/relationships/hyperlink" Target="http://www.lifeprime.eu/wp/?lang=en" TargetMode="External"/><Relationship Id="rId146" Type="http://schemas.openxmlformats.org/officeDocument/2006/relationships/hyperlink" Target="http://www.minambiente.it/pagina/life-2014-2020" TargetMode="External"/><Relationship Id="rId167" Type="http://schemas.openxmlformats.org/officeDocument/2006/relationships/hyperlink" Target="http://eur-lex.europa.eu/legal-content/EN/TXT/?uri=CELEX%3A32008L0099http://eur-lex.europa.eu/legal-content/EN/TXT/?uri=CELEX%3A32008L0099" TargetMode="External"/><Relationship Id="rId7" Type="http://schemas.openxmlformats.org/officeDocument/2006/relationships/hyperlink" Target="http://www.minambiente.it/comunicati/manovra-galletti-grande-spinta-economia-circolare" TargetMode="External"/><Relationship Id="rId71" Type="http://schemas.openxmlformats.org/officeDocument/2006/relationships/hyperlink" Target="http://www.eea.europa.eu/publications/air-quality-in-europe-2016" TargetMode="External"/><Relationship Id="rId92" Type="http://schemas.openxmlformats.org/officeDocument/2006/relationships/hyperlink" Target="http://www.agenziacoesione.gov.it/opencms/export/sites/dps/it/documentazione/AccordoPartenariato/1_AP__ITALIA_Sezione_1A.pdf" TargetMode="External"/><Relationship Id="rId162" Type="http://schemas.openxmlformats.org/officeDocument/2006/relationships/hyperlink" Target="http://www.oecd.org/env/country-reviews/EPR%20Assessment%20and%20recs%20ITALY%202013.pdf" TargetMode="External"/><Relationship Id="rId2" Type="http://schemas.openxmlformats.org/officeDocument/2006/relationships/hyperlink" Target="http://ec.europa.eu/environment/action-programme/" TargetMode="External"/><Relationship Id="rId29" Type="http://schemas.openxmlformats.org/officeDocument/2006/relationships/hyperlink" Target="http://ec.europa.eu/eurostat/tgm/table.do?tab=table&amp;init=1&amp;plugin=1&amp;language=en&amp;pcode=tsdpc240" TargetMode="External"/><Relationship Id="rId24" Type="http://schemas.openxmlformats.org/officeDocument/2006/relationships/hyperlink" Target="http://www.eco-innovation.eu/images/stories/Reports/EIO_Country_Brief_2013_Italy.pdf" TargetMode="External"/><Relationship Id="rId40" Type="http://schemas.openxmlformats.org/officeDocument/2006/relationships/hyperlink" Target="http://ec.europa.eu/environment/waste/studies/pdf/study%2012%20FINAL%20REPORT.pdf" TargetMode="External"/><Relationship Id="rId45" Type="http://schemas.openxmlformats.org/officeDocument/2006/relationships/hyperlink" Target="http://ec.europa.eu/environment/life/project/Projects/index.cfm?fuseaction=search.dspPage&amp;n_proj_id=5436" TargetMode="External"/><Relationship Id="rId66" Type="http://schemas.openxmlformats.org/officeDocument/2006/relationships/hyperlink" Target="http://cdr.eionet.europa.eu/" TargetMode="External"/><Relationship Id="rId87" Type="http://schemas.openxmlformats.org/officeDocument/2006/relationships/hyperlink" Target="http://eur-lex.europa.eu/legal-content/EN/TXT/?uri=CELEX%3A52016DC0105" TargetMode="External"/><Relationship Id="rId110" Type="http://schemas.openxmlformats.org/officeDocument/2006/relationships/hyperlink" Target="http://www.eib.org/projects/pipelines/pipeline/20160008" TargetMode="External"/><Relationship Id="rId115" Type="http://schemas.openxmlformats.org/officeDocument/2006/relationships/hyperlink" Target="http://www.dps.gov.it/opencms/export/sites/dps/it/documentazione/AccordoPartenariato/1_AP__ITALIA_Sezione_1A.pdf" TargetMode="External"/><Relationship Id="rId131" Type="http://schemas.openxmlformats.org/officeDocument/2006/relationships/hyperlink" Target="http://www.remadeinitaly.it/" TargetMode="External"/><Relationship Id="rId136" Type="http://schemas.openxmlformats.org/officeDocument/2006/relationships/hyperlink" Target="https://cohesiondata.ec.europa.eu/countries" TargetMode="External"/><Relationship Id="rId157" Type="http://schemas.openxmlformats.org/officeDocument/2006/relationships/hyperlink" Target="http://www.oecd.org/env/country-reviews/EPR%20Assessment%20and%20recs%20ITALY%202013.pdf" TargetMode="External"/><Relationship Id="rId178" Type="http://schemas.openxmlformats.org/officeDocument/2006/relationships/hyperlink" Target="https://ec.europa.eu/digital-single-market/en/news/communication-eu-egovernment-action-plan-2016-2020-accelerating-digital-transformation" TargetMode="External"/><Relationship Id="rId61" Type="http://schemas.openxmlformats.org/officeDocument/2006/relationships/hyperlink" Target="http://www.eu-hermione.net/" TargetMode="External"/><Relationship Id="rId82" Type="http://schemas.openxmlformats.org/officeDocument/2006/relationships/hyperlink" Target="http://eur-lex.europa.eu/legal-content/EN/TXT/?uri=CELEX:32007L0060" TargetMode="External"/><Relationship Id="rId152" Type="http://schemas.openxmlformats.org/officeDocument/2006/relationships/hyperlink" Target="http://ec.europa.eu/growth/smes/business-friendly-environment/performance-review_en" TargetMode="External"/><Relationship Id="rId173" Type="http://schemas.openxmlformats.org/officeDocument/2006/relationships/hyperlink" Target="http://www.tecumproject.eu/" TargetMode="External"/><Relationship Id="rId19" Type="http://schemas.openxmlformats.org/officeDocument/2006/relationships/hyperlink" Target="https://ec.europa.eu/growth/smes/business-friendly-environment/performance-review-2016_en" TargetMode="External"/><Relationship Id="rId14" Type="http://schemas.openxmlformats.org/officeDocument/2006/relationships/hyperlink" Target="http://www.statesgeneral.org/" TargetMode="External"/><Relationship Id="rId30" Type="http://schemas.openxmlformats.org/officeDocument/2006/relationships/hyperlink" Target="http://ec.europa.eu/eurostat/tgm/table.do?tab=table&amp;init=1&amp;language=en&amp;pcode=t2020_rt120&amp;plugin=1" TargetMode="External"/><Relationship Id="rId35" Type="http://schemas.openxmlformats.org/officeDocument/2006/relationships/hyperlink" Target="http://ec.europa.eu/eurostat/tgm/table.do?tab=table&amp;init=1&amp;plugin=1&amp;language=en&amp;pcode=tsdpc240" TargetMode="External"/><Relationship Id="rId56" Type="http://schemas.openxmlformats.org/officeDocument/2006/relationships/hyperlink" Target="http://eur-lex.europa.eu/legal-content/EN/TXT/?uri=CELEX%3A32008L0056" TargetMode="External"/><Relationship Id="rId77" Type="http://schemas.openxmlformats.org/officeDocument/2006/relationships/hyperlink" Target="http://eur-lex.europa.eu/legal-content/EN/TXT/?qid=1481623908600&amp;uri=CELEX:32006L0007" TargetMode="External"/><Relationship Id="rId100" Type="http://schemas.openxmlformats.org/officeDocument/2006/relationships/hyperlink" Target="http://www.eea.europa.eu/themes/urban" TargetMode="External"/><Relationship Id="rId105" Type="http://schemas.openxmlformats.org/officeDocument/2006/relationships/hyperlink" Target="http://www.dps.gov.it/opencms/export/sites/dps/it/documentazione/AccordoPartenariato/1_AP__ITALIA_Sezione_1A.pdf" TargetMode="External"/><Relationship Id="rId126" Type="http://schemas.openxmlformats.org/officeDocument/2006/relationships/hyperlink" Target="http://www.oecd-ilibrary.org/docserver/download/5jz14cd7hk6b.pdf?expires=1467378122&amp;id=id&amp;accname=guest&amp;checksum=AFD304D4C89711ABEED530E1AA7CCD17" TargetMode="External"/><Relationship Id="rId147" Type="http://schemas.openxmlformats.org/officeDocument/2006/relationships/hyperlink" Target="http://ift.tt/2ctqQ3r" TargetMode="External"/><Relationship Id="rId168" Type="http://schemas.openxmlformats.org/officeDocument/2006/relationships/hyperlink" Target="http://www.impel.eu" TargetMode="External"/><Relationship Id="rId8" Type="http://schemas.openxmlformats.org/officeDocument/2006/relationships/hyperlink" Target="http://www.gazzettaufficiale.it/atto/serie_generale/caricaDettaglioAtto/originario;jsessionid=ubGqH9l8ZP8rT4kC8Kp5sg__.ntc-as4-guri2a?atto.dataPubblicazioneGazzetta=2016-01-18&amp;atto.codiceRedazionale=16G00006&amp;elenco30giorni=true" TargetMode="External"/><Relationship Id="rId51" Type="http://schemas.openxmlformats.org/officeDocument/2006/relationships/hyperlink" Target="http://greensurge.eu/" TargetMode="External"/><Relationship Id="rId72" Type="http://schemas.openxmlformats.org/officeDocument/2006/relationships/hyperlink" Target="http://www.minambiente.it/comunicati/mobilita-sostenibile-15-milioni-di-euro-con-accordo-minambiente-comune-di-bologna" TargetMode="External"/><Relationship Id="rId93" Type="http://schemas.openxmlformats.org/officeDocument/2006/relationships/hyperlink" Target="http://www.dps.gov.it/opencms/export/sites/dps/it/documentazione/AccordoPartenariato/1_AP__ITALIA_Sezione_1A.pdf" TargetMode="External"/><Relationship Id="rId98" Type="http://schemas.openxmlformats.org/officeDocument/2006/relationships/hyperlink" Target="http://www.minambiente.it/sites/default/files/dpcm_15_09_2015.pdf" TargetMode="External"/><Relationship Id="rId121" Type="http://schemas.openxmlformats.org/officeDocument/2006/relationships/hyperlink" Target="http://ec.europa.eu/regional_policy/en/projects/italy/new-sewerage-system-and-improvements-to-water-quality" TargetMode="External"/><Relationship Id="rId142" Type="http://schemas.openxmlformats.org/officeDocument/2006/relationships/hyperlink" Target="http://www.naturachevale.it/en/" TargetMode="External"/><Relationship Id="rId163" Type="http://schemas.openxmlformats.org/officeDocument/2006/relationships/hyperlink" Target="http://eur-lex.europa.eu/legal-content/EN/TXT/?uri=OJ:C:2016:273:TOC" TargetMode="External"/><Relationship Id="rId3" Type="http://schemas.openxmlformats.org/officeDocument/2006/relationships/hyperlink" Target="http://www.undp.org/content/undp/en/home/sdgoverview/post-2015-development-agenda.html" TargetMode="External"/><Relationship Id="rId25" Type="http://schemas.openxmlformats.org/officeDocument/2006/relationships/hyperlink" Target="http://www.expo2015.org/en/learn-more" TargetMode="External"/><Relationship Id="rId46" Type="http://schemas.openxmlformats.org/officeDocument/2006/relationships/hyperlink" Target="http://biodiversity.europa.eu/countries/eu_country_profiles/italy" TargetMode="External"/><Relationship Id="rId67" Type="http://schemas.openxmlformats.org/officeDocument/2006/relationships/hyperlink" Target="http://www.eea.europa.eu/data-and-maps/data/data-viewers/emissions-nec-directive-viewer" TargetMode="External"/><Relationship Id="rId116" Type="http://schemas.openxmlformats.org/officeDocument/2006/relationships/hyperlink" Target="http://ec.europa.eu/environment/waste/framework/support_implementation.htm" TargetMode="External"/><Relationship Id="rId137" Type="http://schemas.openxmlformats.org/officeDocument/2006/relationships/hyperlink" Target="https://cohesiondata.ec.europa.eu/countries/IT" TargetMode="External"/><Relationship Id="rId158" Type="http://schemas.openxmlformats.org/officeDocument/2006/relationships/hyperlink" Target="http://www.eea.europa.eu/publications/more-from-less" TargetMode="External"/><Relationship Id="rId20" Type="http://schemas.openxmlformats.org/officeDocument/2006/relationships/hyperlink" Target="http://ec.europa.eu/environment/integration/green_semester/pdf/RPA%20Final%20Report-annexes.pdf" TargetMode="External"/><Relationship Id="rId41" Type="http://schemas.openxmlformats.org/officeDocument/2006/relationships/hyperlink" Target="http://ec.europa.eu/environment/resource_efficiency/about/roadmap/index_en.htm" TargetMode="External"/><Relationship Id="rId62" Type="http://schemas.openxmlformats.org/officeDocument/2006/relationships/hyperlink" Target="http://eu-fp7-coralfish.net/" TargetMode="External"/><Relationship Id="rId83" Type="http://schemas.openxmlformats.org/officeDocument/2006/relationships/hyperlink" Target="http://ec.europa.eu/environment/resource_efficiency/targets_indicators/scoreboard/pdf/EU%20Resource%20Efficiency%20Scoreboard%202015.pdf" TargetMode="External"/><Relationship Id="rId88" Type="http://schemas.openxmlformats.org/officeDocument/2006/relationships/hyperlink" Target="http://eur-lex.europa.eu/legal-content/EN/TXT/?uri=CELEX:52016SC0045" TargetMode="External"/><Relationship Id="rId111" Type="http://schemas.openxmlformats.org/officeDocument/2006/relationships/hyperlink" Target="http://www.mit.gov.it/mit/site.php?p=cm&amp;o=vd&amp;id=2915" TargetMode="External"/><Relationship Id="rId132" Type="http://schemas.openxmlformats.org/officeDocument/2006/relationships/hyperlink" Target="http://www.eib.org/efsi/" TargetMode="External"/><Relationship Id="rId153" Type="http://schemas.openxmlformats.org/officeDocument/2006/relationships/hyperlink" Target="http://www.normattiva.it/uri-res/N2Ls?urn:nir:stato:legge:2012-12-24;234" TargetMode="External"/><Relationship Id="rId174" Type="http://schemas.openxmlformats.org/officeDocument/2006/relationships/hyperlink" Target="http://ec.europa.eu/environment/aarhus/access_studies.htm" TargetMode="External"/><Relationship Id="rId179" Type="http://schemas.openxmlformats.org/officeDocument/2006/relationships/hyperlink" Target="http://www.va.minambiente.it/en-GB" TargetMode="External"/><Relationship Id="rId15" Type="http://schemas.openxmlformats.org/officeDocument/2006/relationships/hyperlink" Target="http://www.asvis.it/" TargetMode="External"/><Relationship Id="rId36" Type="http://schemas.openxmlformats.org/officeDocument/2006/relationships/hyperlink" Target="http://www.gazzettaufficiale.it/eli/id/2014/09/12/14G00149/sg" TargetMode="External"/><Relationship Id="rId57"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106" Type="http://schemas.openxmlformats.org/officeDocument/2006/relationships/hyperlink" Target="http://www.dps.gov.it/opencms/export/sites/dps/it/documentazione/AccordoPartenariato/1_AP__ITALIA_Sezione_1A.pdf" TargetMode="External"/><Relationship Id="rId127" Type="http://schemas.openxmlformats.org/officeDocument/2006/relationships/hyperlink" Target="http://www.eea.europa.eu/publications/environmental-taxation-and-eu-environmental-policies" TargetMode="External"/><Relationship Id="rId10" Type="http://schemas.openxmlformats.org/officeDocument/2006/relationships/hyperlink" Target="http://ec.europa.eu/environment/waste/framework/support_implementation.htm" TargetMode="External"/><Relationship Id="rId31" Type="http://schemas.openxmlformats.org/officeDocument/2006/relationships/hyperlink" Target="http://www.isprambiente.gov.it/files/pubblicazioni/rapporti/rifiuti-urbani-2015/RapportoRifiutiUrbani_Ed.2015n.230_Vers.Integrale_agg22_12_2015.pdf" TargetMode="External"/><Relationship Id="rId52" Type="http://schemas.openxmlformats.org/officeDocument/2006/relationships/hyperlink" Target="http://land.copernicus.eu/pan-european/corine-land-cover/lcc-2006-2012/view" TargetMode="External"/><Relationship Id="rId73" Type="http://schemas.openxmlformats.org/officeDocument/2006/relationships/hyperlink" Target="http://ec.europa.eu/eurostat/web/environmental-data-centre-on-natural-resources/data/main-tables" TargetMode="External"/><Relationship Id="rId78" Type="http://schemas.openxmlformats.org/officeDocument/2006/relationships/hyperlink" Target="http://eur-lex.europa.eu/legal-content/EN/ALL/?uri=CELEX%3A31991L0271" TargetMode="External"/><Relationship Id="rId94" Type="http://schemas.openxmlformats.org/officeDocument/2006/relationships/hyperlink" Target="http://ec.europa.eu/environment/water/water-framework/pdf/4th_report/CSWD%20Report%20on%20the%20FD%20.pdf" TargetMode="External"/><Relationship Id="rId99" Type="http://schemas.openxmlformats.org/officeDocument/2006/relationships/hyperlink" Target="http://www.eib.org/projects/pipelines/pipeline/20160036" TargetMode="External"/><Relationship Id="rId101" Type="http://schemas.openxmlformats.org/officeDocument/2006/relationships/hyperlink" Target="http://urbanagendaforthe.eu/" TargetMode="External"/><Relationship Id="rId122" Type="http://schemas.openxmlformats.org/officeDocument/2006/relationships/hyperlink" Target="http://www.eib.org/projects/pipelines/pipeline/20130515" TargetMode="External"/><Relationship Id="rId143" Type="http://schemas.openxmlformats.org/officeDocument/2006/relationships/hyperlink" Target="http://www.lifetrust.it/cms/" TargetMode="External"/><Relationship Id="rId148" Type="http://schemas.openxmlformats.org/officeDocument/2006/relationships/hyperlink" Target="http://data.worldbank.org/data-catalog/worldwide-governance-indicators" TargetMode="External"/><Relationship Id="rId164" Type="http://schemas.openxmlformats.org/officeDocument/2006/relationships/hyperlink" Target="http://reteambientale.minambiente.it/?lang=en" TargetMode="External"/><Relationship Id="rId169" Type="http://schemas.openxmlformats.org/officeDocument/2006/relationships/hyperlink" Target="http://www.eufj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93823-9250-4592-9423-3E144A573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16470</Words>
  <Characters>93204</Characters>
  <Application>Microsoft Office Word</Application>
  <DocSecurity>0</DocSecurity>
  <Lines>2292</Lines>
  <Paragraphs>370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2016-11-18T17:09:00Z</cp:lastPrinted>
  <dcterms:created xsi:type="dcterms:W3CDTF">2017-01-24T10:04:00Z</dcterms:created>
  <dcterms:modified xsi:type="dcterms:W3CDTF">2017-02-02T18:02:00Z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