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B3C" w:rsidRDefault="009B368F" w:rsidP="009B368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C889169D885434698FB8AEEB72469F9" style="width:450.75pt;height:498.75pt">
            <v:imagedata r:id="rId9" o:title=""/>
          </v:shape>
        </w:pict>
      </w:r>
    </w:p>
    <w:bookmarkEnd w:id="0"/>
    <w:p w:rsidR="00647B3C" w:rsidRDefault="00647B3C">
      <w:pPr>
        <w:rPr>
          <w:noProof/>
        </w:rPr>
        <w:sectPr w:rsidR="00647B3C" w:rsidSect="009B368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647B3C" w:rsidRDefault="00647B3C">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9B368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647B3C" w:rsidRDefault="00647B3C">
      <w:pPr>
        <w:widowControl w:val="0"/>
        <w:tabs>
          <w:tab w:val="right" w:leader="dot" w:pos="8640"/>
        </w:tabs>
        <w:spacing w:before="120" w:after="120" w:line="240" w:lineRule="auto"/>
        <w:ind w:left="482" w:right="720" w:hanging="482"/>
        <w:rPr>
          <w:rFonts w:eastAsia="Times New Roman" w:cs="Times New Roman"/>
          <w:noProof/>
          <w:szCs w:val="20"/>
        </w:rPr>
      </w:pPr>
    </w:p>
    <w:p w:rsidR="00647B3C" w:rsidRDefault="009B368F">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647B3C" w:rsidRDefault="00647B3C">
      <w:pPr>
        <w:widowControl w:val="0"/>
        <w:tabs>
          <w:tab w:val="right" w:leader="dot" w:pos="8640"/>
        </w:tabs>
        <w:spacing w:before="120" w:after="120" w:line="240" w:lineRule="auto"/>
        <w:ind w:right="720"/>
        <w:rPr>
          <w:rFonts w:eastAsia="Times New Roman" w:cs="Times New Roman"/>
          <w:noProof/>
          <w:szCs w:val="20"/>
        </w:rPr>
      </w:pPr>
    </w:p>
    <w:p w:rsidR="00647B3C" w:rsidRDefault="009B368F">
      <w:pPr>
        <w:widowControl w:val="0"/>
        <w:tabs>
          <w:tab w:val="right" w:leader="dot" w:pos="8640"/>
        </w:tabs>
        <w:spacing w:before="120" w:after="120"/>
        <w:ind w:right="141"/>
        <w:rPr>
          <w:rFonts w:eastAsia="Times New Roman" w:cs="Times New Roman"/>
          <w:noProof/>
          <w:szCs w:val="20"/>
        </w:rPr>
      </w:pPr>
      <w:r>
        <w:rPr>
          <w:rFonts w:eastAsia="Times New Roman" w:cs="Times New Roman"/>
          <w:noProof/>
          <w:szCs w:val="20"/>
        </w:rPr>
        <w:t xml:space="preserve">Photographs: </w:t>
      </w:r>
      <w:r>
        <w:rPr>
          <w:rFonts w:eastAsia="Times New Roman"/>
          <w:noProof/>
          <w:szCs w:val="20"/>
        </w:rPr>
        <w:t xml:space="preserve">p.10 – ©virga8/iStock; </w:t>
      </w:r>
      <w:r>
        <w:rPr>
          <w:rFonts w:eastAsia="Times New Roman" w:cs="Times New Roman"/>
          <w:noProof/>
          <w:szCs w:val="20"/>
        </w:rPr>
        <w:t>p.11 – ©Knyva/iStock; p.17 – © vikau/iStock; p.18 – ©Joel Carillet/iStock; p.19 – © Krivinis/iStock; p.25– ©Birut Vijeikie</w:t>
      </w:r>
      <w:r>
        <w:rPr>
          <w:rFonts w:eastAsia="Times New Roman" w:cs="Times New Roman"/>
          <w:noProof/>
          <w:szCs w:val="20"/>
        </w:rPr>
        <w:t>ne/iStock</w:t>
      </w:r>
    </w:p>
    <w:p w:rsidR="00647B3C" w:rsidRDefault="00647B3C">
      <w:pPr>
        <w:widowControl w:val="0"/>
        <w:tabs>
          <w:tab w:val="right" w:leader="dot" w:pos="8640"/>
        </w:tabs>
        <w:spacing w:before="120" w:after="120" w:line="240" w:lineRule="auto"/>
        <w:ind w:right="141"/>
        <w:rPr>
          <w:rFonts w:eastAsia="Times New Roman" w:cs="Times New Roman"/>
          <w:noProof/>
          <w:szCs w:val="20"/>
        </w:rPr>
      </w:pPr>
    </w:p>
    <w:p w:rsidR="00647B3C" w:rsidRDefault="009B368F">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647B3C" w:rsidRDefault="00647B3C">
      <w:pPr>
        <w:widowControl w:val="0"/>
        <w:tabs>
          <w:tab w:val="right" w:leader="dot" w:pos="8640"/>
        </w:tabs>
        <w:spacing w:before="120" w:after="120" w:line="240" w:lineRule="auto"/>
        <w:jc w:val="both"/>
        <w:rPr>
          <w:rFonts w:eastAsia="Times New Roman" w:cs="Times New Roman"/>
          <w:noProof/>
          <w:szCs w:val="20"/>
        </w:rPr>
      </w:pPr>
    </w:p>
    <w:p w:rsidR="00647B3C" w:rsidRDefault="009B368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647B3C" w:rsidRDefault="009B368F">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647B3C" w:rsidRDefault="00647B3C">
      <w:pPr>
        <w:spacing w:after="0" w:line="240" w:lineRule="auto"/>
        <w:rPr>
          <w:rFonts w:eastAsia="Times New Roman" w:cs="Times New Roman"/>
          <w:noProof/>
          <w:szCs w:val="20"/>
        </w:rPr>
        <w:sectPr w:rsidR="00647B3C">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sectPr>
      </w:pPr>
    </w:p>
    <w:p w:rsidR="00647B3C" w:rsidRDefault="009B368F">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647B3C" w:rsidRDefault="009B368F">
      <w:pPr>
        <w:pStyle w:val="TOC1"/>
        <w:rPr>
          <w:rFonts w:asciiTheme="minorHAnsi" w:eastAsiaTheme="minorEastAsia" w:hAnsiTheme="minorHAnsi" w:cstheme="minorBidi"/>
          <w:caps w:val="0"/>
          <w:noProof/>
          <w:sz w:val="22"/>
          <w:szCs w:val="22"/>
          <w:lang w:eastAsia="en-GB"/>
        </w:rPr>
      </w:pPr>
      <w:hyperlink w:anchor="_Toc469313192"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_Toc469313192 \h </w:instrText>
        </w:r>
        <w:r>
          <w:rPr>
            <w:noProof/>
            <w:webHidden/>
          </w:rPr>
        </w:r>
        <w:r>
          <w:rPr>
            <w:noProof/>
            <w:webHidden/>
          </w:rPr>
          <w:fldChar w:fldCharType="separate"/>
        </w:r>
        <w:r>
          <w:rPr>
            <w:noProof/>
            <w:webHidden/>
          </w:rPr>
          <w:t>4</w:t>
        </w:r>
        <w:r>
          <w:rPr>
            <w:noProof/>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193" w:history="1">
        <w:r>
          <w:rPr>
            <w:rStyle w:val="Hyperlink"/>
            <w:rFonts w:eastAsiaTheme="majorEastAsia" w:cstheme="majorBidi"/>
            <w:bCs/>
            <w:noProof/>
          </w:rPr>
          <w:t>Part I: Thematic A</w:t>
        </w:r>
        <w:r>
          <w:rPr>
            <w:rStyle w:val="Hyperlink"/>
            <w:rFonts w:eastAsiaTheme="majorEastAsia" w:cstheme="majorBidi"/>
            <w:bCs/>
            <w:noProof/>
          </w:rPr>
          <w:t>reas</w:t>
        </w:r>
        <w:r>
          <w:rPr>
            <w:noProof/>
            <w:webHidden/>
          </w:rPr>
          <w:tab/>
        </w:r>
        <w:r>
          <w:rPr>
            <w:noProof/>
            <w:webHidden/>
          </w:rPr>
          <w:fldChar w:fldCharType="begin"/>
        </w:r>
        <w:r>
          <w:rPr>
            <w:noProof/>
            <w:webHidden/>
          </w:rPr>
          <w:instrText xml:space="preserve"> PAGEREF _Toc469313193 \h </w:instrText>
        </w:r>
        <w:r>
          <w:rPr>
            <w:noProof/>
            <w:webHidden/>
          </w:rPr>
        </w:r>
        <w:r>
          <w:rPr>
            <w:noProof/>
            <w:webHidden/>
          </w:rPr>
          <w:fldChar w:fldCharType="separate"/>
        </w:r>
        <w:r>
          <w:rPr>
            <w:noProof/>
            <w:webHidden/>
          </w:rPr>
          <w:t>5</w:t>
        </w:r>
        <w:r>
          <w:rPr>
            <w:noProof/>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194"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_Toc469313194 \h </w:instrText>
        </w:r>
        <w:r>
          <w:rPr>
            <w:noProof/>
            <w:webHidden/>
          </w:rPr>
        </w:r>
        <w:r>
          <w:rPr>
            <w:noProof/>
            <w:webHidden/>
          </w:rPr>
          <w:fldChar w:fldCharType="separate"/>
        </w:r>
        <w:r>
          <w:rPr>
            <w:noProof/>
            <w:webHidden/>
          </w:rPr>
          <w:t>5</w:t>
        </w:r>
        <w:r>
          <w:rPr>
            <w:noProof/>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195" w:history="1">
        <w:r>
          <w:rPr>
            <w:rStyle w:val="Hyperlink"/>
          </w:rPr>
          <w:t>Developing a circular economy and improving resource efficiency</w:t>
        </w:r>
        <w:r>
          <w:rPr>
            <w:webHidden/>
          </w:rPr>
          <w:tab/>
        </w:r>
        <w:r>
          <w:rPr>
            <w:webHidden/>
          </w:rPr>
          <w:fldChar w:fldCharType="begin"/>
        </w:r>
        <w:r>
          <w:rPr>
            <w:webHidden/>
          </w:rPr>
          <w:instrText xml:space="preserve"> PAGEREF _Toc469313195 \h </w:instrText>
        </w:r>
        <w:r>
          <w:rPr>
            <w:webHidden/>
          </w:rPr>
        </w:r>
        <w:r>
          <w:rPr>
            <w:webHidden/>
          </w:rPr>
          <w:fldChar w:fldCharType="separate"/>
        </w:r>
        <w:r>
          <w:rPr>
            <w:webHidden/>
          </w:rPr>
          <w:t>5</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196" w:history="1">
        <w:r>
          <w:rPr>
            <w:rStyle w:val="Hyperlink"/>
            <w:lang w:eastAsia="en-GB"/>
          </w:rPr>
          <w:t>Waste management</w:t>
        </w:r>
        <w:r>
          <w:rPr>
            <w:webHidden/>
          </w:rPr>
          <w:tab/>
        </w:r>
        <w:r>
          <w:rPr>
            <w:webHidden/>
          </w:rPr>
          <w:fldChar w:fldCharType="begin"/>
        </w:r>
        <w:r>
          <w:rPr>
            <w:webHidden/>
          </w:rPr>
          <w:instrText xml:space="preserve"> PAGEREF _Toc469313196 \h </w:instrText>
        </w:r>
        <w:r>
          <w:rPr>
            <w:webHidden/>
          </w:rPr>
        </w:r>
        <w:r>
          <w:rPr>
            <w:webHidden/>
          </w:rPr>
          <w:fldChar w:fldCharType="separate"/>
        </w:r>
        <w:r>
          <w:rPr>
            <w:webHidden/>
          </w:rPr>
          <w:t>7</w:t>
        </w:r>
        <w:r>
          <w:rPr>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197"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_Toc4693131</w:instrText>
        </w:r>
        <w:r>
          <w:rPr>
            <w:noProof/>
            <w:webHidden/>
          </w:rPr>
          <w:instrText xml:space="preserve">97 \h </w:instrText>
        </w:r>
        <w:r>
          <w:rPr>
            <w:noProof/>
            <w:webHidden/>
          </w:rPr>
        </w:r>
        <w:r>
          <w:rPr>
            <w:noProof/>
            <w:webHidden/>
          </w:rPr>
          <w:fldChar w:fldCharType="separate"/>
        </w:r>
        <w:r>
          <w:rPr>
            <w:noProof/>
            <w:webHidden/>
          </w:rPr>
          <w:t>9</w:t>
        </w:r>
        <w:r>
          <w:rPr>
            <w:noProof/>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198" w:history="1">
        <w:r>
          <w:rPr>
            <w:rStyle w:val="Hyperlink"/>
            <w:lang w:eastAsia="en-GB"/>
          </w:rPr>
          <w:t>Nature and Biodiversity</w:t>
        </w:r>
        <w:r>
          <w:rPr>
            <w:webHidden/>
          </w:rPr>
          <w:tab/>
        </w:r>
        <w:r>
          <w:rPr>
            <w:webHidden/>
          </w:rPr>
          <w:fldChar w:fldCharType="begin"/>
        </w:r>
        <w:r>
          <w:rPr>
            <w:webHidden/>
          </w:rPr>
          <w:instrText xml:space="preserve"> PAGEREF _Toc469313198 \h </w:instrText>
        </w:r>
        <w:r>
          <w:rPr>
            <w:webHidden/>
          </w:rPr>
        </w:r>
        <w:r>
          <w:rPr>
            <w:webHidden/>
          </w:rPr>
          <w:fldChar w:fldCharType="separate"/>
        </w:r>
        <w:r>
          <w:rPr>
            <w:webHidden/>
          </w:rPr>
          <w:t>9</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199" w:history="1">
        <w:r>
          <w:rPr>
            <w:rStyle w:val="Hyperlink"/>
            <w:lang w:eastAsia="en-GB"/>
          </w:rPr>
          <w:t>Green Infrastructure</w:t>
        </w:r>
        <w:r>
          <w:rPr>
            <w:webHidden/>
          </w:rPr>
          <w:tab/>
        </w:r>
        <w:r>
          <w:rPr>
            <w:webHidden/>
          </w:rPr>
          <w:fldChar w:fldCharType="begin"/>
        </w:r>
        <w:r>
          <w:rPr>
            <w:webHidden/>
          </w:rPr>
          <w:instrText xml:space="preserve"> PAGEREF _Toc469313199 \h </w:instrText>
        </w:r>
        <w:r>
          <w:rPr>
            <w:webHidden/>
          </w:rPr>
        </w:r>
        <w:r>
          <w:rPr>
            <w:webHidden/>
          </w:rPr>
          <w:fldChar w:fldCharType="separate"/>
        </w:r>
        <w:r>
          <w:rPr>
            <w:webHidden/>
          </w:rPr>
          <w:t>11</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0" w:history="1">
        <w:r>
          <w:rPr>
            <w:rStyle w:val="Hyperlink"/>
            <w:lang w:eastAsia="en-GB"/>
          </w:rPr>
          <w:t>Soil protection</w:t>
        </w:r>
        <w:r>
          <w:rPr>
            <w:webHidden/>
          </w:rPr>
          <w:tab/>
        </w:r>
        <w:r>
          <w:rPr>
            <w:webHidden/>
          </w:rPr>
          <w:fldChar w:fldCharType="begin"/>
        </w:r>
        <w:r>
          <w:rPr>
            <w:webHidden/>
          </w:rPr>
          <w:instrText xml:space="preserve"> PAGEREF _Toc469313200 \h </w:instrText>
        </w:r>
        <w:r>
          <w:rPr>
            <w:webHidden/>
          </w:rPr>
        </w:r>
        <w:r>
          <w:rPr>
            <w:webHidden/>
          </w:rPr>
          <w:fldChar w:fldCharType="separate"/>
        </w:r>
        <w:r>
          <w:rPr>
            <w:webHidden/>
          </w:rPr>
          <w:t>12</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1" w:history="1">
        <w:r>
          <w:rPr>
            <w:rStyle w:val="Hyperlink"/>
            <w:lang w:eastAsia="en-GB"/>
          </w:rPr>
          <w:t>Marine protection</w:t>
        </w:r>
        <w:r>
          <w:rPr>
            <w:webHidden/>
          </w:rPr>
          <w:tab/>
        </w:r>
        <w:r>
          <w:rPr>
            <w:webHidden/>
          </w:rPr>
          <w:fldChar w:fldCharType="begin"/>
        </w:r>
        <w:r>
          <w:rPr>
            <w:webHidden/>
          </w:rPr>
          <w:instrText xml:space="preserve"> PAGEREF _Toc469313201 \h </w:instrText>
        </w:r>
        <w:r>
          <w:rPr>
            <w:webHidden/>
          </w:rPr>
        </w:r>
        <w:r>
          <w:rPr>
            <w:webHidden/>
          </w:rPr>
          <w:fldChar w:fldCharType="separate"/>
        </w:r>
        <w:r>
          <w:rPr>
            <w:webHidden/>
          </w:rPr>
          <w:t>13</w:t>
        </w:r>
        <w:r>
          <w:rPr>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202"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w:t>
        </w:r>
        <w:r>
          <w:rPr>
            <w:rStyle w:val="Hyperlink"/>
            <w:rFonts w:eastAsiaTheme="majorEastAsia" w:cstheme="majorBidi"/>
            <w:bCs/>
            <w:noProof/>
          </w:rPr>
          <w:t>lity of life</w:t>
        </w:r>
        <w:r>
          <w:rPr>
            <w:noProof/>
            <w:webHidden/>
          </w:rPr>
          <w:tab/>
        </w:r>
        <w:r>
          <w:rPr>
            <w:noProof/>
            <w:webHidden/>
          </w:rPr>
          <w:fldChar w:fldCharType="begin"/>
        </w:r>
        <w:r>
          <w:rPr>
            <w:noProof/>
            <w:webHidden/>
          </w:rPr>
          <w:instrText xml:space="preserve"> PAGEREF _Toc469313202 \h </w:instrText>
        </w:r>
        <w:r>
          <w:rPr>
            <w:noProof/>
            <w:webHidden/>
          </w:rPr>
        </w:r>
        <w:r>
          <w:rPr>
            <w:noProof/>
            <w:webHidden/>
          </w:rPr>
          <w:fldChar w:fldCharType="separate"/>
        </w:r>
        <w:r>
          <w:rPr>
            <w:noProof/>
            <w:webHidden/>
          </w:rPr>
          <w:t>15</w:t>
        </w:r>
        <w:r>
          <w:rPr>
            <w:noProof/>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3" w:history="1">
        <w:r>
          <w:rPr>
            <w:rStyle w:val="Hyperlink"/>
          </w:rPr>
          <w:t>Air quality</w:t>
        </w:r>
        <w:r>
          <w:rPr>
            <w:webHidden/>
          </w:rPr>
          <w:tab/>
        </w:r>
        <w:r>
          <w:rPr>
            <w:webHidden/>
          </w:rPr>
          <w:fldChar w:fldCharType="begin"/>
        </w:r>
        <w:r>
          <w:rPr>
            <w:webHidden/>
          </w:rPr>
          <w:instrText xml:space="preserve"> PAGEREF _Toc469313203 \h </w:instrText>
        </w:r>
        <w:r>
          <w:rPr>
            <w:webHidden/>
          </w:rPr>
        </w:r>
        <w:r>
          <w:rPr>
            <w:webHidden/>
          </w:rPr>
          <w:fldChar w:fldCharType="separate"/>
        </w:r>
        <w:r>
          <w:rPr>
            <w:webHidden/>
          </w:rPr>
          <w:t>15</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4" w:history="1">
        <w:r>
          <w:rPr>
            <w:rStyle w:val="Hyperlink"/>
          </w:rPr>
          <w:t>Noise</w:t>
        </w:r>
        <w:r>
          <w:rPr>
            <w:webHidden/>
          </w:rPr>
          <w:tab/>
        </w:r>
        <w:r>
          <w:rPr>
            <w:webHidden/>
          </w:rPr>
          <w:tab/>
        </w:r>
        <w:r>
          <w:rPr>
            <w:webHidden/>
          </w:rPr>
          <w:fldChar w:fldCharType="begin"/>
        </w:r>
        <w:r>
          <w:rPr>
            <w:webHidden/>
          </w:rPr>
          <w:instrText xml:space="preserve"> PAGEREF _Toc469313204 \h </w:instrText>
        </w:r>
        <w:r>
          <w:rPr>
            <w:webHidden/>
          </w:rPr>
        </w:r>
        <w:r>
          <w:rPr>
            <w:webHidden/>
          </w:rPr>
          <w:fldChar w:fldCharType="separate"/>
        </w:r>
        <w:r>
          <w:rPr>
            <w:webHidden/>
          </w:rPr>
          <w:t>16</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5" w:history="1">
        <w:r>
          <w:rPr>
            <w:rStyle w:val="Hyperlink"/>
            <w:lang w:eastAsia="en-GB"/>
          </w:rPr>
          <w:t>Water quality and mana</w:t>
        </w:r>
        <w:r>
          <w:rPr>
            <w:rStyle w:val="Hyperlink"/>
            <w:lang w:eastAsia="en-GB"/>
          </w:rPr>
          <w:t>gement</w:t>
        </w:r>
        <w:r>
          <w:rPr>
            <w:webHidden/>
          </w:rPr>
          <w:tab/>
        </w:r>
        <w:r>
          <w:rPr>
            <w:webHidden/>
          </w:rPr>
          <w:fldChar w:fldCharType="begin"/>
        </w:r>
        <w:r>
          <w:rPr>
            <w:webHidden/>
          </w:rPr>
          <w:instrText xml:space="preserve"> PAGEREF _Toc469313205 \h </w:instrText>
        </w:r>
        <w:r>
          <w:rPr>
            <w:webHidden/>
          </w:rPr>
        </w:r>
        <w:r>
          <w:rPr>
            <w:webHidden/>
          </w:rPr>
          <w:fldChar w:fldCharType="separate"/>
        </w:r>
        <w:r>
          <w:rPr>
            <w:webHidden/>
          </w:rPr>
          <w:t>16</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6" w:history="1">
        <w:r>
          <w:rPr>
            <w:rStyle w:val="Hyperlink"/>
          </w:rPr>
          <w:t>Enhancing the sustainability of cities</w:t>
        </w:r>
        <w:r>
          <w:rPr>
            <w:webHidden/>
          </w:rPr>
          <w:tab/>
        </w:r>
        <w:r>
          <w:rPr>
            <w:webHidden/>
          </w:rPr>
          <w:fldChar w:fldCharType="begin"/>
        </w:r>
        <w:r>
          <w:rPr>
            <w:webHidden/>
          </w:rPr>
          <w:instrText xml:space="preserve"> PAGEREF _Toc469313206 \h </w:instrText>
        </w:r>
        <w:r>
          <w:rPr>
            <w:webHidden/>
          </w:rPr>
        </w:r>
        <w:r>
          <w:rPr>
            <w:webHidden/>
          </w:rPr>
          <w:fldChar w:fldCharType="separate"/>
        </w:r>
        <w:r>
          <w:rPr>
            <w:webHidden/>
          </w:rPr>
          <w:t>18</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07" w:history="1">
        <w:r>
          <w:rPr>
            <w:rStyle w:val="Hyperlink"/>
            <w:lang w:eastAsia="en-GB"/>
          </w:rPr>
          <w:t>International agreements</w:t>
        </w:r>
        <w:r>
          <w:rPr>
            <w:webHidden/>
          </w:rPr>
          <w:tab/>
        </w:r>
        <w:r>
          <w:rPr>
            <w:webHidden/>
          </w:rPr>
          <w:fldChar w:fldCharType="begin"/>
        </w:r>
        <w:r>
          <w:rPr>
            <w:webHidden/>
          </w:rPr>
          <w:instrText xml:space="preserve"> PAGEREF _Toc469313207 \h </w:instrText>
        </w:r>
        <w:r>
          <w:rPr>
            <w:webHidden/>
          </w:rPr>
        </w:r>
        <w:r>
          <w:rPr>
            <w:webHidden/>
          </w:rPr>
          <w:fldChar w:fldCharType="separate"/>
        </w:r>
        <w:r>
          <w:rPr>
            <w:webHidden/>
          </w:rPr>
          <w:t>19</w:t>
        </w:r>
        <w:r>
          <w:rPr>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208"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w:instrText>
        </w:r>
        <w:r>
          <w:rPr>
            <w:noProof/>
            <w:webHidden/>
          </w:rPr>
          <w:instrText xml:space="preserve">EREF _Toc469313208 \h </w:instrText>
        </w:r>
        <w:r>
          <w:rPr>
            <w:noProof/>
            <w:webHidden/>
          </w:rPr>
        </w:r>
        <w:r>
          <w:rPr>
            <w:noProof/>
            <w:webHidden/>
          </w:rPr>
          <w:fldChar w:fldCharType="separate"/>
        </w:r>
        <w:r>
          <w:rPr>
            <w:noProof/>
            <w:webHidden/>
          </w:rPr>
          <w:t>21</w:t>
        </w:r>
        <w:r>
          <w:rPr>
            <w:noProof/>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209"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_Toc469313209 \h </w:instrText>
        </w:r>
        <w:r>
          <w:rPr>
            <w:noProof/>
            <w:webHidden/>
          </w:rPr>
        </w:r>
        <w:r>
          <w:rPr>
            <w:noProof/>
            <w:webHidden/>
          </w:rPr>
          <w:fldChar w:fldCharType="separate"/>
        </w:r>
        <w:r>
          <w:rPr>
            <w:noProof/>
            <w:webHidden/>
          </w:rPr>
          <w:t>21</w:t>
        </w:r>
        <w:r>
          <w:rPr>
            <w:noProof/>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0" w:history="1">
        <w:r>
          <w:rPr>
            <w:rStyle w:val="Hyperlink"/>
          </w:rPr>
          <w:t>Green taxation and environmentally harmful subsidies</w:t>
        </w:r>
        <w:r>
          <w:rPr>
            <w:webHidden/>
          </w:rPr>
          <w:tab/>
        </w:r>
        <w:r>
          <w:rPr>
            <w:webHidden/>
          </w:rPr>
          <w:fldChar w:fldCharType="begin"/>
        </w:r>
        <w:r>
          <w:rPr>
            <w:webHidden/>
          </w:rPr>
          <w:instrText xml:space="preserve"> PAGEREF _Toc469313210 \h </w:instrText>
        </w:r>
        <w:r>
          <w:rPr>
            <w:webHidden/>
          </w:rPr>
        </w:r>
        <w:r>
          <w:rPr>
            <w:webHidden/>
          </w:rPr>
          <w:fldChar w:fldCharType="separate"/>
        </w:r>
        <w:r>
          <w:rPr>
            <w:webHidden/>
          </w:rPr>
          <w:t>21</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1" w:history="1">
        <w:r>
          <w:rPr>
            <w:rStyle w:val="Hyperlink"/>
            <w:lang w:eastAsia="en-GB"/>
          </w:rPr>
          <w:t>Green Public Procurement</w:t>
        </w:r>
        <w:r>
          <w:rPr>
            <w:webHidden/>
          </w:rPr>
          <w:tab/>
        </w:r>
        <w:r>
          <w:rPr>
            <w:webHidden/>
          </w:rPr>
          <w:fldChar w:fldCharType="begin"/>
        </w:r>
        <w:r>
          <w:rPr>
            <w:webHidden/>
          </w:rPr>
          <w:instrText xml:space="preserve"> PAGEREF _Toc469313211 \h </w:instrText>
        </w:r>
        <w:r>
          <w:rPr>
            <w:webHidden/>
          </w:rPr>
        </w:r>
        <w:r>
          <w:rPr>
            <w:webHidden/>
          </w:rPr>
          <w:fldChar w:fldCharType="separate"/>
        </w:r>
        <w:r>
          <w:rPr>
            <w:webHidden/>
          </w:rPr>
          <w:t>22</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2" w:history="1">
        <w:r>
          <w:rPr>
            <w:rStyle w:val="Hyperlink"/>
            <w:lang w:eastAsia="en-GB"/>
          </w:rPr>
          <w:t>Investments: the contribution of EU funds</w:t>
        </w:r>
        <w:r>
          <w:rPr>
            <w:webHidden/>
          </w:rPr>
          <w:tab/>
        </w:r>
        <w:r>
          <w:rPr>
            <w:webHidden/>
          </w:rPr>
          <w:fldChar w:fldCharType="begin"/>
        </w:r>
        <w:r>
          <w:rPr>
            <w:webHidden/>
          </w:rPr>
          <w:instrText xml:space="preserve"> PAGEREF _Toc469313212 \h </w:instrText>
        </w:r>
        <w:r>
          <w:rPr>
            <w:webHidden/>
          </w:rPr>
        </w:r>
        <w:r>
          <w:rPr>
            <w:webHidden/>
          </w:rPr>
          <w:fldChar w:fldCharType="separate"/>
        </w:r>
        <w:r>
          <w:rPr>
            <w:webHidden/>
          </w:rPr>
          <w:t>23</w:t>
        </w:r>
        <w:r>
          <w:rPr>
            <w:webHidden/>
          </w:rPr>
          <w:fldChar w:fldCharType="end"/>
        </w:r>
      </w:hyperlink>
    </w:p>
    <w:p w:rsidR="00647B3C" w:rsidRDefault="009B368F">
      <w:pPr>
        <w:pStyle w:val="TOC1"/>
        <w:rPr>
          <w:rFonts w:asciiTheme="minorHAnsi" w:eastAsiaTheme="minorEastAsia" w:hAnsiTheme="minorHAnsi" w:cstheme="minorBidi"/>
          <w:caps w:val="0"/>
          <w:noProof/>
          <w:sz w:val="22"/>
          <w:szCs w:val="22"/>
          <w:lang w:eastAsia="en-GB"/>
        </w:rPr>
      </w:pPr>
      <w:hyperlink w:anchor="_Toc469313213"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_Toc469313213 \h </w:instrText>
        </w:r>
        <w:r>
          <w:rPr>
            <w:noProof/>
            <w:webHidden/>
          </w:rPr>
        </w:r>
        <w:r>
          <w:rPr>
            <w:noProof/>
            <w:webHidden/>
          </w:rPr>
          <w:fldChar w:fldCharType="separate"/>
        </w:r>
        <w:r>
          <w:rPr>
            <w:noProof/>
            <w:webHidden/>
          </w:rPr>
          <w:t>25</w:t>
        </w:r>
        <w:r>
          <w:rPr>
            <w:noProof/>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4" w:history="1">
        <w:r>
          <w:rPr>
            <w:rStyle w:val="Hyperlink"/>
          </w:rPr>
          <w:t>Effective governance within central, regional and local government</w:t>
        </w:r>
        <w:r>
          <w:rPr>
            <w:webHidden/>
          </w:rPr>
          <w:tab/>
        </w:r>
        <w:r>
          <w:rPr>
            <w:webHidden/>
          </w:rPr>
          <w:fldChar w:fldCharType="begin"/>
        </w:r>
        <w:r>
          <w:rPr>
            <w:webHidden/>
          </w:rPr>
          <w:instrText xml:space="preserve"> PAGEREF _Toc469313214 \h </w:instrText>
        </w:r>
        <w:r>
          <w:rPr>
            <w:webHidden/>
          </w:rPr>
        </w:r>
        <w:r>
          <w:rPr>
            <w:webHidden/>
          </w:rPr>
          <w:fldChar w:fldCharType="separate"/>
        </w:r>
        <w:r>
          <w:rPr>
            <w:webHidden/>
          </w:rPr>
          <w:t>25</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5" w:history="1">
        <w:r>
          <w:rPr>
            <w:rStyle w:val="Hyperlink"/>
          </w:rPr>
          <w:t>Compliance assurance</w:t>
        </w:r>
        <w:r>
          <w:rPr>
            <w:webHidden/>
          </w:rPr>
          <w:tab/>
        </w:r>
        <w:r>
          <w:rPr>
            <w:webHidden/>
          </w:rPr>
          <w:fldChar w:fldCharType="begin"/>
        </w:r>
        <w:r>
          <w:rPr>
            <w:webHidden/>
          </w:rPr>
          <w:instrText xml:space="preserve"> PAGEREF _Toc469313215 \h </w:instrText>
        </w:r>
        <w:r>
          <w:rPr>
            <w:webHidden/>
          </w:rPr>
        </w:r>
        <w:r>
          <w:rPr>
            <w:webHidden/>
          </w:rPr>
          <w:fldChar w:fldCharType="separate"/>
        </w:r>
        <w:r>
          <w:rPr>
            <w:webHidden/>
          </w:rPr>
          <w:t>26</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6" w:history="1">
        <w:r>
          <w:rPr>
            <w:rStyle w:val="Hyperlink"/>
          </w:rPr>
          <w:t>Public participation and access to justice</w:t>
        </w:r>
        <w:r>
          <w:rPr>
            <w:webHidden/>
          </w:rPr>
          <w:tab/>
        </w:r>
        <w:r>
          <w:rPr>
            <w:webHidden/>
          </w:rPr>
          <w:fldChar w:fldCharType="begin"/>
        </w:r>
        <w:r>
          <w:rPr>
            <w:webHidden/>
          </w:rPr>
          <w:instrText xml:space="preserve"> PAGEREF _Toc469313216 \h</w:instrText>
        </w:r>
        <w:r>
          <w:rPr>
            <w:webHidden/>
          </w:rPr>
          <w:instrText xml:space="preserve"> </w:instrText>
        </w:r>
        <w:r>
          <w:rPr>
            <w:webHidden/>
          </w:rPr>
        </w:r>
        <w:r>
          <w:rPr>
            <w:webHidden/>
          </w:rPr>
          <w:fldChar w:fldCharType="separate"/>
        </w:r>
        <w:r>
          <w:rPr>
            <w:webHidden/>
          </w:rPr>
          <w:t>27</w:t>
        </w:r>
        <w:r>
          <w:rPr>
            <w:webHidden/>
          </w:rPr>
          <w:fldChar w:fldCharType="end"/>
        </w:r>
      </w:hyperlink>
    </w:p>
    <w:p w:rsidR="00647B3C" w:rsidRDefault="009B368F">
      <w:pPr>
        <w:pStyle w:val="TOC2"/>
        <w:rPr>
          <w:rFonts w:asciiTheme="minorHAnsi" w:eastAsiaTheme="minorEastAsia" w:hAnsiTheme="minorHAnsi" w:cstheme="minorBidi"/>
          <w:sz w:val="22"/>
          <w:szCs w:val="22"/>
          <w:lang w:eastAsia="en-GB"/>
        </w:rPr>
      </w:pPr>
      <w:hyperlink w:anchor="_Toc469313217" w:history="1">
        <w:r>
          <w:rPr>
            <w:rStyle w:val="Hyperlink"/>
          </w:rPr>
          <w:t>Access to information, knowledge and evidence</w:t>
        </w:r>
        <w:r>
          <w:rPr>
            <w:webHidden/>
          </w:rPr>
          <w:tab/>
        </w:r>
        <w:r>
          <w:rPr>
            <w:webHidden/>
          </w:rPr>
          <w:fldChar w:fldCharType="begin"/>
        </w:r>
        <w:r>
          <w:rPr>
            <w:webHidden/>
          </w:rPr>
          <w:instrText xml:space="preserve"> PAGEREF _Toc469313217 \h </w:instrText>
        </w:r>
        <w:r>
          <w:rPr>
            <w:webHidden/>
          </w:rPr>
        </w:r>
        <w:r>
          <w:rPr>
            <w:webHidden/>
          </w:rPr>
          <w:fldChar w:fldCharType="separate"/>
        </w:r>
        <w:r>
          <w:rPr>
            <w:webHidden/>
          </w:rPr>
          <w:t>27</w:t>
        </w:r>
        <w:r>
          <w:rPr>
            <w:webHidden/>
          </w:rPr>
          <w:fldChar w:fldCharType="end"/>
        </w:r>
      </w:hyperlink>
    </w:p>
    <w:p w:rsidR="00647B3C" w:rsidRDefault="009B368F">
      <w:pPr>
        <w:widowControl w:val="0"/>
        <w:spacing w:before="240" w:after="120" w:line="240" w:lineRule="auto"/>
        <w:ind w:left="113" w:hanging="113"/>
        <w:jc w:val="center"/>
        <w:rPr>
          <w:rFonts w:eastAsia="Times New Roman"/>
          <w:b/>
          <w:noProof/>
          <w:lang w:eastAsia="en-GB"/>
        </w:rPr>
        <w:sectPr w:rsidR="00647B3C">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eastAsiaTheme="minorEastAsia"/>
          <w:b/>
          <w:caps/>
          <w:noProof/>
          <w:lang w:val="en-US" w:eastAsia="ja-JP"/>
        </w:rPr>
        <w:fldChar w:fldCharType="end"/>
      </w:r>
    </w:p>
    <w:p w:rsidR="00647B3C" w:rsidRDefault="009B368F">
      <w:pPr>
        <w:widowControl w:val="0"/>
        <w:spacing w:after="0" w:line="240" w:lineRule="auto"/>
        <w:jc w:val="center"/>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lastRenderedPageBreak/>
        <w:br w:type="page"/>
      </w:r>
    </w:p>
    <w:p w:rsidR="00647B3C" w:rsidRDefault="009B368F">
      <w:pPr>
        <w:widowControl w:val="0"/>
        <w:spacing w:after="0" w:line="240" w:lineRule="auto"/>
        <w:jc w:val="center"/>
        <w:outlineLvl w:val="0"/>
        <w:rPr>
          <w:rFonts w:eastAsiaTheme="majorEastAsia" w:cstheme="majorBidi"/>
          <w:b/>
          <w:bCs/>
          <w:noProof/>
          <w:color w:val="1F497D" w:themeColor="text2"/>
          <w:sz w:val="32"/>
          <w:szCs w:val="28"/>
        </w:rPr>
      </w:pPr>
      <w:bookmarkStart w:id="5" w:name="_Toc469313192"/>
      <w:r>
        <w:rPr>
          <w:rFonts w:eastAsiaTheme="majorEastAsia" w:cstheme="majorBidi"/>
          <w:b/>
          <w:bCs/>
          <w:noProof/>
          <w:color w:val="1F497D" w:themeColor="text2"/>
          <w:sz w:val="32"/>
          <w:szCs w:val="28"/>
        </w:rPr>
        <w:lastRenderedPageBreak/>
        <w:t>Executive summary</w:t>
      </w:r>
      <w:bookmarkEnd w:id="4"/>
      <w:bookmarkEnd w:id="5"/>
    </w:p>
    <w:p w:rsidR="00647B3C" w:rsidRDefault="00647B3C">
      <w:pPr>
        <w:widowControl w:val="0"/>
        <w:spacing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sectPr w:rsidR="00647B3C">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pgNumType w:start="3"/>
          <w:cols w:space="360"/>
          <w:docGrid w:linePitch="360"/>
        </w:sectPr>
      </w:pPr>
    </w:p>
    <w:p w:rsidR="00647B3C" w:rsidRDefault="009B368F">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647B3C" w:rsidRDefault="009B368F">
      <w:pPr>
        <w:widowControl w:val="0"/>
        <w:spacing w:after="120" w:line="240" w:lineRule="auto"/>
        <w:jc w:val="both"/>
        <w:rPr>
          <w:noProof/>
          <w:sz w:val="20"/>
        </w:rPr>
      </w:pPr>
      <w:r>
        <w:rPr>
          <w:noProof/>
          <w:sz w:val="20"/>
        </w:rPr>
        <w:t xml:space="preserve">In May 2016, the Commission launched the Environmental Implementation Review (EIR), a two-year cycle of analysis, dialogue and </w:t>
      </w:r>
      <w:r>
        <w:rPr>
          <w:noProof/>
          <w:sz w:val="20"/>
        </w:rPr>
        <w:t>collaboration to improve the implementation of existing EU environmental policy and legislation</w:t>
      </w:r>
      <w:r>
        <w:rPr>
          <w:noProof/>
          <w:sz w:val="20"/>
          <w:vertAlign w:val="superscript"/>
        </w:rPr>
        <w:footnoteReference w:id="1"/>
      </w:r>
      <w:r>
        <w:rPr>
          <w:noProof/>
          <w:sz w:val="20"/>
        </w:rPr>
        <w:t>. As a first step, the Commission drafted 28 reports describing the main challenges and opportunities on environmental implementation for each Member State. The</w:t>
      </w:r>
      <w:r>
        <w:rPr>
          <w:noProof/>
          <w:sz w:val="20"/>
        </w:rPr>
        <w:t>se reports are meant to stimulate a positive debate both on shared environmental challenges for the EU, as well as on the most effective ways to address the key implementation gaps. The reports rely on the detailed sectoral implementation reports collected</w:t>
      </w:r>
      <w:r>
        <w:rPr>
          <w:noProof/>
          <w:sz w:val="20"/>
        </w:rPr>
        <w:t xml:space="preserve"> or issued by the Commission under specific environmental legislation as well as the 2015 State of the Environment Report and other reports by the European Environment Agency. These reports will not replace the specific instruments to ensure compliance wit</w:t>
      </w:r>
      <w:r>
        <w:rPr>
          <w:noProof/>
          <w:sz w:val="20"/>
        </w:rPr>
        <w:t xml:space="preserve">h the EU legal obligations. </w:t>
      </w:r>
    </w:p>
    <w:p w:rsidR="00647B3C" w:rsidRDefault="009B368F">
      <w:pPr>
        <w:widowControl w:val="0"/>
        <w:spacing w:after="120" w:line="240" w:lineRule="auto"/>
        <w:jc w:val="both"/>
        <w:rPr>
          <w:noProof/>
          <w:sz w:val="20"/>
        </w:rPr>
      </w:pPr>
      <w:r>
        <w:rPr>
          <w:noProof/>
          <w:sz w:val="20"/>
        </w:rPr>
        <w:t>The reports will broadly follow the outline of the 7th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w:t>
      </w:r>
      <w:r>
        <w:rPr>
          <w:noProof/>
          <w:sz w:val="20"/>
        </w:rPr>
        <w:t>ct the existing obligations and policy objectives of EU environmental law</w:t>
      </w:r>
      <w:r>
        <w:rPr>
          <w:rFonts w:eastAsia="Calibri"/>
          <w:noProof/>
          <w:sz w:val="20"/>
          <w:vertAlign w:val="superscript"/>
        </w:rPr>
        <w:footnoteReference w:id="4"/>
      </w:r>
      <w:r>
        <w:rPr>
          <w:noProof/>
          <w:sz w:val="20"/>
        </w:rPr>
        <w:t xml:space="preserve">. </w:t>
      </w:r>
    </w:p>
    <w:p w:rsidR="00647B3C" w:rsidRDefault="009B368F">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implementation issue in the light of the impact on</w:t>
      </w:r>
      <w:r>
        <w:rPr>
          <w:noProof/>
          <w:sz w:val="20"/>
        </w:rPr>
        <w:t xml:space="preserve"> the quality of life of the citizens, the distance to target, and financial implications.</w:t>
      </w:r>
    </w:p>
    <w:p w:rsidR="00647B3C" w:rsidRDefault="009B368F">
      <w:pPr>
        <w:widowControl w:val="0"/>
        <w:spacing w:after="120" w:line="240" w:lineRule="auto"/>
        <w:jc w:val="both"/>
        <w:rPr>
          <w:rFonts w:eastAsia="Calibri" w:cs="Times New Roman"/>
          <w:noProof/>
          <w:szCs w:val="24"/>
          <w:lang w:eastAsia="en-GB"/>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xml:space="preserve">", </w:t>
      </w:r>
      <w:r>
        <w:rPr>
          <w:noProof/>
          <w:sz w:val="20"/>
        </w:rPr>
        <w:t xml:space="preserve">which identifies challenges that are common to several Member States, provides preliminary conclusions on possible root causes of implementation gaps and proposes joint actions to deliver better results. It also groups in its Annex the actions proposed in </w:t>
      </w:r>
      <w:r>
        <w:rPr>
          <w:noProof/>
          <w:sz w:val="20"/>
        </w:rPr>
        <w:t>each country report to improve implementation at national level.</w:t>
      </w:r>
    </w:p>
    <w:p w:rsidR="00647B3C" w:rsidRDefault="009B368F">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647B3C" w:rsidRDefault="009B368F">
      <w:pPr>
        <w:widowControl w:val="0"/>
        <w:spacing w:after="120" w:line="240" w:lineRule="auto"/>
        <w:jc w:val="both"/>
        <w:rPr>
          <w:rFonts w:cs="Times New Roman"/>
          <w:noProof/>
          <w:sz w:val="20"/>
        </w:rPr>
      </w:pPr>
      <w:r>
        <w:rPr>
          <w:rFonts w:cs="Times New Roman"/>
          <w:noProof/>
          <w:sz w:val="20"/>
        </w:rPr>
        <w:t xml:space="preserve">The status of the environment and especially air and water quality is good in Lithuania. Resource and energy intensity remains high and exceeding the EU average. However, its </w:t>
      </w:r>
      <w:r>
        <w:rPr>
          <w:rFonts w:cs="Times New Roman"/>
          <w:noProof/>
          <w:sz w:val="20"/>
        </w:rPr>
        <w:t>government is taking the first steps towards the shift to the circular economy. Notably, waste management remains a particular issue in Lithuania. Municipal waste disposal in landfills remains its main treatment option. In recent years investments have eit</w:t>
      </w:r>
      <w:r>
        <w:rPr>
          <w:rFonts w:cs="Times New Roman"/>
          <w:noProof/>
          <w:sz w:val="20"/>
        </w:rPr>
        <w:t>her have been made or planned in a number of MBTs</w:t>
      </w:r>
      <w:r>
        <w:rPr>
          <w:rFonts w:cs="Times New Roman"/>
          <w:noProof/>
          <w:sz w:val="20"/>
          <w:vertAlign w:val="superscript"/>
        </w:rPr>
        <w:footnoteReference w:id="5"/>
      </w:r>
      <w:r>
        <w:rPr>
          <w:rFonts w:cs="Times New Roman"/>
          <w:noProof/>
          <w:sz w:val="20"/>
        </w:rPr>
        <w:t xml:space="preserve"> and additional waste incineration capacity. Lithuania should carefully plan further investments in the waste sector in order not to hinder the achievement of the 2020 recycling target. </w:t>
      </w:r>
    </w:p>
    <w:p w:rsidR="00647B3C" w:rsidRDefault="009B368F">
      <w:pPr>
        <w:widowControl w:val="0"/>
        <w:spacing w:before="120" w:after="120" w:line="240" w:lineRule="auto"/>
        <w:jc w:val="both"/>
        <w:rPr>
          <w:rFonts w:cstheme="minorHAnsi"/>
          <w:b/>
          <w:noProof/>
          <w:color w:val="1F497D" w:themeColor="text2"/>
        </w:rPr>
      </w:pPr>
      <w:r>
        <w:rPr>
          <w:rFonts w:cstheme="minorHAnsi"/>
          <w:b/>
          <w:noProof/>
          <w:color w:val="1F497D" w:themeColor="text2"/>
        </w:rPr>
        <w:t>Main Challenges</w:t>
      </w:r>
    </w:p>
    <w:p w:rsidR="00647B3C" w:rsidRDefault="009B368F">
      <w:pPr>
        <w:widowControl w:val="0"/>
        <w:spacing w:before="120" w:after="120" w:line="240" w:lineRule="auto"/>
        <w:jc w:val="both"/>
        <w:rPr>
          <w:rFonts w:cs="Times New Roman"/>
          <w:noProof/>
          <w:sz w:val="20"/>
        </w:rPr>
      </w:pPr>
      <w:r>
        <w:rPr>
          <w:rFonts w:cs="Times New Roman"/>
          <w:noProof/>
          <w:sz w:val="20"/>
        </w:rPr>
        <w:t>The</w:t>
      </w:r>
      <w:r>
        <w:rPr>
          <w:rFonts w:cs="Times New Roman"/>
          <w:noProof/>
          <w:sz w:val="20"/>
        </w:rPr>
        <w:t xml:space="preserve"> main challenges with regard to implementation of EU environmental policy and law in Lithuania are:</w:t>
      </w:r>
    </w:p>
    <w:p w:rsidR="00647B3C" w:rsidRDefault="009B368F">
      <w:pPr>
        <w:widowControl w:val="0"/>
        <w:numPr>
          <w:ilvl w:val="0"/>
          <w:numId w:val="30"/>
        </w:numPr>
        <w:spacing w:before="120" w:after="120" w:line="240" w:lineRule="auto"/>
        <w:contextualSpacing/>
        <w:jc w:val="both"/>
        <w:rPr>
          <w:rFonts w:cs="Times New Roman"/>
          <w:noProof/>
          <w:sz w:val="20"/>
        </w:rPr>
      </w:pPr>
      <w:r>
        <w:rPr>
          <w:rFonts w:cs="Times New Roman"/>
          <w:noProof/>
          <w:sz w:val="20"/>
        </w:rPr>
        <w:t>Waste management remains a challenge for Lithuania with the foreseen new municipal waste incineration capacities potentially putting at risk the EU recyclin</w:t>
      </w:r>
      <w:r>
        <w:rPr>
          <w:rFonts w:cs="Times New Roman"/>
          <w:noProof/>
          <w:sz w:val="20"/>
        </w:rPr>
        <w:t>g targets.</w:t>
      </w:r>
    </w:p>
    <w:p w:rsidR="00647B3C" w:rsidRDefault="009B368F">
      <w:pPr>
        <w:widowControl w:val="0"/>
        <w:numPr>
          <w:ilvl w:val="0"/>
          <w:numId w:val="30"/>
        </w:numPr>
        <w:spacing w:before="120" w:after="0" w:line="240" w:lineRule="auto"/>
        <w:contextualSpacing/>
        <w:jc w:val="both"/>
        <w:rPr>
          <w:rFonts w:cs="Times New Roman"/>
          <w:noProof/>
          <w:sz w:val="20"/>
          <w:szCs w:val="20"/>
        </w:rPr>
      </w:pPr>
      <w:r>
        <w:rPr>
          <w:rFonts w:cs="Times New Roman"/>
          <w:noProof/>
          <w:sz w:val="20"/>
        </w:rPr>
        <w:t>Lithuania remains a resource and energy intensive country.</w:t>
      </w:r>
    </w:p>
    <w:p w:rsidR="00647B3C" w:rsidRDefault="009B368F">
      <w:pPr>
        <w:widowControl w:val="0"/>
        <w:spacing w:before="120" w:after="120" w:line="240" w:lineRule="auto"/>
        <w:jc w:val="both"/>
        <w:rPr>
          <w:rFonts w:cstheme="minorHAnsi"/>
          <w:b/>
          <w:noProof/>
          <w:color w:val="1F497D" w:themeColor="text2"/>
        </w:rPr>
      </w:pPr>
      <w:r>
        <w:rPr>
          <w:rFonts w:cstheme="minorHAnsi"/>
          <w:b/>
          <w:noProof/>
          <w:color w:val="1F497D" w:themeColor="text2"/>
        </w:rPr>
        <w:t>Main Opportunities</w:t>
      </w:r>
    </w:p>
    <w:p w:rsidR="00647B3C" w:rsidRDefault="009B368F">
      <w:pPr>
        <w:widowControl w:val="0"/>
        <w:spacing w:before="120" w:after="120" w:line="240" w:lineRule="auto"/>
        <w:jc w:val="both"/>
        <w:rPr>
          <w:rFonts w:cs="Times New Roman"/>
          <w:noProof/>
          <w:sz w:val="20"/>
          <w:lang w:eastAsia="ja-JP"/>
        </w:rPr>
      </w:pPr>
      <w:r>
        <w:rPr>
          <w:rFonts w:cs="Times New Roman"/>
          <w:noProof/>
          <w:sz w:val="20"/>
          <w:lang w:eastAsia="ja-JP"/>
        </w:rPr>
        <w:t>Lithuania could perform better on topics where there is already a good knowledge base and good practices. This applies in particular to:</w:t>
      </w:r>
    </w:p>
    <w:p w:rsidR="00647B3C" w:rsidRDefault="009B368F">
      <w:pPr>
        <w:widowControl w:val="0"/>
        <w:numPr>
          <w:ilvl w:val="0"/>
          <w:numId w:val="23"/>
        </w:numPr>
        <w:spacing w:before="120" w:after="120" w:line="240" w:lineRule="auto"/>
        <w:contextualSpacing/>
        <w:jc w:val="both"/>
        <w:rPr>
          <w:rFonts w:cs="Times New Roman"/>
          <w:noProof/>
          <w:sz w:val="20"/>
          <w:lang w:eastAsia="ja-JP"/>
        </w:rPr>
      </w:pPr>
      <w:r>
        <w:rPr>
          <w:rFonts w:cs="Times New Roman"/>
          <w:noProof/>
          <w:sz w:val="20"/>
          <w:lang w:eastAsia="ja-JP"/>
        </w:rPr>
        <w:t>Targeted policy measures and s</w:t>
      </w:r>
      <w:r>
        <w:rPr>
          <w:rFonts w:cs="Times New Roman"/>
          <w:noProof/>
          <w:sz w:val="20"/>
          <w:lang w:eastAsia="ja-JP"/>
        </w:rPr>
        <w:t>ufficient funding could further enhance Lithuania's performance in eco-innovation.</w:t>
      </w:r>
    </w:p>
    <w:p w:rsidR="00647B3C" w:rsidRDefault="009B368F">
      <w:pPr>
        <w:widowControl w:val="0"/>
        <w:numPr>
          <w:ilvl w:val="0"/>
          <w:numId w:val="23"/>
        </w:numPr>
        <w:spacing w:before="120" w:after="120" w:line="240" w:lineRule="auto"/>
        <w:contextualSpacing/>
        <w:jc w:val="both"/>
        <w:rPr>
          <w:rFonts w:cs="Times New Roman"/>
          <w:noProof/>
          <w:sz w:val="20"/>
          <w:lang w:eastAsia="ja-JP"/>
        </w:rPr>
      </w:pPr>
      <w:r>
        <w:rPr>
          <w:rFonts w:cs="Times New Roman"/>
          <w:noProof/>
          <w:sz w:val="20"/>
        </w:rPr>
        <w:t xml:space="preserve">Use of market based instruments could encourage resource efficiency, particularly in waste management (e.g. meet the 2020 recycling targets and divert waste from landfill). </w:t>
      </w:r>
      <w:r>
        <w:rPr>
          <w:rFonts w:cs="Times New Roman"/>
          <w:noProof/>
          <w:sz w:val="20"/>
        </w:rPr>
        <w:t>Vehicle taxation could play an important role in supporting a modal shift from private to public transport.</w:t>
      </w:r>
    </w:p>
    <w:p w:rsidR="00647B3C" w:rsidRDefault="009B368F">
      <w:pPr>
        <w:widowControl w:val="0"/>
        <w:numPr>
          <w:ilvl w:val="0"/>
          <w:numId w:val="23"/>
        </w:numPr>
        <w:spacing w:before="120" w:after="120" w:line="240" w:lineRule="auto"/>
        <w:contextualSpacing/>
        <w:jc w:val="both"/>
        <w:rPr>
          <w:rFonts w:cs="Times New Roman"/>
          <w:noProof/>
          <w:sz w:val="20"/>
        </w:rPr>
      </w:pPr>
      <w:r>
        <w:rPr>
          <w:rFonts w:cs="Times New Roman"/>
          <w:noProof/>
          <w:sz w:val="20"/>
        </w:rPr>
        <w:t>More targeted use of the opportunities provided by the ESIF to enhance environmental implementation, as well as the use of EIB loans and EFSI suppor</w:t>
      </w:r>
      <w:r>
        <w:rPr>
          <w:rFonts w:cs="Times New Roman"/>
          <w:noProof/>
          <w:sz w:val="20"/>
        </w:rPr>
        <w:t>t to further promote environmental projects would improve progress across the board.</w:t>
      </w:r>
    </w:p>
    <w:p w:rsidR="00647B3C" w:rsidRDefault="009B368F">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647B3C" w:rsidRDefault="009B368F">
      <w:pPr>
        <w:widowControl w:val="0"/>
        <w:spacing w:after="120" w:line="240" w:lineRule="auto"/>
        <w:jc w:val="both"/>
        <w:rPr>
          <w:rFonts w:cstheme="minorHAnsi"/>
          <w:b/>
          <w:noProof/>
          <w:color w:val="1F497D" w:themeColor="text2"/>
        </w:rPr>
      </w:pPr>
      <w:r>
        <w:rPr>
          <w:rFonts w:cs="Times New Roman"/>
          <w:noProof/>
          <w:sz w:val="20"/>
        </w:rPr>
        <w:t xml:space="preserve">Where Lithuania is a leader on environmental implementation, innovative approaches could be shared more widely with other countries. Good examples </w:t>
      </w:r>
      <w:r>
        <w:rPr>
          <w:rFonts w:cs="Times New Roman"/>
          <w:noProof/>
          <w:sz w:val="20"/>
        </w:rPr>
        <w:t>are:</w:t>
      </w:r>
    </w:p>
    <w:p w:rsidR="00647B3C" w:rsidRDefault="009B368F">
      <w:pPr>
        <w:widowControl w:val="0"/>
        <w:numPr>
          <w:ilvl w:val="0"/>
          <w:numId w:val="24"/>
        </w:numPr>
        <w:spacing w:after="120" w:line="240" w:lineRule="auto"/>
        <w:contextualSpacing/>
        <w:jc w:val="both"/>
        <w:rPr>
          <w:rFonts w:cs="Times New Roman"/>
          <w:noProof/>
          <w:sz w:val="20"/>
        </w:rPr>
      </w:pPr>
      <w:r>
        <w:rPr>
          <w:rFonts w:cs="Times New Roman"/>
          <w:noProof/>
          <w:sz w:val="20"/>
        </w:rPr>
        <w:t>A good compliance record, having a low number of complaints and infringements.</w:t>
      </w:r>
    </w:p>
    <w:p w:rsidR="00647B3C" w:rsidRDefault="009B368F">
      <w:pPr>
        <w:widowControl w:val="0"/>
        <w:numPr>
          <w:ilvl w:val="0"/>
          <w:numId w:val="24"/>
        </w:numPr>
        <w:spacing w:before="120" w:after="120" w:line="240" w:lineRule="auto"/>
        <w:contextualSpacing/>
        <w:jc w:val="both"/>
        <w:rPr>
          <w:rFonts w:cs="Times New Roman"/>
          <w:noProof/>
          <w:sz w:val="20"/>
        </w:rPr>
      </w:pPr>
      <w:r>
        <w:rPr>
          <w:rFonts w:cs="Times New Roman"/>
          <w:noProof/>
          <w:sz w:val="20"/>
        </w:rPr>
        <w:t>While eco-innovation in general in Lithuania needs further efforts, Lithuania has strengths in certain areas such as biotechnology and laser technology.</w:t>
      </w:r>
    </w:p>
    <w:p w:rsidR="00647B3C" w:rsidRDefault="00647B3C">
      <w:pPr>
        <w:widowControl w:val="0"/>
        <w:spacing w:after="120" w:line="240" w:lineRule="auto"/>
        <w:jc w:val="both"/>
        <w:rPr>
          <w:rFonts w:cs="Times New Roman"/>
          <w:noProof/>
          <w:sz w:val="20"/>
        </w:rPr>
        <w:sectPr w:rsidR="00647B3C">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fmt="lowerRoman"/>
          <w:cols w:num="2" w:space="360"/>
          <w:docGrid w:linePitch="360"/>
        </w:sectPr>
      </w:pPr>
    </w:p>
    <w:p w:rsidR="00647B3C" w:rsidRDefault="00647B3C">
      <w:pPr>
        <w:widowControl w:val="0"/>
        <w:spacing w:after="0" w:line="240" w:lineRule="auto"/>
        <w:jc w:val="center"/>
        <w:outlineLvl w:val="0"/>
        <w:rPr>
          <w:rFonts w:eastAsiaTheme="majorEastAsia" w:cstheme="majorBidi"/>
          <w:b/>
          <w:bCs/>
          <w:noProof/>
          <w:color w:val="1F497D" w:themeColor="text2"/>
          <w:sz w:val="32"/>
          <w:szCs w:val="28"/>
        </w:rPr>
        <w:sectPr w:rsidR="00647B3C">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1"/>
          <w:cols w:space="708"/>
          <w:docGrid w:linePitch="360"/>
        </w:sectPr>
      </w:pPr>
      <w:bookmarkStart w:id="6" w:name="_Toc433296150"/>
      <w:bookmarkStart w:id="7" w:name="_Toc469313193"/>
    </w:p>
    <w:p w:rsidR="00647B3C" w:rsidRDefault="009B368F">
      <w:pPr>
        <w:widowControl w:val="0"/>
        <w:spacing w:after="0" w:line="240" w:lineRule="auto"/>
        <w:jc w:val="center"/>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t xml:space="preserve">Part I: Thematic </w:t>
      </w:r>
      <w:r>
        <w:rPr>
          <w:rFonts w:eastAsiaTheme="majorEastAsia" w:cstheme="majorBidi"/>
          <w:b/>
          <w:bCs/>
          <w:noProof/>
          <w:color w:val="1F497D" w:themeColor="text2"/>
          <w:sz w:val="32"/>
          <w:szCs w:val="28"/>
        </w:rPr>
        <w:t>Areas</w:t>
      </w:r>
      <w:bookmarkEnd w:id="6"/>
      <w:bookmarkEnd w:id="7"/>
    </w:p>
    <w:p w:rsidR="00647B3C" w:rsidRDefault="00647B3C">
      <w:pPr>
        <w:widowControl w:val="0"/>
        <w:spacing w:after="120" w:line="240" w:lineRule="auto"/>
        <w:jc w:val="both"/>
        <w:rPr>
          <w:rFonts w:cs="Times New Roman"/>
          <w:noProof/>
          <w:sz w:val="20"/>
        </w:rPr>
      </w:pPr>
    </w:p>
    <w:p w:rsidR="00647B3C" w:rsidRDefault="009B368F">
      <w:pPr>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313194"/>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647B3C" w:rsidRDefault="00647B3C">
      <w:pPr>
        <w:widowControl w:val="0"/>
        <w:spacing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sectPr w:rsidR="00647B3C">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080" w:bottom="1440" w:left="1080" w:header="708" w:footer="708" w:gutter="0"/>
          <w:pgNumType w:start="5"/>
          <w:cols w:space="708"/>
          <w:docGrid w:linePitch="360"/>
        </w:sectPr>
      </w:pPr>
    </w:p>
    <w:p w:rsidR="00647B3C" w:rsidRDefault="009B368F">
      <w:pPr>
        <w:widowControl w:val="0"/>
        <w:spacing w:before="120" w:after="120" w:line="240" w:lineRule="auto"/>
        <w:outlineLvl w:val="1"/>
        <w:rPr>
          <w:rFonts w:cs="Times New Roman"/>
          <w:b/>
          <w:noProof/>
          <w:color w:val="1F497D" w:themeColor="text2"/>
          <w:sz w:val="24"/>
        </w:rPr>
      </w:pPr>
      <w:bookmarkStart w:id="10" w:name="_Toc433296152"/>
      <w:bookmarkStart w:id="11" w:name="_Toc454813106"/>
      <w:bookmarkStart w:id="12" w:name="_Toc469313195"/>
      <w:r>
        <w:rPr>
          <w:rFonts w:cs="Times New Roman"/>
          <w:b/>
          <w:noProof/>
          <w:color w:val="1F497D" w:themeColor="text2"/>
          <w:sz w:val="24"/>
        </w:rPr>
        <w:t>Developing a circular economy</w:t>
      </w:r>
      <w:bookmarkEnd w:id="10"/>
      <w:r>
        <w:rPr>
          <w:rFonts w:cs="Times New Roman"/>
          <w:b/>
          <w:noProof/>
          <w:color w:val="1F497D" w:themeColor="text2"/>
          <w:sz w:val="24"/>
        </w:rPr>
        <w:t xml:space="preserve"> and improving resource efficiency</w:t>
      </w:r>
      <w:bookmarkEnd w:id="11"/>
      <w:bookmarkEnd w:id="12"/>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 that is close to zero. This can be facilitated by the devel</w:t>
      </w:r>
      <w:r>
        <w:rPr>
          <w:rFonts w:cs="Times New Roman"/>
          <w:noProof/>
          <w:color w:val="FFFFFF" w:themeColor="background1"/>
          <w:sz w:val="20"/>
        </w:rPr>
        <w:t>opment of, and access to, innovative financial instruments and funding for eco-innovation.</w:t>
      </w:r>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productive employment and decent work for all. SDG 9 highlights the</w:t>
      </w:r>
      <w:r>
        <w:rPr>
          <w:rFonts w:cs="Times New Roman"/>
          <w:noProof/>
          <w:color w:val="FFFFFF" w:themeColor="background1"/>
          <w:sz w:val="20"/>
        </w:rPr>
        <w:t xml:space="preserve"> need to build resilient infrastructure, promote inclusive and sustainable industrialization and foster innovation. SDG 12 encourages countries to achieve the sustainable management and efficient use of natural resources by 2030.</w:t>
      </w:r>
    </w:p>
    <w:p w:rsidR="00647B3C" w:rsidRDefault="009B368F">
      <w:pPr>
        <w:keepNext/>
        <w:keepLines/>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 xml:space="preserve">Measures towards a </w:t>
      </w:r>
      <w:r>
        <w:rPr>
          <w:rFonts w:eastAsiaTheme="majorEastAsia" w:cstheme="majorBidi"/>
          <w:b/>
          <w:bCs/>
          <w:noProof/>
          <w:color w:val="1F497D" w:themeColor="text2"/>
        </w:rPr>
        <w:t>circular economy</w:t>
      </w:r>
    </w:p>
    <w:p w:rsidR="00647B3C" w:rsidRDefault="009B368F">
      <w:pPr>
        <w:widowControl w:val="0"/>
        <w:spacing w:after="120" w:line="240" w:lineRule="auto"/>
        <w:jc w:val="both"/>
        <w:rPr>
          <w:rFonts w:cs="Times New Roman"/>
          <w:noProof/>
          <w:sz w:val="20"/>
        </w:rPr>
      </w:pPr>
      <w:r>
        <w:rPr>
          <w:rFonts w:cs="Times New Roman"/>
          <w:noProof/>
          <w:sz w:val="20"/>
        </w:rPr>
        <w:t>Transforming our economies from linear to circular offers an opportunity to reinvent them and make more sustainable and competitive. This will bring both short and long-term benefits for the economy, industries, and citizens alike.</w:t>
      </w:r>
      <w:r>
        <w:rPr>
          <w:rFonts w:cs="Times New Roman"/>
          <w:noProof/>
          <w:sz w:val="20"/>
          <w:vertAlign w:val="superscript"/>
        </w:rPr>
        <w:footnoteReference w:id="6"/>
      </w:r>
    </w:p>
    <w:p w:rsidR="00647B3C" w:rsidRDefault="009B368F">
      <w:pPr>
        <w:widowControl w:val="0"/>
        <w:spacing w:after="120" w:line="240" w:lineRule="auto"/>
        <w:jc w:val="both"/>
        <w:rPr>
          <w:rFonts w:cs="Times New Roman"/>
          <w:noProof/>
          <w:sz w:val="20"/>
        </w:rPr>
      </w:pPr>
      <w:r>
        <w:rPr>
          <w:rFonts w:cs="Times New Roman"/>
          <w:noProof/>
          <w:sz w:val="20"/>
        </w:rPr>
        <w:t xml:space="preserve">There </w:t>
      </w:r>
      <w:r>
        <w:rPr>
          <w:rFonts w:cs="Times New Roman"/>
          <w:noProof/>
          <w:sz w:val="20"/>
        </w:rPr>
        <w:t xml:space="preserve">is untapped potential for the whole economy, as well as for economic sectors and individual companies to benefit from the shift to the circular economy, which could reduce costs, facilitate growth and competitiveness, as well as job creation; while at the </w:t>
      </w:r>
      <w:r>
        <w:rPr>
          <w:rFonts w:cs="Times New Roman"/>
          <w:noProof/>
          <w:sz w:val="20"/>
        </w:rPr>
        <w:t>same time would address resource challenges. Figure 1 shows that resource productivity (how efficiently the economy uses material resources to produce wealth)</w:t>
      </w:r>
      <w:r>
        <w:rPr>
          <w:rFonts w:cs="Times New Roman"/>
          <w:noProof/>
          <w:sz w:val="20"/>
          <w:vertAlign w:val="superscript"/>
        </w:rPr>
        <w:footnoteReference w:id="7"/>
      </w:r>
      <w:r>
        <w:rPr>
          <w:rFonts w:cs="Times New Roman"/>
          <w:noProof/>
          <w:sz w:val="20"/>
        </w:rPr>
        <w:t>, with 0.80 EUR/kg (EU average is 2) in Lithuania has only slightly increased since 2008, however</w:t>
      </w:r>
      <w:r>
        <w:rPr>
          <w:rFonts w:cs="Times New Roman"/>
          <w:noProof/>
          <w:sz w:val="20"/>
        </w:rPr>
        <w:t>, it still remained significantly below the EU average in 2015.</w:t>
      </w:r>
      <w:r>
        <w:rPr>
          <w:rFonts w:cs="Times New Roman"/>
          <w:noProof/>
          <w:sz w:val="20"/>
          <w:vertAlign w:val="superscript"/>
        </w:rPr>
        <w:footnoteReference w:id="8"/>
      </w:r>
      <w:r>
        <w:rPr>
          <w:rFonts w:cs="Times New Roman"/>
          <w:noProof/>
          <w:sz w:val="20"/>
        </w:rPr>
        <w:t xml:space="preserve">  </w:t>
      </w:r>
    </w:p>
    <w:p w:rsidR="00647B3C" w:rsidRDefault="009B368F">
      <w:pPr>
        <w:widowControl w:val="0"/>
        <w:spacing w:after="120" w:line="240" w:lineRule="auto"/>
        <w:jc w:val="both"/>
        <w:rPr>
          <w:rFonts w:cs="Times New Roman"/>
          <w:noProof/>
          <w:sz w:val="20"/>
        </w:rPr>
      </w:pPr>
      <w:r>
        <w:rPr>
          <w:rFonts w:cs="Times New Roman"/>
          <w:noProof/>
          <w:sz w:val="20"/>
        </w:rPr>
        <w:t xml:space="preserve">The main drivers for the transition to the circular economy are the support from EU funds and collaborative grants for eco-innovation with Norway. </w:t>
      </w:r>
    </w:p>
    <w:p w:rsidR="00647B3C" w:rsidRDefault="009B368F">
      <w:pPr>
        <w:widowControl w:val="0"/>
        <w:spacing w:after="120" w:line="240" w:lineRule="auto"/>
        <w:jc w:val="both"/>
        <w:rPr>
          <w:rFonts w:cs="Times New Roman"/>
          <w:noProof/>
          <w:sz w:val="20"/>
        </w:rPr>
      </w:pPr>
      <w:r>
        <w:rPr>
          <w:rFonts w:cs="Times New Roman"/>
          <w:noProof/>
          <w:sz w:val="20"/>
        </w:rPr>
        <w:t xml:space="preserve">While Lithuania supports the EU Circular </w:t>
      </w:r>
      <w:r>
        <w:rPr>
          <w:rFonts w:cs="Times New Roman"/>
          <w:noProof/>
          <w:sz w:val="20"/>
        </w:rPr>
        <w:t xml:space="preserve">Economy Package and the shift to the circular economy in general, its government is taking only the first steps towards it. Legislation for promoting and applying the principles of circular economy in Lithuania is still in the early stages of development. </w:t>
      </w:r>
      <w:r>
        <w:rPr>
          <w:rFonts w:cs="Times New Roman"/>
          <w:noProof/>
          <w:sz w:val="20"/>
        </w:rPr>
        <w:t xml:space="preserve">Furthermore, Lithuania has average achievements in regards to the targets proposed for EU circular economy with areas still needing to be improved.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p w:rsidR="00647B3C" w:rsidRDefault="009B368F">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9"/>
            </w:r>
          </w:p>
        </w:tc>
      </w:tr>
      <w:tr w:rsidR="00647B3C">
        <w:tc>
          <w:tcPr>
            <w:tcW w:w="4909" w:type="dxa"/>
          </w:tcPr>
          <w:p w:rsidR="00647B3C" w:rsidRDefault="009B368F">
            <w:pPr>
              <w:widowControl w:val="0"/>
              <w:spacing w:after="120"/>
              <w:jc w:val="both"/>
              <w:rPr>
                <w:rFonts w:cs="Times New Roman"/>
                <w:noProof/>
                <w:sz w:val="20"/>
              </w:rPr>
            </w:pPr>
            <w:r>
              <w:rPr>
                <w:rFonts w:cs="Times New Roman"/>
                <w:noProof/>
                <w:sz w:val="20"/>
                <w:lang w:eastAsia="en-GB"/>
              </w:rPr>
              <w:drawing>
                <wp:inline distT="0" distB="0" distL="0" distR="0" wp14:anchorId="42B8E509" wp14:editId="4A376203">
                  <wp:extent cx="3072810" cy="2039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0598" cy="2045068"/>
                          </a:xfrm>
                          <a:prstGeom prst="rect">
                            <a:avLst/>
                          </a:prstGeom>
                          <a:noFill/>
                        </pic:spPr>
                      </pic:pic>
                    </a:graphicData>
                  </a:graphic>
                </wp:inline>
              </w:drawing>
            </w:r>
          </w:p>
        </w:tc>
      </w:tr>
    </w:tbl>
    <w:p w:rsidR="00647B3C" w:rsidRDefault="009B368F">
      <w:pPr>
        <w:widowControl w:val="0"/>
        <w:spacing w:after="120" w:line="240" w:lineRule="auto"/>
        <w:jc w:val="both"/>
        <w:rPr>
          <w:rFonts w:cs="Times New Roman"/>
          <w:noProof/>
          <w:sz w:val="20"/>
        </w:rPr>
      </w:pPr>
      <w:r>
        <w:rPr>
          <w:rFonts w:cs="Times New Roman"/>
          <w:noProof/>
          <w:sz w:val="20"/>
        </w:rPr>
        <w:t xml:space="preserve">Among the proposed priorities in the Lithuanian Smart </w:t>
      </w:r>
      <w:r>
        <w:rPr>
          <w:rFonts w:cs="Times New Roman"/>
          <w:noProof/>
          <w:sz w:val="20"/>
        </w:rPr>
        <w:t>Specialisation Strategy, circular economy is specifically targeted by the use of alternative fuels to increase energy efficiency, efficient waste management and rationalisation of various production cycles to include recycled resources.</w:t>
      </w:r>
    </w:p>
    <w:p w:rsidR="00647B3C" w:rsidRDefault="009B368F">
      <w:pPr>
        <w:widowControl w:val="0"/>
        <w:spacing w:after="120" w:line="240" w:lineRule="auto"/>
        <w:jc w:val="both"/>
        <w:rPr>
          <w:rFonts w:cs="Times New Roman"/>
          <w:noProof/>
          <w:sz w:val="20"/>
        </w:rPr>
      </w:pPr>
      <w:r>
        <w:rPr>
          <w:rFonts w:cs="Times New Roman"/>
          <w:noProof/>
          <w:sz w:val="20"/>
        </w:rPr>
        <w:t>Moreover, waste man</w:t>
      </w:r>
      <w:r>
        <w:rPr>
          <w:rFonts w:cs="Times New Roman"/>
          <w:noProof/>
          <w:sz w:val="20"/>
        </w:rPr>
        <w:t xml:space="preserve">agement and recycling have had a bigger visibility in the recent years in Lithuania. Since 2014, the Packaging Innovations and Research Centre (at Kaunas University of Technology) has been conducting research into sustainable development and environmental </w:t>
      </w:r>
      <w:r>
        <w:rPr>
          <w:rFonts w:cs="Times New Roman"/>
          <w:noProof/>
          <w:sz w:val="20"/>
        </w:rPr>
        <w:t>impact of packages. New businesses are also emerging (Polymer Recycling, Esco) that base their business model on recycling waste into new materials.</w:t>
      </w:r>
    </w:p>
    <w:p w:rsidR="00647B3C" w:rsidRDefault="009B368F">
      <w:pPr>
        <w:widowControl w:val="0"/>
        <w:spacing w:after="120" w:line="240" w:lineRule="auto"/>
        <w:jc w:val="both"/>
        <w:rPr>
          <w:rFonts w:cs="Times New Roman"/>
          <w:noProof/>
          <w:sz w:val="20"/>
        </w:rPr>
      </w:pPr>
      <w:r>
        <w:rPr>
          <w:rFonts w:cs="Times New Roman"/>
          <w:noProof/>
          <w:sz w:val="20"/>
        </w:rPr>
        <w:t>The low level of eco-innovation remains a challenge for Lithuania. This is compounded by the low level of p</w:t>
      </w:r>
      <w:r>
        <w:rPr>
          <w:rFonts w:cs="Times New Roman"/>
          <w:noProof/>
          <w:sz w:val="20"/>
        </w:rPr>
        <w:t>rivate sector investment and lack of suitable skills in environmental sectors.</w:t>
      </w:r>
    </w:p>
    <w:p w:rsidR="00647B3C" w:rsidRDefault="009B368F">
      <w:pPr>
        <w:keepNext/>
        <w:keepLines/>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SMEs and resource efficiency</w:t>
      </w:r>
    </w:p>
    <w:p w:rsidR="00647B3C" w:rsidRDefault="009B368F">
      <w:pPr>
        <w:widowControl w:val="0"/>
        <w:spacing w:after="120" w:line="240" w:lineRule="auto"/>
        <w:jc w:val="both"/>
        <w:rPr>
          <w:rFonts w:cs="Times New Roman"/>
          <w:i/>
          <w:noProof/>
          <w:sz w:val="20"/>
        </w:rPr>
      </w:pPr>
      <w:r>
        <w:rPr>
          <w:rFonts w:cs="Times New Roman"/>
          <w:noProof/>
          <w:sz w:val="20"/>
        </w:rPr>
        <w:t>In the Flash Eurobarometer 426 "SMEs, resource efficiency and green markets"</w:t>
      </w:r>
      <w:r>
        <w:rPr>
          <w:rStyle w:val="FootnoteReference"/>
          <w:rFonts w:cs="Times New Roman"/>
          <w:noProof/>
          <w:sz w:val="20"/>
        </w:rPr>
        <w:footnoteReference w:id="10"/>
      </w:r>
      <w:r>
        <w:rPr>
          <w:rFonts w:cs="Times New Roman"/>
          <w:noProof/>
          <w:sz w:val="20"/>
        </w:rPr>
        <w:t xml:space="preserve"> it is shown that 39% of Lithuania's SMEs have invested  up to 5% of th</w:t>
      </w:r>
      <w:r>
        <w:rPr>
          <w:rFonts w:cs="Times New Roman"/>
          <w:noProof/>
          <w:sz w:val="20"/>
        </w:rPr>
        <w:t>eir annual turnover in their resource efficiency actions (EU28 average 50%), 29% of them are currently offering green products and services (EU28 average 26%), 50% took measures to save energy (EU28 average 59%), 33% to minimise waste (EU28 average 60%), 4</w:t>
      </w:r>
      <w:r>
        <w:rPr>
          <w:rFonts w:cs="Times New Roman"/>
          <w:noProof/>
          <w:sz w:val="20"/>
        </w:rPr>
        <w:t>5% to save water (EU28 average 44%), and 46% to save materials (EU28 average 54%). From a circular economy perspective, 12% took measures to recycle by reusing material or waste within the company, 13% to design products that are easier to maintain, repair</w:t>
      </w:r>
      <w:r>
        <w:rPr>
          <w:rFonts w:cs="Times New Roman"/>
          <w:noProof/>
          <w:sz w:val="20"/>
        </w:rPr>
        <w:t xml:space="preserve"> or reuse and 24% were able to sell their scrap material to another company. The resource efficiency actions undertaken allowed the reduction of production costs in a 56% of the Lithuanian SMEs (EU average 45%).</w:t>
      </w:r>
    </w:p>
    <w:p w:rsidR="00647B3C" w:rsidRDefault="009B368F">
      <w:pPr>
        <w:widowControl w:val="0"/>
        <w:spacing w:after="120" w:line="240" w:lineRule="auto"/>
        <w:jc w:val="both"/>
        <w:rPr>
          <w:rFonts w:cs="Times New Roman"/>
          <w:noProof/>
          <w:sz w:val="20"/>
        </w:rPr>
      </w:pPr>
      <w:r>
        <w:rPr>
          <w:rFonts w:cs="Times New Roman"/>
          <w:noProof/>
          <w:sz w:val="20"/>
        </w:rPr>
        <w:t>The Flash Eurobarometer shows that 19% of th</w:t>
      </w:r>
      <w:r>
        <w:rPr>
          <w:rFonts w:cs="Times New Roman"/>
          <w:noProof/>
          <w:sz w:val="20"/>
        </w:rPr>
        <w:t>e SMEs in Lithuania have one or more full time employee working in a green job at least some of the time. Lithuania has an average number of 1.4 full time green employees per SME.</w:t>
      </w:r>
      <w:r>
        <w:rPr>
          <w:rFonts w:cs="Times New Roman"/>
          <w:noProof/>
          <w:sz w:val="20"/>
          <w:vertAlign w:val="superscript"/>
        </w:rPr>
        <w:footnoteReference w:id="11"/>
      </w:r>
    </w:p>
    <w:p w:rsidR="00647B3C" w:rsidRDefault="009B368F">
      <w:pPr>
        <w:keepNext/>
        <w:keepLines/>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Eco-Innovation</w:t>
      </w:r>
    </w:p>
    <w:p w:rsidR="00647B3C" w:rsidRDefault="009B368F">
      <w:pPr>
        <w:widowControl w:val="0"/>
        <w:spacing w:after="120" w:line="240" w:lineRule="auto"/>
        <w:jc w:val="both"/>
        <w:rPr>
          <w:rFonts w:cs="Times New Roman"/>
          <w:noProof/>
          <w:sz w:val="20"/>
        </w:rPr>
      </w:pPr>
      <w:r>
        <w:rPr>
          <w:rFonts w:cs="Times New Roman"/>
          <w:noProof/>
          <w:sz w:val="20"/>
        </w:rPr>
        <w:t>The composite eco-innovation index for Lithuania rose from 6</w:t>
      </w:r>
      <w:r>
        <w:rPr>
          <w:rFonts w:cs="Times New Roman"/>
          <w:noProof/>
          <w:sz w:val="20"/>
        </w:rPr>
        <w:t>6 in 2013 to 72.9 in 2015, as depicted in Figure 2.</w:t>
      </w:r>
    </w:p>
    <w:p w:rsidR="00647B3C" w:rsidRDefault="009B368F">
      <w:pPr>
        <w:widowControl w:val="0"/>
        <w:spacing w:after="120" w:line="240" w:lineRule="auto"/>
        <w:jc w:val="both"/>
        <w:rPr>
          <w:rFonts w:cs="Times New Roman"/>
          <w:noProof/>
          <w:sz w:val="20"/>
        </w:rPr>
      </w:pPr>
      <w:r>
        <w:rPr>
          <w:rFonts w:cs="Times New Roman"/>
          <w:noProof/>
          <w:sz w:val="20"/>
        </w:rPr>
        <w:t xml:space="preserve"> A major economic driver for eco-innovation is the funding support from EU measures and a continuing partnership between Lithuania and Norway. This partnership in particular has led to the establishment of the Green Industry Innovation Programme based on t</w:t>
      </w:r>
      <w:r>
        <w:rPr>
          <w:rFonts w:cs="Times New Roman"/>
          <w:noProof/>
          <w:sz w:val="20"/>
        </w:rPr>
        <w:t xml:space="preserve">he Norwegian Financial Mechanism 2009-2014. The programme has helped fund many new innovations and has been a great contributing force towards moving Lithuania in the direction of eco-innovation. </w:t>
      </w:r>
    </w:p>
    <w:p w:rsidR="00647B3C" w:rsidRDefault="009B368F">
      <w:pPr>
        <w:widowControl w:val="0"/>
        <w:spacing w:after="120" w:line="240" w:lineRule="auto"/>
        <w:jc w:val="both"/>
        <w:rPr>
          <w:rFonts w:cs="Times New Roman"/>
          <w:noProof/>
          <w:sz w:val="20"/>
        </w:rPr>
      </w:pPr>
      <w:r>
        <w:rPr>
          <w:rFonts w:cs="Times New Roman"/>
          <w:noProof/>
          <w:sz w:val="20"/>
        </w:rPr>
        <w:t>The partnership with Norway also acts as a driver of cultur</w:t>
      </w:r>
      <w:r>
        <w:rPr>
          <w:rFonts w:cs="Times New Roman"/>
          <w:noProof/>
          <w:sz w:val="20"/>
        </w:rPr>
        <w:t>al change for Lithuanian businesses. Though the last call for the Green Industry Innovation Programme was issued in 2015, the partnership has continued in other aspects. In particular matchmaking events between Lithuanian and Norwegian businesses have been</w:t>
      </w:r>
      <w:r>
        <w:rPr>
          <w:rFonts w:cs="Times New Roman"/>
          <w:noProof/>
          <w:sz w:val="20"/>
        </w:rPr>
        <w:t xml:space="preserve"> planned for 2016 and 2017 to continue spreading good practice of eco-innovation in Lithuania (waste management in particular).</w:t>
      </w:r>
    </w:p>
    <w:p w:rsidR="00647B3C" w:rsidRDefault="009B368F">
      <w:pPr>
        <w:widowControl w:val="0"/>
        <w:spacing w:after="80" w:line="240" w:lineRule="auto"/>
        <w:jc w:val="both"/>
        <w:rPr>
          <w:rFonts w:cs="Times New Roman"/>
          <w:noProof/>
          <w:sz w:val="20"/>
        </w:rPr>
      </w:pPr>
      <w:r>
        <w:rPr>
          <w:rFonts w:cs="Times New Roman"/>
          <w:noProof/>
          <w:sz w:val="20"/>
        </w:rPr>
        <w:t>Since 2013, the policy framework for eco-innovation has been significantly improved, especially with two major programmes and st</w:t>
      </w:r>
      <w:r>
        <w:rPr>
          <w:rFonts w:cs="Times New Roman"/>
          <w:noProof/>
          <w:sz w:val="20"/>
        </w:rPr>
        <w:t>rategies that cover national actions for eco-innovation</w:t>
      </w:r>
      <w:r>
        <w:rPr>
          <w:rFonts w:cs="Times New Roman"/>
          <w:noProof/>
          <w:sz w:val="20"/>
          <w:vertAlign w:val="superscript"/>
        </w:rPr>
        <w:footnoteReference w:id="12"/>
      </w:r>
      <w:r>
        <w:rPr>
          <w:rFonts w:cs="Times New Roman"/>
          <w:noProof/>
          <w:sz w:val="20"/>
        </w:rPr>
        <w:t>. The promotion of eco-innovation in Lithuania is covered under the general innovation policy agenda - Lithuanian Innovation Development Programme for 2014-2020, the strategic aim of which is to promo</w:t>
      </w:r>
      <w:r>
        <w:rPr>
          <w:rFonts w:cs="Times New Roman"/>
          <w:noProof/>
          <w:sz w:val="20"/>
        </w:rPr>
        <w:t>te Lithuania’s global competitiveness by establishing an effective innovation system. Growing potential in eco-innovation is expected in construction, solar energy, waste management and green transport.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rsidRPr="009B368F">
        <w:tc>
          <w:tcPr>
            <w:tcW w:w="4909" w:type="dxa"/>
          </w:tcPr>
          <w:p w:rsidR="00647B3C" w:rsidRDefault="009B368F">
            <w:pPr>
              <w:widowControl w:val="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3"/>
            </w:r>
          </w:p>
        </w:tc>
      </w:tr>
      <w:tr w:rsidR="00647B3C">
        <w:tc>
          <w:tcPr>
            <w:tcW w:w="4909" w:type="dxa"/>
          </w:tcPr>
          <w:p w:rsidR="00647B3C" w:rsidRDefault="009B368F">
            <w:pPr>
              <w:widowControl w:val="0"/>
              <w:spacing w:after="120"/>
              <w:jc w:val="both"/>
              <w:rPr>
                <w:rFonts w:cs="Times New Roman"/>
                <w:noProof/>
                <w:sz w:val="20"/>
                <w:lang w:val="it-IT"/>
              </w:rPr>
            </w:pPr>
            <w:r>
              <w:rPr>
                <w:rFonts w:cs="Times New Roman"/>
                <w:noProof/>
                <w:sz w:val="20"/>
                <w:lang w:eastAsia="en-GB"/>
              </w:rPr>
              <w:drawing>
                <wp:inline distT="0" distB="0" distL="0" distR="0" wp14:anchorId="49B7DB77" wp14:editId="2D6B3DEC">
                  <wp:extent cx="2980058" cy="40616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204" cy="4067288"/>
                          </a:xfrm>
                          <a:prstGeom prst="rect">
                            <a:avLst/>
                          </a:prstGeom>
                          <a:noFill/>
                        </pic:spPr>
                      </pic:pic>
                    </a:graphicData>
                  </a:graphic>
                </wp:inline>
              </w:drawing>
            </w:r>
          </w:p>
        </w:tc>
      </w:tr>
    </w:tbl>
    <w:p w:rsidR="00647B3C" w:rsidRDefault="009B368F">
      <w:pPr>
        <w:widowControl w:val="0"/>
        <w:spacing w:before="120" w:after="80" w:line="240" w:lineRule="auto"/>
        <w:jc w:val="both"/>
        <w:rPr>
          <w:rFonts w:cs="Times New Roman"/>
          <w:noProof/>
          <w:sz w:val="20"/>
        </w:rPr>
      </w:pPr>
      <w:r>
        <w:rPr>
          <w:rFonts w:cs="Times New Roman"/>
          <w:noProof/>
          <w:sz w:val="20"/>
        </w:rPr>
        <w:t>The</w:t>
      </w:r>
      <w:r>
        <w:rPr>
          <w:rFonts w:cs="Times New Roman"/>
          <w:noProof/>
          <w:sz w:val="20"/>
        </w:rPr>
        <w:t xml:space="preserve"> Smart Specialisation Strategy, adopted in 2015, promotes economic growth and the contribution of knowledge-intensive economic activities to GDP, in particular, biotechnology, which is a priority area for agro-innovation and food technologies, as well as l</w:t>
      </w:r>
      <w:r>
        <w:rPr>
          <w:rFonts w:cs="Times New Roman"/>
          <w:noProof/>
          <w:sz w:val="20"/>
        </w:rPr>
        <w:t>aser technology for use in biomedical applications. The programme includes an action plan for sustainable use of agro-biological resources and safe food.</w:t>
      </w:r>
    </w:p>
    <w:p w:rsidR="00647B3C" w:rsidRDefault="009B368F">
      <w:pPr>
        <w:widowControl w:val="0"/>
        <w:spacing w:before="120" w:after="80" w:line="240" w:lineRule="auto"/>
        <w:jc w:val="both"/>
        <w:rPr>
          <w:rFonts w:cs="Times New Roman"/>
          <w:noProof/>
          <w:sz w:val="20"/>
        </w:rPr>
      </w:pPr>
      <w:r>
        <w:rPr>
          <w:rFonts w:cs="Times New Roman"/>
          <w:noProof/>
          <w:sz w:val="20"/>
        </w:rPr>
        <w:t xml:space="preserve">While progress towards increased promotion of innovation in general can be observed in the Lithuanian </w:t>
      </w:r>
      <w:r>
        <w:rPr>
          <w:rFonts w:cs="Times New Roman"/>
          <w:noProof/>
          <w:sz w:val="20"/>
        </w:rPr>
        <w:t xml:space="preserve">policy landscape, the key barrier still remains the lack of policy measures for the promotion of eco-innovation. </w:t>
      </w:r>
    </w:p>
    <w:p w:rsidR="00647B3C" w:rsidRDefault="009B368F">
      <w:pPr>
        <w:widowControl w:val="0"/>
        <w:spacing w:before="120" w:after="80" w:line="240" w:lineRule="auto"/>
        <w:jc w:val="both"/>
        <w:rPr>
          <w:rFonts w:cs="Times New Roman"/>
          <w:noProof/>
          <w:sz w:val="20"/>
        </w:rPr>
      </w:pPr>
      <w:r>
        <w:rPr>
          <w:rFonts w:cs="Times New Roman"/>
          <w:noProof/>
          <w:sz w:val="20"/>
        </w:rPr>
        <w:t>Another interrelated problem is that for a long time there was no common understanding about eco-innovation among various institutions, minist</w:t>
      </w:r>
      <w:r>
        <w:rPr>
          <w:rFonts w:cs="Times New Roman"/>
          <w:noProof/>
          <w:sz w:val="20"/>
        </w:rPr>
        <w:t xml:space="preserve">ries and SMEs. </w:t>
      </w:r>
    </w:p>
    <w:p w:rsidR="00647B3C" w:rsidRDefault="009B368F">
      <w:pPr>
        <w:widowControl w:val="0"/>
        <w:spacing w:before="120" w:after="120" w:line="240" w:lineRule="auto"/>
        <w:jc w:val="both"/>
        <w:rPr>
          <w:rFonts w:cs="Times New Roman"/>
          <w:i/>
          <w:noProof/>
          <w:color w:val="FF0000"/>
          <w:sz w:val="20"/>
        </w:rPr>
      </w:pPr>
      <w:r>
        <w:rPr>
          <w:rFonts w:cs="Times New Roman"/>
          <w:noProof/>
          <w:sz w:val="20"/>
        </w:rPr>
        <w:t xml:space="preserve">A potential problem in the future is that funding for innovation in general, and eco-innovation in particular, heavily relies on the European Structural Funds (ESF). </w:t>
      </w:r>
    </w:p>
    <w:p w:rsidR="00647B3C" w:rsidRDefault="00647B3C">
      <w:pPr>
        <w:widowControl w:val="0"/>
        <w:spacing w:before="120" w:after="120" w:line="240" w:lineRule="auto"/>
        <w:outlineLvl w:val="1"/>
        <w:rPr>
          <w:rFonts w:cs="Times New Roman"/>
          <w:b/>
          <w:noProof/>
          <w:color w:val="1F497D" w:themeColor="text2"/>
          <w:sz w:val="24"/>
          <w:lang w:eastAsia="en-GB"/>
        </w:rPr>
      </w:pPr>
      <w:bookmarkStart w:id="13" w:name="_Toc454460675"/>
      <w:bookmarkStart w:id="14" w:name="_Toc469313196"/>
    </w:p>
    <w:p w:rsidR="00647B3C" w:rsidRDefault="009B368F">
      <w:pPr>
        <w:widowControl w:val="0"/>
        <w:spacing w:before="120"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t>Waste management</w:t>
      </w:r>
      <w:bookmarkEnd w:id="13"/>
      <w:bookmarkEnd w:id="14"/>
      <w:r>
        <w:rPr>
          <w:rFonts w:cs="Times New Roman"/>
          <w:b/>
          <w:noProof/>
          <w:color w:val="1F497D" w:themeColor="text2"/>
          <w:sz w:val="24"/>
          <w:lang w:eastAsia="en-GB"/>
        </w:rPr>
        <w:t xml:space="preserve"> </w:t>
      </w:r>
    </w:p>
    <w:p w:rsidR="00647B3C" w:rsidRDefault="009B368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647B3C" w:rsidRDefault="009B368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w:t>
      </w:r>
      <w:r>
        <w:rPr>
          <w:noProof/>
          <w:color w:val="FFFFFF" w:themeColor="background1"/>
          <w:sz w:val="20"/>
        </w:rPr>
        <w:t>implementation of Union waste legislation, which includes the waste hierarchy; the need to ensure separate collection of waste; the landfill diversion targets etc.</w:t>
      </w:r>
    </w:p>
    <w:p w:rsidR="00647B3C" w:rsidRDefault="009B368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647B3C" w:rsidRDefault="009B368F">
      <w:pPr>
        <w:widowControl w:val="0"/>
        <w:shd w:val="clear" w:color="auto" w:fill="4F81BD" w:themeFill="accent1"/>
        <w:spacing w:after="120" w:line="240" w:lineRule="auto"/>
        <w:contextualSpacing/>
        <w:jc w:val="both"/>
        <w:rPr>
          <w:noProof/>
          <w:color w:val="FFFFFF" w:themeColor="background1"/>
          <w:sz w:val="20"/>
        </w:rPr>
      </w:pPr>
      <w:r>
        <w:rPr>
          <w:noProof/>
          <w:color w:val="FFFFFF" w:themeColor="background1"/>
          <w:sz w:val="20"/>
        </w:rPr>
        <w:t>Limiting energy</w:t>
      </w:r>
      <w:r>
        <w:rPr>
          <w:noProof/>
          <w:color w:val="FFFFFF" w:themeColor="background1"/>
          <w:sz w:val="20"/>
        </w:rPr>
        <w:t xml:space="preserve"> recovery to non-recyclable materials and phasing out landfilling of recyclable or recoverable waste.</w:t>
      </w:r>
    </w:p>
    <w:p w:rsidR="00647B3C" w:rsidRDefault="009B368F">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647B3C" w:rsidRDefault="009B368F">
      <w:pPr>
        <w:widowControl w:val="0"/>
        <w:spacing w:before="240" w:after="120" w:line="240" w:lineRule="auto"/>
        <w:jc w:val="both"/>
        <w:rPr>
          <w:rFonts w:cs="Times New Roman"/>
          <w:noProof/>
          <w:sz w:val="20"/>
        </w:rPr>
      </w:pPr>
      <w:r>
        <w:rPr>
          <w:rFonts w:cs="Times New Roman"/>
          <w:noProof/>
          <w:sz w:val="20"/>
        </w:rPr>
        <w:t xml:space="preserve">The EU's approach to waste </w:t>
      </w:r>
      <w:r>
        <w:rPr>
          <w:rFonts w:cs="Times New Roman"/>
          <w:noProof/>
          <w:sz w:val="20"/>
        </w:rPr>
        <w:t>management is based on the "waste hierarchy" which sets out an order of priority when shaping waste policy and managing waste at the operational level: prevention, (preparing for) reuse, recycling, recovery and, as the least preferred option, disposal (whi</w:t>
      </w:r>
      <w:r>
        <w:rPr>
          <w:rFonts w:cs="Times New Roman"/>
          <w:noProof/>
          <w:sz w:val="20"/>
        </w:rPr>
        <w:t>ch includes landfilling and incineration without energy recovery).</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The progress towards reaching recycling targets and the adoption of adequate WMP/WPP should be the key items to measure the performance of Member States. This section focuses on management </w:t>
      </w:r>
      <w:r>
        <w:rPr>
          <w:rFonts w:cs="Times New Roman"/>
          <w:noProof/>
          <w:sz w:val="20"/>
        </w:rPr>
        <w:t>of municipal waste for which EU law sets mandatory recycling targets.</w:t>
      </w:r>
      <w:bookmarkStart w:id="15" w:name="_Toc439678149"/>
    </w:p>
    <w:p w:rsidR="00647B3C" w:rsidRDefault="009B368F">
      <w:pPr>
        <w:widowControl w:val="0"/>
        <w:spacing w:after="120" w:line="240" w:lineRule="auto"/>
        <w:jc w:val="both"/>
        <w:rPr>
          <w:rFonts w:eastAsia="Calibri" w:cs="Times New Roman"/>
          <w:noProof/>
          <w:sz w:val="20"/>
        </w:rPr>
      </w:pPr>
      <w:r>
        <w:rPr>
          <w:rFonts w:cs="Times New Roman"/>
          <w:noProof/>
          <w:sz w:val="20"/>
        </w:rPr>
        <w:t>In 2014, municipal waste generation in Lithuania remained just slightly below the EU average (433 kg/y/inhabitant compared to around 474 kg on average).</w:t>
      </w:r>
      <w:r>
        <w:rPr>
          <w:rFonts w:cs="Times New Roman"/>
          <w:noProof/>
          <w:sz w:val="20"/>
          <w:vertAlign w:val="superscript"/>
        </w:rPr>
        <w:footnoteReference w:id="14"/>
      </w:r>
      <w:r>
        <w:rPr>
          <w:rFonts w:cs="Times New Roman"/>
          <w:noProof/>
          <w:sz w:val="20"/>
        </w:rPr>
        <w:t xml:space="preserve"> </w:t>
      </w:r>
      <w:r>
        <w:rPr>
          <w:rFonts w:eastAsia="Calibri" w:cs="Times New Roman"/>
          <w:noProof/>
          <w:sz w:val="20"/>
        </w:rPr>
        <w:t xml:space="preserve">Figure 3 depicts the municipal </w:t>
      </w:r>
      <w:r>
        <w:rPr>
          <w:rFonts w:eastAsia="Calibri" w:cs="Times New Roman"/>
          <w:noProof/>
          <w:sz w:val="20"/>
        </w:rPr>
        <w:t>waste by treatment in Lithuania in terms of kg per capita.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bookmarkEnd w:id="15"/>
          <w:p w:rsidR="00647B3C" w:rsidRDefault="009B368F">
            <w:pPr>
              <w:widowControl w:val="0"/>
              <w:jc w:val="both"/>
              <w:rPr>
                <w:rFonts w:cs="Times New Roman"/>
                <w:noProof/>
                <w:color w:val="1F497D" w:themeColor="text2"/>
                <w:sz w:val="20"/>
              </w:rPr>
            </w:pPr>
            <w:r>
              <w:rPr>
                <w:rFonts w:cs="Times New Roman"/>
                <w:b/>
                <w:bCs/>
                <w:noProof/>
                <w:color w:val="1F497D" w:themeColor="text2"/>
                <w:sz w:val="20"/>
              </w:rPr>
              <w:t>Figure 3: Municipal waste by treatment in Lithuania 2007-14</w:t>
            </w:r>
            <w:r>
              <w:rPr>
                <w:b/>
                <w:bCs/>
                <w:noProof/>
                <w:color w:val="1F497D" w:themeColor="text2"/>
                <w:sz w:val="20"/>
                <w:vertAlign w:val="superscript"/>
              </w:rPr>
              <w:footnoteReference w:id="15"/>
            </w:r>
          </w:p>
        </w:tc>
      </w:tr>
      <w:tr w:rsidR="00647B3C">
        <w:tc>
          <w:tcPr>
            <w:tcW w:w="4909" w:type="dxa"/>
          </w:tcPr>
          <w:p w:rsidR="00647B3C" w:rsidRDefault="009B368F">
            <w:pPr>
              <w:widowControl w:val="0"/>
              <w:spacing w:after="120"/>
              <w:jc w:val="both"/>
              <w:rPr>
                <w:rFonts w:cs="Times New Roman"/>
                <w:noProof/>
                <w:sz w:val="20"/>
              </w:rPr>
            </w:pPr>
            <w:r>
              <w:rPr>
                <w:rFonts w:cs="Times New Roman"/>
                <w:noProof/>
                <w:sz w:val="20"/>
                <w:lang w:eastAsia="en-GB"/>
              </w:rPr>
              <w:drawing>
                <wp:inline distT="0" distB="0" distL="0" distR="0" wp14:anchorId="06334A79" wp14:editId="78BCBF39">
                  <wp:extent cx="3052254" cy="262624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055404" cy="2628952"/>
                          </a:xfrm>
                          <a:prstGeom prst="rect">
                            <a:avLst/>
                          </a:prstGeom>
                        </pic:spPr>
                      </pic:pic>
                    </a:graphicData>
                  </a:graphic>
                </wp:inline>
              </w:drawing>
            </w:r>
          </w:p>
        </w:tc>
      </w:tr>
    </w:tbl>
    <w:p w:rsidR="00647B3C" w:rsidRDefault="009B368F">
      <w:pPr>
        <w:widowControl w:val="0"/>
        <w:spacing w:after="120" w:line="240" w:lineRule="auto"/>
        <w:jc w:val="both"/>
        <w:rPr>
          <w:rFonts w:cs="Times New Roman"/>
          <w:noProof/>
          <w:sz w:val="20"/>
        </w:rPr>
      </w:pPr>
      <w:r>
        <w:rPr>
          <w:rFonts w:cs="Times New Roman"/>
          <w:noProof/>
          <w:sz w:val="20"/>
        </w:rPr>
        <w:t xml:space="preserve">Although in 2014, Lithuania decreased the amounts of municipal waste landfilled compared to 2013 (64% in 2013, 60% in 2014), it was </w:t>
      </w:r>
      <w:r>
        <w:rPr>
          <w:rFonts w:cs="Times New Roman"/>
          <w:noProof/>
          <w:sz w:val="20"/>
        </w:rPr>
        <w:t>still significantly above the EU average of 28%. Disposal in landfills remained Lithuania's main treatment option of municipal waste. Composting has increased from 8% in 2013 to 10% in 2014 (EU average 16% in 2014).</w:t>
      </w:r>
    </w:p>
    <w:p w:rsidR="00647B3C" w:rsidRDefault="009B368F">
      <w:pPr>
        <w:widowControl w:val="0"/>
        <w:spacing w:after="120" w:line="240" w:lineRule="auto"/>
        <w:jc w:val="both"/>
        <w:rPr>
          <w:rFonts w:cs="Times New Roman"/>
          <w:noProof/>
          <w:sz w:val="20"/>
        </w:rPr>
      </w:pPr>
      <w:r>
        <w:rPr>
          <w:rFonts w:cs="Times New Roman"/>
          <w:noProof/>
          <w:sz w:val="20"/>
        </w:rPr>
        <w:t>Even though in 2014 recycling of municip</w:t>
      </w:r>
      <w:r>
        <w:rPr>
          <w:rFonts w:cs="Times New Roman"/>
          <w:noProof/>
          <w:sz w:val="20"/>
        </w:rPr>
        <w:t>al waste at 31% has slightly increased compared to the year before (EU average 44% in 2014), this stagnation puts Lithuania at risk of not meeting the 50% recycling target by 2020 as shown in Figure 4.</w:t>
      </w:r>
      <w:r>
        <w:rPr>
          <w:rFonts w:cs="Times New Roman"/>
          <w:noProof/>
          <w:sz w:val="20"/>
          <w:vertAlign w:val="superscript"/>
        </w:rPr>
        <w:footnoteReference w:id="16"/>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p w:rsidR="00647B3C" w:rsidRDefault="009B368F">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17"/>
            </w:r>
          </w:p>
        </w:tc>
      </w:tr>
      <w:tr w:rsidR="00647B3C">
        <w:tc>
          <w:tcPr>
            <w:tcW w:w="4909" w:type="dxa"/>
          </w:tcPr>
          <w:p w:rsidR="00647B3C" w:rsidRDefault="009B368F">
            <w:pPr>
              <w:widowControl w:val="0"/>
              <w:spacing w:after="120"/>
              <w:jc w:val="both"/>
              <w:rPr>
                <w:rFonts w:cs="Times New Roman"/>
                <w:noProof/>
                <w:sz w:val="20"/>
              </w:rPr>
            </w:pPr>
            <w:r>
              <w:rPr>
                <w:rFonts w:cs="Times New Roman"/>
                <w:noProof/>
                <w:sz w:val="20"/>
                <w:lang w:eastAsia="en-GB"/>
              </w:rPr>
              <w:drawing>
                <wp:inline distT="0" distB="0" distL="0" distR="0" wp14:anchorId="7C00E18B" wp14:editId="48D98AA8">
                  <wp:extent cx="3037377" cy="25199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0118" cy="2522190"/>
                          </a:xfrm>
                          <a:prstGeom prst="rect">
                            <a:avLst/>
                          </a:prstGeom>
                          <a:noFill/>
                        </pic:spPr>
                      </pic:pic>
                    </a:graphicData>
                  </a:graphic>
                </wp:inline>
              </w:drawing>
            </w:r>
          </w:p>
        </w:tc>
      </w:tr>
    </w:tbl>
    <w:p w:rsidR="00647B3C" w:rsidRDefault="009B368F">
      <w:pPr>
        <w:widowControl w:val="0"/>
        <w:spacing w:before="120" w:after="120" w:line="240" w:lineRule="auto"/>
        <w:jc w:val="both"/>
        <w:rPr>
          <w:rFonts w:cs="Times New Roman"/>
          <w:noProof/>
          <w:sz w:val="20"/>
        </w:rPr>
      </w:pPr>
      <w:r>
        <w:rPr>
          <w:rFonts w:cs="Times New Roman"/>
          <w:noProof/>
          <w:sz w:val="20"/>
        </w:rPr>
        <w:t xml:space="preserve">Lithuania has not fulfilled the 2010 target for biodegradable waste diversion from landfills (to no more than 85% of 1995 level). Nevertheless, Lithuania has reduced the amount of biodegradable municipal waste going to landfill to 55% by 2012. </w:t>
      </w:r>
    </w:p>
    <w:p w:rsidR="00647B3C" w:rsidRDefault="009B368F">
      <w:pPr>
        <w:widowControl w:val="0"/>
        <w:spacing w:after="120" w:line="240" w:lineRule="auto"/>
        <w:jc w:val="both"/>
        <w:rPr>
          <w:rFonts w:cs="Times New Roman"/>
          <w:noProof/>
          <w:sz w:val="20"/>
        </w:rPr>
      </w:pPr>
      <w:r>
        <w:rPr>
          <w:rFonts w:cs="Times New Roman"/>
          <w:noProof/>
          <w:sz w:val="20"/>
        </w:rPr>
        <w:t>Lithua</w:t>
      </w:r>
      <w:r>
        <w:rPr>
          <w:rFonts w:cs="Times New Roman"/>
          <w:noProof/>
          <w:sz w:val="20"/>
        </w:rPr>
        <w:t xml:space="preserve">nia met the packaging waste recycling target in 2012. However, in 2013 the recycling rate decreased from 62.2% in 2012 to 53.5% in 2013 placing it below the target of 55%. </w:t>
      </w:r>
      <w:r>
        <w:rPr>
          <w:rFonts w:eastAsia="Calibri" w:cs="Times New Roman"/>
          <w:noProof/>
          <w:sz w:val="20"/>
        </w:rPr>
        <w:t>In order to help bridge the implementation gap in Lithuania, the Commission has deli</w:t>
      </w:r>
      <w:r>
        <w:rPr>
          <w:rFonts w:eastAsia="Calibri" w:cs="Times New Roman"/>
          <w:noProof/>
          <w:sz w:val="20"/>
        </w:rPr>
        <w:t>vered a roadmap for Lithuania</w:t>
      </w:r>
      <w:r>
        <w:rPr>
          <w:rFonts w:cs="Times New Roman"/>
          <w:noProof/>
          <w:sz w:val="20"/>
          <w:vertAlign w:val="superscript"/>
        </w:rPr>
        <w:footnoteReference w:id="18"/>
      </w:r>
      <w:r>
        <w:rPr>
          <w:rFonts w:eastAsia="Calibri" w:cs="Times New Roman"/>
          <w:noProof/>
          <w:sz w:val="20"/>
        </w:rPr>
        <w:t xml:space="preserve"> for compliance in which economic instruments play a crucial role.</w:t>
      </w:r>
    </w:p>
    <w:p w:rsidR="00647B3C" w:rsidRDefault="009B368F">
      <w:pPr>
        <w:widowControl w:val="0"/>
        <w:spacing w:before="120" w:after="120" w:line="240" w:lineRule="auto"/>
        <w:jc w:val="both"/>
        <w:rPr>
          <w:rFonts w:cs="Times New Roman"/>
          <w:noProof/>
          <w:sz w:val="20"/>
        </w:rPr>
      </w:pPr>
      <w:r>
        <w:rPr>
          <w:rFonts w:cs="Times New Roman"/>
          <w:noProof/>
          <w:sz w:val="20"/>
        </w:rPr>
        <w:t>Managing waste efficiently and reaching the 2020 recycling target of 50% remains a challenge in Lithuania. Comparing to the previous year, waste management has</w:t>
      </w:r>
      <w:r>
        <w:rPr>
          <w:rFonts w:cs="Times New Roman"/>
          <w:noProof/>
          <w:sz w:val="20"/>
        </w:rPr>
        <w:t xml:space="preserve"> improved; however, further investments in separate collection and recycling will be needed in Lithuania in order to reach the 2020 recycling target.</w:t>
      </w:r>
    </w:p>
    <w:p w:rsidR="00647B3C" w:rsidRDefault="009B368F">
      <w:pPr>
        <w:widowControl w:val="0"/>
        <w:spacing w:after="120" w:line="240" w:lineRule="auto"/>
        <w:jc w:val="both"/>
        <w:rPr>
          <w:rFonts w:cs="Times New Roman"/>
          <w:noProof/>
          <w:sz w:val="20"/>
        </w:rPr>
      </w:pPr>
      <w:r>
        <w:rPr>
          <w:rFonts w:cs="Times New Roman"/>
          <w:noProof/>
          <w:sz w:val="20"/>
        </w:rPr>
        <w:t xml:space="preserve">In 2014, Lithuania adopted its National Waste Management Plan 2014-2020 (last amendment in June 2016) and </w:t>
      </w:r>
      <w:r>
        <w:rPr>
          <w:rFonts w:cs="Times New Roman"/>
          <w:noProof/>
          <w:sz w:val="20"/>
        </w:rPr>
        <w:t xml:space="preserve">in 2013 the National Waste Prevention Programme. </w:t>
      </w:r>
    </w:p>
    <w:p w:rsidR="00647B3C" w:rsidRDefault="009B368F">
      <w:pPr>
        <w:widowControl w:val="0"/>
        <w:spacing w:before="120" w:after="120" w:line="240" w:lineRule="auto"/>
        <w:jc w:val="both"/>
        <w:rPr>
          <w:rFonts w:cs="Times New Roman"/>
          <w:noProof/>
          <w:sz w:val="20"/>
        </w:rPr>
      </w:pPr>
      <w:r>
        <w:rPr>
          <w:rFonts w:cs="Times New Roman"/>
          <w:noProof/>
          <w:sz w:val="20"/>
        </w:rPr>
        <w:t>Furthermore, in June 2016 Lithuania amended its Waste management plan including two new Combined Heat and Power plant (CHP) in Vilnius and/or in Kaunas with a combined incineration capacity of municipal was</w:t>
      </w:r>
      <w:r>
        <w:rPr>
          <w:rFonts w:cs="Times New Roman"/>
          <w:noProof/>
          <w:sz w:val="20"/>
        </w:rPr>
        <w:t>te of 360,000 t/y. The construction of two additional CHPs is likely to lead to municipal waste incineration overcapacity. Lithuania plans to incinerate 30% of its municipal waste.</w:t>
      </w:r>
    </w:p>
    <w:p w:rsidR="00647B3C" w:rsidRDefault="009B368F">
      <w:pPr>
        <w:widowControl w:val="0"/>
        <w:spacing w:before="120" w:after="120" w:line="240" w:lineRule="auto"/>
        <w:jc w:val="both"/>
        <w:rPr>
          <w:rFonts w:cs="Times New Roman"/>
          <w:noProof/>
          <w:sz w:val="20"/>
        </w:rPr>
      </w:pPr>
      <w:r>
        <w:rPr>
          <w:rFonts w:cs="Times New Roman"/>
          <w:noProof/>
          <w:sz w:val="20"/>
        </w:rPr>
        <w:t>However, this calculation includes the 'stocks' of refuse-derived fuel to b</w:t>
      </w:r>
      <w:r>
        <w:rPr>
          <w:rFonts w:cs="Times New Roman"/>
          <w:noProof/>
          <w:sz w:val="20"/>
        </w:rPr>
        <w:t>e cumulated over the next several years (equivalent to 100,000 t/y in terms of capacity) and packaging waste (60,000 t/y).</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In the light of the on-going review of the recycling targets and landfill restrictions for municipal waste (COM(2015)595, 594) – 65% </w:t>
      </w:r>
      <w:r>
        <w:rPr>
          <w:rFonts w:cs="Times New Roman"/>
          <w:noProof/>
          <w:sz w:val="20"/>
        </w:rPr>
        <w:t>recycling target for 2030 and possible upwards review of the targets by 2025 and a landfill restriction to 10% for 2030 – the Commission services consider that the optimal incineration capacity in a country is 20-25% of municipal waste generated. Incinerat</w:t>
      </w:r>
      <w:r>
        <w:rPr>
          <w:rFonts w:cs="Times New Roman"/>
          <w:noProof/>
          <w:sz w:val="20"/>
        </w:rPr>
        <w:t>ion capacity in excess of this is likely to further hinder Lithuania from meeting the 50% recycling target in 2020 and future increase of that target level.</w:t>
      </w:r>
    </w:p>
    <w:p w:rsidR="00647B3C" w:rsidRDefault="009B368F">
      <w:pPr>
        <w:widowControl w:val="0"/>
        <w:spacing w:before="120" w:after="120" w:line="240" w:lineRule="auto"/>
        <w:jc w:val="both"/>
        <w:rPr>
          <w:rFonts w:cs="Times New Roman"/>
          <w:noProof/>
          <w:sz w:val="20"/>
        </w:rPr>
      </w:pPr>
      <w:r>
        <w:rPr>
          <w:rFonts w:cs="Times New Roman"/>
          <w:noProof/>
          <w:sz w:val="20"/>
        </w:rPr>
        <w:t>Full implementation of the existing legislation could create more than 5200 jobs in Lithuania and i</w:t>
      </w:r>
      <w:r>
        <w:rPr>
          <w:rFonts w:cs="Times New Roman"/>
          <w:noProof/>
          <w:sz w:val="20"/>
        </w:rPr>
        <w:t>ncrease the annual turnover of the waste sector by EUR 550 million. Moving towards the targets of the Roadmap on resource efficiency could create over 3000 additional jobs and increase the annual turnover of the waste sector by over EUR 630 million.</w:t>
      </w:r>
      <w:r>
        <w:rPr>
          <w:rFonts w:eastAsia="Calibri" w:cs="Times New Roman"/>
          <w:noProof/>
          <w:sz w:val="20"/>
          <w:vertAlign w:val="superscript"/>
        </w:rPr>
        <w:footnoteReference w:id="19"/>
      </w:r>
    </w:p>
    <w:p w:rsidR="00647B3C" w:rsidRDefault="009B368F">
      <w:pPr>
        <w:widowControl w:val="0"/>
        <w:spacing w:before="120" w:after="120" w:line="240" w:lineRule="auto"/>
        <w:jc w:val="both"/>
        <w:rPr>
          <w:rFonts w:cs="Times New Roman"/>
          <w:noProof/>
          <w:sz w:val="20"/>
        </w:rPr>
      </w:pPr>
      <w:r>
        <w:rPr>
          <w:rFonts w:cs="Times New Roman"/>
          <w:noProof/>
          <w:sz w:val="20"/>
        </w:rPr>
        <w:t>EU st</w:t>
      </w:r>
      <w:r>
        <w:rPr>
          <w:rFonts w:cs="Times New Roman"/>
          <w:noProof/>
          <w:sz w:val="20"/>
        </w:rPr>
        <w:t>ructural and investment funds are an important source of funding for improved waste management system in Lithuania. In 2007-2013 190 million EUR were invested into waste management projects, including construction of 9 regional mechanical and biological wa</w:t>
      </w:r>
      <w:r>
        <w:rPr>
          <w:rFonts w:cs="Times New Roman"/>
          <w:noProof/>
          <w:sz w:val="20"/>
        </w:rPr>
        <w:t xml:space="preserve">ste treatment plants, remediation of 340 old landfills/dumpsites, construction of numerous bulky waste collection and green waste composting sites, extension of separate waste collection system (210 000 containers for recyclable and biodegradable waste). </w:t>
      </w:r>
    </w:p>
    <w:p w:rsidR="00647B3C" w:rsidRDefault="009B368F">
      <w:pPr>
        <w:widowControl w:val="0"/>
        <w:spacing w:before="120" w:after="120" w:line="240" w:lineRule="auto"/>
        <w:jc w:val="both"/>
        <w:rPr>
          <w:rFonts w:cs="Times New Roman"/>
          <w:noProof/>
          <w:sz w:val="20"/>
        </w:rPr>
      </w:pPr>
      <w:r>
        <w:rPr>
          <w:rFonts w:cs="Times New Roman"/>
          <w:noProof/>
          <w:sz w:val="20"/>
        </w:rPr>
        <w:t>In the 2014-2020 period 87,2 million EUR investment from the Cohesion Fund is planned to support further development of the separate collection of waste, modernisation of capacities to prepare waste for recycling, reuse or other recovery (sorting lines, ot</w:t>
      </w:r>
      <w:r>
        <w:rPr>
          <w:rFonts w:cs="Times New Roman"/>
          <w:noProof/>
          <w:sz w:val="20"/>
        </w:rPr>
        <w:t>her equipment), and modernisation of the waste management information system and monitoring.</w:t>
      </w:r>
    </w:p>
    <w:p w:rsidR="00647B3C" w:rsidRDefault="009B368F">
      <w:pPr>
        <w:widowControl w:val="0"/>
        <w:spacing w:before="120" w:after="120" w:line="240" w:lineRule="auto"/>
        <w:jc w:val="both"/>
        <w:rPr>
          <w:rFonts w:cs="Times New Roman"/>
          <w:bCs/>
          <w:noProof/>
          <w:color w:val="1F497D" w:themeColor="text2"/>
        </w:rPr>
      </w:pPr>
      <w:r>
        <w:rPr>
          <w:rFonts w:cs="Times New Roman"/>
          <w:bCs/>
          <w:noProof/>
          <w:color w:val="1F497D" w:themeColor="text2"/>
        </w:rPr>
        <w:t>Suggested action</w:t>
      </w:r>
    </w:p>
    <w:p w:rsidR="00647B3C" w:rsidRDefault="009B368F">
      <w:pPr>
        <w:pStyle w:val="NoSpacing"/>
        <w:rPr>
          <w:noProof/>
        </w:rPr>
      </w:pPr>
      <w:r>
        <w:rPr>
          <w:noProof/>
        </w:rPr>
        <w:t xml:space="preserve">Gradually increase landfill taxes to phase-out landfilling of recyclable and recoverable waste. Use the revenues to support the separate </w:t>
      </w:r>
      <w:r>
        <w:rPr>
          <w:noProof/>
        </w:rPr>
        <w:t>collection and alternative infrastructure in conjunction with a better allocation of the cohesion policy funds to the first steps of waste hierarchy. Avoid building excessive infrastructure for the treatment of residual waste (the existing incinerating fac</w:t>
      </w:r>
      <w:r>
        <w:rPr>
          <w:noProof/>
        </w:rPr>
        <w:t>ilities could treat approximately 30% of municipal waste.).</w:t>
      </w:r>
    </w:p>
    <w:p w:rsidR="00647B3C" w:rsidRDefault="009B368F">
      <w:pPr>
        <w:pStyle w:val="NoSpacing"/>
        <w:rPr>
          <w:noProof/>
        </w:rPr>
      </w:pPr>
      <w:r>
        <w:rPr>
          <w:noProof/>
        </w:rPr>
        <w:t>Focus more effort on implementation of the separate collection obligation to increase recycling rates. Use the economic instruments (e.g. PAYT) to support transition towards more recycling.</w:t>
      </w:r>
    </w:p>
    <w:p w:rsidR="00647B3C" w:rsidRDefault="009B368F">
      <w:pPr>
        <w:widowControl w:val="0"/>
        <w:spacing w:before="120" w:after="120" w:line="240" w:lineRule="auto"/>
        <w:jc w:val="both"/>
        <w:rPr>
          <w:rFonts w:cs="Times New Roman"/>
          <w:noProof/>
          <w:color w:val="FF0000"/>
          <w:sz w:val="20"/>
        </w:rPr>
      </w:pPr>
      <w:r>
        <w:rPr>
          <w:rFonts w:cs="Times New Roman"/>
          <w:noProof/>
          <w:color w:val="FF0000"/>
          <w:sz w:val="20"/>
        </w:rPr>
        <w:br w:type="page"/>
      </w:r>
    </w:p>
    <w:p w:rsidR="00647B3C" w:rsidRDefault="00647B3C">
      <w:pPr>
        <w:widowControl w:val="0"/>
        <w:spacing w:after="120" w:line="240" w:lineRule="auto"/>
        <w:contextualSpacing/>
        <w:jc w:val="both"/>
        <w:rPr>
          <w:rFonts w:cs="Times New Roman"/>
          <w:noProof/>
          <w:sz w:val="20"/>
        </w:rPr>
        <w:sectPr w:rsidR="00647B3C">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num="2" w:space="360"/>
          <w:docGrid w:linePitch="360"/>
        </w:sectPr>
      </w:pPr>
    </w:p>
    <w:p w:rsidR="00647B3C" w:rsidRDefault="009B368F">
      <w:pPr>
        <w:widowControl w:val="0"/>
        <w:numPr>
          <w:ilvl w:val="0"/>
          <w:numId w:val="27"/>
        </w:numPr>
        <w:spacing w:after="0" w:line="240" w:lineRule="auto"/>
        <w:jc w:val="center"/>
        <w:outlineLvl w:val="0"/>
        <w:rPr>
          <w:rFonts w:cstheme="majorBidi"/>
          <w:b/>
          <w:bCs/>
          <w:noProof/>
          <w:color w:val="1F497D" w:themeColor="text2"/>
          <w:sz w:val="32"/>
          <w:szCs w:val="28"/>
        </w:rPr>
      </w:pPr>
      <w:bookmarkStart w:id="16" w:name="_Toc433296159"/>
      <w:bookmarkStart w:id="17" w:name="_Toc469313197"/>
      <w:r>
        <w:rPr>
          <w:rFonts w:cstheme="majorBidi"/>
          <w:b/>
          <w:bCs/>
          <w:noProof/>
          <w:color w:val="1F497D" w:themeColor="text2"/>
          <w:sz w:val="32"/>
          <w:szCs w:val="28"/>
        </w:rPr>
        <w:t>Protecting, conserving and enhancing natural capital</w:t>
      </w:r>
      <w:bookmarkStart w:id="18" w:name="_Toc432413878"/>
      <w:bookmarkEnd w:id="16"/>
      <w:bookmarkEnd w:id="17"/>
      <w:bookmarkEnd w:id="18"/>
    </w:p>
    <w:p w:rsidR="00647B3C" w:rsidRDefault="00647B3C">
      <w:pPr>
        <w:widowControl w:val="0"/>
        <w:spacing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sectPr w:rsidR="00647B3C">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40" w:right="1080" w:bottom="1440" w:left="1080" w:header="708" w:footer="708" w:gutter="0"/>
          <w:cols w:space="566"/>
          <w:docGrid w:linePitch="360"/>
        </w:sectPr>
      </w:pPr>
    </w:p>
    <w:p w:rsidR="00647B3C" w:rsidRDefault="009B368F">
      <w:pPr>
        <w:widowControl w:val="0"/>
        <w:spacing w:before="120" w:after="120" w:line="240" w:lineRule="auto"/>
        <w:outlineLvl w:val="1"/>
        <w:rPr>
          <w:rFonts w:cs="Times New Roman"/>
          <w:b/>
          <w:noProof/>
          <w:color w:val="1F497D" w:themeColor="text2"/>
          <w:sz w:val="24"/>
          <w:lang w:eastAsia="en-GB"/>
        </w:rPr>
      </w:pPr>
      <w:bookmarkStart w:id="19" w:name="_Toc454460677"/>
      <w:bookmarkStart w:id="20" w:name="_Toc469313198"/>
      <w:r>
        <w:rPr>
          <w:rFonts w:cs="Times New Roman"/>
          <w:b/>
          <w:noProof/>
          <w:color w:val="1F497D" w:themeColor="text2"/>
          <w:sz w:val="24"/>
          <w:lang w:eastAsia="en-GB"/>
        </w:rPr>
        <w:t>Nature and Biodiversity</w:t>
      </w:r>
      <w:bookmarkEnd w:id="19"/>
      <w:bookmarkEnd w:id="20"/>
      <w:r>
        <w:rPr>
          <w:rFonts w:cs="Times New Roman"/>
          <w:b/>
          <w:noProof/>
          <w:color w:val="1F497D" w:themeColor="text2"/>
          <w:sz w:val="24"/>
          <w:lang w:eastAsia="en-GB"/>
        </w:rPr>
        <w:t xml:space="preserve"> </w:t>
      </w:r>
    </w:p>
    <w:p w:rsidR="00647B3C" w:rsidRDefault="009B368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647B3C" w:rsidRDefault="009B368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647B3C" w:rsidRDefault="009B368F">
      <w:pPr>
        <w:widowControl w:val="0"/>
        <w:spacing w:after="120" w:line="240" w:lineRule="auto"/>
        <w:jc w:val="both"/>
        <w:rPr>
          <w:rFonts w:cs="Times New Roman"/>
          <w:bCs/>
          <w:noProof/>
          <w:sz w:val="20"/>
          <w:szCs w:val="20"/>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rPr>
        <w:t xml:space="preserve"> to ensure the </w:t>
      </w:r>
      <w:r>
        <w:rPr>
          <w:rFonts w:cs="Times New Roman"/>
          <w:bCs/>
          <w:noProof/>
          <w:sz w:val="20"/>
        </w:rPr>
        <w:t>long-term protection, conservation and survival of Eu</w:t>
      </w:r>
      <w:r>
        <w:rPr>
          <w:rFonts w:cs="Times New Roman"/>
          <w:bCs/>
          <w:noProof/>
          <w:sz w:val="20"/>
        </w:rPr>
        <w:t>rope's most valuable and threatened species and habitats</w:t>
      </w:r>
      <w:r>
        <w:rPr>
          <w:rFonts w:cs="Times New Roman"/>
          <w:bCs/>
          <w:noProof/>
          <w:sz w:val="20"/>
          <w:szCs w:val="20"/>
        </w:rPr>
        <w:t xml:space="preserve"> and the ecosystems they underpin.</w:t>
      </w:r>
    </w:p>
    <w:p w:rsidR="00647B3C" w:rsidRDefault="009B368F">
      <w:pPr>
        <w:widowControl w:val="0"/>
        <w:spacing w:after="120" w:line="240" w:lineRule="auto"/>
        <w:jc w:val="both"/>
        <w:rPr>
          <w:rFonts w:cs="Times New Roman"/>
          <w:noProof/>
          <w:sz w:val="20"/>
        </w:rPr>
      </w:pPr>
      <w:r>
        <w:rPr>
          <w:rFonts w:cs="Times New Roman"/>
          <w:noProof/>
          <w:sz w:val="20"/>
        </w:rPr>
        <w:t xml:space="preserve">The adequate designation of protected sites as Special Ares of Conservation (SAC) under the Habitats Directive and as Special Protection Areas (SPA) under the Birds </w:t>
      </w:r>
      <w:r>
        <w:rPr>
          <w:rFonts w:cs="Times New Roman"/>
          <w:noProof/>
          <w:sz w:val="20"/>
        </w:rPr>
        <w:t xml:space="preserve">Directive is a key milestone towards meeting the objectives of the Directives. 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0"/>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By early 2016, 12.16% of the national land area of Lithuania is covered by Natura 2000 (EU average 18.1%), with Birds Directive SPAs covering 8.47% (EU average </w:t>
      </w:r>
      <w:r>
        <w:rPr>
          <w:rFonts w:cs="Times New Roman"/>
          <w:noProof/>
          <w:sz w:val="20"/>
        </w:rPr>
        <w:t xml:space="preserve">12.3%) and Habitats Directive SCIs covering 9.40% (EU average 13.8%). The list of SPAs in Lithuania comprises 83 sites covering a total area of over 626 000 ha, while the list of SCIs consists of 410 sites covering 667 000 ha. The area of overlapping SPAs </w:t>
      </w:r>
      <w:r>
        <w:rPr>
          <w:rFonts w:cs="Times New Roman"/>
          <w:noProof/>
          <w:sz w:val="20"/>
        </w:rPr>
        <w:t>and SCIs is about 385 000 ha. With the establishment of the last marine SPA in July 2015 Lithuanian network of SPAs is being considered as completed. However, the latest assessment</w:t>
      </w:r>
      <w:r>
        <w:rPr>
          <w:rFonts w:cs="Times New Roman"/>
          <w:noProof/>
          <w:sz w:val="20"/>
          <w:szCs w:val="20"/>
          <w:vertAlign w:val="superscript"/>
        </w:rPr>
        <w:footnoteReference w:id="21"/>
      </w:r>
      <w:r>
        <w:rPr>
          <w:rFonts w:cs="Times New Roman"/>
          <w:noProof/>
          <w:sz w:val="20"/>
        </w:rPr>
        <w:t xml:space="preserve"> of the SCIs part of the Natura 2000 network shows that there are insuffici</w:t>
      </w:r>
      <w:r>
        <w:rPr>
          <w:rFonts w:cs="Times New Roman"/>
          <w:noProof/>
          <w:sz w:val="20"/>
        </w:rPr>
        <w:t>encies in designation as shown in Figure 5</w:t>
      </w:r>
      <w:r>
        <w:rPr>
          <w:rStyle w:val="FootnoteReference"/>
          <w:rFonts w:cs="Times New Roman"/>
          <w:noProof/>
          <w:sz w:val="20"/>
        </w:rPr>
        <w:footnoteReference w:id="22"/>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p w:rsidR="00647B3C" w:rsidRDefault="009B368F">
            <w:pPr>
              <w:widowControl w:val="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Lithuania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3"/>
            </w:r>
            <w:r>
              <w:rPr>
                <w:rFonts w:cs="Times New Roman"/>
                <w:b/>
                <w:bCs/>
                <w:noProof/>
                <w:color w:val="1F497D" w:themeColor="text2"/>
                <w:sz w:val="20"/>
              </w:rPr>
              <w:t xml:space="preserve"> </w:t>
            </w:r>
          </w:p>
        </w:tc>
      </w:tr>
      <w:tr w:rsidR="00647B3C">
        <w:tc>
          <w:tcPr>
            <w:tcW w:w="4909" w:type="dxa"/>
          </w:tcPr>
          <w:p w:rsidR="00647B3C" w:rsidRDefault="009B368F">
            <w:pPr>
              <w:widowControl w:val="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5CA91DEE" wp14:editId="5EEE1790">
                  <wp:simplePos x="3891280" y="3338195"/>
                  <wp:positionH relativeFrom="margin">
                    <wp:align>center</wp:align>
                  </wp:positionH>
                  <wp:positionV relativeFrom="margin">
                    <wp:align>top</wp:align>
                  </wp:positionV>
                  <wp:extent cx="2597150" cy="269938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647B3C" w:rsidRDefault="009B368F">
      <w:pPr>
        <w:widowControl w:val="0"/>
        <w:spacing w:after="120" w:line="240" w:lineRule="auto"/>
        <w:jc w:val="both"/>
        <w:rPr>
          <w:rFonts w:cs="Times New Roman"/>
          <w:noProof/>
          <w:sz w:val="20"/>
          <w:szCs w:val="20"/>
        </w:rPr>
      </w:pPr>
      <w:r>
        <w:rPr>
          <w:rFonts w:cs="Times New Roman"/>
          <w:noProof/>
          <w:sz w:val="20"/>
          <w:szCs w:val="20"/>
        </w:rPr>
        <w:t>Between 2011-2015 Lithuania carried out a national habitat inventory with a view to determine t</w:t>
      </w:r>
      <w:r>
        <w:rPr>
          <w:rFonts w:cs="Times New Roman"/>
          <w:noProof/>
          <w:sz w:val="20"/>
          <w:szCs w:val="20"/>
        </w:rPr>
        <w:t>he exact localization of natural habitats and also to collect the necessary data needed for establishing favourable reference values and the relevant conservation objectives for each habitat type. Preliminary results of the exercise strongly suggest that t</w:t>
      </w:r>
      <w:r>
        <w:rPr>
          <w:rFonts w:cs="Times New Roman"/>
          <w:noProof/>
          <w:sz w:val="20"/>
          <w:szCs w:val="20"/>
        </w:rPr>
        <w:t xml:space="preserve">he information on the present SCI’s will have to be substantially reviewed as to reflect the current reality. Furthermore, it also points to the idea that the current SCI network might be incomplete for some habitat types and species.     </w:t>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Nevertheless, de</w:t>
      </w:r>
      <w:r>
        <w:rPr>
          <w:rFonts w:cs="Times New Roman"/>
          <w:noProof/>
          <w:sz w:val="20"/>
          <w:szCs w:val="20"/>
        </w:rPr>
        <w:t>spite the uncertainties, species conservation plans and management plans of protected areas continue being developed in Lithuania according to the requirements of the European legislation. At present, there are 82 management plans for Natura 2000 sites ado</w:t>
      </w:r>
      <w:r>
        <w:rPr>
          <w:rFonts w:cs="Times New Roman"/>
          <w:noProof/>
          <w:sz w:val="20"/>
          <w:szCs w:val="20"/>
        </w:rPr>
        <w:t>pted, and 143 in preparation at different stages of development. As pointed out in the last Habitat Directive Article 17</w:t>
      </w:r>
      <w:r>
        <w:rPr>
          <w:rFonts w:cs="Times New Roman"/>
          <w:noProof/>
          <w:sz w:val="20"/>
          <w:szCs w:val="20"/>
          <w:vertAlign w:val="superscript"/>
        </w:rPr>
        <w:footnoteReference w:id="24"/>
      </w:r>
      <w:r>
        <w:rPr>
          <w:rFonts w:cs="Times New Roman"/>
          <w:noProof/>
          <w:sz w:val="20"/>
          <w:szCs w:val="20"/>
        </w:rPr>
        <w:t xml:space="preserve"> Report, the main identified difficulties for implementation of the required nature management activities over the Natura 2000 network </w:t>
      </w:r>
      <w:r>
        <w:rPr>
          <w:rFonts w:cs="Times New Roman"/>
          <w:noProof/>
          <w:sz w:val="20"/>
          <w:szCs w:val="20"/>
        </w:rPr>
        <w:t xml:space="preserve">in Lithuania are the lack of financial resources for the funding of surveillance of species and habitats as well as for activities related to habitat restoration and maintenance. </w:t>
      </w:r>
    </w:p>
    <w:p w:rsidR="00647B3C" w:rsidRDefault="009B368F">
      <w:pPr>
        <w:widowControl w:val="0"/>
        <w:spacing w:before="120" w:after="120" w:line="240" w:lineRule="auto"/>
        <w:jc w:val="center"/>
        <w:rPr>
          <w:rFonts w:cs="Times New Roman"/>
          <w:noProof/>
          <w:sz w:val="20"/>
          <w:szCs w:val="20"/>
        </w:rPr>
      </w:pPr>
      <w:r>
        <w:rPr>
          <w:rFonts w:cs="Times New Roman"/>
          <w:noProof/>
          <w:sz w:val="20"/>
          <w:szCs w:val="20"/>
          <w:lang w:eastAsia="en-GB"/>
        </w:rPr>
        <w:drawing>
          <wp:inline distT="0" distB="0" distL="0" distR="0" wp14:anchorId="6F0AE2ED" wp14:editId="0FB0825B">
            <wp:extent cx="2939586" cy="4441371"/>
            <wp:effectExtent l="0" t="0" r="0" b="0"/>
            <wp:docPr id="2" name="Picture 2" descr="P:\ENV-E2\1. ENV IMPLEMENTATION REVIEW\EIR Data management\Pictures\remaining pictures istock\clean\LT wild cat iStock-47556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V-E2\1. ENV IMPLEMENTATION REVIEW\EIR Data management\Pictures\remaining pictures istock\clean\LT wild cat iStock-4755688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9781" cy="4441665"/>
                    </a:xfrm>
                    <a:prstGeom prst="rect">
                      <a:avLst/>
                    </a:prstGeom>
                    <a:noFill/>
                    <a:ln>
                      <a:noFill/>
                    </a:ln>
                  </pic:spPr>
                </pic:pic>
              </a:graphicData>
            </a:graphic>
          </wp:inline>
        </w:drawing>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Conflicts between commercial agricultural or forestry activities and the particular management of the land for nature protection needs represent a serious limiting factor. This is especially where specific pastures or forest conditions are no longer econom</w:t>
      </w:r>
      <w:r>
        <w:rPr>
          <w:rFonts w:cs="Times New Roman"/>
          <w:noProof/>
          <w:sz w:val="20"/>
          <w:szCs w:val="20"/>
        </w:rPr>
        <w:t xml:space="preserve">ically profitable. The grassland habitats in need of protection under Natura 2000 are the weakest links of the network in Lithuania. </w:t>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The Prioritised Action Framework is expected to provide tools to mitigate some of those critical cases of deterioration of</w:t>
      </w:r>
      <w:r>
        <w:rPr>
          <w:rFonts w:cs="Times New Roman"/>
          <w:noProof/>
          <w:sz w:val="20"/>
          <w:szCs w:val="20"/>
        </w:rPr>
        <w:t xml:space="preserve"> habitats generated by now obsolete agricultural practices through a better focused allocation of financial resources. Nevertheless, it is unlikely that the PAF alone will solve the sustainability concerns of the grassland habitats.</w:t>
      </w:r>
    </w:p>
    <w:p w:rsidR="00647B3C" w:rsidRDefault="009B368F">
      <w:pPr>
        <w:widowControl w:val="0"/>
        <w:spacing w:after="120" w:line="240" w:lineRule="auto"/>
        <w:jc w:val="both"/>
        <w:rPr>
          <w:rFonts w:cs="Times New Roman"/>
          <w:noProof/>
          <w:sz w:val="20"/>
          <w:szCs w:val="20"/>
        </w:rPr>
      </w:pPr>
      <w:r>
        <w:rPr>
          <w:rFonts w:eastAsia="Calibri" w:cs="Times New Roman"/>
          <w:noProof/>
          <w:sz w:val="20"/>
          <w:szCs w:val="20"/>
        </w:rPr>
        <w:t>According to the latest</w:t>
      </w:r>
      <w:r>
        <w:rPr>
          <w:rFonts w:eastAsia="Calibri" w:cs="Times New Roman"/>
          <w:noProof/>
          <w:sz w:val="20"/>
          <w:szCs w:val="20"/>
        </w:rPr>
        <w:t xml:space="preserve"> report on the conservation status</w:t>
      </w:r>
      <w:r>
        <w:rPr>
          <w:rFonts w:cs="Times New Roman"/>
          <w:noProof/>
          <w:sz w:val="20"/>
          <w:szCs w:val="20"/>
          <w:vertAlign w:val="superscript"/>
        </w:rPr>
        <w:footnoteReference w:id="25"/>
      </w:r>
      <w:r>
        <w:rPr>
          <w:rFonts w:eastAsia="Calibri" w:cs="Times New Roman"/>
          <w:noProof/>
          <w:sz w:val="20"/>
          <w:szCs w:val="20"/>
        </w:rPr>
        <w:t xml:space="preserve"> of habitats and species covered by the Habitats Directive, </w:t>
      </w:r>
      <w:r>
        <w:rPr>
          <w:rFonts w:cs="Times New Roman"/>
          <w:noProof/>
          <w:sz w:val="20"/>
          <w:szCs w:val="20"/>
        </w:rPr>
        <w:t>18.5% of the habitats biogeographic assessments were favourable in 2013 (EU 27: 16%). Furthermore, 52% are considered to be unfavourable–inadequate (EU27: 47%) a</w:t>
      </w:r>
      <w:r>
        <w:rPr>
          <w:rFonts w:cs="Times New Roman"/>
          <w:noProof/>
          <w:sz w:val="20"/>
          <w:szCs w:val="20"/>
        </w:rPr>
        <w:t>nd 24% are unfavourable – bad (EU27: 30%). As for the species, 26.5% of the assessments were favourable in 2013, 55% at unfavourable-inadequate (EU27: 42%) and 10% unfavourable-bad status (EU27: 18%). This is depicted in Figure 6</w:t>
      </w:r>
      <w:r>
        <w:rPr>
          <w:rFonts w:cs="Times New Roman"/>
          <w:noProof/>
          <w:sz w:val="20"/>
          <w:szCs w:val="20"/>
          <w:vertAlign w:val="superscript"/>
        </w:rPr>
        <w:footnoteReference w:id="26"/>
      </w:r>
      <w:r>
        <w:rPr>
          <w:rFonts w:cs="Times New Roman"/>
          <w:noProof/>
          <w:sz w:val="20"/>
          <w:szCs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647B3C">
        <w:tc>
          <w:tcPr>
            <w:tcW w:w="4909" w:type="dxa"/>
          </w:tcPr>
          <w:p w:rsidR="00647B3C" w:rsidRDefault="009B368F">
            <w:pPr>
              <w:widowControl w:val="0"/>
              <w:jc w:val="both"/>
              <w:rPr>
                <w:rFonts w:cs="Times New Roman"/>
                <w:b/>
                <w:bCs/>
                <w:noProof/>
                <w:color w:val="1F497D" w:themeColor="text2"/>
                <w:sz w:val="20"/>
              </w:rPr>
            </w:pPr>
            <w:r>
              <w:rPr>
                <w:rFonts w:cs="Times New Roman"/>
                <w:b/>
                <w:bCs/>
                <w:noProof/>
                <w:color w:val="1F497D" w:themeColor="text2"/>
                <w:sz w:val="20"/>
              </w:rPr>
              <w:t xml:space="preserve">Figure 6: Conservation </w:t>
            </w:r>
            <w:r>
              <w:rPr>
                <w:rFonts w:cs="Times New Roman"/>
                <w:b/>
                <w:bCs/>
                <w:noProof/>
                <w:color w:val="1F497D" w:themeColor="text2"/>
                <w:sz w:val="20"/>
              </w:rPr>
              <w:t>status of habitats and species in Lithuania in 2007/2013 (%)</w:t>
            </w:r>
            <w:r>
              <w:rPr>
                <w:rFonts w:cs="Times New Roman"/>
                <w:b/>
                <w:bCs/>
                <w:noProof/>
                <w:color w:val="1F497D" w:themeColor="text2"/>
                <w:sz w:val="20"/>
                <w:vertAlign w:val="superscript"/>
              </w:rPr>
              <w:footnoteReference w:id="27"/>
            </w:r>
          </w:p>
        </w:tc>
      </w:tr>
      <w:tr w:rsidR="00647B3C">
        <w:tc>
          <w:tcPr>
            <w:tcW w:w="4909" w:type="dxa"/>
          </w:tcPr>
          <w:p w:rsidR="00647B3C" w:rsidRDefault="009B368F">
            <w:pPr>
              <w:widowControl w:val="0"/>
              <w:jc w:val="both"/>
              <w:rPr>
                <w:rFonts w:cs="Times New Roman"/>
                <w:noProof/>
                <w:sz w:val="20"/>
              </w:rPr>
            </w:pPr>
            <w:r>
              <w:rPr>
                <w:rFonts w:cs="Times New Roman"/>
                <w:noProof/>
                <w:sz w:val="20"/>
                <w:lang w:eastAsia="en-GB"/>
              </w:rPr>
              <w:drawing>
                <wp:inline distT="0" distB="0" distL="0" distR="0" wp14:anchorId="018591E3" wp14:editId="7C3A671C">
                  <wp:extent cx="2987749" cy="333757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88590" cy="3338511"/>
                          </a:xfrm>
                          <a:prstGeom prst="rect">
                            <a:avLst/>
                          </a:prstGeom>
                          <a:noFill/>
                        </pic:spPr>
                      </pic:pic>
                    </a:graphicData>
                  </a:graphic>
                </wp:inline>
              </w:drawing>
            </w:r>
          </w:p>
        </w:tc>
      </w:tr>
    </w:tbl>
    <w:p w:rsidR="00647B3C" w:rsidRDefault="009B368F">
      <w:pPr>
        <w:widowControl w:val="0"/>
        <w:spacing w:after="120" w:line="240" w:lineRule="auto"/>
        <w:jc w:val="both"/>
        <w:rPr>
          <w:rFonts w:cs="Times New Roman"/>
          <w:noProof/>
          <w:sz w:val="20"/>
          <w:szCs w:val="20"/>
        </w:rPr>
      </w:pPr>
      <w:r>
        <w:rPr>
          <w:rFonts w:cs="Times New Roman"/>
          <w:noProof/>
          <w:sz w:val="20"/>
          <w:szCs w:val="20"/>
        </w:rPr>
        <w:t xml:space="preserve">Only 6.3% of the unfavourable assessments for species were showing a positive trend in 2013 and no unfavourable assessments for habitats were showing a positive trend in 2013. </w:t>
      </w:r>
    </w:p>
    <w:p w:rsidR="00647B3C" w:rsidRDefault="009B368F">
      <w:pPr>
        <w:widowControl w:val="0"/>
        <w:spacing w:after="120" w:line="240" w:lineRule="auto"/>
        <w:jc w:val="both"/>
        <w:rPr>
          <w:rFonts w:cs="Times New Roman"/>
          <w:noProof/>
          <w:sz w:val="20"/>
        </w:rPr>
      </w:pPr>
      <w:r>
        <w:rPr>
          <w:rFonts w:cs="Times New Roman"/>
          <w:noProof/>
          <w:sz w:val="20"/>
        </w:rPr>
        <w:t>As far as bir</w:t>
      </w:r>
      <w:r>
        <w:rPr>
          <w:rFonts w:cs="Times New Roman"/>
          <w:noProof/>
          <w:sz w:val="20"/>
        </w:rPr>
        <w:t>ds are concerned, 77% of the breeding species showed short-term increasing or stable population trends (for wintering species this figure was 56%).</w:t>
      </w:r>
    </w:p>
    <w:p w:rsidR="00647B3C" w:rsidRDefault="00647B3C">
      <w:pPr>
        <w:widowControl w:val="0"/>
        <w:spacing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647B3C">
        <w:tc>
          <w:tcPr>
            <w:tcW w:w="4910" w:type="dxa"/>
          </w:tcPr>
          <w:p w:rsidR="00647B3C" w:rsidRDefault="009B368F">
            <w:pPr>
              <w:widowControl w:val="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bird species in Lithuania in 2012 (%)</w:t>
            </w:r>
            <w:r>
              <w:rPr>
                <w:rFonts w:cs="Times New Roman"/>
                <w:b/>
                <w:bCs/>
                <w:noProof/>
                <w:color w:val="1F497D" w:themeColor="text2"/>
                <w:sz w:val="20"/>
                <w:vertAlign w:val="superscript"/>
              </w:rPr>
              <w:footnoteReference w:id="28"/>
            </w:r>
          </w:p>
        </w:tc>
      </w:tr>
      <w:tr w:rsidR="00647B3C">
        <w:tc>
          <w:tcPr>
            <w:tcW w:w="4910" w:type="dxa"/>
          </w:tcPr>
          <w:p w:rsidR="00647B3C" w:rsidRDefault="009B368F">
            <w:pPr>
              <w:widowControl w:val="0"/>
              <w:spacing w:after="120"/>
              <w:jc w:val="both"/>
              <w:rPr>
                <w:rFonts w:cs="Times New Roman"/>
                <w:noProof/>
                <w:sz w:val="20"/>
              </w:rPr>
            </w:pPr>
            <w:r>
              <w:rPr>
                <w:rFonts w:cs="Times New Roman"/>
                <w:noProof/>
                <w:sz w:val="20"/>
                <w:lang w:eastAsia="en-GB"/>
              </w:rPr>
              <w:drawing>
                <wp:inline distT="0" distB="0" distL="0" distR="0" wp14:anchorId="67929F79" wp14:editId="7EFCC563">
                  <wp:extent cx="3040912" cy="2204628"/>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8121" cy="2202604"/>
                          </a:xfrm>
                          <a:prstGeom prst="rect">
                            <a:avLst/>
                          </a:prstGeom>
                          <a:noFill/>
                        </pic:spPr>
                      </pic:pic>
                    </a:graphicData>
                  </a:graphic>
                </wp:inline>
              </w:drawing>
            </w:r>
          </w:p>
        </w:tc>
      </w:tr>
    </w:tbl>
    <w:p w:rsidR="00647B3C" w:rsidRDefault="009B368F">
      <w:pPr>
        <w:widowControl w:val="0"/>
        <w:spacing w:before="120" w:after="120" w:line="240" w:lineRule="auto"/>
        <w:jc w:val="both"/>
        <w:rPr>
          <w:rFonts w:eastAsia="Calibri" w:cs="Times New Roman"/>
          <w:noProof/>
          <w:sz w:val="20"/>
        </w:rPr>
      </w:pPr>
      <w:r>
        <w:rPr>
          <w:rFonts w:eastAsia="Calibri" w:cs="Times New Roman"/>
          <w:noProof/>
          <w:sz w:val="20"/>
        </w:rPr>
        <w:t>In 2014-2020 financing period 50 million EUR of ESI funds are earmarked for nature protection, biodiversity, Natura 2000 and green infrastructure. It will help to restore favourable conservation status in 1,150 hectares surface area of habitats.</w:t>
      </w:r>
    </w:p>
    <w:p w:rsidR="00647B3C" w:rsidRDefault="009B368F">
      <w:pPr>
        <w:widowControl w:val="0"/>
        <w:spacing w:before="120" w:after="120" w:line="240" w:lineRule="auto"/>
        <w:jc w:val="both"/>
        <w:rPr>
          <w:rFonts w:cstheme="minorHAnsi"/>
          <w:noProof/>
          <w:color w:val="1F497D" w:themeColor="text2"/>
          <w:szCs w:val="26"/>
        </w:rPr>
      </w:pPr>
      <w:r>
        <w:rPr>
          <w:rFonts w:cs="Times New Roman"/>
          <w:noProof/>
          <w:sz w:val="20"/>
          <w:szCs w:val="20"/>
          <w:lang w:eastAsia="en-GB"/>
        </w:rPr>
        <w:drawing>
          <wp:inline distT="0" distB="0" distL="0" distR="0" wp14:anchorId="422D5E67" wp14:editId="618B5D6C">
            <wp:extent cx="2980690" cy="2031537"/>
            <wp:effectExtent l="0" t="0" r="0" b="6985"/>
            <wp:docPr id="3" name="Picture 3" descr="P:\ENV-E2\1. ENV IMPLEMENTATION REVIEW\EIR Data management\Pictures\remaining pictures istock\clean\LT eagles iStock-47864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V-E2\1. ENV IMPLEMENTATION REVIEW\EIR Data management\Pictures\remaining pictures istock\clean\LT eagles iStock-47864134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0690" cy="2031537"/>
                    </a:xfrm>
                    <a:prstGeom prst="rect">
                      <a:avLst/>
                    </a:prstGeom>
                    <a:noFill/>
                    <a:ln>
                      <a:noFill/>
                    </a:ln>
                  </pic:spPr>
                </pic:pic>
              </a:graphicData>
            </a:graphic>
          </wp:inline>
        </w:drawing>
      </w:r>
      <w:r>
        <w:rPr>
          <w:rFonts w:cstheme="minorHAnsi"/>
          <w:noProof/>
          <w:color w:val="1F497D" w:themeColor="text2"/>
          <w:szCs w:val="26"/>
        </w:rPr>
        <w:t>Suggested action</w:t>
      </w:r>
    </w:p>
    <w:p w:rsidR="00647B3C" w:rsidRDefault="009B368F">
      <w:pPr>
        <w:pStyle w:val="NoSpacing"/>
        <w:rPr>
          <w:i/>
          <w:noProof/>
        </w:rPr>
      </w:pPr>
      <w:bookmarkStart w:id="21" w:name="_Toc433296161"/>
      <w:r>
        <w:rPr>
          <w:noProof/>
        </w:rPr>
        <w:t>Complete the Natura 2000 designation process and put in place clearly defined conservation objectives and the necessary conservation measures for the sites and provide adequate resources for their implementation in order to maintain/restor</w:t>
      </w:r>
      <w:r>
        <w:rPr>
          <w:noProof/>
        </w:rPr>
        <w:t>e species and habitats of community interest to a favourable conservation status across their natural range.</w:t>
      </w:r>
      <w:r>
        <w:rPr>
          <w:i/>
          <w:noProof/>
        </w:rPr>
        <w:t xml:space="preserve"> </w:t>
      </w:r>
    </w:p>
    <w:p w:rsidR="00647B3C" w:rsidRDefault="009B368F">
      <w:pPr>
        <w:pStyle w:val="NoSpacing"/>
        <w:rPr>
          <w:noProof/>
        </w:rPr>
      </w:pPr>
      <w:r>
        <w:rPr>
          <w:noProof/>
        </w:rPr>
        <w:t>Develop and promote smart and streamlined implementation approaches, in particular as regards site and species permitting procedures, ensuring the</w:t>
      </w:r>
      <w:r>
        <w:rPr>
          <w:noProof/>
        </w:rPr>
        <w:t xml:space="preserve"> necessary knowledge and data availability. Strengthen communication with stakeholders.</w:t>
      </w:r>
    </w:p>
    <w:p w:rsidR="00647B3C" w:rsidRDefault="009B368F">
      <w:pPr>
        <w:pStyle w:val="NoSpacing"/>
        <w:rPr>
          <w:noProof/>
        </w:rPr>
      </w:pPr>
      <w:r>
        <w:rPr>
          <w:noProof/>
        </w:rPr>
        <w:t>Continue support to the mapping and assessment of ecosystems and their services, valuation and development of natural capital accounting systems.</w:t>
      </w:r>
    </w:p>
    <w:p w:rsidR="00647B3C" w:rsidRDefault="00647B3C">
      <w:pPr>
        <w:widowControl w:val="0"/>
        <w:spacing w:before="120" w:after="120" w:line="240" w:lineRule="auto"/>
        <w:outlineLvl w:val="1"/>
        <w:rPr>
          <w:rFonts w:cs="Times New Roman"/>
          <w:b/>
          <w:noProof/>
          <w:color w:val="1F497D" w:themeColor="text2"/>
          <w:sz w:val="24"/>
          <w:lang w:eastAsia="en-GB"/>
        </w:rPr>
      </w:pPr>
      <w:bookmarkStart w:id="22" w:name="_Toc454460679"/>
      <w:bookmarkStart w:id="23" w:name="_Toc469313199"/>
    </w:p>
    <w:p w:rsidR="00647B3C" w:rsidRDefault="009B368F">
      <w:pPr>
        <w:widowControl w:val="0"/>
        <w:spacing w:before="120"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t>Green Infrastructure</w:t>
      </w:r>
      <w:bookmarkEnd w:id="22"/>
      <w:bookmarkEnd w:id="23"/>
      <w:r>
        <w:rPr>
          <w:rFonts w:cs="Times New Roman"/>
          <w:b/>
          <w:noProof/>
          <w:color w:val="1F497D" w:themeColor="text2"/>
          <w:sz w:val="24"/>
          <w:lang w:eastAsia="en-GB"/>
        </w:rPr>
        <w:t xml:space="preserve"> </w:t>
      </w:r>
    </w:p>
    <w:p w:rsidR="00647B3C" w:rsidRDefault="009B368F">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29"/>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preserve or restore ecological connectivity, enhance ecosystem resilience and ther</w:t>
      </w:r>
      <w:r>
        <w:rPr>
          <w:rFonts w:ascii="Calibri" w:eastAsia="Calibri" w:hAnsi="Calibri" w:cs="Times New Roman"/>
          <w:noProof/>
          <w:color w:val="FFFFFF" w:themeColor="background1"/>
          <w:sz w:val="20"/>
          <w:lang w:eastAsia="ar-SA"/>
        </w:rPr>
        <w:t>eby ensure the continued provision of ecosystem services.</w:t>
      </w:r>
    </w:p>
    <w:p w:rsidR="00647B3C" w:rsidRDefault="009B368F">
      <w:pPr>
        <w:widowControl w:val="0"/>
        <w:spacing w:after="120" w:line="240" w:lineRule="auto"/>
        <w:jc w:val="both"/>
        <w:rPr>
          <w:rFonts w:cs="Times New Roman"/>
          <w:noProof/>
          <w:sz w:val="20"/>
        </w:rPr>
      </w:pPr>
      <w:r>
        <w:rPr>
          <w:rFonts w:cs="Times New Roman"/>
          <w:noProof/>
          <w:sz w:val="20"/>
        </w:rPr>
        <w:t xml:space="preserve">Green Infrastructure provides ecological, economic and social benefits through natural solutions. It helps to understand the value of the benefits that nature provides to human society and to </w:t>
      </w:r>
      <w:r>
        <w:rPr>
          <w:rFonts w:cs="Times New Roman"/>
          <w:noProof/>
          <w:sz w:val="20"/>
        </w:rPr>
        <w:t>mobilise investments to sustain and enhance them.</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The backbone of green infrastructure in Lithuania is the national legislation on ecological network, which requires incorporating protected areas and other ecologically and biologically valuable areas into </w:t>
      </w:r>
      <w:r>
        <w:rPr>
          <w:rFonts w:cs="Times New Roman"/>
          <w:noProof/>
          <w:sz w:val="20"/>
        </w:rPr>
        <w:t xml:space="preserve">spatial planning processes with the aims to: </w:t>
      </w:r>
    </w:p>
    <w:p w:rsidR="00647B3C" w:rsidRDefault="009B368F">
      <w:pPr>
        <w:widowControl w:val="0"/>
        <w:numPr>
          <w:ilvl w:val="0"/>
          <w:numId w:val="25"/>
        </w:numPr>
        <w:spacing w:before="120" w:after="120" w:line="240" w:lineRule="auto"/>
        <w:contextualSpacing/>
        <w:jc w:val="both"/>
        <w:rPr>
          <w:rFonts w:cs="Times New Roman"/>
          <w:noProof/>
          <w:sz w:val="20"/>
        </w:rPr>
      </w:pPr>
      <w:r>
        <w:rPr>
          <w:rFonts w:cs="Times New Roman"/>
          <w:noProof/>
          <w:sz w:val="20"/>
        </w:rPr>
        <w:t xml:space="preserve">protect biodiversity, landscape and natural recreational resources; </w:t>
      </w:r>
    </w:p>
    <w:p w:rsidR="00647B3C" w:rsidRDefault="009B368F">
      <w:pPr>
        <w:widowControl w:val="0"/>
        <w:numPr>
          <w:ilvl w:val="0"/>
          <w:numId w:val="25"/>
        </w:numPr>
        <w:spacing w:before="120" w:after="120" w:line="240" w:lineRule="auto"/>
        <w:contextualSpacing/>
        <w:jc w:val="both"/>
        <w:rPr>
          <w:rFonts w:cs="Times New Roman"/>
          <w:noProof/>
          <w:sz w:val="20"/>
        </w:rPr>
      </w:pPr>
      <w:r>
        <w:rPr>
          <w:rFonts w:cs="Times New Roman"/>
          <w:noProof/>
          <w:sz w:val="20"/>
        </w:rPr>
        <w:t xml:space="preserve">to make interlinkages among the most ecologically valuable habitats; </w:t>
      </w:r>
    </w:p>
    <w:p w:rsidR="00647B3C" w:rsidRDefault="009B368F">
      <w:pPr>
        <w:widowControl w:val="0"/>
        <w:numPr>
          <w:ilvl w:val="0"/>
          <w:numId w:val="25"/>
        </w:numPr>
        <w:spacing w:before="120" w:after="120" w:line="240" w:lineRule="auto"/>
        <w:contextualSpacing/>
        <w:jc w:val="both"/>
        <w:rPr>
          <w:rFonts w:cs="Times New Roman"/>
          <w:noProof/>
          <w:sz w:val="20"/>
        </w:rPr>
      </w:pPr>
      <w:r>
        <w:rPr>
          <w:rFonts w:cs="Times New Roman"/>
          <w:noProof/>
          <w:sz w:val="20"/>
        </w:rPr>
        <w:t xml:space="preserve"> to form migration corridors;</w:t>
      </w:r>
    </w:p>
    <w:p w:rsidR="00647B3C" w:rsidRDefault="009B368F">
      <w:pPr>
        <w:widowControl w:val="0"/>
        <w:numPr>
          <w:ilvl w:val="0"/>
          <w:numId w:val="25"/>
        </w:numPr>
        <w:spacing w:before="120" w:after="120" w:line="240" w:lineRule="auto"/>
        <w:contextualSpacing/>
        <w:jc w:val="both"/>
        <w:rPr>
          <w:rFonts w:cs="Times New Roman"/>
          <w:noProof/>
          <w:sz w:val="20"/>
        </w:rPr>
      </w:pPr>
      <w:r>
        <w:rPr>
          <w:rFonts w:cs="Times New Roman"/>
          <w:noProof/>
          <w:sz w:val="20"/>
        </w:rPr>
        <w:t>to enhance areas of forests; and</w:t>
      </w:r>
    </w:p>
    <w:p w:rsidR="00647B3C" w:rsidRDefault="009B368F">
      <w:pPr>
        <w:widowControl w:val="0"/>
        <w:numPr>
          <w:ilvl w:val="0"/>
          <w:numId w:val="25"/>
        </w:numPr>
        <w:spacing w:before="120" w:after="120" w:line="240" w:lineRule="auto"/>
        <w:contextualSpacing/>
        <w:jc w:val="both"/>
        <w:rPr>
          <w:rFonts w:cs="Times New Roman"/>
          <w:noProof/>
          <w:sz w:val="20"/>
        </w:rPr>
      </w:pPr>
      <w:r>
        <w:rPr>
          <w:rFonts w:cs="Times New Roman"/>
          <w:noProof/>
          <w:sz w:val="20"/>
        </w:rPr>
        <w:t xml:space="preserve">to </w:t>
      </w:r>
      <w:r>
        <w:rPr>
          <w:rFonts w:cs="Times New Roman"/>
          <w:noProof/>
          <w:sz w:val="20"/>
        </w:rPr>
        <w:t>regulate development of urbanization and agriculture.</w:t>
      </w:r>
    </w:p>
    <w:p w:rsidR="00647B3C" w:rsidRDefault="009B368F">
      <w:pPr>
        <w:widowControl w:val="0"/>
        <w:spacing w:before="120" w:after="120" w:line="240" w:lineRule="auto"/>
        <w:jc w:val="both"/>
        <w:rPr>
          <w:rFonts w:cs="Times New Roman"/>
          <w:noProof/>
          <w:sz w:val="20"/>
        </w:rPr>
      </w:pPr>
      <w:r>
        <w:rPr>
          <w:rFonts w:cs="Times New Roman"/>
          <w:noProof/>
          <w:sz w:val="20"/>
        </w:rPr>
        <w:t>The Action Plan on Conservation of Landscape and Biodiversity for the period of 2015–2020 sets a strategic goal for Lithuania to halt biodiversity loss and degradation of ecosystems and their services a</w:t>
      </w:r>
      <w:r>
        <w:rPr>
          <w:rFonts w:cs="Times New Roman"/>
          <w:noProof/>
          <w:sz w:val="20"/>
        </w:rPr>
        <w:t xml:space="preserve">nd, where possible, to restore them. </w:t>
      </w:r>
    </w:p>
    <w:p w:rsidR="00647B3C" w:rsidRDefault="009B368F">
      <w:pPr>
        <w:widowControl w:val="0"/>
        <w:spacing w:before="120" w:after="120" w:line="240" w:lineRule="auto"/>
        <w:jc w:val="both"/>
        <w:rPr>
          <w:rFonts w:cs="Times New Roman"/>
          <w:noProof/>
          <w:sz w:val="20"/>
        </w:rPr>
      </w:pPr>
      <w:r>
        <w:rPr>
          <w:rFonts w:cs="Times New Roman"/>
          <w:noProof/>
          <w:sz w:val="20"/>
        </w:rPr>
        <w:t>The Process of preparation and implementation of management plans for protected areas as well as action plans for protected species is ongoing.</w:t>
      </w:r>
    </w:p>
    <w:p w:rsidR="00647B3C" w:rsidRDefault="009B368F">
      <w:pPr>
        <w:widowControl w:val="0"/>
        <w:spacing w:before="120" w:after="120" w:line="240" w:lineRule="auto"/>
        <w:jc w:val="both"/>
        <w:rPr>
          <w:rFonts w:cs="Times New Roman"/>
          <w:noProof/>
          <w:sz w:val="20"/>
        </w:rPr>
      </w:pPr>
      <w:r>
        <w:rPr>
          <w:rFonts w:cs="Times New Roman"/>
          <w:noProof/>
          <w:sz w:val="20"/>
        </w:rPr>
        <w:t>Nine border municipalities in Latvia and Lithuania are cooperating under t</w:t>
      </w:r>
      <w:r>
        <w:rPr>
          <w:rFonts w:cs="Times New Roman"/>
          <w:noProof/>
          <w:sz w:val="20"/>
        </w:rPr>
        <w:t>he motto “Let’s make our cities greener” in order to restore urban parks and green infrastructure; improve the wellbeing, awareness and engagement of citizens to maintain green areas in their neighbourhood; and enable city planners to integrate green infra</w:t>
      </w:r>
      <w:r>
        <w:rPr>
          <w:rFonts w:cs="Times New Roman"/>
          <w:noProof/>
          <w:sz w:val="20"/>
        </w:rPr>
        <w:t>structure in urban space.</w:t>
      </w:r>
    </w:p>
    <w:p w:rsidR="00647B3C" w:rsidRDefault="009B368F">
      <w:pPr>
        <w:widowControl w:val="0"/>
        <w:spacing w:before="120" w:after="120" w:line="240" w:lineRule="auto"/>
        <w:jc w:val="both"/>
        <w:rPr>
          <w:rFonts w:cs="Times New Roman"/>
          <w:noProof/>
          <w:sz w:val="20"/>
        </w:rPr>
      </w:pPr>
      <w:r>
        <w:rPr>
          <w:rFonts w:cs="Times New Roman"/>
          <w:noProof/>
          <w:sz w:val="20"/>
        </w:rPr>
        <w:t>A LIFE+ project for the establishment of a pilot ecological network in South Lithuania, completed in 2015, carried out activities for the protection of target species, the restoration of their habitats, the creation of an ecologic</w:t>
      </w:r>
      <w:r>
        <w:rPr>
          <w:rFonts w:cs="Times New Roman"/>
          <w:noProof/>
          <w:sz w:val="20"/>
        </w:rPr>
        <w:t>al network and education of local communities. The ecological network model is intended for replication to the entire territory of Lithuania. The project further raised local awareness of the importance of ecological networks for nature and for people</w:t>
      </w:r>
      <w:r>
        <w:rPr>
          <w:rFonts w:cs="Times New Roman"/>
          <w:noProof/>
          <w:sz w:val="20"/>
          <w:vertAlign w:val="superscript"/>
        </w:rPr>
        <w:footnoteReference w:id="30"/>
      </w:r>
      <w:r>
        <w:rPr>
          <w:rFonts w:cs="Times New Roman"/>
          <w:noProof/>
          <w:sz w:val="20"/>
        </w:rPr>
        <w:t>.</w:t>
      </w:r>
      <w:bookmarkStart w:id="24" w:name="_Toc454460680"/>
      <w:bookmarkEnd w:id="21"/>
    </w:p>
    <w:p w:rsidR="00647B3C" w:rsidRDefault="009B368F">
      <w:pPr>
        <w:widowControl w:val="0"/>
        <w:spacing w:before="120" w:after="120" w:line="240" w:lineRule="auto"/>
        <w:outlineLvl w:val="1"/>
        <w:rPr>
          <w:rFonts w:cs="Times New Roman"/>
          <w:b/>
          <w:noProof/>
          <w:color w:val="1F497D" w:themeColor="text2"/>
          <w:sz w:val="24"/>
          <w:lang w:eastAsia="en-GB"/>
        </w:rPr>
      </w:pPr>
      <w:bookmarkStart w:id="25" w:name="_Toc469313200"/>
      <w:r>
        <w:rPr>
          <w:rFonts w:cs="Times New Roman"/>
          <w:b/>
          <w:noProof/>
          <w:color w:val="1F497D" w:themeColor="text2"/>
          <w:sz w:val="24"/>
          <w:lang w:eastAsia="en-GB"/>
        </w:rPr>
        <w:t>So</w:t>
      </w:r>
      <w:r>
        <w:rPr>
          <w:rFonts w:cs="Times New Roman"/>
          <w:b/>
          <w:noProof/>
          <w:color w:val="1F497D" w:themeColor="text2"/>
          <w:sz w:val="24"/>
          <w:lang w:eastAsia="en-GB"/>
        </w:rPr>
        <w:t>il protection</w:t>
      </w:r>
      <w:bookmarkEnd w:id="24"/>
      <w:bookmarkEnd w:id="25"/>
      <w:r>
        <w:rPr>
          <w:rFonts w:cs="Times New Roman"/>
          <w:b/>
          <w:noProof/>
          <w:color w:val="1F497D" w:themeColor="text2"/>
          <w:sz w:val="24"/>
          <w:lang w:eastAsia="en-GB"/>
        </w:rPr>
        <w:t xml:space="preserve"> </w:t>
      </w:r>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 degraded soils. The 2011 Ro</w:t>
      </w:r>
      <w:r>
        <w:rPr>
          <w:rFonts w:cs="Times New Roman"/>
          <w:noProof/>
          <w:color w:val="FFFFFF" w:themeColor="background1"/>
          <w:sz w:val="20"/>
        </w:rPr>
        <w:t>ad Map for Resource-Efficient Europe, part of Europe 2020 Strategy provides that by 2020, EU policies take into account their direct and indirect impact on land use in the EU and globally, and the rate of land take is on track with an aim to achieve no net</w:t>
      </w:r>
      <w:r>
        <w:rPr>
          <w:rFonts w:cs="Times New Roman"/>
          <w:noProof/>
          <w:color w:val="FFFFFF" w:themeColor="background1"/>
          <w:sz w:val="20"/>
        </w:rPr>
        <w:t xml:space="preserve"> land take by 2050.</w:t>
      </w:r>
    </w:p>
    <w:p w:rsidR="00647B3C" w:rsidRDefault="009B368F">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647B3C" w:rsidRDefault="009B368F">
      <w:pPr>
        <w:widowControl w:val="0"/>
        <w:spacing w:before="120" w:after="120" w:line="240" w:lineRule="auto"/>
        <w:jc w:val="both"/>
        <w:rPr>
          <w:noProof/>
          <w:sz w:val="20"/>
          <w:lang w:eastAsia="en-GB"/>
        </w:rPr>
      </w:pPr>
      <w:r>
        <w:rPr>
          <w:noProof/>
          <w:sz w:val="20"/>
          <w:lang w:eastAsia="en-GB"/>
        </w:rPr>
        <w:t>Soil is an important re</w:t>
      </w:r>
      <w:r>
        <w:rPr>
          <w:noProof/>
          <w:sz w:val="20"/>
          <w:lang w:eastAsia="en-GB"/>
        </w:rPr>
        <w:t xml:space="preserve">source for life and the economy. It provides key ecosystem services including the provision of food, fibre and biomass for renewable energy, carbon sequestration, water purification and flood regulation, the provision of raw and building material. Soil is </w:t>
      </w:r>
      <w:r>
        <w:rPr>
          <w:noProof/>
          <w:sz w:val="20"/>
          <w:lang w:eastAsia="en-GB"/>
        </w:rPr>
        <w:t>a finite and extremely fragile resource and increasingly degrading in the EU. Land taken by urban development and infrastructure is highly unlikely to be reverted to its natural state; it consumes mostly agricultural land and increases fragmentation of hab</w:t>
      </w:r>
      <w:r>
        <w:rPr>
          <w:noProof/>
          <w:sz w:val="20"/>
          <w:lang w:eastAsia="en-GB"/>
        </w:rPr>
        <w:t>itats. Soil protection is indirectly addressed in existing EU policies in areas such as agriculture, water, waste, chemicals, and prevention of industrial pollution.</w:t>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 xml:space="preserve">Artificial land cover is used for settlements, production systems and infrastructure. It may itself be split between built-up areas (buildings) and non-built-up areas (such as linear transport networks and associated areas). </w:t>
      </w:r>
    </w:p>
    <w:p w:rsidR="00647B3C" w:rsidRDefault="009B368F">
      <w:pPr>
        <w:widowControl w:val="0"/>
        <w:spacing w:after="120" w:line="240" w:lineRule="auto"/>
        <w:jc w:val="both"/>
        <w:rPr>
          <w:rFonts w:ascii="Calibri" w:eastAsia="Calibri" w:hAnsi="Calibri" w:cs="Times New Roman"/>
          <w:noProof/>
          <w:sz w:val="20"/>
          <w:szCs w:val="20"/>
        </w:rPr>
      </w:pPr>
      <w:r>
        <w:rPr>
          <w:rFonts w:ascii="Calibri" w:eastAsia="Calibri" w:hAnsi="Calibri" w:cs="Times New Roman"/>
          <w:noProof/>
          <w:sz w:val="20"/>
          <w:szCs w:val="20"/>
        </w:rPr>
        <w:t>The annual land take rate (gro</w:t>
      </w:r>
      <w:r>
        <w:rPr>
          <w:rFonts w:ascii="Calibri" w:eastAsia="Calibri" w:hAnsi="Calibri" w:cs="Times New Roman"/>
          <w:noProof/>
          <w:sz w:val="20"/>
          <w:szCs w:val="20"/>
        </w:rPr>
        <w:t>wth of artificial areas) as provided by CORINE Land Cover was 0.29% in Lithuania over the period 2006-12, below the EU average (0.41%). It represented 612 hectares per year and was mainly driven by new construction, together with the extension of mines and</w:t>
      </w:r>
      <w:r>
        <w:rPr>
          <w:rFonts w:ascii="Calibri" w:eastAsia="Calibri" w:hAnsi="Calibri" w:cs="Times New Roman"/>
          <w:noProof/>
          <w:sz w:val="20"/>
          <w:szCs w:val="20"/>
        </w:rPr>
        <w:t xml:space="preserve"> quarry areas</w:t>
      </w:r>
      <w:r>
        <w:rPr>
          <w:rFonts w:ascii="Calibri" w:eastAsia="Calibri" w:hAnsi="Calibri" w:cs="Times New Roman"/>
          <w:noProof/>
          <w:sz w:val="20"/>
          <w:szCs w:val="20"/>
          <w:vertAlign w:val="superscript"/>
        </w:rPr>
        <w:footnoteReference w:id="31"/>
      </w:r>
      <w:r>
        <w:rPr>
          <w:rFonts w:ascii="Calibri" w:eastAsia="Calibri" w:hAnsi="Calibri" w:cs="Times New Roman"/>
          <w:noProof/>
          <w:sz w:val="20"/>
          <w:szCs w:val="20"/>
        </w:rPr>
        <w:t xml:space="preserve">. </w:t>
      </w:r>
      <w:r>
        <w:rPr>
          <w:rFonts w:cs="Times New Roman"/>
          <w:noProof/>
          <w:sz w:val="20"/>
          <w:szCs w:val="20"/>
        </w:rPr>
        <w:t>The percentage of built up land in 2009 was 2.05%, below the EU average (3.23%)</w:t>
      </w:r>
      <w:r>
        <w:rPr>
          <w:rFonts w:cs="Times New Roman"/>
          <w:noProof/>
          <w:sz w:val="20"/>
          <w:szCs w:val="20"/>
          <w:vertAlign w:val="superscript"/>
        </w:rPr>
        <w:footnoteReference w:id="32"/>
      </w:r>
      <w:r>
        <w:rPr>
          <w:rFonts w:cs="Times New Roman"/>
          <w:noProof/>
          <w:sz w:val="20"/>
          <w:szCs w:val="20"/>
        </w:rPr>
        <w:t>.</w:t>
      </w:r>
    </w:p>
    <w:p w:rsidR="00647B3C" w:rsidRDefault="009B368F">
      <w:pPr>
        <w:widowControl w:val="0"/>
        <w:spacing w:before="120" w:after="120" w:line="240" w:lineRule="auto"/>
        <w:jc w:val="both"/>
        <w:rPr>
          <w:rFonts w:cs="Times New Roman"/>
          <w:noProof/>
          <w:sz w:val="20"/>
        </w:rPr>
      </w:pPr>
      <w:r>
        <w:rPr>
          <w:rFonts w:cs="Times New Roman"/>
          <w:noProof/>
          <w:sz w:val="20"/>
        </w:rPr>
        <w:t>Figure 8 shows the different land cover types in Lithuania in 2012.</w:t>
      </w:r>
    </w:p>
    <w:p w:rsidR="00647B3C" w:rsidRDefault="009B368F">
      <w:pPr>
        <w:widowControl w:val="0"/>
        <w:spacing w:before="120" w:after="120" w:line="240" w:lineRule="auto"/>
        <w:jc w:val="both"/>
        <w:rPr>
          <w:rFonts w:cs="Times New Roman"/>
          <w:noProof/>
          <w:sz w:val="20"/>
          <w:szCs w:val="20"/>
        </w:rPr>
      </w:pPr>
      <w:bookmarkStart w:id="26" w:name="_Toc454460681"/>
      <w:r>
        <w:rPr>
          <w:rFonts w:cs="Times New Roman"/>
          <w:noProof/>
          <w:sz w:val="20"/>
          <w:szCs w:val="20"/>
        </w:rPr>
        <w:t>The soil water erosion rate in 2010 was 0.52 tonnes per ha per year, well below EU-28 aver</w:t>
      </w:r>
      <w:r>
        <w:rPr>
          <w:rFonts w:cs="Times New Roman"/>
          <w:noProof/>
          <w:sz w:val="20"/>
          <w:szCs w:val="20"/>
        </w:rPr>
        <w:t>age (2.46 tonnes)</w:t>
      </w:r>
      <w:r>
        <w:rPr>
          <w:rFonts w:cs="Times New Roman"/>
          <w:noProof/>
          <w:sz w:val="20"/>
          <w:szCs w:val="20"/>
          <w:vertAlign w:val="superscript"/>
        </w:rPr>
        <w:footnoteReference w:id="33"/>
      </w:r>
      <w:r>
        <w:rPr>
          <w:rFonts w:cs="Times New Roman"/>
          <w:noProof/>
          <w:sz w:val="20"/>
          <w:szCs w:val="20"/>
        </w:rPr>
        <w:t>.</w:t>
      </w:r>
    </w:p>
    <w:p w:rsidR="00647B3C" w:rsidRDefault="009B368F">
      <w:pPr>
        <w:widowControl w:val="0"/>
        <w:spacing w:after="120" w:line="240" w:lineRule="auto"/>
        <w:jc w:val="both"/>
        <w:rPr>
          <w:rFonts w:cs="Times New Roman"/>
          <w:noProof/>
          <w:sz w:val="20"/>
          <w:lang w:eastAsia="en-GB"/>
        </w:rPr>
      </w:pPr>
      <w:r>
        <w:rPr>
          <w:rFonts w:cs="Times New Roman"/>
          <w:noProof/>
          <w:sz w:val="20"/>
          <w:lang w:eastAsia="en-GB"/>
        </w:rPr>
        <w:t>There are still not EU-wide datasets enabling the provision of benchmark indicators for soil organic matter decline, contaminated sites, pressures on soil biology and diffuse pollution.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647B3C">
        <w:tc>
          <w:tcPr>
            <w:tcW w:w="4910" w:type="dxa"/>
          </w:tcPr>
          <w:p w:rsidR="00647B3C" w:rsidRDefault="009B368F">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Lithuania in 2012</w:t>
            </w:r>
            <w:r>
              <w:rPr>
                <w:rFonts w:cs="Times New Roman"/>
                <w:b/>
                <w:bCs/>
                <w:noProof/>
                <w:color w:val="1F497D" w:themeColor="text2"/>
                <w:sz w:val="20"/>
                <w:vertAlign w:val="superscript"/>
              </w:rPr>
              <w:footnoteReference w:id="34"/>
            </w:r>
          </w:p>
        </w:tc>
      </w:tr>
      <w:tr w:rsidR="00647B3C">
        <w:tc>
          <w:tcPr>
            <w:tcW w:w="4910" w:type="dxa"/>
          </w:tcPr>
          <w:p w:rsidR="00647B3C" w:rsidRDefault="009B368F">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3A8BE76E" wp14:editId="243A2FB8">
                  <wp:extent cx="3067050" cy="3648075"/>
                  <wp:effectExtent l="0" t="0" r="0" b="9525"/>
                  <wp:docPr id="35" name="Picture 35" descr="LT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_CS_CLC_typ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647B3C" w:rsidRDefault="009B368F">
      <w:pPr>
        <w:widowControl w:val="0"/>
        <w:spacing w:after="120" w:line="240" w:lineRule="auto"/>
        <w:jc w:val="both"/>
        <w:rPr>
          <w:rFonts w:cs="Times New Roman"/>
          <w:noProof/>
          <w:sz w:val="20"/>
          <w:lang w:eastAsia="en-GB"/>
        </w:rPr>
      </w:pPr>
      <w:r>
        <w:rPr>
          <w:rFonts w:cs="Times New Roman"/>
          <w:noProof/>
          <w:sz w:val="20"/>
          <w:lang w:eastAsia="en-GB"/>
        </w:rPr>
        <w:t xml:space="preserve">However, since 1999, Lithuania is implementing a long-term project “Database fulfilment of geological environment’s contaminated sites”. During this period (until beginning 2016), 12,278 potentially contaminated sites have been inventoried (Figure 8a). </w:t>
      </w:r>
    </w:p>
    <w:p w:rsidR="00647B3C" w:rsidRDefault="009B368F">
      <w:pPr>
        <w:widowControl w:val="0"/>
        <w:spacing w:after="120" w:line="240" w:lineRule="auto"/>
        <w:jc w:val="both"/>
        <w:rPr>
          <w:rFonts w:cs="Times New Roman"/>
          <w:b/>
          <w:bCs/>
          <w:noProof/>
          <w:color w:val="1F497D" w:themeColor="text2"/>
          <w:sz w:val="20"/>
        </w:rPr>
      </w:pPr>
      <w:r>
        <w:rPr>
          <w:rFonts w:cs="Times New Roman"/>
          <w:b/>
          <w:bCs/>
          <w:noProof/>
          <w:color w:val="1F497D" w:themeColor="text2"/>
          <w:sz w:val="20"/>
        </w:rPr>
        <w:t>Figure 8a. Inventorisation of potentially contaminated sites</w:t>
      </w:r>
      <w:r>
        <w:rPr>
          <w:rFonts w:cs="Times New Roman"/>
          <w:noProof/>
          <w:sz w:val="20"/>
          <w:vertAlign w:val="superscript"/>
          <w:lang w:eastAsia="en-GB"/>
        </w:rPr>
        <w:footnoteReference w:id="35"/>
      </w:r>
      <w:r>
        <w:rPr>
          <w:rFonts w:cs="Times New Roman"/>
          <w:b/>
          <w:bCs/>
          <w:noProof/>
          <w:color w:val="1F497D" w:themeColor="text2"/>
          <w:sz w:val="20"/>
        </w:rPr>
        <w:t xml:space="preserve"> </w:t>
      </w:r>
    </w:p>
    <w:p w:rsidR="00647B3C" w:rsidRDefault="009B368F">
      <w:pPr>
        <w:widowControl w:val="0"/>
        <w:spacing w:after="120" w:line="240" w:lineRule="auto"/>
        <w:jc w:val="both"/>
        <w:rPr>
          <w:rFonts w:cs="Times New Roman"/>
          <w:noProof/>
          <w:sz w:val="20"/>
          <w:lang w:eastAsia="en-GB"/>
        </w:rPr>
      </w:pPr>
      <w:r>
        <w:rPr>
          <w:rFonts w:cs="Times New Roman"/>
          <w:noProof/>
          <w:sz w:val="20"/>
          <w:lang w:eastAsia="en-GB"/>
        </w:rPr>
        <w:drawing>
          <wp:inline distT="0" distB="0" distL="0" distR="0" wp14:anchorId="674567A1" wp14:editId="6CA577C2">
            <wp:extent cx="3031929" cy="16777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2092" cy="1677816"/>
                    </a:xfrm>
                    <a:prstGeom prst="rect">
                      <a:avLst/>
                    </a:prstGeom>
                    <a:noFill/>
                    <a:ln>
                      <a:noFill/>
                    </a:ln>
                  </pic:spPr>
                </pic:pic>
              </a:graphicData>
            </a:graphic>
          </wp:inline>
        </w:drawing>
      </w:r>
    </w:p>
    <w:p w:rsidR="00647B3C" w:rsidRDefault="009B368F">
      <w:pPr>
        <w:widowControl w:val="0"/>
        <w:spacing w:after="120" w:line="240" w:lineRule="auto"/>
        <w:jc w:val="both"/>
        <w:rPr>
          <w:rFonts w:cs="Times New Roman"/>
          <w:noProof/>
          <w:sz w:val="20"/>
          <w:lang w:eastAsia="en-GB"/>
        </w:rPr>
      </w:pPr>
      <w:r>
        <w:rPr>
          <w:rFonts w:cs="Times New Roman"/>
          <w:noProof/>
          <w:sz w:val="20"/>
          <w:lang w:eastAsia="en-GB"/>
        </w:rPr>
        <w:t>In the time period from 2007 until 2015, more than 1000 contaminated sites were investigated.  887 of them are preliminary eco-geological investigations, 210 detailed eco-geological investig</w:t>
      </w:r>
      <w:r>
        <w:rPr>
          <w:rFonts w:cs="Times New Roman"/>
          <w:noProof/>
          <w:sz w:val="20"/>
          <w:lang w:eastAsia="en-GB"/>
        </w:rPr>
        <w:t>ations and 88 control investigations after remediation of contaminated sites.</w:t>
      </w:r>
    </w:p>
    <w:p w:rsidR="00647B3C" w:rsidRDefault="00647B3C">
      <w:pPr>
        <w:widowControl w:val="0"/>
        <w:spacing w:after="120" w:line="240" w:lineRule="auto"/>
        <w:jc w:val="both"/>
        <w:rPr>
          <w:rFonts w:cs="Times New Roman"/>
          <w:noProof/>
          <w:sz w:val="20"/>
          <w:lang w:eastAsia="en-GB"/>
        </w:rPr>
      </w:pPr>
    </w:p>
    <w:p w:rsidR="00647B3C" w:rsidRDefault="009B368F">
      <w:pPr>
        <w:widowControl w:val="0"/>
        <w:spacing w:after="120" w:line="240" w:lineRule="auto"/>
        <w:jc w:val="both"/>
        <w:rPr>
          <w:rFonts w:cs="Times New Roman"/>
          <w:b/>
          <w:bCs/>
          <w:noProof/>
          <w:color w:val="1F497D" w:themeColor="text2"/>
          <w:sz w:val="20"/>
        </w:rPr>
      </w:pPr>
      <w:r>
        <w:rPr>
          <w:rFonts w:cs="Times New Roman"/>
          <w:b/>
          <w:bCs/>
          <w:noProof/>
          <w:color w:val="1F497D" w:themeColor="text2"/>
          <w:sz w:val="20"/>
        </w:rPr>
        <w:t>Figure 8b. Environmental investigations and remediation of contaminated sites</w:t>
      </w:r>
      <w:r>
        <w:rPr>
          <w:rStyle w:val="FootnoteReference"/>
          <w:rFonts w:cs="Times New Roman"/>
          <w:b/>
          <w:bCs/>
          <w:noProof/>
          <w:color w:val="1F497D" w:themeColor="text2"/>
          <w:sz w:val="20"/>
        </w:rPr>
        <w:footnoteReference w:id="36"/>
      </w:r>
    </w:p>
    <w:p w:rsidR="00647B3C" w:rsidRDefault="009B368F">
      <w:pPr>
        <w:widowControl w:val="0"/>
        <w:spacing w:after="120" w:line="240" w:lineRule="auto"/>
        <w:jc w:val="both"/>
        <w:rPr>
          <w:rFonts w:cs="Times New Roman"/>
          <w:noProof/>
          <w:sz w:val="20"/>
          <w:lang w:eastAsia="en-GB"/>
        </w:rPr>
      </w:pPr>
      <w:r>
        <w:rPr>
          <w:rFonts w:cs="Times New Roman"/>
          <w:noProof/>
          <w:sz w:val="20"/>
          <w:lang w:eastAsia="en-GB"/>
        </w:rPr>
        <w:drawing>
          <wp:inline distT="0" distB="0" distL="0" distR="0" wp14:anchorId="22F03960" wp14:editId="74D5E0ED">
            <wp:extent cx="2965837" cy="1781805"/>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70327" cy="1784502"/>
                    </a:xfrm>
                    <a:prstGeom prst="rect">
                      <a:avLst/>
                    </a:prstGeom>
                    <a:noFill/>
                  </pic:spPr>
                </pic:pic>
              </a:graphicData>
            </a:graphic>
          </wp:inline>
        </w:drawing>
      </w:r>
    </w:p>
    <w:p w:rsidR="00647B3C" w:rsidRDefault="009B368F">
      <w:pPr>
        <w:widowControl w:val="0"/>
        <w:spacing w:after="120" w:line="240" w:lineRule="auto"/>
        <w:jc w:val="both"/>
        <w:rPr>
          <w:rFonts w:cs="Times New Roman"/>
          <w:noProof/>
          <w:sz w:val="20"/>
          <w:lang w:eastAsia="en-GB"/>
        </w:rPr>
      </w:pPr>
      <w:r>
        <w:rPr>
          <w:rFonts w:cs="Times New Roman"/>
          <w:noProof/>
          <w:sz w:val="20"/>
          <w:lang w:eastAsia="en-GB"/>
        </w:rPr>
        <w:t>Intensified remediation of contaminated sites is promoted by National Environment Protection Str</w:t>
      </w:r>
      <w:r>
        <w:rPr>
          <w:rFonts w:cs="Times New Roman"/>
          <w:noProof/>
          <w:sz w:val="20"/>
          <w:lang w:eastAsia="en-GB"/>
        </w:rPr>
        <w:t>ategy (2015)</w:t>
      </w:r>
      <w:r>
        <w:rPr>
          <w:rFonts w:cs="Times New Roman"/>
          <w:noProof/>
          <w:sz w:val="20"/>
          <w:vertAlign w:val="superscript"/>
          <w:lang w:eastAsia="en-GB"/>
        </w:rPr>
        <w:footnoteReference w:id="37"/>
      </w:r>
      <w:r>
        <w:rPr>
          <w:rFonts w:cs="Times New Roman"/>
          <w:noProof/>
          <w:sz w:val="20"/>
          <w:lang w:eastAsia="en-GB"/>
        </w:rPr>
        <w:t xml:space="preserve"> and Management Plan of Contaminated sites for 2013-2023 approved by the Minister of Environment</w:t>
      </w:r>
      <w:r>
        <w:rPr>
          <w:rFonts w:cs="Times New Roman"/>
          <w:noProof/>
          <w:sz w:val="20"/>
          <w:vertAlign w:val="superscript"/>
          <w:lang w:eastAsia="en-GB"/>
        </w:rPr>
        <w:footnoteReference w:id="38"/>
      </w:r>
      <w:r>
        <w:rPr>
          <w:rFonts w:cs="Times New Roman"/>
          <w:noProof/>
          <w:sz w:val="20"/>
          <w:lang w:eastAsia="en-GB"/>
        </w:rPr>
        <w:t>.</w:t>
      </w:r>
    </w:p>
    <w:p w:rsidR="00647B3C" w:rsidRDefault="009B368F">
      <w:pPr>
        <w:spacing w:after="120" w:line="240" w:lineRule="auto"/>
        <w:jc w:val="both"/>
        <w:rPr>
          <w:rFonts w:cs="Times New Roman"/>
          <w:noProof/>
          <w:sz w:val="20"/>
        </w:rPr>
      </w:pPr>
      <w:r>
        <w:rPr>
          <w:rFonts w:cs="Times New Roman"/>
          <w:noProof/>
          <w:sz w:val="20"/>
        </w:rPr>
        <w:t>An updated inventory and assessment of soil protection policy instruments in Lithuania and other EU Member States is being performed by the EU E</w:t>
      </w:r>
      <w:r>
        <w:rPr>
          <w:rFonts w:cs="Times New Roman"/>
          <w:noProof/>
          <w:sz w:val="20"/>
        </w:rPr>
        <w:t>xpert Group on Soil Protection.</w:t>
      </w:r>
    </w:p>
    <w:p w:rsidR="00647B3C" w:rsidRDefault="009B368F">
      <w:pPr>
        <w:widowControl w:val="0"/>
        <w:spacing w:before="120" w:after="120" w:line="240" w:lineRule="auto"/>
        <w:outlineLvl w:val="1"/>
        <w:rPr>
          <w:rFonts w:cs="Times New Roman"/>
          <w:b/>
          <w:noProof/>
          <w:color w:val="1F497D" w:themeColor="text2"/>
          <w:sz w:val="24"/>
          <w:lang w:eastAsia="en-GB"/>
        </w:rPr>
      </w:pPr>
      <w:bookmarkStart w:id="27" w:name="_Toc469313201"/>
      <w:r>
        <w:rPr>
          <w:rFonts w:cs="Times New Roman"/>
          <w:b/>
          <w:noProof/>
          <w:color w:val="1F497D" w:themeColor="text2"/>
          <w:sz w:val="24"/>
          <w:lang w:eastAsia="en-GB"/>
        </w:rPr>
        <w:t>Marine protection</w:t>
      </w:r>
      <w:bookmarkEnd w:id="26"/>
      <w:bookmarkEnd w:id="27"/>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legislation require that by 2020 the impact of pressures on marine waters is reduced to achieve or maintain good environmental status and coastal zones are managed </w:t>
      </w:r>
      <w:r>
        <w:rPr>
          <w:rFonts w:cs="Times New Roman"/>
          <w:noProof/>
          <w:color w:val="FFFFFF" w:themeColor="background1"/>
          <w:sz w:val="20"/>
        </w:rPr>
        <w:t>sustainably.</w:t>
      </w:r>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647B3C" w:rsidRDefault="009B368F">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39"/>
      </w:r>
      <w:r>
        <w:rPr>
          <w:rFonts w:cs="Times New Roman"/>
          <w:noProof/>
          <w:sz w:val="20"/>
        </w:rPr>
        <w:t xml:space="preserve"> aims to achieve Good Environmental Status (GES) of the EU's marine wat</w:t>
      </w:r>
      <w:r>
        <w:rPr>
          <w:rFonts w:cs="Times New Roman"/>
          <w:noProof/>
          <w:sz w:val="20"/>
        </w:rPr>
        <w:t>ers by 2020 by providing an ecosystem approach to the management of human activities with impact on the marine environment. The Directive requires Member States to develop and implement a marine strategy for their marine waters, and cooperate with Member S</w:t>
      </w:r>
      <w:r>
        <w:rPr>
          <w:rFonts w:cs="Times New Roman"/>
          <w:noProof/>
          <w:sz w:val="20"/>
        </w:rPr>
        <w:t>tates sharing the same marine region or subregion.</w:t>
      </w:r>
    </w:p>
    <w:p w:rsidR="00647B3C" w:rsidRDefault="009B368F">
      <w:pPr>
        <w:widowControl w:val="0"/>
        <w:spacing w:after="120" w:line="240" w:lineRule="auto"/>
        <w:jc w:val="both"/>
        <w:rPr>
          <w:rFonts w:cs="Times New Roman"/>
          <w:noProof/>
          <w:color w:val="FF0000"/>
          <w:sz w:val="20"/>
        </w:rPr>
      </w:pPr>
      <w:r>
        <w:rPr>
          <w:rFonts w:cs="Times New Roman"/>
          <w:noProof/>
          <w:sz w:val="20"/>
        </w:rPr>
        <w:t>As part of their marine strategies, Member States had to make an initial assessment of their marine waters, determine GES</w:t>
      </w:r>
      <w:r>
        <w:rPr>
          <w:rFonts w:cs="Times New Roman"/>
          <w:noProof/>
          <w:sz w:val="20"/>
          <w:vertAlign w:val="superscript"/>
        </w:rPr>
        <w:footnoteReference w:id="40"/>
      </w:r>
      <w:r>
        <w:rPr>
          <w:rFonts w:cs="Times New Roman"/>
          <w:noProof/>
          <w:sz w:val="20"/>
        </w:rPr>
        <w:t xml:space="preserve"> and establish environmental targets by July 2012. They also had to establish monit</w:t>
      </w:r>
      <w:r>
        <w:rPr>
          <w:rFonts w:cs="Times New Roman"/>
          <w:noProof/>
          <w:sz w:val="20"/>
        </w:rPr>
        <w:t>oring programmes for the on-going assessment of their marine waters by July 2014. The next element of their marine strategy is to establish a Programme of Measures (2016). The Commission assesses whether these elements constitute an appropriate framework t</w:t>
      </w:r>
      <w:r>
        <w:rPr>
          <w:rFonts w:cs="Times New Roman"/>
          <w:noProof/>
          <w:sz w:val="20"/>
        </w:rPr>
        <w:t>o meet the requirements of the MSFD.</w:t>
      </w:r>
    </w:p>
    <w:p w:rsidR="00647B3C" w:rsidRDefault="009B368F">
      <w:pPr>
        <w:widowControl w:val="0"/>
        <w:spacing w:before="120" w:after="120" w:line="240" w:lineRule="auto"/>
        <w:jc w:val="both"/>
        <w:rPr>
          <w:rFonts w:cs="Times New Roman"/>
          <w:noProof/>
          <w:sz w:val="20"/>
        </w:rPr>
      </w:pPr>
      <w:r>
        <w:rPr>
          <w:rFonts w:cs="Times New Roman"/>
          <w:noProof/>
          <w:sz w:val="20"/>
        </w:rPr>
        <w:t>Lithuanian marine waters are part of the Baltic Sea marine region. Lithuania is therefore party to the Convention on the Protection of the Marine Environment of the Baltic Sea (HELCOM). In the Baltic Sea, main risks for</w:t>
      </w:r>
      <w:r>
        <w:rPr>
          <w:rFonts w:cs="Times New Roman"/>
          <w:noProof/>
          <w:sz w:val="20"/>
        </w:rPr>
        <w:t xml:space="preserve"> biodiversity relate to eutrophication, overfishing and bycatch, pollution by contaminants and oil, and introduction of non-indigenous species.</w:t>
      </w:r>
    </w:p>
    <w:p w:rsidR="00647B3C" w:rsidRDefault="009B368F">
      <w:pPr>
        <w:widowControl w:val="0"/>
        <w:spacing w:before="120" w:after="120" w:line="240" w:lineRule="auto"/>
        <w:jc w:val="both"/>
        <w:rPr>
          <w:rFonts w:cs="Times New Roman"/>
          <w:noProof/>
          <w:sz w:val="20"/>
        </w:rPr>
      </w:pPr>
      <w:r>
        <w:rPr>
          <w:rFonts w:cs="Times New Roman"/>
          <w:noProof/>
          <w:sz w:val="20"/>
        </w:rPr>
        <w:t>With regard to the implementation of MSFD, Lithuania determined its good environmental status (GES) in 2012, but</w:t>
      </w:r>
      <w:r>
        <w:rPr>
          <w:rFonts w:cs="Times New Roman"/>
          <w:noProof/>
          <w:sz w:val="20"/>
        </w:rPr>
        <w:t xml:space="preserve"> the Commission's assessment revealed that GES was inadequate or partially adequate for a majority of descriptors. However, on the positive side, the attention given to seabird abundance is encouraging</w:t>
      </w:r>
      <w:r>
        <w:rPr>
          <w:rFonts w:cs="Times New Roman"/>
          <w:noProof/>
          <w:sz w:val="20"/>
          <w:vertAlign w:val="superscript"/>
        </w:rPr>
        <w:footnoteReference w:id="41"/>
      </w:r>
      <w:r>
        <w:rPr>
          <w:rFonts w:cs="Times New Roman"/>
          <w:noProof/>
          <w:sz w:val="20"/>
        </w:rPr>
        <w:t>.</w:t>
      </w:r>
    </w:p>
    <w:p w:rsidR="00647B3C" w:rsidRDefault="009B368F">
      <w:pPr>
        <w:widowControl w:val="0"/>
        <w:spacing w:before="120" w:after="120" w:line="240" w:lineRule="auto"/>
        <w:jc w:val="both"/>
        <w:rPr>
          <w:rFonts w:cs="Times New Roman"/>
          <w:noProof/>
          <w:sz w:val="20"/>
        </w:rPr>
      </w:pPr>
      <w:r>
        <w:rPr>
          <w:rFonts w:cs="Times New Roman"/>
          <w:noProof/>
          <w:sz w:val="20"/>
          <w:szCs w:val="20"/>
        </w:rPr>
        <w:t>It is however too early to say whether Lithuanian ma</w:t>
      </w:r>
      <w:r>
        <w:rPr>
          <w:rFonts w:cs="Times New Roman"/>
          <w:noProof/>
          <w:sz w:val="20"/>
          <w:szCs w:val="20"/>
        </w:rPr>
        <w:t>rine waters are in good status because of these inadequacies in defining what ''good environmental status" is.</w:t>
      </w:r>
    </w:p>
    <w:p w:rsidR="00647B3C" w:rsidRDefault="009B368F">
      <w:pPr>
        <w:widowControl w:val="0"/>
        <w:spacing w:before="120" w:after="120" w:line="240" w:lineRule="auto"/>
        <w:jc w:val="both"/>
        <w:rPr>
          <w:rFonts w:cs="Times New Roman"/>
          <w:noProof/>
          <w:sz w:val="20"/>
        </w:rPr>
      </w:pPr>
      <w:r>
        <w:rPr>
          <w:rFonts w:cs="Times New Roman"/>
          <w:noProof/>
          <w:sz w:val="20"/>
        </w:rPr>
        <w:t>Lithuania established a monitoring programme of its marine waters in 2014. However it seems that its monitoring programmes for all descriptors ap</w:t>
      </w:r>
      <w:r>
        <w:rPr>
          <w:rFonts w:cs="Times New Roman"/>
          <w:noProof/>
          <w:sz w:val="20"/>
        </w:rPr>
        <w:t>art from eutrophication, hydrographical changes and contaminants in seafood need further refinement to constitute an appropriate framework to monitor progress towards GES and targets, especially since Lithuania also reports that its monitoring programme wi</w:t>
      </w:r>
      <w:r>
        <w:rPr>
          <w:rFonts w:cs="Times New Roman"/>
          <w:noProof/>
          <w:sz w:val="20"/>
        </w:rPr>
        <w:t>ll not be in place before (or even after in many cases) 2020 for most descriptors</w:t>
      </w:r>
      <w:r>
        <w:rPr>
          <w:rFonts w:cs="Times New Roman"/>
          <w:noProof/>
          <w:sz w:val="20"/>
          <w:vertAlign w:val="superscript"/>
        </w:rPr>
        <w:footnoteReference w:id="42"/>
      </w:r>
      <w:r>
        <w:rPr>
          <w:rFonts w:cs="Times New Roman"/>
          <w:noProof/>
          <w:sz w:val="20"/>
        </w:rPr>
        <w:t xml:space="preserve">. </w:t>
      </w:r>
    </w:p>
    <w:p w:rsidR="00647B3C" w:rsidRDefault="009B368F">
      <w:pPr>
        <w:widowControl w:val="0"/>
        <w:spacing w:before="120" w:after="120" w:line="240" w:lineRule="auto"/>
        <w:jc w:val="both"/>
        <w:rPr>
          <w:rFonts w:cs="Times New Roman"/>
          <w:noProof/>
          <w:sz w:val="20"/>
        </w:rPr>
      </w:pPr>
      <w:r>
        <w:rPr>
          <w:rFonts w:cs="Times New Roman"/>
          <w:noProof/>
          <w:sz w:val="20"/>
        </w:rPr>
        <w:t>Lithuanian marine protected areas covered 673.8 square kilometres of its marine waters in the Baltic Sea</w:t>
      </w:r>
      <w:r>
        <w:rPr>
          <w:rFonts w:cs="Times New Roman"/>
          <w:noProof/>
          <w:sz w:val="20"/>
          <w:vertAlign w:val="superscript"/>
        </w:rPr>
        <w:footnoteReference w:id="43"/>
      </w:r>
      <w:r>
        <w:rPr>
          <w:rFonts w:cs="Times New Roman"/>
          <w:noProof/>
          <w:sz w:val="20"/>
        </w:rPr>
        <w:t>.</w:t>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In its reports on the implementation of the MSFD</w:t>
      </w:r>
      <w:r>
        <w:rPr>
          <w:rFonts w:cs="Times New Roman"/>
          <w:noProof/>
          <w:sz w:val="20"/>
          <w:szCs w:val="20"/>
          <w:vertAlign w:val="superscript"/>
        </w:rPr>
        <w:footnoteReference w:id="44"/>
      </w:r>
      <w:r>
        <w:rPr>
          <w:rFonts w:cs="Times New Roman"/>
          <w:noProof/>
          <w:sz w:val="20"/>
          <w:szCs w:val="20"/>
        </w:rPr>
        <w:t>, the Commissio</w:t>
      </w:r>
      <w:r>
        <w:rPr>
          <w:rFonts w:cs="Times New Roman"/>
          <w:noProof/>
          <w:sz w:val="20"/>
          <w:szCs w:val="20"/>
        </w:rPr>
        <w:t>n provided guidance to assist Lithuania in its implementation of the Directive.</w:t>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The use and protection of marine areas of Lithuania are regulated by the Upgrading of the Comprehensive Plan of the Republic of Lithuania by Marine Areas, approved by the Parli</w:t>
      </w:r>
      <w:r>
        <w:rPr>
          <w:rFonts w:cs="Times New Roman"/>
          <w:noProof/>
          <w:sz w:val="20"/>
          <w:szCs w:val="20"/>
        </w:rPr>
        <w:t>ament of the Republic of Lithuania by the Resolution No. XII-1781 on 11th of June, 2015.</w:t>
      </w:r>
    </w:p>
    <w:p w:rsidR="00647B3C" w:rsidRDefault="009B368F">
      <w:pPr>
        <w:widowControl w:val="0"/>
        <w:spacing w:before="120" w:after="120" w:line="240" w:lineRule="auto"/>
        <w:jc w:val="both"/>
        <w:rPr>
          <w:rFonts w:cs="Times New Roman"/>
          <w:noProof/>
          <w:sz w:val="20"/>
          <w:szCs w:val="20"/>
        </w:rPr>
      </w:pPr>
      <w:r>
        <w:rPr>
          <w:rFonts w:cs="Times New Roman"/>
          <w:noProof/>
          <w:sz w:val="20"/>
          <w:szCs w:val="20"/>
        </w:rPr>
        <w:t xml:space="preserve">  </w:t>
      </w:r>
    </w:p>
    <w:p w:rsidR="00647B3C" w:rsidRDefault="009B368F">
      <w:pPr>
        <w:widowControl w:val="0"/>
        <w:spacing w:before="12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47B3C" w:rsidRDefault="009B368F">
      <w:pPr>
        <w:pStyle w:val="NoSpacing"/>
        <w:rPr>
          <w:noProof/>
          <w:szCs w:val="20"/>
        </w:rPr>
      </w:pPr>
      <w:r>
        <w:rPr>
          <w:noProof/>
        </w:rPr>
        <w:t>Continue work to improve the definitions of GES in particular for biodiversity descriptors, including through regional cooperation by using the wor</w:t>
      </w:r>
      <w:r>
        <w:rPr>
          <w:noProof/>
        </w:rPr>
        <w:t>k of the relevant Regional Sea Convention.</w:t>
      </w:r>
    </w:p>
    <w:p w:rsidR="00647B3C" w:rsidRDefault="009B368F">
      <w:pPr>
        <w:pStyle w:val="NoSpacing"/>
        <w:rPr>
          <w:noProof/>
          <w:szCs w:val="20"/>
        </w:rPr>
      </w:pPr>
      <w:r>
        <w:rPr>
          <w:noProof/>
        </w:rPr>
        <w:t>Identify and address knowledge gaps.</w:t>
      </w:r>
    </w:p>
    <w:p w:rsidR="00647B3C" w:rsidRDefault="009B368F">
      <w:pPr>
        <w:pStyle w:val="NoSpacing"/>
        <w:rPr>
          <w:noProof/>
        </w:rPr>
      </w:pPr>
      <w:r>
        <w:rPr>
          <w:noProof/>
        </w:rPr>
        <w:t>Further develop approaches assessing (and quantifying) impacts from the main pressures in order to lead to improved and more conclusive assessment results for 2018 reporting.</w:t>
      </w:r>
    </w:p>
    <w:p w:rsidR="00647B3C" w:rsidRDefault="009B368F">
      <w:pPr>
        <w:pStyle w:val="NoSpacing"/>
        <w:rPr>
          <w:noProof/>
        </w:rPr>
      </w:pPr>
      <w:r>
        <w:rPr>
          <w:noProof/>
        </w:rPr>
        <w:t xml:space="preserve">Continue to </w:t>
      </w:r>
      <w:r>
        <w:rPr>
          <w:rFonts w:eastAsia="Times New Roman"/>
          <w:bCs/>
          <w:noProof/>
          <w:color w:val="000000"/>
          <w:lang w:eastAsia="en-GB"/>
        </w:rPr>
        <w:t>integrate</w:t>
      </w:r>
      <w:r>
        <w:rPr>
          <w:noProof/>
        </w:rPr>
        <w:t xml:space="preserve"> monitoring programmes already existing under relevant EU legislation, and to implement, where they exist, joint monitoring programmes developed at (sub)regional level, for instance by HELCOM.</w:t>
      </w:r>
    </w:p>
    <w:p w:rsidR="00647B3C" w:rsidRDefault="009B368F">
      <w:pPr>
        <w:pStyle w:val="NoSpacing"/>
        <w:rPr>
          <w:noProof/>
        </w:rPr>
      </w:pPr>
      <w:r>
        <w:rPr>
          <w:noProof/>
        </w:rPr>
        <w:t>E</w:t>
      </w:r>
      <w:r>
        <w:rPr>
          <w:noProof/>
          <w:szCs w:val="20"/>
        </w:rPr>
        <w:t>nhance comparability and consistency of m</w:t>
      </w:r>
      <w:r>
        <w:rPr>
          <w:noProof/>
          <w:szCs w:val="20"/>
        </w:rPr>
        <w:t>onitoring approaches within its marine region.</w:t>
      </w:r>
    </w:p>
    <w:p w:rsidR="00647B3C" w:rsidRDefault="009B368F">
      <w:pPr>
        <w:pStyle w:val="NoSpacing"/>
        <w:rPr>
          <w:noProof/>
        </w:rPr>
      </w:pPr>
      <w:r>
        <w:rPr>
          <w:noProof/>
          <w:szCs w:val="20"/>
        </w:rPr>
        <w:t>Urgently report and implement its programme of measures</w:t>
      </w:r>
      <w:r>
        <w:rPr>
          <w:noProof/>
          <w:szCs w:val="20"/>
          <w:vertAlign w:val="superscript"/>
        </w:rPr>
        <w:footnoteReference w:id="45"/>
      </w:r>
      <w:r>
        <w:rPr>
          <w:noProof/>
          <w:szCs w:val="20"/>
        </w:rPr>
        <w:t>.</w:t>
      </w:r>
      <w:r>
        <w:rPr>
          <w:noProof/>
        </w:rPr>
        <w:t xml:space="preserve"> </w:t>
      </w:r>
    </w:p>
    <w:p w:rsidR="00647B3C" w:rsidRDefault="009B368F">
      <w:pPr>
        <w:pStyle w:val="NoSpacing"/>
        <w:rPr>
          <w:noProof/>
          <w:color w:val="FF0000"/>
        </w:rPr>
      </w:pPr>
      <w:r>
        <w:rPr>
          <w:noProof/>
        </w:rPr>
        <w:t>Ensure that the monitoring programme is implemented without delay, addresses all descriptors and is appropriate to monitor progress towards GES.</w:t>
      </w:r>
      <w:r>
        <w:rPr>
          <w:noProof/>
          <w:color w:val="FF0000"/>
        </w:rPr>
        <w:br w:type="page"/>
      </w:r>
    </w:p>
    <w:p w:rsidR="00647B3C" w:rsidRDefault="00647B3C">
      <w:pPr>
        <w:widowControl w:val="0"/>
        <w:spacing w:after="120" w:line="240" w:lineRule="auto"/>
        <w:jc w:val="both"/>
        <w:rPr>
          <w:rFonts w:cs="Times New Roman"/>
          <w:noProof/>
          <w:sz w:val="20"/>
        </w:rPr>
        <w:sectPr w:rsidR="00647B3C">
          <w:headerReference w:type="even" r:id="rId78"/>
          <w:headerReference w:type="default" r:id="rId79"/>
          <w:footerReference w:type="even" r:id="rId80"/>
          <w:footerReference w:type="default" r:id="rId81"/>
          <w:headerReference w:type="first" r:id="rId82"/>
          <w:footerReference w:type="first" r:id="rId83"/>
          <w:type w:val="continuous"/>
          <w:pgSz w:w="11906" w:h="16838"/>
          <w:pgMar w:top="1440" w:right="1080" w:bottom="1440" w:left="1080" w:header="708" w:footer="708" w:gutter="0"/>
          <w:cols w:num="2" w:space="357"/>
          <w:docGrid w:linePitch="360"/>
        </w:sectPr>
      </w:pPr>
    </w:p>
    <w:p w:rsidR="00647B3C" w:rsidRDefault="009B368F">
      <w:pPr>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bookmarkStart w:id="28" w:name="_Toc469313202"/>
      <w:r>
        <w:rPr>
          <w:rFonts w:eastAsiaTheme="majorEastAsia" w:cstheme="majorBidi"/>
          <w:b/>
          <w:bCs/>
          <w:noProof/>
          <w:color w:val="1F497D" w:themeColor="text2"/>
          <w:sz w:val="32"/>
          <w:szCs w:val="28"/>
        </w:rPr>
        <w:t>Ensuring citizens' health and quality of life</w:t>
      </w:r>
      <w:bookmarkEnd w:id="28"/>
    </w:p>
    <w:p w:rsidR="00647B3C" w:rsidRDefault="00647B3C">
      <w:pPr>
        <w:widowControl w:val="0"/>
        <w:spacing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sectPr w:rsidR="00647B3C">
          <w:headerReference w:type="even" r:id="rId84"/>
          <w:headerReference w:type="default" r:id="rId85"/>
          <w:footerReference w:type="even" r:id="rId86"/>
          <w:footerReference w:type="default" r:id="rId87"/>
          <w:headerReference w:type="first" r:id="rId88"/>
          <w:footerReference w:type="first" r:id="rId89"/>
          <w:type w:val="continuous"/>
          <w:pgSz w:w="11906" w:h="16838"/>
          <w:pgMar w:top="1440" w:right="1080" w:bottom="1440" w:left="1080" w:header="708" w:footer="708" w:gutter="0"/>
          <w:cols w:space="566"/>
          <w:docGrid w:linePitch="360"/>
        </w:sectPr>
      </w:pPr>
    </w:p>
    <w:p w:rsidR="00647B3C" w:rsidRDefault="009B368F">
      <w:pPr>
        <w:widowControl w:val="0"/>
        <w:spacing w:before="120" w:after="120" w:line="240" w:lineRule="auto"/>
        <w:outlineLvl w:val="1"/>
        <w:rPr>
          <w:rFonts w:cs="Times New Roman"/>
          <w:b/>
          <w:noProof/>
          <w:color w:val="1F497D" w:themeColor="text2"/>
          <w:sz w:val="24"/>
        </w:rPr>
      </w:pPr>
      <w:bookmarkStart w:id="29" w:name="_Toc433296166"/>
      <w:bookmarkStart w:id="30" w:name="_Toc454813115"/>
      <w:bookmarkStart w:id="31" w:name="_Toc469313203"/>
      <w:r>
        <w:rPr>
          <w:rFonts w:cs="Times New Roman"/>
          <w:b/>
          <w:noProof/>
          <w:color w:val="1F497D" w:themeColor="text2"/>
          <w:sz w:val="24"/>
        </w:rPr>
        <w:t>Air quality</w:t>
      </w:r>
      <w:bookmarkEnd w:id="29"/>
      <w:bookmarkEnd w:id="30"/>
      <w:bookmarkEnd w:id="31"/>
      <w:r>
        <w:rPr>
          <w:rFonts w:cs="Times New Roman"/>
          <w:b/>
          <w:noProof/>
          <w:color w:val="1F497D" w:themeColor="text2"/>
          <w:sz w:val="24"/>
        </w:rPr>
        <w:t xml:space="preserve"> </w:t>
      </w:r>
    </w:p>
    <w:tbl>
      <w:tblPr>
        <w:tblStyle w:val="TableGrid11"/>
        <w:tblpPr w:leftFromText="180" w:rightFromText="180" w:vertAnchor="text" w:horzAnchor="margin" w:tblpY="3537"/>
        <w:tblW w:w="100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5"/>
      </w:tblGrid>
      <w:tr w:rsidR="00647B3C">
        <w:trPr>
          <w:trHeight w:val="328"/>
        </w:trPr>
        <w:tc>
          <w:tcPr>
            <w:tcW w:w="10095" w:type="dxa"/>
          </w:tcPr>
          <w:p w:rsidR="00647B3C" w:rsidRDefault="009B368F">
            <w:pPr>
              <w:spacing w:after="120"/>
              <w:jc w:val="both"/>
              <w:rPr>
                <w:b/>
                <w:bCs/>
                <w:noProof/>
                <w:color w:val="1F497D" w:themeColor="text2"/>
                <w:sz w:val="20"/>
              </w:rPr>
            </w:pPr>
            <w:r>
              <w:rPr>
                <w:b/>
                <w:bCs/>
                <w:noProof/>
                <w:color w:val="1F497D" w:themeColor="text2"/>
                <w:sz w:val="20"/>
              </w:rPr>
              <w:t>Figure 9: Attainment situation for PM10, NO2 and O3 in 2014</w:t>
            </w:r>
          </w:p>
        </w:tc>
      </w:tr>
      <w:tr w:rsidR="00647B3C">
        <w:trPr>
          <w:trHeight w:val="4030"/>
        </w:trPr>
        <w:tc>
          <w:tcPr>
            <w:tcW w:w="10095" w:type="dxa"/>
          </w:tcPr>
          <w:p w:rsidR="00647B3C" w:rsidRDefault="009B368F">
            <w:pPr>
              <w:spacing w:after="120"/>
              <w:jc w:val="both"/>
              <w:rPr>
                <w:noProof/>
                <w:sz w:val="20"/>
              </w:rPr>
            </w:pPr>
            <w:r>
              <w:rPr>
                <w:noProof/>
                <w:sz w:val="20"/>
                <w:lang w:eastAsia="en-GB"/>
              </w:rPr>
              <w:drawing>
                <wp:inline distT="0" distB="0" distL="0" distR="0" wp14:anchorId="4C22E81F" wp14:editId="722FC90C">
                  <wp:extent cx="6273210" cy="3100282"/>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74548" cy="3100943"/>
                          </a:xfrm>
                          <a:prstGeom prst="rect">
                            <a:avLst/>
                          </a:prstGeom>
                          <a:noFill/>
                        </pic:spPr>
                      </pic:pic>
                    </a:graphicData>
                  </a:graphic>
                </wp:inline>
              </w:drawing>
            </w:r>
          </w:p>
        </w:tc>
      </w:tr>
    </w:tbl>
    <w:p w:rsidR="00647B3C" w:rsidRDefault="009B368F">
      <w:pPr>
        <w:widowControl w:val="0"/>
        <w:shd w:val="clear" w:color="auto" w:fill="4F81BD" w:themeFill="accent1"/>
        <w:spacing w:after="120" w:line="240" w:lineRule="auto"/>
        <w:jc w:val="both"/>
        <w:rPr>
          <w:rFonts w:cs="Times New Roman"/>
          <w:noProof/>
          <w:color w:val="FFFFFF" w:themeColor="background1"/>
          <w:sz w:val="20"/>
          <w:szCs w:val="20"/>
        </w:rPr>
      </w:pPr>
      <w:bookmarkStart w:id="32" w:name="_Toc433296167"/>
      <w:r>
        <w:rPr>
          <w:rFonts w:cs="Times New Roman"/>
          <w:noProof/>
          <w:color w:val="FFFFFF" w:themeColor="background1"/>
          <w:sz w:val="20"/>
          <w:szCs w:val="20"/>
        </w:rPr>
        <w:t xml:space="preserve">The EU Clean Air Policy and legislation require that air quality in the Union is significantly improved, moving closer to the WHO recommended levels. </w:t>
      </w:r>
      <w:r>
        <w:rPr>
          <w:rFonts w:cs="Times New Roman"/>
          <w:noProof/>
          <w:color w:val="FFFFFF" w:themeColor="background1"/>
          <w:sz w:val="20"/>
          <w:szCs w:val="20"/>
        </w:rPr>
        <w:t>Air pollution and its impacts on ecosystems and biodiversity should be further reduced with the long-term aim of not exceeding critical loads and levels. This requires strengthening efforts to reach full compliance with Union air quality legislation and de</w:t>
      </w:r>
      <w:r>
        <w:rPr>
          <w:rFonts w:cs="Times New Roman"/>
          <w:noProof/>
          <w:color w:val="FFFFFF" w:themeColor="background1"/>
          <w:sz w:val="20"/>
          <w:szCs w:val="20"/>
        </w:rPr>
        <w:t>fining strategic targets and actions beyond 2020.</w:t>
      </w:r>
    </w:p>
    <w:p w:rsidR="00647B3C" w:rsidRDefault="009B368F">
      <w:pPr>
        <w:widowControl w:val="0"/>
        <w:spacing w:before="120" w:after="120" w:line="240" w:lineRule="auto"/>
        <w:jc w:val="both"/>
        <w:rPr>
          <w:rFonts w:cs="Times New Roman"/>
          <w:iCs/>
          <w:noProof/>
          <w:sz w:val="20"/>
          <w:szCs w:val="20"/>
        </w:rPr>
      </w:pPr>
      <w:r>
        <w:rPr>
          <w:rFonts w:cs="Times New Roman"/>
          <w:iCs/>
          <w:noProof/>
          <w:sz w:val="20"/>
          <w:szCs w:val="20"/>
        </w:rPr>
        <w:t>The EU has developed a comprehensive suite of air quality legislation</w:t>
      </w:r>
      <w:r>
        <w:rPr>
          <w:rFonts w:cs="Times New Roman"/>
          <w:noProof/>
          <w:sz w:val="20"/>
          <w:szCs w:val="20"/>
          <w:vertAlign w:val="superscript"/>
        </w:rPr>
        <w:footnoteReference w:id="46"/>
      </w:r>
      <w:r>
        <w:rPr>
          <w:rFonts w:cs="Times New Roman"/>
          <w:iCs/>
          <w:noProof/>
          <w:sz w:val="20"/>
          <w:szCs w:val="20"/>
        </w:rPr>
        <w:t>,</w:t>
      </w:r>
      <w:r>
        <w:rPr>
          <w:rFonts w:cs="Times New Roman"/>
          <w:noProof/>
          <w:sz w:val="20"/>
          <w:szCs w:val="20"/>
        </w:rPr>
        <w:t xml:space="preserve"> </w:t>
      </w:r>
      <w:r>
        <w:rPr>
          <w:rFonts w:cs="Times New Roman"/>
          <w:iCs/>
          <w:noProof/>
          <w:sz w:val="20"/>
          <w:szCs w:val="20"/>
        </w:rPr>
        <w:t>which establishes health-based standards and objectives for a number of air pollutants. As part of this, Member States are also requir</w:t>
      </w:r>
      <w:r>
        <w:rPr>
          <w:rFonts w:cs="Times New Roman"/>
          <w:iCs/>
          <w:noProof/>
          <w:sz w:val="20"/>
          <w:szCs w:val="20"/>
        </w:rPr>
        <w:t>ed to ensure that up-to-date information on ambient concentrations of different air pollutants is routinely made available to the public. In addition, the National Emission Ceilings Directive provides for emission reductions at national level that should b</w:t>
      </w:r>
      <w:r>
        <w:rPr>
          <w:rFonts w:cs="Times New Roman"/>
          <w:iCs/>
          <w:noProof/>
          <w:sz w:val="20"/>
          <w:szCs w:val="20"/>
        </w:rPr>
        <w:t>e achieved for main pollutants.</w:t>
      </w:r>
    </w:p>
    <w:p w:rsidR="00647B3C" w:rsidRDefault="009B368F">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The emission of several air pollutants has decreased significantly in Lithuania</w:t>
      </w:r>
      <w:r>
        <w:rPr>
          <w:rFonts w:cs="Times New Roman"/>
          <w:noProof/>
          <w:sz w:val="20"/>
          <w:szCs w:val="20"/>
          <w:vertAlign w:val="superscript"/>
          <w:lang w:eastAsia="en-GB"/>
        </w:rPr>
        <w:footnoteReference w:id="47"/>
      </w:r>
      <w:r>
        <w:rPr>
          <w:rFonts w:cs="Times New Roman"/>
          <w:noProof/>
          <w:sz w:val="20"/>
          <w:szCs w:val="20"/>
          <w:lang w:eastAsia="en-GB"/>
        </w:rPr>
        <w:t>. Reductions between 1990 and 2014 for sulphur oxides (</w:t>
      </w:r>
      <w:r>
        <w:rPr>
          <w:rFonts w:cs="Times New Roman"/>
          <w:noProof/>
          <w:sz w:val="20"/>
          <w:szCs w:val="20"/>
          <w:lang w:eastAsia="en-GB"/>
        </w:rPr>
        <w:noBreakHyphen/>
        <w:t>89%), nitrogen oxides (-60%), ammonia (-52%) as well as volatile organic compounds (</w:t>
      </w:r>
      <w:r>
        <w:rPr>
          <w:rFonts w:cs="Times New Roman"/>
          <w:noProof/>
          <w:sz w:val="20"/>
          <w:szCs w:val="20"/>
          <w:lang w:eastAsia="en-GB"/>
        </w:rPr>
        <w:noBreakHyphen/>
        <w:t>52%</w:t>
      </w:r>
      <w:r>
        <w:rPr>
          <w:rFonts w:cs="Times New Roman"/>
          <w:noProof/>
          <w:sz w:val="20"/>
          <w:szCs w:val="20"/>
          <w:lang w:eastAsia="en-GB"/>
        </w:rPr>
        <w:t>) ensure air emissions for these pollutants are within the currently applicable national emission ceilings</w:t>
      </w:r>
      <w:r>
        <w:rPr>
          <w:rFonts w:cs="Times New Roman"/>
          <w:noProof/>
          <w:sz w:val="20"/>
          <w:szCs w:val="20"/>
          <w:vertAlign w:val="superscript"/>
          <w:lang w:eastAsia="en-GB"/>
        </w:rPr>
        <w:footnoteReference w:id="48"/>
      </w:r>
      <w:r>
        <w:rPr>
          <w:rFonts w:cs="Times New Roman"/>
          <w:noProof/>
          <w:sz w:val="20"/>
          <w:szCs w:val="20"/>
          <w:lang w:eastAsia="en-GB"/>
        </w:rPr>
        <w:t>.</w:t>
      </w:r>
    </w:p>
    <w:p w:rsidR="00647B3C" w:rsidRDefault="009B368F">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At the same time, air quality in Lithuania continues to give cause for concern. For the year 2013, the European Environment Agency</w:t>
      </w:r>
      <w:r>
        <w:rPr>
          <w:rFonts w:cs="Times New Roman"/>
          <w:noProof/>
          <w:sz w:val="20"/>
          <w:szCs w:val="20"/>
          <w:vertAlign w:val="superscript"/>
          <w:lang w:eastAsia="en-GB"/>
        </w:rPr>
        <w:footnoteReference w:id="49"/>
      </w:r>
      <w:r>
        <w:rPr>
          <w:rFonts w:cs="Times New Roman"/>
          <w:noProof/>
          <w:sz w:val="20"/>
          <w:szCs w:val="20"/>
          <w:lang w:eastAsia="en-GB"/>
        </w:rPr>
        <w:t xml:space="preserve"> estimated that </w:t>
      </w:r>
      <w:r>
        <w:rPr>
          <w:rFonts w:cs="Times New Roman"/>
          <w:noProof/>
          <w:sz w:val="20"/>
          <w:szCs w:val="20"/>
          <w:lang w:eastAsia="en-GB"/>
        </w:rPr>
        <w:t>about 3 170 premature deaths were attributable to fine particulate matter concentrations</w:t>
      </w:r>
      <w:r>
        <w:rPr>
          <w:rFonts w:cs="Times New Roman"/>
          <w:noProof/>
          <w:sz w:val="20"/>
          <w:szCs w:val="20"/>
          <w:vertAlign w:val="superscript"/>
          <w:lang w:eastAsia="en-GB"/>
        </w:rPr>
        <w:footnoteReference w:id="50"/>
      </w:r>
      <w:r>
        <w:rPr>
          <w:rFonts w:cs="Times New Roman"/>
          <w:noProof/>
          <w:sz w:val="20"/>
          <w:szCs w:val="20"/>
          <w:lang w:eastAsia="en-GB"/>
        </w:rPr>
        <w:t xml:space="preserve"> and 90 to ozone concentrations</w:t>
      </w:r>
      <w:r>
        <w:rPr>
          <w:rFonts w:cs="Times New Roman"/>
          <w:noProof/>
          <w:sz w:val="20"/>
          <w:szCs w:val="20"/>
          <w:vertAlign w:val="superscript"/>
          <w:lang w:eastAsia="en-GB"/>
        </w:rPr>
        <w:footnoteReference w:id="51"/>
      </w:r>
      <w:r>
        <w:rPr>
          <w:rFonts w:cs="Times New Roman"/>
          <w:noProof/>
          <w:sz w:val="20"/>
          <w:szCs w:val="20"/>
          <w:lang w:eastAsia="en-GB"/>
        </w:rPr>
        <w:t>. This is due also to exceedances above the EU air quality standards such as shown in Figure 9</w:t>
      </w:r>
      <w:r>
        <w:rPr>
          <w:rFonts w:cs="Times New Roman"/>
          <w:noProof/>
          <w:sz w:val="20"/>
          <w:szCs w:val="20"/>
          <w:vertAlign w:val="superscript"/>
          <w:lang w:eastAsia="en-GB"/>
        </w:rPr>
        <w:footnoteReference w:id="52"/>
      </w:r>
      <w:r>
        <w:rPr>
          <w:rFonts w:cs="Times New Roman"/>
          <w:noProof/>
          <w:sz w:val="20"/>
          <w:szCs w:val="20"/>
          <w:lang w:eastAsia="en-GB"/>
        </w:rPr>
        <w:t xml:space="preserve">.  </w:t>
      </w:r>
    </w:p>
    <w:p w:rsidR="00647B3C" w:rsidRDefault="009B368F">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For 2014, exceedances above the EU a</w:t>
      </w:r>
      <w:r>
        <w:rPr>
          <w:rFonts w:cs="Times New Roman"/>
          <w:noProof/>
          <w:sz w:val="20"/>
          <w:szCs w:val="20"/>
          <w:lang w:eastAsia="en-GB"/>
        </w:rPr>
        <w:t xml:space="preserve">ir quality standards have been registered for particulate matter in one air quality zone (Vilnius). Furthermore, exceedances have been registered for long-term objectives regarding ozone concentration in three air quality zones for daily concentration and </w:t>
      </w:r>
      <w:r>
        <w:rPr>
          <w:rFonts w:cs="Times New Roman"/>
          <w:noProof/>
          <w:sz w:val="20"/>
          <w:szCs w:val="20"/>
          <w:lang w:eastAsia="en-GB"/>
        </w:rPr>
        <w:t>in one air quality zone for annual mean concentration</w:t>
      </w:r>
      <w:r>
        <w:rPr>
          <w:rFonts w:cs="Times New Roman"/>
          <w:noProof/>
          <w:sz w:val="20"/>
          <w:szCs w:val="20"/>
          <w:vertAlign w:val="superscript"/>
          <w:lang w:eastAsia="en-GB"/>
        </w:rPr>
        <w:footnoteReference w:id="53"/>
      </w:r>
      <w:r>
        <w:rPr>
          <w:rFonts w:cs="Times New Roman"/>
          <w:noProof/>
          <w:sz w:val="20"/>
          <w:szCs w:val="20"/>
          <w:lang w:eastAsia="en-GB"/>
        </w:rPr>
        <w:t xml:space="preserve">. </w:t>
      </w:r>
    </w:p>
    <w:p w:rsidR="00647B3C" w:rsidRDefault="009B368F">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It has been estimated that the health-related external costs from air pollution in Lithuania are above EUR 1 billion/year (income adjusted, 2010), which include not only the intrinsic value of living</w:t>
      </w:r>
      <w:r>
        <w:rPr>
          <w:rFonts w:cs="Times New Roman"/>
          <w:noProof/>
          <w:sz w:val="20"/>
          <w:szCs w:val="20"/>
          <w:lang w:eastAsia="en-GB"/>
        </w:rPr>
        <w:t xml:space="preserve"> a full health life but also direct costs to the economy. These direct economic costs relate to 488 thousand workdays lost each year due to sickness related to air pollution, with associated costs for employers of EUR 37 million/year (income adjusted, 2010</w:t>
      </w:r>
      <w:r>
        <w:rPr>
          <w:rFonts w:cs="Times New Roman"/>
          <w:noProof/>
          <w:sz w:val="20"/>
          <w:szCs w:val="20"/>
          <w:lang w:eastAsia="en-GB"/>
        </w:rPr>
        <w:t>), for healthcare of above EUR 5 million/year (income adjusted, 2010), and for agriculture (crop losses) of EUR 17 million/year (2010)</w:t>
      </w:r>
      <w:r>
        <w:rPr>
          <w:rFonts w:cs="Times New Roman"/>
          <w:noProof/>
          <w:sz w:val="20"/>
          <w:szCs w:val="20"/>
          <w:vertAlign w:val="superscript"/>
          <w:lang w:eastAsia="en-GB"/>
        </w:rPr>
        <w:footnoteReference w:id="54"/>
      </w:r>
      <w:r>
        <w:rPr>
          <w:rFonts w:cs="Times New Roman"/>
          <w:noProof/>
          <w:sz w:val="20"/>
          <w:szCs w:val="20"/>
          <w:lang w:eastAsia="en-GB"/>
        </w:rPr>
        <w:t>.</w:t>
      </w:r>
    </w:p>
    <w:p w:rsidR="00647B3C" w:rsidRDefault="009B368F">
      <w:pPr>
        <w:widowControl w:val="0"/>
        <w:spacing w:before="120" w:after="120" w:line="240" w:lineRule="auto"/>
        <w:jc w:val="both"/>
        <w:rPr>
          <w:rFonts w:cs="Times New Roman"/>
          <w:noProof/>
          <w:sz w:val="20"/>
          <w:szCs w:val="20"/>
          <w:lang w:eastAsia="en-GB"/>
        </w:rPr>
      </w:pPr>
      <w:r>
        <w:rPr>
          <w:rFonts w:cs="Times New Roman"/>
          <w:noProof/>
          <w:sz w:val="20"/>
          <w:szCs w:val="20"/>
          <w:lang w:eastAsia="en-GB"/>
        </w:rPr>
        <w:t xml:space="preserve">In 2014-2020, EUR 20 million of ESI funds are planned for actions ensuring better air quality and integrated pollution </w:t>
      </w:r>
      <w:r>
        <w:rPr>
          <w:rFonts w:cs="Times New Roman"/>
          <w:noProof/>
          <w:sz w:val="20"/>
          <w:szCs w:val="20"/>
          <w:lang w:eastAsia="en-GB"/>
        </w:rPr>
        <w:t>prevention and control.</w:t>
      </w:r>
    </w:p>
    <w:p w:rsidR="00647B3C" w:rsidRDefault="009B368F">
      <w:pPr>
        <w:widowControl w:val="0"/>
        <w:spacing w:before="120"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647B3C" w:rsidRDefault="009B368F">
      <w:pPr>
        <w:pStyle w:val="NoSpacing"/>
        <w:rPr>
          <w:noProof/>
        </w:rPr>
      </w:pPr>
      <w:r>
        <w:rPr>
          <w:noProof/>
        </w:rPr>
        <w:t>Maintain downward emissions trends of air pollutants in order to achieve full compliance with air quality limit values - and reduce adverse air pollution impacts on health, environment and economy.</w:t>
      </w:r>
    </w:p>
    <w:p w:rsidR="00647B3C" w:rsidRDefault="009B368F">
      <w:pPr>
        <w:pStyle w:val="NoSpacing"/>
        <w:rPr>
          <w:noProof/>
        </w:rPr>
      </w:pPr>
      <w:r>
        <w:rPr>
          <w:noProof/>
        </w:rPr>
        <w:t>Reduce PM</w:t>
      </w:r>
      <w:r>
        <w:rPr>
          <w:noProof/>
          <w:vertAlign w:val="subscript"/>
        </w:rPr>
        <w:t>10</w:t>
      </w:r>
      <w:r>
        <w:rPr>
          <w:noProof/>
        </w:rPr>
        <w:t xml:space="preserve"> emission and concentration, inter alia, by reducing emissions related to energy and heat generation using solid fuels, to transport and to agriculture.</w:t>
      </w:r>
    </w:p>
    <w:p w:rsidR="00647B3C" w:rsidRDefault="009B368F">
      <w:pPr>
        <w:widowControl w:val="0"/>
        <w:spacing w:before="120" w:after="120" w:line="240" w:lineRule="auto"/>
        <w:outlineLvl w:val="1"/>
        <w:rPr>
          <w:b/>
          <w:i/>
          <w:noProof/>
          <w:color w:val="1F497D" w:themeColor="text2"/>
          <w:sz w:val="24"/>
        </w:rPr>
      </w:pPr>
      <w:bookmarkStart w:id="33" w:name="_Toc469313204"/>
      <w:r>
        <w:rPr>
          <w:rFonts w:cs="Times New Roman"/>
          <w:b/>
          <w:noProof/>
          <w:color w:val="1F497D" w:themeColor="text2"/>
          <w:sz w:val="24"/>
        </w:rPr>
        <w:t>Noise</w:t>
      </w:r>
      <w:bookmarkEnd w:id="33"/>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w:t>
      </w:r>
      <w:r>
        <w:rPr>
          <w:rFonts w:cs="Times New Roman"/>
          <w:noProof/>
          <w:color w:val="FFFFFF" w:themeColor="background1"/>
          <w:sz w:val="20"/>
        </w:rPr>
        <w:t>d reduction of harmful effects due to exposure to environmental noise.</w:t>
      </w:r>
    </w:p>
    <w:p w:rsidR="00647B3C" w:rsidRDefault="009B368F">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5"/>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w:t>
      </w:r>
      <w:r>
        <w:rPr>
          <w:rFonts w:cs="Times New Roman"/>
          <w:noProof/>
          <w:sz w:val="20"/>
        </w:rPr>
        <w:t>ugh noise mapping, ensuring that information on environmental noise and its effects is made available to the public, and adopting action plans with a view to preventing and reducing environmental noise where necessary and to preserving the acoustic environ</w:t>
      </w:r>
      <w:r>
        <w:rPr>
          <w:rFonts w:cs="Times New Roman"/>
          <w:noProof/>
          <w:sz w:val="20"/>
        </w:rPr>
        <w:t>ment quality where it is good.</w:t>
      </w:r>
    </w:p>
    <w:p w:rsidR="00647B3C" w:rsidRDefault="009B368F">
      <w:pPr>
        <w:widowControl w:val="0"/>
        <w:spacing w:before="120" w:after="120" w:line="240" w:lineRule="auto"/>
        <w:jc w:val="both"/>
        <w:rPr>
          <w:rFonts w:cs="Times New Roman"/>
          <w:noProof/>
          <w:sz w:val="20"/>
        </w:rPr>
      </w:pPr>
      <w:r>
        <w:rPr>
          <w:rFonts w:cs="Times New Roman"/>
          <w:noProof/>
          <w:sz w:val="20"/>
        </w:rPr>
        <w:t>Lithuanian authorities have fulfilled all their obligations with regards to the Environmental Noise Directive</w:t>
      </w:r>
      <w:r>
        <w:rPr>
          <w:rFonts w:cs="Times New Roman"/>
          <w:noProof/>
          <w:sz w:val="20"/>
          <w:vertAlign w:val="superscript"/>
        </w:rPr>
        <w:footnoteReference w:id="56"/>
      </w:r>
      <w:r>
        <w:rPr>
          <w:rFonts w:cs="Times New Roman"/>
          <w:noProof/>
          <w:sz w:val="20"/>
        </w:rPr>
        <w:t xml:space="preserve"> for the current reporting period.</w:t>
      </w:r>
    </w:p>
    <w:p w:rsidR="00647B3C" w:rsidRDefault="009B368F">
      <w:pPr>
        <w:widowControl w:val="0"/>
        <w:spacing w:before="120" w:after="120" w:line="240" w:lineRule="auto"/>
        <w:outlineLvl w:val="1"/>
        <w:rPr>
          <w:rFonts w:cs="Times New Roman"/>
          <w:b/>
          <w:noProof/>
          <w:color w:val="1F497D" w:themeColor="text2"/>
          <w:sz w:val="24"/>
          <w:lang w:eastAsia="en-GB"/>
        </w:rPr>
      </w:pPr>
      <w:bookmarkStart w:id="34" w:name="_Toc454460685"/>
      <w:bookmarkStart w:id="35" w:name="_Toc469313205"/>
      <w:bookmarkEnd w:id="32"/>
      <w:r>
        <w:rPr>
          <w:rFonts w:cs="Times New Roman"/>
          <w:b/>
          <w:noProof/>
          <w:color w:val="1F497D" w:themeColor="text2"/>
          <w:sz w:val="24"/>
          <w:lang w:eastAsia="en-GB"/>
        </w:rPr>
        <w:t>Water quality and management</w:t>
      </w:r>
      <w:bookmarkEnd w:id="34"/>
      <w:bookmarkEnd w:id="35"/>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w:t>
      </w:r>
      <w:r>
        <w:rPr>
          <w:rFonts w:cs="Times New Roman"/>
          <w:noProof/>
          <w:color w:val="FFFFFF" w:themeColor="background1"/>
          <w:sz w:val="20"/>
        </w:rPr>
        <w:t>e impact of pressures on transitional, coastal and fresh waters (including surface and ground waters) is significantly reduced to achieve, maintain or enhance good status of water bodies, as defined by the Water Framework Directive; that citizens throughou</w:t>
      </w:r>
      <w:r>
        <w:rPr>
          <w:rFonts w:cs="Times New Roman"/>
          <w:noProof/>
          <w:color w:val="FFFFFF" w:themeColor="background1"/>
          <w:sz w:val="20"/>
        </w:rPr>
        <w:t>t the Union benefit from high standards for safe drinking and bathing water; and that the nutrient cycle (nitrogen and phosphorus) is managed in a more sustainable and resource-efficient way.</w:t>
      </w:r>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6 encourages countries to ensure availability and sustainabl</w:t>
      </w:r>
      <w:r>
        <w:rPr>
          <w:rFonts w:cs="Times New Roman"/>
          <w:noProof/>
          <w:color w:val="FFFFFF" w:themeColor="background1"/>
          <w:sz w:val="20"/>
        </w:rPr>
        <w:t>e management of water and sanitation for all.</w:t>
      </w:r>
    </w:p>
    <w:p w:rsidR="00647B3C" w:rsidRDefault="009B368F">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57"/>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647B3C" w:rsidRDefault="009B368F">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647B3C" w:rsidRDefault="009B368F">
      <w:pPr>
        <w:widowControl w:val="0"/>
        <w:autoSpaceDE w:val="0"/>
        <w:spacing w:before="120"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 Lithuania reported the status of 832 rivers, 354 lakes, 4 transitional, 2 coastal and 20 groundwater bodies</w:t>
      </w:r>
      <w:r>
        <w:rPr>
          <w:rFonts w:eastAsia="Times New Roman" w:cs="Times New Roman"/>
          <w:noProof/>
          <w:color w:val="000000"/>
          <w:sz w:val="20"/>
          <w:szCs w:val="20"/>
          <w:vertAlign w:val="superscript"/>
        </w:rPr>
        <w:footnoteReference w:id="58"/>
      </w:r>
      <w:r>
        <w:rPr>
          <w:rFonts w:eastAsia="Times New Roman" w:cs="Times New Roman"/>
          <w:noProof/>
          <w:color w:val="000000"/>
          <w:sz w:val="20"/>
          <w:szCs w:val="20"/>
        </w:rPr>
        <w:t>. 50% of natural surface water bodies ach</w:t>
      </w:r>
      <w:r>
        <w:rPr>
          <w:rFonts w:eastAsia="Times New Roman" w:cs="Times New Roman"/>
          <w:noProof/>
          <w:color w:val="000000"/>
          <w:sz w:val="20"/>
          <w:szCs w:val="20"/>
        </w:rPr>
        <w:t>ieve a good or high ecological status</w:t>
      </w:r>
      <w:r>
        <w:rPr>
          <w:rFonts w:eastAsia="Times New Roman" w:cs="Times New Roman"/>
          <w:noProof/>
          <w:color w:val="000000"/>
          <w:sz w:val="20"/>
          <w:szCs w:val="20"/>
          <w:vertAlign w:val="superscript"/>
        </w:rPr>
        <w:footnoteReference w:id="59"/>
      </w:r>
      <w:r>
        <w:rPr>
          <w:rFonts w:eastAsia="Times New Roman" w:cs="Times New Roman"/>
          <w:noProof/>
          <w:color w:val="000000"/>
          <w:sz w:val="20"/>
          <w:szCs w:val="20"/>
        </w:rPr>
        <w:t xml:space="preserve"> and only 37% of heavily modified or artificial water bodies</w:t>
      </w:r>
      <w:r>
        <w:rPr>
          <w:rFonts w:eastAsia="Times New Roman" w:cs="Times New Roman"/>
          <w:noProof/>
          <w:color w:val="000000"/>
          <w:sz w:val="20"/>
          <w:szCs w:val="20"/>
          <w:vertAlign w:val="superscript"/>
        </w:rPr>
        <w:footnoteReference w:id="60"/>
      </w:r>
      <w:r>
        <w:rPr>
          <w:rFonts w:eastAsia="Times New Roman" w:cs="Times New Roman"/>
          <w:noProof/>
          <w:color w:val="000000"/>
          <w:sz w:val="20"/>
          <w:szCs w:val="20"/>
        </w:rPr>
        <w:t xml:space="preserve"> achieve a good or high ecological potential. Almost 100% of surface water bodies, almost 100% of heavily modified and artificial water bodies and 100% of gr</w:t>
      </w:r>
      <w:r>
        <w:rPr>
          <w:rFonts w:eastAsia="Times New Roman" w:cs="Times New Roman"/>
          <w:noProof/>
          <w:color w:val="000000"/>
          <w:sz w:val="20"/>
          <w:szCs w:val="20"/>
        </w:rPr>
        <w:t>oundwater bodies achieve good chemical status</w:t>
      </w:r>
      <w:r>
        <w:rPr>
          <w:rFonts w:eastAsia="Times New Roman" w:cs="Times New Roman"/>
          <w:noProof/>
          <w:color w:val="000000"/>
          <w:sz w:val="20"/>
          <w:szCs w:val="20"/>
          <w:vertAlign w:val="superscript"/>
        </w:rPr>
        <w:footnoteReference w:id="61"/>
      </w:r>
      <w:r>
        <w:rPr>
          <w:rFonts w:eastAsia="Times New Roman" w:cs="Times New Roman"/>
          <w:noProof/>
          <w:color w:val="000000"/>
          <w:sz w:val="20"/>
          <w:szCs w:val="20"/>
        </w:rPr>
        <w:t>. Though 100% of groundwater bodies are in good quantitative and chemical status, and 5 groundwater bodies are classified as “groundwater bodies at risk” because of mineral water intrusion to drinking water aqu</w:t>
      </w:r>
      <w:r>
        <w:rPr>
          <w:rFonts w:eastAsia="Times New Roman" w:cs="Times New Roman"/>
          <w:noProof/>
          <w:color w:val="000000"/>
          <w:sz w:val="20"/>
          <w:szCs w:val="20"/>
        </w:rPr>
        <w:t>ifers.</w:t>
      </w:r>
    </w:p>
    <w:p w:rsidR="00647B3C" w:rsidRDefault="009B368F">
      <w:pPr>
        <w:widowControl w:val="0"/>
        <w:autoSpaceDE w:val="0"/>
        <w:spacing w:before="120" w:after="120" w:line="240" w:lineRule="auto"/>
        <w:jc w:val="both"/>
        <w:rPr>
          <w:rFonts w:eastAsia="Times New Roman" w:cs="Times New Roman"/>
          <w:noProof/>
          <w:color w:val="000000"/>
          <w:sz w:val="20"/>
          <w:szCs w:val="20"/>
        </w:rPr>
      </w:pPr>
      <w:r>
        <w:rPr>
          <w:rFonts w:cs="Times New Roman"/>
          <w:noProof/>
          <w:sz w:val="20"/>
          <w:lang w:eastAsia="en-GB"/>
        </w:rPr>
        <w:drawing>
          <wp:inline distT="0" distB="0" distL="0" distR="0" wp14:anchorId="2E40BEC2" wp14:editId="04E2D373">
            <wp:extent cx="2939143" cy="1964309"/>
            <wp:effectExtent l="0" t="0" r="0" b="0"/>
            <wp:docPr id="1" name="Picture 1" descr="P:\ENV-E2\1. ENV IMPLEMENTATION REVIEW\EIR Data management\Pictures\remaining pictures istock\clean\LT WATER LAKE iStock-13589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LT WATER LAKE iStock-13589296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40744" cy="1965379"/>
                    </a:xfrm>
                    <a:prstGeom prst="rect">
                      <a:avLst/>
                    </a:prstGeom>
                    <a:noFill/>
                    <a:ln>
                      <a:noFill/>
                    </a:ln>
                  </pic:spPr>
                </pic:pic>
              </a:graphicData>
            </a:graphic>
          </wp:inline>
        </w:drawing>
      </w:r>
      <w:r>
        <w:rPr>
          <w:rFonts w:eastAsia="Times New Roman" w:cs="Times New Roman"/>
          <w:noProof/>
          <w:color w:val="000000"/>
          <w:sz w:val="20"/>
          <w:szCs w:val="20"/>
        </w:rPr>
        <w:t>The main pressure for the Lithuanian surface water is diffuse pollution</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 xml:space="preserve"> mainly from agriculture that affects 26% of water bodies</w:t>
      </w:r>
      <w:r>
        <w:rPr>
          <w:rFonts w:cs="Times New Roman"/>
          <w:noProof/>
          <w:sz w:val="20"/>
        </w:rPr>
        <w:t xml:space="preserve"> </w:t>
      </w:r>
      <w:r>
        <w:rPr>
          <w:rFonts w:eastAsia="Times New Roman" w:cs="Times New Roman"/>
          <w:noProof/>
          <w:color w:val="000000"/>
          <w:sz w:val="20"/>
          <w:szCs w:val="20"/>
        </w:rPr>
        <w:t xml:space="preserve">on average. </w:t>
      </w:r>
    </w:p>
    <w:p w:rsidR="00647B3C" w:rsidRDefault="009B368F">
      <w:pPr>
        <w:widowControl w:val="0"/>
        <w:autoSpaceDE w:val="0"/>
        <w:spacing w:before="120"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Lithuanian RBMPs have a number of deficiencies that result in uncertainties about the status, pressur</w:t>
      </w:r>
      <w:r>
        <w:rPr>
          <w:rFonts w:eastAsia="Times New Roman" w:cs="Times New Roman"/>
          <w:noProof/>
          <w:color w:val="000000"/>
          <w:sz w:val="20"/>
          <w:szCs w:val="20"/>
        </w:rPr>
        <w:t>es and effectiveness of Programmes of Measures. In particular there were weaknesses in monitoring and methods for assessment and classification of both the ecological and chemical status. A high number of exemptions were applied without transparent justifi</w:t>
      </w:r>
      <w:r>
        <w:rPr>
          <w:rFonts w:eastAsia="Times New Roman" w:cs="Times New Roman"/>
          <w:noProof/>
          <w:color w:val="000000"/>
          <w:sz w:val="20"/>
          <w:szCs w:val="20"/>
        </w:rPr>
        <w:t>cation. The planned measures are expected to result in significant improvement of ecological potential of artificial and heavily modified water bodies by 24% and improvement of ecological status by 7% for natural water bodies.</w:t>
      </w:r>
    </w:p>
    <w:p w:rsidR="00647B3C" w:rsidRDefault="009B368F">
      <w:pPr>
        <w:widowControl w:val="0"/>
        <w:spacing w:before="120" w:after="120" w:line="240" w:lineRule="auto"/>
        <w:jc w:val="both"/>
        <w:rPr>
          <w:rFonts w:cs="Times New Roman"/>
          <w:noProof/>
          <w:sz w:val="20"/>
        </w:rPr>
      </w:pPr>
      <w:r>
        <w:rPr>
          <w:rFonts w:cs="Times New Roman"/>
          <w:noProof/>
          <w:sz w:val="20"/>
        </w:rPr>
        <w:t>Lithuania applies its Nitrate</w:t>
      </w:r>
      <w:r>
        <w:rPr>
          <w:rFonts w:cs="Times New Roman"/>
          <w:noProof/>
          <w:sz w:val="20"/>
        </w:rPr>
        <w:t xml:space="preserve">s Action Programme (NAP) throughout its territory which provides a basic level of protection for all waters. The current Action Programme expired on 1 May 2016. According to the last report on the implementation of the Nitrates Directive (referring to the </w:t>
      </w:r>
      <w:r>
        <w:rPr>
          <w:rFonts w:cs="Times New Roman"/>
          <w:noProof/>
          <w:sz w:val="20"/>
        </w:rPr>
        <w:t>period 2008-2011), there are low levels of nitrate in surface water and groundwater but high levels of eutrophication in rivers. Protection of the Baltic Sea is also an issue (all saline waters were reported as eutrophic).</w:t>
      </w:r>
    </w:p>
    <w:p w:rsidR="00647B3C" w:rsidRDefault="009B368F">
      <w:pPr>
        <w:widowControl w:val="0"/>
        <w:spacing w:before="120" w:after="120" w:line="240" w:lineRule="auto"/>
        <w:jc w:val="both"/>
        <w:rPr>
          <w:rFonts w:cs="Times New Roman"/>
          <w:noProof/>
          <w:sz w:val="20"/>
          <w:szCs w:val="20"/>
          <w:lang w:val="en-US"/>
        </w:rPr>
      </w:pPr>
      <w:r>
        <w:rPr>
          <w:rFonts w:cs="Times New Roman"/>
          <w:noProof/>
          <w:sz w:val="20"/>
          <w:szCs w:val="20"/>
          <w:lang w:val="en-US"/>
        </w:rPr>
        <w:t>As regards drinking water, Lithua</w:t>
      </w:r>
      <w:r>
        <w:rPr>
          <w:rFonts w:cs="Times New Roman"/>
          <w:noProof/>
          <w:sz w:val="20"/>
          <w:szCs w:val="20"/>
          <w:lang w:val="en-US"/>
        </w:rPr>
        <w:t>nia reaches very high compliance rates of 99-100% for microbiological, chemical and indicator parameters laid down in the Drinking Water Directive</w:t>
      </w:r>
      <w:r>
        <w:rPr>
          <w:rFonts w:cs="Times New Roman"/>
          <w:noProof/>
          <w:sz w:val="20"/>
          <w:szCs w:val="20"/>
          <w:vertAlign w:val="superscript"/>
          <w:lang w:val="en-US"/>
        </w:rPr>
        <w:footnoteReference w:id="63"/>
      </w:r>
      <w:r>
        <w:rPr>
          <w:rFonts w:cs="Times New Roman"/>
          <w:noProof/>
          <w:sz w:val="20"/>
          <w:szCs w:val="20"/>
          <w:lang w:val="en-US"/>
        </w:rPr>
        <w:t>.</w:t>
      </w:r>
    </w:p>
    <w:p w:rsidR="00647B3C" w:rsidRDefault="009B368F">
      <w:pPr>
        <w:widowControl w:val="0"/>
        <w:spacing w:before="120" w:after="120" w:line="240" w:lineRule="auto"/>
        <w:jc w:val="both"/>
        <w:rPr>
          <w:rFonts w:cs="Times New Roman"/>
          <w:noProof/>
          <w:sz w:val="20"/>
        </w:rPr>
      </w:pPr>
      <w:r>
        <w:rPr>
          <w:rFonts w:cs="Times New Roman"/>
          <w:noProof/>
          <w:sz w:val="20"/>
        </w:rPr>
        <w:t>Figure 10 shows that in 2015 in Lithuania</w:t>
      </w:r>
      <w:r>
        <w:rPr>
          <w:rFonts w:cs="Times New Roman"/>
          <w:noProof/>
          <w:sz w:val="20"/>
          <w:lang w:val="en-US"/>
        </w:rPr>
        <w:t xml:space="preserve"> out of 112 bathing waters, 85.7% were of excellent quality, 8.0% of good quality and 0.9% of sufficient quality. 1 bathing water was of poor quality or non-compliant while it was not possible to assess the remaining 5 bathing waters.</w:t>
      </w:r>
      <w:r>
        <w:rPr>
          <w:rFonts w:cs="Times New Roman"/>
          <w:noProof/>
          <w:sz w:val="20"/>
          <w:vertAlign w:val="superscript"/>
          <w:lang w:val="en-US"/>
        </w:rPr>
        <w:footnoteReference w:id="64"/>
      </w:r>
      <w:r>
        <w:rPr>
          <w:rFonts w:cs="Times New Roman"/>
          <w:noProof/>
          <w:sz w:val="20"/>
          <w:lang w:val="en-US"/>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p w:rsidR="00647B3C" w:rsidRDefault="009B368F">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10: Bathing </w:t>
            </w:r>
            <w:r>
              <w:rPr>
                <w:rFonts w:cs="Times New Roman"/>
                <w:b/>
                <w:bCs/>
                <w:noProof/>
                <w:color w:val="1F497D" w:themeColor="text2"/>
                <w:sz w:val="20"/>
              </w:rPr>
              <w:t>water quality 2012–15</w:t>
            </w:r>
            <w:r>
              <w:rPr>
                <w:rFonts w:cs="Times New Roman"/>
                <w:b/>
                <w:bCs/>
                <w:noProof/>
                <w:color w:val="1F497D" w:themeColor="text2"/>
                <w:sz w:val="20"/>
                <w:vertAlign w:val="superscript"/>
              </w:rPr>
              <w:footnoteReference w:id="65"/>
            </w:r>
          </w:p>
        </w:tc>
      </w:tr>
      <w:tr w:rsidR="00647B3C">
        <w:tc>
          <w:tcPr>
            <w:tcW w:w="4909" w:type="dxa"/>
          </w:tcPr>
          <w:p w:rsidR="00647B3C" w:rsidRDefault="009B368F">
            <w:pPr>
              <w:widowControl w:val="0"/>
              <w:spacing w:after="120"/>
              <w:jc w:val="both"/>
              <w:rPr>
                <w:rFonts w:cs="Times New Roman"/>
                <w:noProof/>
                <w:sz w:val="20"/>
              </w:rPr>
            </w:pPr>
            <w:r>
              <w:rPr>
                <w:rFonts w:cs="Times New Roman"/>
                <w:noProof/>
                <w:sz w:val="20"/>
                <w:lang w:eastAsia="en-GB"/>
              </w:rPr>
              <w:drawing>
                <wp:inline distT="0" distB="0" distL="0" distR="0" wp14:anchorId="0CD69462" wp14:editId="1F073085">
                  <wp:extent cx="2948474" cy="2527741"/>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0446" cy="2529432"/>
                          </a:xfrm>
                          <a:prstGeom prst="rect">
                            <a:avLst/>
                          </a:prstGeom>
                          <a:noFill/>
                        </pic:spPr>
                      </pic:pic>
                    </a:graphicData>
                  </a:graphic>
                </wp:inline>
              </w:drawing>
            </w:r>
          </w:p>
        </w:tc>
      </w:tr>
    </w:tbl>
    <w:p w:rsidR="00647B3C" w:rsidRDefault="009B368F">
      <w:pPr>
        <w:widowControl w:val="0"/>
        <w:spacing w:after="120" w:line="240" w:lineRule="auto"/>
        <w:jc w:val="both"/>
        <w:rPr>
          <w:rFonts w:cs="Times New Roman"/>
          <w:noProof/>
          <w:sz w:val="20"/>
        </w:rPr>
      </w:pPr>
      <w:r>
        <w:rPr>
          <w:rFonts w:cs="Times New Roman"/>
          <w:noProof/>
          <w:sz w:val="20"/>
        </w:rPr>
        <w:t>With a total generated load of 2.7 million population equivalents (p.e.), the final deadline to fully comply with the Urban Waste Water Treatment Directive (UWWTD) in Lithuania was end 2009 for all 67 agglomerations above 2000 p.</w:t>
      </w:r>
      <w:r>
        <w:rPr>
          <w:rFonts w:cs="Times New Roman"/>
          <w:noProof/>
          <w:sz w:val="20"/>
        </w:rPr>
        <w:t>e. It should be noted that all the Lithuanian territory is considered as sensitive, i.e., more stringent treatment is applicable in all the agglomerations whose size is above10000 p.e. On the basis of the latest data available (2011), Lithuania demonstrate</w:t>
      </w:r>
      <w:r>
        <w:rPr>
          <w:rFonts w:cs="Times New Roman"/>
          <w:noProof/>
          <w:sz w:val="20"/>
        </w:rPr>
        <w:t>s very high compliance rates with the Urban Waste Water Treatment Directive (with rates of 100% for both collection (Article 3 UWWTD) and secondary treatment (Article 4 UWWTD)) and 96.6% of the waste water load collected subject to more stringent treatment</w:t>
      </w:r>
      <w:r>
        <w:rPr>
          <w:rFonts w:cs="Times New Roman"/>
          <w:noProof/>
          <w:sz w:val="20"/>
        </w:rPr>
        <w:t xml:space="preserve"> in accordance with Article 5 of the UWWTD.</w:t>
      </w:r>
      <w:r>
        <w:rPr>
          <w:rFonts w:cs="Times New Roman"/>
          <w:noProof/>
          <w:sz w:val="20"/>
          <w:vertAlign w:val="superscript"/>
        </w:rPr>
        <w:footnoteReference w:id="66"/>
      </w:r>
      <w:r>
        <w:rPr>
          <w:rFonts w:cs="Times New Roman"/>
          <w:noProof/>
          <w:sz w:val="20"/>
        </w:rPr>
        <w:t xml:space="preserve"> However, and despite the general good results, it should be noted that 10.2% of the above-mentioned total p.e. is addressed via individual or other systems whose appropriateness to protect the environment might </w:t>
      </w:r>
      <w:r>
        <w:rPr>
          <w:rFonts w:cs="Times New Roman"/>
          <w:noProof/>
          <w:sz w:val="20"/>
        </w:rPr>
        <w:t>be questionable.</w:t>
      </w:r>
    </w:p>
    <w:p w:rsidR="00647B3C" w:rsidRDefault="009B368F">
      <w:pPr>
        <w:widowControl w:val="0"/>
        <w:spacing w:after="120" w:line="240" w:lineRule="auto"/>
        <w:jc w:val="both"/>
        <w:rPr>
          <w:rFonts w:cs="Times New Roman"/>
          <w:noProof/>
          <w:sz w:val="20"/>
        </w:rPr>
      </w:pPr>
      <w:r>
        <w:rPr>
          <w:rFonts w:cs="Times New Roman"/>
          <w:noProof/>
          <w:sz w:val="20"/>
        </w:rPr>
        <w:t xml:space="preserve">EU structural and investment funds are an important source of funding for water sector in Lithuania. In 2007-2013 around 570 million EUR were invested into the waste water collection and treatment system. </w:t>
      </w:r>
    </w:p>
    <w:p w:rsidR="00647B3C" w:rsidRDefault="009B368F">
      <w:pPr>
        <w:widowControl w:val="0"/>
        <w:spacing w:after="120" w:line="240" w:lineRule="auto"/>
        <w:jc w:val="both"/>
        <w:rPr>
          <w:rFonts w:cs="Times New Roman"/>
          <w:noProof/>
          <w:sz w:val="20"/>
        </w:rPr>
      </w:pPr>
      <w:r>
        <w:rPr>
          <w:rFonts w:cs="Times New Roman"/>
          <w:noProof/>
          <w:sz w:val="20"/>
        </w:rPr>
        <w:t xml:space="preserve">In 2014-2020, around 125 million </w:t>
      </w:r>
      <w:r>
        <w:rPr>
          <w:rFonts w:cs="Times New Roman"/>
          <w:noProof/>
          <w:sz w:val="20"/>
        </w:rPr>
        <w:t>EUR are planned for water management measures that will help to further develop waste water collection and treatment systems and improve environmental status of at least 20 surface water bodies.</w:t>
      </w:r>
    </w:p>
    <w:p w:rsidR="00647B3C" w:rsidRDefault="009B368F">
      <w:pPr>
        <w:widowControl w:val="0"/>
        <w:spacing w:after="120" w:line="240" w:lineRule="auto"/>
        <w:jc w:val="both"/>
        <w:rPr>
          <w:rFonts w:cstheme="minorHAnsi"/>
          <w:noProof/>
          <w:color w:val="1F497D" w:themeColor="text2"/>
          <w:szCs w:val="26"/>
        </w:rPr>
      </w:pPr>
      <w:bookmarkStart w:id="36" w:name="_Toc433296168"/>
      <w:r>
        <w:rPr>
          <w:rFonts w:cs="Times New Roman"/>
          <w:noProof/>
          <w:sz w:val="20"/>
          <w:lang w:eastAsia="en-GB"/>
        </w:rPr>
        <w:drawing>
          <wp:inline distT="0" distB="0" distL="0" distR="0" wp14:anchorId="71DD2BA4" wp14:editId="4CE01DCD">
            <wp:extent cx="2975866" cy="4469364"/>
            <wp:effectExtent l="0" t="0" r="0" b="7620"/>
            <wp:docPr id="4" name="Picture 4" descr="P:\ENV-E2\1. ENV IMPLEMENTATION REVIEW\EIR Data management\Pictures\remaining pictures istock\clean\LT beach iStock-50220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V-E2\1. ENV IMPLEMENTATION REVIEW\EIR Data management\Pictures\remaining pictures istock\clean\LT beach iStock-50220986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75624" cy="4469001"/>
                    </a:xfrm>
                    <a:prstGeom prst="rect">
                      <a:avLst/>
                    </a:prstGeom>
                    <a:noFill/>
                    <a:ln>
                      <a:noFill/>
                    </a:ln>
                  </pic:spPr>
                </pic:pic>
              </a:graphicData>
            </a:graphic>
          </wp:inline>
        </w:drawing>
      </w:r>
      <w:r>
        <w:rPr>
          <w:rFonts w:cstheme="minorHAnsi"/>
          <w:noProof/>
          <w:color w:val="1F497D" w:themeColor="text2"/>
          <w:szCs w:val="26"/>
        </w:rPr>
        <w:t>Suggested action</w:t>
      </w:r>
    </w:p>
    <w:p w:rsidR="00647B3C" w:rsidRDefault="009B368F">
      <w:pPr>
        <w:pStyle w:val="NoSpacing"/>
        <w:rPr>
          <w:noProof/>
        </w:rPr>
      </w:pPr>
      <w:r>
        <w:rPr>
          <w:noProof/>
        </w:rPr>
        <w:t>The RBMP measures should address all releva</w:t>
      </w:r>
      <w:r>
        <w:rPr>
          <w:noProof/>
        </w:rPr>
        <w:t>nt pressures and implementation gaps in particular measures addressing agricultural pollution by nutrients. Measures should be properly financed.</w:t>
      </w:r>
    </w:p>
    <w:p w:rsidR="00647B3C" w:rsidRDefault="009B368F">
      <w:pPr>
        <w:pStyle w:val="NoSpacing"/>
        <w:rPr>
          <w:noProof/>
        </w:rPr>
      </w:pPr>
      <w:r>
        <w:rPr>
          <w:noProof/>
        </w:rPr>
        <w:t xml:space="preserve">Properly assess new modifications of water bodies according to article 4(7) of the WFD, as well as review and </w:t>
      </w:r>
      <w:r>
        <w:rPr>
          <w:noProof/>
        </w:rPr>
        <w:t>improve its measures to reduce the hydromorphological pressure in its river basins.</w:t>
      </w:r>
    </w:p>
    <w:p w:rsidR="00647B3C" w:rsidRDefault="009B368F">
      <w:pPr>
        <w:widowControl w:val="0"/>
        <w:spacing w:before="240" w:after="120" w:line="240" w:lineRule="auto"/>
        <w:outlineLvl w:val="1"/>
        <w:rPr>
          <w:rFonts w:cs="Times New Roman"/>
          <w:b/>
          <w:noProof/>
          <w:color w:val="1F497D" w:themeColor="text2"/>
          <w:sz w:val="24"/>
        </w:rPr>
      </w:pPr>
      <w:bookmarkStart w:id="37" w:name="_Toc436815691"/>
      <w:bookmarkStart w:id="38" w:name="_Toc454460686"/>
      <w:bookmarkStart w:id="39" w:name="_Toc469313206"/>
      <w:bookmarkEnd w:id="36"/>
      <w:r>
        <w:rPr>
          <w:rFonts w:cs="Times New Roman"/>
          <w:b/>
          <w:noProof/>
          <w:color w:val="1F497D" w:themeColor="text2"/>
          <w:sz w:val="24"/>
        </w:rPr>
        <w:t>Enhancing the sustainability of cities</w:t>
      </w:r>
      <w:bookmarkEnd w:id="37"/>
      <w:bookmarkEnd w:id="38"/>
      <w:bookmarkEnd w:id="39"/>
      <w:r>
        <w:rPr>
          <w:rFonts w:cs="Times New Roman"/>
          <w:b/>
          <w:noProof/>
          <w:color w:val="1F497D" w:themeColor="text2"/>
          <w:sz w:val="24"/>
        </w:rPr>
        <w:t xml:space="preserve"> </w:t>
      </w:r>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647B3C" w:rsidRDefault="009B368F">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647B3C" w:rsidRDefault="009B368F">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67"/>
      </w:r>
      <w:r>
        <w:rPr>
          <w:rFonts w:cs="Times New Roman"/>
          <w:noProof/>
          <w:sz w:val="20"/>
        </w:rPr>
        <w:t xml:space="preserve"> The urban environment poses particular challenges for the environment and human health, whilst also providing opportunities and efficiency gains in the use of resources. </w:t>
      </w:r>
    </w:p>
    <w:p w:rsidR="00647B3C" w:rsidRDefault="009B368F">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t>
      </w:r>
      <w:r>
        <w:rPr>
          <w:rFonts w:cs="Times New Roman"/>
          <w:noProof/>
          <w:sz w:val="20"/>
        </w:rPr>
        <w:t>w Urban Agenda for the EU (incorporating the Smart Cities initiative) to tackle these issues in a comprehensive way, including their connections with social and economic challenges. At the heart of this Urban Agenda will be the development of twelve partne</w:t>
      </w:r>
      <w:r>
        <w:rPr>
          <w:rFonts w:cs="Times New Roman"/>
          <w:noProof/>
          <w:sz w:val="20"/>
        </w:rPr>
        <w:t>rships on the identified urban challenges, including air quality and housing</w:t>
      </w:r>
      <w:r>
        <w:rPr>
          <w:rFonts w:cs="Times New Roman"/>
          <w:noProof/>
          <w:sz w:val="20"/>
          <w:vertAlign w:val="superscript"/>
        </w:rPr>
        <w:footnoteReference w:id="68"/>
      </w:r>
      <w:r>
        <w:rPr>
          <w:rFonts w:cs="Times New Roman"/>
          <w:noProof/>
          <w:sz w:val="20"/>
        </w:rPr>
        <w:t xml:space="preserve">. </w:t>
      </w:r>
    </w:p>
    <w:p w:rsidR="00647B3C" w:rsidRDefault="009B368F">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69"/>
      </w:r>
      <w:r>
        <w:rPr>
          <w:rFonts w:cs="Times New Roman"/>
          <w:noProof/>
          <w:sz w:val="20"/>
        </w:rPr>
        <w:t>.</w:t>
      </w:r>
    </w:p>
    <w:p w:rsidR="00647B3C" w:rsidRDefault="009B368F">
      <w:pPr>
        <w:widowControl w:val="0"/>
        <w:spacing w:after="120" w:line="240" w:lineRule="auto"/>
        <w:jc w:val="both"/>
        <w:rPr>
          <w:rFonts w:cs="Times New Roman"/>
          <w:noProof/>
          <w:sz w:val="20"/>
        </w:rPr>
      </w:pPr>
      <w:r>
        <w:rPr>
          <w:rFonts w:cs="Times New Roman"/>
          <w:noProof/>
          <w:sz w:val="20"/>
        </w:rPr>
        <w:t>The EU stimulates green cities through awards and funding, such as the EU Green Capital Award aimed at c</w:t>
      </w:r>
      <w:r>
        <w:rPr>
          <w:rFonts w:cs="Times New Roman"/>
          <w:noProof/>
          <w:sz w:val="20"/>
        </w:rPr>
        <w:t xml:space="preserve">ities with more than 100,000 inhabitants and the EU Green Leaf initiative aimed at cities and towns, with between 20,000 and 100,000 inhabitants. </w:t>
      </w:r>
    </w:p>
    <w:p w:rsidR="00647B3C" w:rsidRDefault="009B368F">
      <w:pPr>
        <w:widowControl w:val="0"/>
        <w:spacing w:after="120" w:line="240" w:lineRule="auto"/>
        <w:jc w:val="both"/>
        <w:rPr>
          <w:rFonts w:cs="Times New Roman"/>
          <w:noProof/>
          <w:sz w:val="20"/>
        </w:rPr>
      </w:pPr>
      <w:r>
        <w:rPr>
          <w:rFonts w:cs="Times New Roman"/>
          <w:noProof/>
          <w:sz w:val="20"/>
          <w:szCs w:val="20"/>
        </w:rPr>
        <w:t xml:space="preserve">67 </w:t>
      </w:r>
      <w:r>
        <w:rPr>
          <w:rFonts w:cs="Times New Roman"/>
          <w:noProof/>
          <w:sz w:val="20"/>
          <w:szCs w:val="20"/>
          <w:lang w:val="en-US"/>
        </w:rPr>
        <w:t>%</w:t>
      </w:r>
      <w:r>
        <w:rPr>
          <w:rFonts w:cs="Times New Roman"/>
          <w:noProof/>
          <w:sz w:val="20"/>
          <w:szCs w:val="20"/>
        </w:rPr>
        <w:t xml:space="preserve"> of Lithuanian residents live in urban areas</w:t>
      </w:r>
      <w:r>
        <w:rPr>
          <w:rFonts w:cs="Times New Roman"/>
          <w:noProof/>
          <w:sz w:val="20"/>
        </w:rPr>
        <w:t>.</w:t>
      </w:r>
      <w:r>
        <w:rPr>
          <w:rFonts w:cs="Times New Roman"/>
          <w:noProof/>
          <w:sz w:val="20"/>
          <w:vertAlign w:val="superscript"/>
        </w:rPr>
        <w:footnoteReference w:id="70"/>
      </w:r>
      <w:r>
        <w:rPr>
          <w:rFonts w:cs="Times New Roman"/>
          <w:noProof/>
          <w:sz w:val="20"/>
          <w:szCs w:val="20"/>
        </w:rPr>
        <w:t xml:space="preserve">. The capital city (Vilnius) has over 500 000 inhabitants, </w:t>
      </w:r>
      <w:r>
        <w:rPr>
          <w:rFonts w:cs="Times New Roman"/>
          <w:noProof/>
          <w:sz w:val="20"/>
          <w:szCs w:val="20"/>
        </w:rPr>
        <w:t>second tier cities (Kaunas, Klaipėda, Šiauliai) are smaller. Lithuanian urban areas are evenly distributed throughout the territory of the country and are easily accessible</w:t>
      </w:r>
      <w:r>
        <w:rPr>
          <w:rFonts w:cs="Times New Roman"/>
          <w:noProof/>
          <w:sz w:val="20"/>
          <w:vertAlign w:val="superscript"/>
        </w:rPr>
        <w:footnoteReference w:id="71"/>
      </w:r>
      <w:r>
        <w:rPr>
          <w:rFonts w:cs="Times New Roman"/>
          <w:noProof/>
          <w:sz w:val="20"/>
          <w:szCs w:val="20"/>
        </w:rPr>
        <w:t>. Lithuanian cities are rich in green space. Green Cities Index produced by Siemens</w:t>
      </w:r>
      <w:r>
        <w:rPr>
          <w:rFonts w:cs="Times New Roman"/>
          <w:noProof/>
          <w:sz w:val="20"/>
          <w:szCs w:val="20"/>
        </w:rPr>
        <w:t xml:space="preserve"> and the Economist Intelligence Unit ranked Vilnius </w:t>
      </w:r>
      <w:r>
        <w:rPr>
          <w:rFonts w:cs="Times New Roman"/>
          <w:bCs/>
          <w:noProof/>
          <w:sz w:val="20"/>
        </w:rPr>
        <w:t>as one</w:t>
      </w:r>
      <w:r>
        <w:rPr>
          <w:rFonts w:cs="Times New Roman"/>
          <w:b/>
          <w:bCs/>
          <w:noProof/>
          <w:sz w:val="20"/>
        </w:rPr>
        <w:t xml:space="preserve"> </w:t>
      </w:r>
      <w:r>
        <w:rPr>
          <w:rFonts w:cs="Times New Roman"/>
          <w:noProof/>
          <w:sz w:val="20"/>
          <w:szCs w:val="20"/>
        </w:rPr>
        <w:t>of 30 Europe’s greenest cities</w:t>
      </w:r>
      <w:r>
        <w:rPr>
          <w:rFonts w:cs="Times New Roman"/>
          <w:noProof/>
          <w:sz w:val="20"/>
          <w:vertAlign w:val="superscript"/>
        </w:rPr>
        <w:footnoteReference w:id="72"/>
      </w:r>
      <w:r>
        <w:rPr>
          <w:rFonts w:cs="Times New Roman"/>
          <w:noProof/>
          <w:sz w:val="20"/>
          <w:szCs w:val="20"/>
        </w:rPr>
        <w:t>.</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Kaunas, the 2nd largest city in Lithuania, with a population of 353,800 inhabitants) was amongst applicant countries for European Green Capital Award 2015. </w:t>
      </w:r>
    </w:p>
    <w:p w:rsidR="00647B3C" w:rsidRDefault="009B368F">
      <w:pPr>
        <w:widowControl w:val="0"/>
        <w:spacing w:after="120" w:line="240" w:lineRule="auto"/>
        <w:jc w:val="both"/>
        <w:rPr>
          <w:rFonts w:cs="Times New Roman"/>
          <w:noProof/>
          <w:sz w:val="20"/>
          <w:szCs w:val="20"/>
        </w:rPr>
      </w:pPr>
      <w:r>
        <w:rPr>
          <w:rFonts w:cs="Times New Roman"/>
          <w:noProof/>
          <w:sz w:val="20"/>
          <w:szCs w:val="20"/>
        </w:rPr>
        <w:t>Major L</w:t>
      </w:r>
      <w:r>
        <w:rPr>
          <w:rFonts w:cs="Times New Roman"/>
          <w:noProof/>
          <w:sz w:val="20"/>
          <w:szCs w:val="20"/>
        </w:rPr>
        <w:t>ithuanian cities are densifying the existing urban areas (low percentage of built-up areas)</w:t>
      </w:r>
      <w:r>
        <w:rPr>
          <w:rFonts w:cs="Times New Roman"/>
          <w:noProof/>
          <w:sz w:val="20"/>
          <w:vertAlign w:val="superscript"/>
        </w:rPr>
        <w:footnoteReference w:id="73"/>
      </w:r>
      <w:r>
        <w:rPr>
          <w:rFonts w:cs="Times New Roman"/>
          <w:noProof/>
          <w:sz w:val="20"/>
          <w:szCs w:val="20"/>
        </w:rPr>
        <w:t xml:space="preserve"> indicating the potential for these cities to grow. A current challenge to major cities is negative externalities of agglomeration (unregulated urban growth with ma</w:t>
      </w:r>
      <w:r>
        <w:rPr>
          <w:rFonts w:cs="Times New Roman"/>
          <w:noProof/>
          <w:sz w:val="20"/>
          <w:szCs w:val="20"/>
        </w:rPr>
        <w:t>jor specific environmental problems, such as derelict urban areas with technical infrastructure, the poor quality of air, noise, traffic jams). Cities municipalities lack funds for the implementation of masterplans, management of public spaces and blocks o</w:t>
      </w:r>
      <w:r>
        <w:rPr>
          <w:rFonts w:cs="Times New Roman"/>
          <w:noProof/>
          <w:sz w:val="20"/>
          <w:szCs w:val="20"/>
        </w:rPr>
        <w:t xml:space="preserve">f multi-apartment buildings, improvement of communication and engineering infrastructure, or for taking care of derelict urban areas that require a change in their use. </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Kaunas city municipality has invested in city public transport, and also participated </w:t>
      </w:r>
      <w:r>
        <w:rPr>
          <w:rFonts w:cs="Times New Roman"/>
          <w:noProof/>
          <w:sz w:val="20"/>
        </w:rPr>
        <w:t xml:space="preserve">in various EU programs (CIVITAS, BSR INTERREG, IEE).  It installed an electronic payment method for the benefit of public transport passengers. Passengers using a single monthly E-ticket scheme (operating on radio-frequency identification) can pre-pay for </w:t>
      </w:r>
      <w:r>
        <w:rPr>
          <w:rFonts w:cs="Times New Roman"/>
          <w:noProof/>
          <w:sz w:val="20"/>
        </w:rPr>
        <w:t xml:space="preserve">journeys on buses as well as parking services in the city. </w:t>
      </w:r>
    </w:p>
    <w:p w:rsidR="00647B3C" w:rsidRDefault="009B368F">
      <w:pPr>
        <w:spacing w:after="120" w:line="240" w:lineRule="auto"/>
        <w:jc w:val="both"/>
        <w:rPr>
          <w:rFonts w:cs="Times New Roman"/>
          <w:noProof/>
          <w:sz w:val="20"/>
          <w:szCs w:val="20"/>
          <w:lang w:val="en-US"/>
        </w:rPr>
      </w:pPr>
      <w:r>
        <w:rPr>
          <w:rFonts w:cs="Times New Roman"/>
          <w:noProof/>
          <w:sz w:val="20"/>
          <w:lang w:eastAsia="en-GB"/>
        </w:rPr>
        <w:drawing>
          <wp:inline distT="0" distB="0" distL="0" distR="0" wp14:anchorId="4CE4189D" wp14:editId="65912263">
            <wp:extent cx="2980055" cy="2692536"/>
            <wp:effectExtent l="0" t="0" r="0" b="0"/>
            <wp:docPr id="5" name="Picture 5" descr="P:\ENV-E2\1. ENV IMPLEMENTATION REVIEW\EIR Data management\Pictures\remaining pictures istock\clean\LT city iStock-17855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V-E2\1. ENV IMPLEMENTATION REVIEW\EIR Data management\Pictures\remaining pictures istock\clean\LT city iStock-17855643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80055" cy="2692536"/>
                    </a:xfrm>
                    <a:prstGeom prst="rect">
                      <a:avLst/>
                    </a:prstGeom>
                    <a:noFill/>
                    <a:ln>
                      <a:noFill/>
                    </a:ln>
                  </pic:spPr>
                </pic:pic>
              </a:graphicData>
            </a:graphic>
          </wp:inline>
        </w:drawing>
      </w:r>
      <w:r>
        <w:rPr>
          <w:rFonts w:cs="Times New Roman"/>
          <w:noProof/>
          <w:sz w:val="20"/>
          <w:szCs w:val="20"/>
          <w:lang w:val="en-US"/>
        </w:rPr>
        <w:t>Klaipėda has successful implementation of industrial development through potential of Klaipėdos FEZ and Klaipėdos State Seaport (Industrial park development)</w:t>
      </w:r>
      <w:r>
        <w:rPr>
          <w:rFonts w:cs="Times New Roman"/>
          <w:noProof/>
          <w:sz w:val="20"/>
          <w:vertAlign w:val="superscript"/>
        </w:rPr>
        <w:footnoteReference w:id="74"/>
      </w:r>
      <w:r>
        <w:rPr>
          <w:rFonts w:cs="Times New Roman"/>
          <w:noProof/>
          <w:sz w:val="20"/>
          <w:szCs w:val="20"/>
          <w:lang w:val="en-US"/>
        </w:rPr>
        <w:t xml:space="preserve">. In 2013 Klaipėda was declared a Cycling Friendly City by the Lithuanian Ministry of Transport and Communications. </w:t>
      </w:r>
    </w:p>
    <w:p w:rsidR="00647B3C" w:rsidRDefault="009B368F">
      <w:pPr>
        <w:spacing w:after="120" w:line="240" w:lineRule="auto"/>
        <w:jc w:val="both"/>
        <w:rPr>
          <w:rFonts w:eastAsia="Times New Roman" w:cs="Arial"/>
          <w:noProof/>
          <w:sz w:val="20"/>
          <w:szCs w:val="20"/>
          <w:lang w:val="en-US"/>
        </w:rPr>
      </w:pPr>
      <w:r>
        <w:rPr>
          <w:rFonts w:eastAsia="Times New Roman" w:cs="Arial"/>
          <w:noProof/>
          <w:sz w:val="20"/>
          <w:szCs w:val="20"/>
          <w:lang w:val="en-US"/>
        </w:rPr>
        <w:t xml:space="preserve">Šiauliai participates in the project </w:t>
      </w:r>
      <w:r>
        <w:rPr>
          <w:rFonts w:cs="Times New Roman"/>
          <w:noProof/>
          <w:sz w:val="20"/>
        </w:rPr>
        <w:t>"</w:t>
      </w:r>
      <w:r>
        <w:rPr>
          <w:rFonts w:eastAsia="Times New Roman" w:cs="Arial"/>
          <w:noProof/>
          <w:sz w:val="20"/>
          <w:szCs w:val="20"/>
          <w:lang w:val="en-US"/>
        </w:rPr>
        <w:t>Urban renewal improving their energy characteristics of Lithuania</w:t>
      </w:r>
      <w:r>
        <w:rPr>
          <w:rFonts w:cs="Times New Roman"/>
          <w:noProof/>
          <w:sz w:val="20"/>
        </w:rPr>
        <w:t>"</w:t>
      </w:r>
      <w:r>
        <w:rPr>
          <w:rFonts w:eastAsia="Times New Roman" w:cs="Arial"/>
          <w:noProof/>
          <w:sz w:val="20"/>
          <w:szCs w:val="20"/>
          <w:lang w:val="en-US"/>
        </w:rPr>
        <w:t xml:space="preserve">. </w:t>
      </w:r>
    </w:p>
    <w:p w:rsidR="00647B3C" w:rsidRDefault="009B368F">
      <w:pPr>
        <w:spacing w:after="120" w:line="240" w:lineRule="auto"/>
        <w:jc w:val="both"/>
        <w:rPr>
          <w:rFonts w:eastAsia="Times New Roman" w:cs="Arial"/>
          <w:noProof/>
          <w:sz w:val="20"/>
          <w:szCs w:val="20"/>
          <w:lang w:val="en-US"/>
        </w:rPr>
      </w:pPr>
      <w:r>
        <w:rPr>
          <w:rFonts w:cs="Times New Roman"/>
          <w:noProof/>
          <w:sz w:val="20"/>
          <w:szCs w:val="20"/>
        </w:rPr>
        <w:t>The most successful municipaliti</w:t>
      </w:r>
      <w:r>
        <w:rPr>
          <w:rFonts w:cs="Times New Roman"/>
          <w:noProof/>
          <w:sz w:val="20"/>
          <w:szCs w:val="20"/>
        </w:rPr>
        <w:t xml:space="preserve">es apply integrated methods of spatial planning for the management of urban environment </w:t>
      </w:r>
      <w:r>
        <w:rPr>
          <w:rFonts w:cs="Times New Roman"/>
          <w:noProof/>
          <w:sz w:val="20"/>
          <w:szCs w:val="20"/>
          <w:lang w:val="en-US"/>
        </w:rPr>
        <w:t xml:space="preserve">(Vilnius, Kaunas, Klaipėda </w:t>
      </w:r>
      <w:r>
        <w:rPr>
          <w:rFonts w:eastAsia="Times New Roman" w:cs="Arial"/>
          <w:noProof/>
          <w:sz w:val="20"/>
          <w:szCs w:val="20"/>
          <w:lang w:val="en-US"/>
        </w:rPr>
        <w:t>have started to prepare sustainable urban mobility plans). Some municipalities have no territorial master plans for municipal centres. This s</w:t>
      </w:r>
      <w:r>
        <w:rPr>
          <w:rFonts w:eastAsia="Times New Roman" w:cs="Arial"/>
          <w:noProof/>
          <w:sz w:val="20"/>
          <w:szCs w:val="20"/>
          <w:lang w:val="en-US"/>
        </w:rPr>
        <w:t xml:space="preserve">ituation leads to an erratic socio-economic development, complicates investment and intensifies the uneven development of areas. </w:t>
      </w:r>
    </w:p>
    <w:p w:rsidR="00647B3C" w:rsidRDefault="009B368F">
      <w:pPr>
        <w:spacing w:after="120" w:line="240" w:lineRule="auto"/>
        <w:jc w:val="both"/>
        <w:rPr>
          <w:rFonts w:cs="Times New Roman"/>
          <w:noProof/>
          <w:sz w:val="20"/>
          <w:szCs w:val="20"/>
        </w:rPr>
      </w:pPr>
      <w:r>
        <w:rPr>
          <w:rFonts w:eastAsia="Times New Roman" w:cs="Arial"/>
          <w:noProof/>
          <w:sz w:val="20"/>
          <w:szCs w:val="20"/>
          <w:lang w:val="en-US"/>
        </w:rPr>
        <w:t>The National Environmental Protection Strategy</w:t>
      </w:r>
      <w:r>
        <w:rPr>
          <w:rFonts w:cs="Times New Roman"/>
          <w:noProof/>
          <w:sz w:val="20"/>
          <w:vertAlign w:val="superscript"/>
        </w:rPr>
        <w:footnoteReference w:id="75"/>
      </w:r>
      <w:r>
        <w:rPr>
          <w:rFonts w:eastAsia="Times New Roman" w:cs="Arial"/>
          <w:noProof/>
          <w:sz w:val="20"/>
          <w:szCs w:val="20"/>
          <w:lang w:val="en-US"/>
        </w:rPr>
        <w:t xml:space="preserve"> has been drown up in order to establish horizontal long-term environmental obj</w:t>
      </w:r>
      <w:r>
        <w:rPr>
          <w:rFonts w:eastAsia="Times New Roman" w:cs="Arial"/>
          <w:noProof/>
          <w:sz w:val="20"/>
          <w:szCs w:val="20"/>
          <w:lang w:val="en-US"/>
        </w:rPr>
        <w:t xml:space="preserve">ectives and </w:t>
      </w:r>
      <w:r>
        <w:rPr>
          <w:rFonts w:cs="Times New Roman"/>
          <w:noProof/>
          <w:sz w:val="20"/>
          <w:szCs w:val="20"/>
        </w:rPr>
        <w:t>will serve as the basis for the environmental pillar of Lithuania’s sustainable development. Key policy implementing directions for urban environment covers:</w:t>
      </w:r>
    </w:p>
    <w:p w:rsidR="00647B3C" w:rsidRDefault="009B368F">
      <w:pPr>
        <w:numPr>
          <w:ilvl w:val="0"/>
          <w:numId w:val="28"/>
        </w:numPr>
        <w:spacing w:after="120" w:line="240" w:lineRule="auto"/>
        <w:contextualSpacing/>
        <w:jc w:val="both"/>
        <w:rPr>
          <w:rFonts w:eastAsia="Times New Roman" w:cs="Arial"/>
          <w:noProof/>
          <w:sz w:val="20"/>
          <w:szCs w:val="20"/>
          <w:lang w:val="en-US"/>
        </w:rPr>
      </w:pPr>
      <w:r>
        <w:rPr>
          <w:rFonts w:cs="Times New Roman"/>
          <w:noProof/>
          <w:sz w:val="20"/>
          <w:szCs w:val="20"/>
          <w:lang w:val="en-US"/>
        </w:rPr>
        <w:t xml:space="preserve">Promotion of sustainable planning of cities and peri-urban territories; </w:t>
      </w:r>
    </w:p>
    <w:p w:rsidR="00647B3C" w:rsidRDefault="009B368F">
      <w:pPr>
        <w:numPr>
          <w:ilvl w:val="0"/>
          <w:numId w:val="28"/>
        </w:numPr>
        <w:spacing w:after="120" w:line="240" w:lineRule="auto"/>
        <w:contextualSpacing/>
        <w:jc w:val="both"/>
        <w:rPr>
          <w:rFonts w:eastAsia="Times New Roman" w:cs="Arial"/>
          <w:noProof/>
          <w:sz w:val="20"/>
          <w:szCs w:val="20"/>
          <w:lang w:val="en-US"/>
        </w:rPr>
      </w:pPr>
      <w:r>
        <w:rPr>
          <w:rFonts w:cs="Times New Roman"/>
          <w:noProof/>
          <w:sz w:val="20"/>
          <w:szCs w:val="20"/>
          <w:lang w:val="en-US"/>
        </w:rPr>
        <w:t xml:space="preserve">Promotion of </w:t>
      </w:r>
      <w:r>
        <w:rPr>
          <w:rFonts w:cs="Times New Roman"/>
          <w:noProof/>
          <w:sz w:val="20"/>
          <w:szCs w:val="20"/>
          <w:lang w:val="en-US"/>
        </w:rPr>
        <w:t>the development and implementation of sustainable urban transport communication plans for the purpose of reducing an adverse impact on human health and the environment (air pollution, noise, traffic jams and greenhouse gas emissions);</w:t>
      </w:r>
    </w:p>
    <w:p w:rsidR="00647B3C" w:rsidRDefault="009B368F">
      <w:pPr>
        <w:numPr>
          <w:ilvl w:val="0"/>
          <w:numId w:val="28"/>
        </w:numPr>
        <w:spacing w:after="120" w:line="240" w:lineRule="auto"/>
        <w:contextualSpacing/>
        <w:jc w:val="both"/>
        <w:rPr>
          <w:rFonts w:eastAsia="Times New Roman" w:cs="Arial"/>
          <w:noProof/>
          <w:sz w:val="20"/>
          <w:szCs w:val="20"/>
          <w:lang w:val="en-US"/>
        </w:rPr>
      </w:pPr>
      <w:r>
        <w:rPr>
          <w:rFonts w:eastAsia="Times New Roman" w:cs="Arial"/>
          <w:noProof/>
          <w:sz w:val="20"/>
          <w:szCs w:val="20"/>
          <w:lang w:val="en-US"/>
        </w:rPr>
        <w:t>Development and use o</w:t>
      </w:r>
      <w:r>
        <w:rPr>
          <w:rFonts w:eastAsia="Times New Roman" w:cs="Arial"/>
          <w:noProof/>
          <w:sz w:val="20"/>
          <w:szCs w:val="20"/>
          <w:lang w:val="en-US"/>
        </w:rPr>
        <w:t>f research, innovation and solutions on urban issues.</w:t>
      </w:r>
    </w:p>
    <w:p w:rsidR="00647B3C" w:rsidRDefault="009B368F">
      <w:pPr>
        <w:widowControl w:val="0"/>
        <w:spacing w:before="120" w:after="120" w:line="240" w:lineRule="auto"/>
        <w:jc w:val="both"/>
        <w:rPr>
          <w:rFonts w:cs="Times New Roman"/>
          <w:noProof/>
          <w:sz w:val="20"/>
        </w:rPr>
      </w:pPr>
      <w:r>
        <w:rPr>
          <w:rFonts w:cs="Times New Roman"/>
          <w:noProof/>
          <w:sz w:val="20"/>
        </w:rPr>
        <w:t>Vilnius is moving towards sustainable urban regeneration</w:t>
      </w:r>
      <w:r>
        <w:rPr>
          <w:rFonts w:cs="Times New Roman"/>
          <w:noProof/>
          <w:sz w:val="20"/>
          <w:vertAlign w:val="superscript"/>
        </w:rPr>
        <w:footnoteReference w:id="76"/>
      </w:r>
      <w:r>
        <w:rPr>
          <w:rFonts w:cs="Times New Roman"/>
          <w:noProof/>
          <w:sz w:val="20"/>
        </w:rPr>
        <w:t>. This involves a number of projects, including the regeneration project ‘Park of Architecture" (i.e. decontamination of a 78 ha brownfield site,</w:t>
      </w:r>
      <w:r>
        <w:rPr>
          <w:rFonts w:cs="Times New Roman"/>
          <w:noProof/>
          <w:sz w:val="20"/>
        </w:rPr>
        <w:t xml:space="preserve"> construction of green spaces, etc.); and the regeneration of "Žirmūnai Tringle", which concerns a 52 hectare neighbourhood in a strategic location of Vilnius. It involves energy-efficient renovation, safeguarding green spaces, expanding bicycle and pedest</w:t>
      </w:r>
      <w:r>
        <w:rPr>
          <w:rFonts w:cs="Times New Roman"/>
          <w:noProof/>
          <w:sz w:val="20"/>
        </w:rPr>
        <w:t>rian infrastructures. "Žirmūnai Triangle" is being carried out as a pilot innovative regeneration project, which could be subsequently applied in other parts of Lithuania.</w:t>
      </w:r>
    </w:p>
    <w:p w:rsidR="00647B3C" w:rsidRDefault="009B368F">
      <w:pPr>
        <w:widowControl w:val="0"/>
        <w:spacing w:after="120" w:line="240" w:lineRule="auto"/>
        <w:jc w:val="both"/>
        <w:rPr>
          <w:rFonts w:cs="Times New Roman"/>
          <w:noProof/>
          <w:sz w:val="20"/>
          <w:szCs w:val="20"/>
          <w:lang w:val="en-US"/>
        </w:rPr>
      </w:pPr>
      <w:r>
        <w:rPr>
          <w:rFonts w:cs="Times New Roman"/>
          <w:noProof/>
          <w:sz w:val="20"/>
          <w:szCs w:val="20"/>
          <w:lang w:val="en-US"/>
        </w:rPr>
        <w:t>Conversion of former industrial and utility areas to residential/commercial areas is</w:t>
      </w:r>
      <w:r>
        <w:rPr>
          <w:rFonts w:cs="Times New Roman"/>
          <w:noProof/>
          <w:sz w:val="20"/>
          <w:szCs w:val="20"/>
          <w:lang w:val="en-US"/>
        </w:rPr>
        <w:t xml:space="preserve"> currently being intensified (Naujamiestis, Markučiai, Saltoniškės), also conversion of abandoned industrial areas to the service facilities or residential areas (between Kalvarijų and Verkių streets, Savanorių Avenue, Naujamiestis). New squares have been </w:t>
      </w:r>
      <w:r>
        <w:rPr>
          <w:rFonts w:cs="Times New Roman"/>
          <w:noProof/>
          <w:sz w:val="20"/>
          <w:szCs w:val="20"/>
          <w:lang w:val="en-US"/>
        </w:rPr>
        <w:t>equipped in Old town, Bernardinai garden has been renovated</w:t>
      </w:r>
      <w:r>
        <w:rPr>
          <w:rStyle w:val="FootnoteReference"/>
          <w:rFonts w:cs="Times New Roman"/>
          <w:noProof/>
          <w:sz w:val="20"/>
          <w:szCs w:val="20"/>
          <w:lang w:val="en-US"/>
        </w:rPr>
        <w:footnoteReference w:id="77"/>
      </w:r>
      <w:r>
        <w:rPr>
          <w:rFonts w:cs="Times New Roman"/>
          <w:noProof/>
          <w:sz w:val="20"/>
          <w:szCs w:val="20"/>
          <w:lang w:val="en-US"/>
        </w:rPr>
        <w:t xml:space="preserve">. </w:t>
      </w:r>
    </w:p>
    <w:p w:rsidR="00647B3C" w:rsidRDefault="009B368F">
      <w:pPr>
        <w:widowControl w:val="0"/>
        <w:spacing w:before="120" w:after="120" w:line="240" w:lineRule="auto"/>
        <w:jc w:val="both"/>
        <w:rPr>
          <w:rFonts w:cs="Times New Roman"/>
          <w:noProof/>
          <w:sz w:val="20"/>
        </w:rPr>
      </w:pPr>
      <w:r>
        <w:rPr>
          <w:rFonts w:cs="Times New Roman"/>
          <w:noProof/>
          <w:sz w:val="20"/>
        </w:rPr>
        <w:t>A number of initiatives are covered under the Union of the Baltic Cities Sustainable Cities Commission, which is a voluntary network of its member cities of the Baltic Sea Region addressing a n</w:t>
      </w:r>
      <w:r>
        <w:rPr>
          <w:rFonts w:cs="Times New Roman"/>
          <w:noProof/>
          <w:sz w:val="20"/>
        </w:rPr>
        <w:t>umber of issues, including environmentally sustainable development. This includes such initiatives as integrated management systems and spatial management, urban water management, maritime activities and sustainable urban mobility.</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Furthermore, already in </w:t>
      </w:r>
      <w:r>
        <w:rPr>
          <w:rFonts w:cs="Times New Roman"/>
          <w:noProof/>
          <w:sz w:val="20"/>
        </w:rPr>
        <w:t xml:space="preserve">2009 Lithuania has signed an agreement with the European Investment Bank to strengthen co-operation in financing sustainable urban development. </w:t>
      </w:r>
      <w:bookmarkStart w:id="40" w:name="_Toc454460687"/>
    </w:p>
    <w:p w:rsidR="00647B3C" w:rsidRDefault="009B368F">
      <w:pPr>
        <w:widowControl w:val="0"/>
        <w:spacing w:before="120" w:after="120" w:line="240" w:lineRule="auto"/>
        <w:outlineLvl w:val="1"/>
        <w:rPr>
          <w:rFonts w:cs="Times New Roman"/>
          <w:b/>
          <w:noProof/>
          <w:color w:val="1F497D" w:themeColor="text2"/>
          <w:sz w:val="24"/>
          <w:lang w:eastAsia="en-GB"/>
        </w:rPr>
      </w:pPr>
      <w:bookmarkStart w:id="41" w:name="_Toc469313207"/>
      <w:r>
        <w:rPr>
          <w:rFonts w:cs="Times New Roman"/>
          <w:b/>
          <w:noProof/>
          <w:color w:val="1F497D" w:themeColor="text2"/>
          <w:sz w:val="24"/>
          <w:lang w:eastAsia="en-GB"/>
        </w:rPr>
        <w:t>International agreements</w:t>
      </w:r>
      <w:bookmarkEnd w:id="40"/>
      <w:bookmarkEnd w:id="41"/>
      <w:r>
        <w:rPr>
          <w:rFonts w:cs="Times New Roman"/>
          <w:b/>
          <w:noProof/>
          <w:color w:val="1F497D" w:themeColor="text2"/>
          <w:sz w:val="24"/>
          <w:lang w:eastAsia="en-GB"/>
        </w:rPr>
        <w:t xml:space="preserve"> </w:t>
      </w:r>
    </w:p>
    <w:p w:rsidR="00647B3C" w:rsidRDefault="009B368F">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w:t>
      </w:r>
      <w:r>
        <w:rPr>
          <w:rFonts w:cs="Times New Roman"/>
          <w:noProof/>
          <w:color w:val="FFFFFF" w:themeColor="background1"/>
          <w:sz w:val="20"/>
        </w:rPr>
        <w:t xml:space="preserve"> the international level to deal with regional or worldwide environmental problems.</w:t>
      </w:r>
    </w:p>
    <w:p w:rsidR="00647B3C" w:rsidRDefault="009B368F">
      <w:pPr>
        <w:widowControl w:val="0"/>
        <w:spacing w:before="120" w:after="120" w:line="240" w:lineRule="auto"/>
        <w:jc w:val="both"/>
        <w:rPr>
          <w:rFonts w:cs="Times New Roman"/>
          <w:noProof/>
          <w:sz w:val="20"/>
        </w:rPr>
      </w:pPr>
      <w:r>
        <w:rPr>
          <w:rFonts w:cs="Times New Roman"/>
          <w:noProof/>
          <w:sz w:val="20"/>
        </w:rPr>
        <w:t>Most environmental problems have a transboundary nature and often a global scope and they can only be addressed effectively through international co-operation. Internationa</w:t>
      </w:r>
      <w:r>
        <w:rPr>
          <w:rFonts w:cs="Times New Roman"/>
          <w:noProof/>
          <w:sz w:val="20"/>
        </w:rPr>
        <w:t>l environmental agreements concluded by the Union are binding upon the institutions of the Union and on its Member States. This requires the EU and the Member States to sign, ratify and effectively implement all relevant multilateral environmental agreemen</w:t>
      </w:r>
      <w:r>
        <w:rPr>
          <w:rFonts w:cs="Times New Roman"/>
          <w:noProof/>
          <w:sz w:val="20"/>
        </w:rPr>
        <w:t>ts (MEAs) in a timely manner. This will also be an important contribution towards the achievement of the SDGs, which Member States committed to in 2015 and include many commitments contained already in legally binding agreements.</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The fact that some Member </w:t>
      </w:r>
      <w:r>
        <w:rPr>
          <w:rFonts w:cs="Times New Roman"/>
          <w:noProof/>
          <w:sz w:val="20"/>
        </w:rPr>
        <w:t>States did not sign and/or ratify a number of MEAs compromises environmental implementation, including within the Union, as well as the Union’s credibility in related negotiations and international meetings where supporting the participation of third count</w:t>
      </w:r>
      <w:r>
        <w:rPr>
          <w:rFonts w:cs="Times New Roman"/>
          <w:noProof/>
          <w:sz w:val="20"/>
        </w:rPr>
        <w:t xml:space="preserve">ries to such agreements is an established EU policy objective. In agreements where voting takes place it has a direct impact on the number of votes to be cast by the EU. </w:t>
      </w:r>
    </w:p>
    <w:p w:rsidR="00647B3C" w:rsidRDefault="009B368F">
      <w:pPr>
        <w:widowControl w:val="0"/>
        <w:spacing w:before="120" w:after="120" w:line="240" w:lineRule="auto"/>
        <w:jc w:val="both"/>
        <w:rPr>
          <w:rFonts w:cs="Times New Roman"/>
          <w:noProof/>
          <w:sz w:val="20"/>
        </w:rPr>
      </w:pPr>
      <w:r>
        <w:rPr>
          <w:rFonts w:cs="Times New Roman"/>
          <w:noProof/>
          <w:sz w:val="20"/>
        </w:rPr>
        <w:t>Lithuania has signed and ratified almost all MEAs. It has signed but not yet ratified</w:t>
      </w:r>
      <w:r>
        <w:rPr>
          <w:rFonts w:cs="Times New Roman"/>
          <w:noProof/>
          <w:sz w:val="20"/>
        </w:rPr>
        <w:t xml:space="preserve"> the Nagoya Protocol</w:t>
      </w:r>
      <w:r>
        <w:rPr>
          <w:rFonts w:cs="Times New Roman"/>
          <w:noProof/>
          <w:sz w:val="20"/>
          <w:vertAlign w:val="superscript"/>
        </w:rPr>
        <w:footnoteReference w:id="78"/>
      </w:r>
      <w:r>
        <w:rPr>
          <w:rFonts w:cs="Times New Roman"/>
          <w:noProof/>
          <w:sz w:val="20"/>
        </w:rPr>
        <w:t xml:space="preserve">. </w:t>
      </w: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sectPr w:rsidR="00647B3C">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440" w:right="1080" w:bottom="1440" w:left="1080" w:header="708" w:footer="708" w:gutter="0"/>
          <w:cols w:num="2" w:space="360"/>
          <w:docGrid w:linePitch="360"/>
        </w:sectPr>
      </w:pPr>
    </w:p>
    <w:p w:rsidR="00647B3C" w:rsidRDefault="009B368F">
      <w:pPr>
        <w:widowControl w:val="0"/>
        <w:spacing w:line="240" w:lineRule="auto"/>
        <w:jc w:val="center"/>
        <w:outlineLvl w:val="0"/>
        <w:rPr>
          <w:rFonts w:eastAsiaTheme="majorEastAsia" w:cstheme="majorBidi"/>
          <w:b/>
          <w:bCs/>
          <w:noProof/>
          <w:color w:val="1F497D" w:themeColor="text2"/>
          <w:sz w:val="32"/>
          <w:szCs w:val="28"/>
        </w:rPr>
      </w:pPr>
      <w:bookmarkStart w:id="42" w:name="_Toc433296176"/>
      <w:bookmarkStart w:id="43" w:name="_Toc469313208"/>
      <w:r>
        <w:rPr>
          <w:rFonts w:eastAsiaTheme="majorEastAsia" w:cstheme="majorBidi"/>
          <w:b/>
          <w:bCs/>
          <w:noProof/>
          <w:color w:val="1F497D" w:themeColor="text2"/>
          <w:sz w:val="32"/>
          <w:szCs w:val="28"/>
        </w:rPr>
        <w:t xml:space="preserve">Part II: </w:t>
      </w:r>
      <w:bookmarkEnd w:id="42"/>
      <w:r>
        <w:rPr>
          <w:rFonts w:eastAsiaTheme="majorEastAsia" w:cstheme="majorBidi"/>
          <w:b/>
          <w:bCs/>
          <w:noProof/>
          <w:color w:val="1F497D" w:themeColor="text2"/>
          <w:sz w:val="32"/>
          <w:szCs w:val="28"/>
        </w:rPr>
        <w:t>Enabling Framework: Implementation Tools</w:t>
      </w:r>
      <w:bookmarkEnd w:id="43"/>
    </w:p>
    <w:p w:rsidR="00647B3C" w:rsidRDefault="00647B3C">
      <w:pPr>
        <w:widowControl w:val="0"/>
        <w:spacing w:after="120" w:line="240" w:lineRule="auto"/>
        <w:jc w:val="both"/>
        <w:rPr>
          <w:rFonts w:cs="Times New Roman"/>
          <w:noProof/>
          <w:sz w:val="20"/>
        </w:rPr>
        <w:sectPr w:rsidR="00647B3C">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080" w:bottom="1440" w:left="1080" w:header="708" w:footer="708" w:gutter="0"/>
          <w:cols w:space="566"/>
          <w:docGrid w:linePitch="360"/>
        </w:sectPr>
      </w:pPr>
    </w:p>
    <w:p w:rsidR="00647B3C" w:rsidRDefault="009B368F">
      <w:pPr>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bookmarkStart w:id="44" w:name="_Toc469313209"/>
      <w:r>
        <w:rPr>
          <w:rFonts w:eastAsiaTheme="majorEastAsia" w:cstheme="majorBidi"/>
          <w:b/>
          <w:bCs/>
          <w:noProof/>
          <w:color w:val="1F497D" w:themeColor="text2"/>
          <w:sz w:val="32"/>
          <w:szCs w:val="28"/>
        </w:rPr>
        <w:t>Market based instruments and investment</w:t>
      </w:r>
      <w:bookmarkStart w:id="45" w:name="_Toc433296178"/>
      <w:bookmarkStart w:id="46" w:name="_Toc433296181"/>
      <w:bookmarkEnd w:id="44"/>
      <w:r>
        <w:rPr>
          <w:rFonts w:eastAsiaTheme="majorEastAsia" w:cstheme="majorBidi"/>
          <w:b/>
          <w:bCs/>
          <w:noProof/>
          <w:color w:val="1F497D" w:themeColor="text2"/>
          <w:sz w:val="32"/>
          <w:szCs w:val="28"/>
        </w:rPr>
        <w:t xml:space="preserve"> </w:t>
      </w:r>
    </w:p>
    <w:p w:rsidR="00647B3C" w:rsidRDefault="00647B3C">
      <w:pPr>
        <w:widowControl w:val="0"/>
        <w:spacing w:after="120"/>
        <w:rPr>
          <w:rFonts w:cs="Times New Roman"/>
          <w:noProof/>
          <w:sz w:val="20"/>
        </w:rPr>
      </w:pPr>
    </w:p>
    <w:p w:rsidR="00647B3C" w:rsidRDefault="00647B3C">
      <w:pPr>
        <w:widowControl w:val="0"/>
        <w:spacing w:after="120"/>
        <w:rPr>
          <w:rFonts w:cs="Times New Roman"/>
          <w:noProof/>
          <w:sz w:val="20"/>
        </w:rPr>
        <w:sectPr w:rsidR="00647B3C">
          <w:headerReference w:type="even" r:id="rId107"/>
          <w:headerReference w:type="default" r:id="rId108"/>
          <w:footerReference w:type="even" r:id="rId109"/>
          <w:footerReference w:type="default" r:id="rId110"/>
          <w:headerReference w:type="first" r:id="rId111"/>
          <w:footerReference w:type="first" r:id="rId112"/>
          <w:type w:val="continuous"/>
          <w:pgSz w:w="11906" w:h="16838" w:code="9"/>
          <w:pgMar w:top="1080" w:right="1440" w:bottom="1080" w:left="1440" w:header="709" w:footer="709" w:gutter="0"/>
          <w:cols w:space="566"/>
          <w:docGrid w:linePitch="360"/>
        </w:sectPr>
      </w:pPr>
    </w:p>
    <w:p w:rsidR="00647B3C" w:rsidRDefault="009B368F">
      <w:pPr>
        <w:widowControl w:val="0"/>
        <w:spacing w:before="120" w:after="120" w:line="240" w:lineRule="auto"/>
        <w:outlineLvl w:val="1"/>
        <w:rPr>
          <w:rFonts w:cs="Times New Roman"/>
          <w:b/>
          <w:noProof/>
          <w:color w:val="1F497D" w:themeColor="text2"/>
          <w:sz w:val="24"/>
        </w:rPr>
      </w:pPr>
      <w:bookmarkStart w:id="47" w:name="_Toc469313210"/>
      <w:bookmarkEnd w:id="45"/>
      <w:r>
        <w:rPr>
          <w:rFonts w:cs="Times New Roman"/>
          <w:b/>
          <w:noProof/>
          <w:color w:val="1F497D" w:themeColor="text2"/>
          <w:sz w:val="24"/>
        </w:rPr>
        <w:t xml:space="preserve">Green taxation and </w:t>
      </w:r>
      <w:r>
        <w:rPr>
          <w:rFonts w:cs="Times New Roman"/>
          <w:b/>
          <w:noProof/>
          <w:color w:val="1F497D" w:themeColor="text2"/>
          <w:sz w:val="24"/>
        </w:rPr>
        <w:t>environmentally harmful subsidies</w:t>
      </w:r>
      <w:bookmarkEnd w:id="47"/>
      <w:r>
        <w:rPr>
          <w:rFonts w:cs="Times New Roman"/>
          <w:b/>
          <w:noProof/>
          <w:color w:val="1F497D" w:themeColor="text2"/>
          <w:sz w:val="24"/>
        </w:rPr>
        <w:t xml:space="preserve"> </w:t>
      </w:r>
    </w:p>
    <w:p w:rsidR="00647B3C" w:rsidRDefault="009B368F">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ensure that product prices better reflect environmental costs. The phasing out of environmentally </w:t>
      </w:r>
      <w:r>
        <w:rPr>
          <w:rFonts w:ascii="Calibri" w:eastAsia="Calibri" w:hAnsi="Calibri" w:cs="Times New Roman"/>
          <w:noProof/>
          <w:color w:val="FFFFFF"/>
          <w:sz w:val="20"/>
          <w:lang w:eastAsia="ar-SA"/>
        </w:rPr>
        <w:t>harmful subsidies is monitored in the context of the European Semester and in national reform programmes submitted by Member States.</w:t>
      </w:r>
    </w:p>
    <w:p w:rsidR="00647B3C" w:rsidRDefault="009B368F">
      <w:pPr>
        <w:widowControl w:val="0"/>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647B3C" w:rsidRDefault="009B368F">
      <w:pPr>
        <w:widowControl w:val="0"/>
        <w:spacing w:before="120" w:after="120" w:line="240" w:lineRule="auto"/>
        <w:jc w:val="both"/>
        <w:rPr>
          <w:rFonts w:cs="Times New Roman"/>
          <w:noProof/>
          <w:sz w:val="20"/>
        </w:rPr>
      </w:pPr>
      <w:r>
        <w:rPr>
          <w:rFonts w:cs="Times New Roman"/>
          <w:noProof/>
          <w:sz w:val="20"/>
        </w:rPr>
        <w:t>Whi</w:t>
      </w:r>
      <w:r>
        <w:rPr>
          <w:rFonts w:cs="Times New Roman"/>
          <w:noProof/>
          <w:sz w:val="20"/>
        </w:rPr>
        <w:t>le Lithuania has broadened its tax base, however, it remains one of MS having relatively high tax burden on labour. There is a scope to shift the tax burden to less distortive taxes such as, inter alia, environmental taxes.</w:t>
      </w:r>
      <w:r>
        <w:rPr>
          <w:rFonts w:cs="Times New Roman"/>
          <w:noProof/>
          <w:sz w:val="20"/>
          <w:vertAlign w:val="superscript"/>
        </w:rPr>
        <w:t xml:space="preserve"> </w:t>
      </w:r>
      <w:r>
        <w:rPr>
          <w:rFonts w:eastAsia="Calibri" w:cs="Times New Roman"/>
          <w:noProof/>
          <w:sz w:val="24"/>
          <w:szCs w:val="24"/>
          <w:lang w:eastAsia="en-GB"/>
        </w:rPr>
        <w:t xml:space="preserve"> </w:t>
      </w:r>
    </w:p>
    <w:p w:rsidR="00647B3C" w:rsidRDefault="009B368F">
      <w:pPr>
        <w:widowControl w:val="0"/>
        <w:spacing w:before="120" w:after="120" w:line="240" w:lineRule="auto"/>
        <w:jc w:val="both"/>
        <w:rPr>
          <w:rFonts w:cs="Times New Roman"/>
          <w:noProof/>
          <w:sz w:val="20"/>
        </w:rPr>
      </w:pPr>
      <w:r>
        <w:rPr>
          <w:rFonts w:cs="Times New Roman"/>
          <w:noProof/>
          <w:sz w:val="20"/>
        </w:rPr>
        <w:t>In 2014, the ratio of tax reve</w:t>
      </w:r>
      <w:r>
        <w:rPr>
          <w:rFonts w:cs="Times New Roman"/>
          <w:noProof/>
          <w:sz w:val="20"/>
        </w:rPr>
        <w:t>nues to GDP in Lithuania is the lowest in the EU, while at the same time environmental taxes, as a potential source of revenues, remain unexploited. After a large drop in the share of environmental taxes from 2.8% of GDP in 2004 to 1.7% in 2011, it remaine</w:t>
      </w:r>
      <w:r>
        <w:rPr>
          <w:rFonts w:cs="Times New Roman"/>
          <w:noProof/>
          <w:sz w:val="20"/>
        </w:rPr>
        <w:t>d stagnant in 2014. In the same year environmental tax revenues accounted for 6.13% of total revenues from taxes and social-security contributions (EU 28 average: 6.35%)</w:t>
      </w:r>
      <w:r>
        <w:rPr>
          <w:rFonts w:cs="Times New Roman"/>
          <w:noProof/>
          <w:sz w:val="20"/>
          <w:vertAlign w:val="superscript"/>
        </w:rPr>
        <w:footnoteReference w:id="79"/>
      </w:r>
      <w:r>
        <w:rPr>
          <w:rFonts w:cs="Times New Roman"/>
          <w:noProof/>
          <w:sz w:val="20"/>
        </w:rPr>
        <w:t xml:space="preserve"> as shown in Figure 11.</w:t>
      </w:r>
      <w:r>
        <w:rPr>
          <w:rFonts w:cs="Times New Roman"/>
          <w:noProof/>
          <w:sz w:val="20"/>
          <w:szCs w:val="24"/>
        </w:rPr>
        <w:t xml:space="preserve"> </w:t>
      </w:r>
    </w:p>
    <w:p w:rsidR="00647B3C" w:rsidRDefault="009B368F">
      <w:pPr>
        <w:widowControl w:val="0"/>
        <w:spacing w:before="120" w:after="120" w:line="240" w:lineRule="auto"/>
        <w:jc w:val="both"/>
        <w:rPr>
          <w:rFonts w:eastAsia="Calibri" w:cs="Times New Roman"/>
          <w:noProof/>
          <w:sz w:val="24"/>
          <w:szCs w:val="24"/>
          <w:lang w:eastAsia="en-GB"/>
        </w:rPr>
      </w:pPr>
      <w:r>
        <w:rPr>
          <w:rFonts w:cs="Times New Roman"/>
          <w:noProof/>
          <w:sz w:val="20"/>
        </w:rPr>
        <w:t>The largest proportion of the revenue derived from environmen</w:t>
      </w:r>
      <w:r>
        <w:rPr>
          <w:rFonts w:cs="Times New Roman"/>
          <w:noProof/>
          <w:sz w:val="20"/>
        </w:rPr>
        <w:t xml:space="preserve">tally-related taxation is obtained through energy taxes. Pollution/resource and transport taxes (excluding transport fuels) have produced smaller revenue streams with each group of taxes constituting around 3% of environmental taxes. Taxes on transport in </w:t>
      </w:r>
      <w:r>
        <w:rPr>
          <w:rFonts w:cs="Times New Roman"/>
          <w:noProof/>
          <w:sz w:val="20"/>
        </w:rPr>
        <w:t>Lithuania are the lowest in the EU, and besides a low level, they do not take into account the environmental performance of vehicles</w:t>
      </w:r>
      <w:r>
        <w:rPr>
          <w:rFonts w:cs="Times New Roman"/>
          <w:noProof/>
          <w:sz w:val="20"/>
          <w:vertAlign w:val="superscript"/>
        </w:rPr>
        <w:footnoteReference w:id="80"/>
      </w:r>
      <w:r>
        <w:rPr>
          <w:rFonts w:cs="Times New Roman"/>
          <w:noProof/>
          <w:sz w:val="20"/>
        </w:rPr>
        <w:t>.</w:t>
      </w:r>
      <w:r>
        <w:rPr>
          <w:rFonts w:cs="Times New Roman"/>
          <w:noProof/>
          <w:sz w:val="20"/>
          <w:vertAlign w:val="superscript"/>
        </w:rPr>
        <w:t xml:space="preserve"> </w:t>
      </w:r>
    </w:p>
    <w:p w:rsidR="00647B3C" w:rsidRDefault="009B368F">
      <w:pPr>
        <w:widowControl w:val="0"/>
        <w:spacing w:after="80" w:line="240" w:lineRule="auto"/>
        <w:jc w:val="both"/>
        <w:rPr>
          <w:rFonts w:cs="Times New Roman"/>
          <w:noProof/>
          <w:sz w:val="20"/>
        </w:rPr>
      </w:pPr>
      <w:r>
        <w:rPr>
          <w:rFonts w:cs="Times New Roman"/>
          <w:noProof/>
          <w:sz w:val="20"/>
        </w:rPr>
        <w:t xml:space="preserve">The progress shifting tax burden from labour to other less distortive taxes has been limited in Lithuania. Certain issues, such as the absence of vehicle taxation, still persist. </w:t>
      </w:r>
    </w:p>
    <w:p w:rsidR="00647B3C" w:rsidRDefault="009B368F">
      <w:pPr>
        <w:widowControl w:val="0"/>
        <w:spacing w:after="80" w:line="240" w:lineRule="auto"/>
        <w:jc w:val="both"/>
        <w:rPr>
          <w:rFonts w:cs="Times New Roman"/>
          <w:noProof/>
          <w:sz w:val="20"/>
        </w:rPr>
      </w:pPr>
      <w:r>
        <w:rPr>
          <w:rFonts w:cs="Times New Roman"/>
          <w:noProof/>
          <w:sz w:val="20"/>
        </w:rPr>
        <w:t xml:space="preserve">In particular, Lithuania is among the few Member States without any form of </w:t>
      </w:r>
      <w:r>
        <w:rPr>
          <w:rFonts w:cs="Times New Roman"/>
          <w:noProof/>
          <w:sz w:val="20"/>
        </w:rPr>
        <w:t>private passenger car taxation or road-use tax for private passenger vehicles. In addition, Lithuania has a large share of old cars in the existing car fleet and the emissions of newly registered cars in Lithuania are well above the EU average</w:t>
      </w:r>
      <w:r>
        <w:rPr>
          <w:rFonts w:cs="Times New Roman"/>
          <w:noProof/>
          <w:sz w:val="20"/>
          <w:vertAlign w:val="superscript"/>
        </w:rPr>
        <w:footnoteReference w:id="81"/>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p w:rsidR="00647B3C" w:rsidRDefault="009B368F">
            <w:pPr>
              <w:widowControl w:val="0"/>
              <w:jc w:val="both"/>
              <w:rPr>
                <w:rFonts w:cs="Times New Roman"/>
                <w:b/>
                <w:bCs/>
                <w:noProof/>
                <w:color w:val="1F497D" w:themeColor="text2"/>
                <w:sz w:val="20"/>
              </w:rPr>
            </w:pPr>
            <w:r>
              <w:rPr>
                <w:rFonts w:cs="Times New Roman"/>
                <w:b/>
                <w:bCs/>
                <w:noProof/>
                <w:color w:val="1F497D" w:themeColor="text2"/>
                <w:sz w:val="20"/>
              </w:rPr>
              <w:t>Figure 11</w:t>
            </w:r>
            <w:r>
              <w:rPr>
                <w:rFonts w:cs="Times New Roman"/>
                <w:b/>
                <w:bCs/>
                <w:noProof/>
                <w:color w:val="1F497D" w:themeColor="text2"/>
                <w:sz w:val="20"/>
              </w:rPr>
              <w:t xml:space="preserve">: </w:t>
            </w:r>
            <w:r>
              <w:rPr>
                <w:b/>
                <w:bCs/>
                <w:noProof/>
                <w:color w:val="1F497D" w:themeColor="text2"/>
                <w:sz w:val="20"/>
              </w:rPr>
              <w:t>Environmental tax revenues as a share of total revenues from taxes and social contributions (excluding imputed social contributions) in 2014</w:t>
            </w:r>
            <w:r>
              <w:rPr>
                <w:b/>
                <w:bCs/>
                <w:noProof/>
                <w:color w:val="1F497D" w:themeColor="text2"/>
                <w:sz w:val="20"/>
                <w:vertAlign w:val="superscript"/>
              </w:rPr>
              <w:footnoteReference w:id="82"/>
            </w:r>
          </w:p>
        </w:tc>
      </w:tr>
      <w:tr w:rsidR="00647B3C">
        <w:tc>
          <w:tcPr>
            <w:tcW w:w="4909" w:type="dxa"/>
          </w:tcPr>
          <w:p w:rsidR="00647B3C" w:rsidRDefault="009B368F">
            <w:pPr>
              <w:widowControl w:val="0"/>
              <w:spacing w:after="120"/>
              <w:jc w:val="both"/>
              <w:rPr>
                <w:rFonts w:cs="Times New Roman"/>
                <w:noProof/>
                <w:sz w:val="20"/>
              </w:rPr>
            </w:pPr>
            <w:r>
              <w:rPr>
                <w:rFonts w:cs="Times New Roman"/>
                <w:noProof/>
                <w:sz w:val="20"/>
                <w:lang w:eastAsia="en-GB"/>
              </w:rPr>
              <w:drawing>
                <wp:inline distT="0" distB="0" distL="0" distR="0" wp14:anchorId="0BE12AA0" wp14:editId="582CFCDD">
                  <wp:extent cx="2998382" cy="4264316"/>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00425" cy="4267221"/>
                          </a:xfrm>
                          <a:prstGeom prst="rect">
                            <a:avLst/>
                          </a:prstGeom>
                          <a:noFill/>
                        </pic:spPr>
                      </pic:pic>
                    </a:graphicData>
                  </a:graphic>
                </wp:inline>
              </w:drawing>
            </w:r>
          </w:p>
        </w:tc>
      </w:tr>
    </w:tbl>
    <w:p w:rsidR="00647B3C" w:rsidRDefault="009B368F">
      <w:pPr>
        <w:widowControl w:val="0"/>
        <w:spacing w:before="80" w:after="80" w:line="240" w:lineRule="auto"/>
        <w:jc w:val="both"/>
        <w:rPr>
          <w:rFonts w:cs="Times New Roman"/>
          <w:noProof/>
          <w:sz w:val="20"/>
        </w:rPr>
      </w:pPr>
      <w:r>
        <w:rPr>
          <w:rFonts w:cs="Times New Roman"/>
          <w:noProof/>
          <w:sz w:val="20"/>
        </w:rPr>
        <w:t>The previously abandoned debate on the introduction of car taxation in Lithuania restarted in 2015. In March</w:t>
      </w:r>
      <w:r>
        <w:rPr>
          <w:rFonts w:cs="Times New Roman"/>
          <w:noProof/>
          <w:sz w:val="20"/>
        </w:rPr>
        <w:t xml:space="preserve"> 2015 the Minister of Transport expressed his support to the introduction of such tax. In July, the Ministry of Environment has carried out a feasibility study to investigate the possibilities of introducing car taxation on private passenger cars</w:t>
      </w:r>
      <w:r>
        <w:rPr>
          <w:rFonts w:cs="Times New Roman"/>
          <w:noProof/>
          <w:sz w:val="20"/>
          <w:vertAlign w:val="superscript"/>
        </w:rPr>
        <w:footnoteReference w:id="83"/>
      </w:r>
      <w:r>
        <w:rPr>
          <w:rFonts w:cs="Times New Roman"/>
          <w:noProof/>
          <w:sz w:val="20"/>
          <w:vertAlign w:val="superscript"/>
        </w:rPr>
        <w:t>,</w:t>
      </w:r>
      <w:r>
        <w:rPr>
          <w:rStyle w:val="FootnoteReference"/>
          <w:rFonts w:cs="Times New Roman"/>
          <w:noProof/>
          <w:sz w:val="20"/>
        </w:rPr>
        <w:footnoteReference w:id="84"/>
      </w:r>
      <w:r>
        <w:rPr>
          <w:rFonts w:cs="Times New Roman"/>
          <w:noProof/>
          <w:sz w:val="20"/>
        </w:rPr>
        <w:t>. It re</w:t>
      </w:r>
      <w:r>
        <w:rPr>
          <w:rFonts w:cs="Times New Roman"/>
          <w:noProof/>
          <w:sz w:val="20"/>
        </w:rPr>
        <w:t xml:space="preserve">commends introduction of environmental car circulation tax with the calculation of the tariffs based on CO2 emissions and type of fuel, and estimates that such tax could bring up to 76.6 million EUR a year. </w:t>
      </w:r>
    </w:p>
    <w:p w:rsidR="00647B3C" w:rsidRDefault="009B368F">
      <w:pPr>
        <w:widowControl w:val="0"/>
        <w:spacing w:before="80" w:after="80" w:line="240" w:lineRule="auto"/>
        <w:jc w:val="both"/>
        <w:rPr>
          <w:rFonts w:cs="Times New Roman"/>
          <w:noProof/>
          <w:sz w:val="20"/>
        </w:rPr>
      </w:pPr>
      <w:r>
        <w:rPr>
          <w:rFonts w:cs="Times New Roman"/>
          <w:noProof/>
          <w:sz w:val="20"/>
        </w:rPr>
        <w:t>Besides the additional revenues, the introductio</w:t>
      </w:r>
      <w:r>
        <w:rPr>
          <w:rFonts w:cs="Times New Roman"/>
          <w:noProof/>
          <w:sz w:val="20"/>
        </w:rPr>
        <w:t>n of car taxation would also help addressing energy and carbon efficiency issues (the Baltics being amongst the most energy–intensive in the EU), support a modal shift from private to public transport, as well as reduce the very high number of people kille</w:t>
      </w:r>
      <w:r>
        <w:rPr>
          <w:rFonts w:cs="Times New Roman"/>
          <w:noProof/>
          <w:sz w:val="20"/>
        </w:rPr>
        <w:t>d in road accidents</w:t>
      </w:r>
      <w:r>
        <w:rPr>
          <w:rFonts w:cs="Times New Roman"/>
          <w:noProof/>
          <w:sz w:val="20"/>
          <w:vertAlign w:val="superscript"/>
        </w:rPr>
        <w:footnoteReference w:id="85"/>
      </w:r>
      <w:r>
        <w:rPr>
          <w:rFonts w:cs="Times New Roman"/>
          <w:noProof/>
          <w:sz w:val="20"/>
        </w:rPr>
        <w:t>.  Circulation tax differentiated by CO2 emissions and other pollutants such as particulates, as well as a dynamic bonus malus system for car registration implemented in a socially acceptable manner could positively influence future dec</w:t>
      </w:r>
      <w:r>
        <w:rPr>
          <w:rFonts w:cs="Times New Roman"/>
          <w:noProof/>
          <w:sz w:val="20"/>
        </w:rPr>
        <w:t xml:space="preserve">isions on purchasing new vehicles, while at the same time could bring considerable additional revenues. </w:t>
      </w:r>
    </w:p>
    <w:p w:rsidR="00647B3C" w:rsidRDefault="009B368F">
      <w:pPr>
        <w:widowControl w:val="0"/>
        <w:spacing w:before="80" w:after="80" w:line="240" w:lineRule="auto"/>
        <w:jc w:val="both"/>
        <w:rPr>
          <w:rFonts w:cs="Times New Roman"/>
          <w:noProof/>
          <w:sz w:val="20"/>
        </w:rPr>
      </w:pPr>
      <w:r>
        <w:rPr>
          <w:rFonts w:cs="Times New Roman"/>
          <w:noProof/>
          <w:sz w:val="20"/>
        </w:rPr>
        <w:t>Excise duties on motor fuel, petrol and diesel in Lithuania are among the lowest in EU. The overall implicit tax rate on energy is the 3rd lowest in th</w:t>
      </w:r>
      <w:r>
        <w:rPr>
          <w:rFonts w:cs="Times New Roman"/>
          <w:noProof/>
          <w:sz w:val="20"/>
        </w:rPr>
        <w:t>e EU-28.</w:t>
      </w:r>
      <w:r>
        <w:rPr>
          <w:rFonts w:cs="Times New Roman"/>
          <w:noProof/>
          <w:sz w:val="20"/>
          <w:vertAlign w:val="superscript"/>
        </w:rPr>
        <w:footnoteReference w:id="86"/>
      </w:r>
    </w:p>
    <w:p w:rsidR="00647B3C" w:rsidRDefault="009B368F">
      <w:pPr>
        <w:widowControl w:val="0"/>
        <w:spacing w:before="80" w:after="80" w:line="240" w:lineRule="auto"/>
        <w:jc w:val="both"/>
        <w:rPr>
          <w:rFonts w:cs="Times New Roman"/>
          <w:noProof/>
          <w:sz w:val="20"/>
        </w:rPr>
      </w:pPr>
      <w:r>
        <w:rPr>
          <w:rFonts w:cs="Times New Roman"/>
          <w:noProof/>
          <w:sz w:val="20"/>
        </w:rPr>
        <w:t>No major progress has been made regarding environmental taxation over the last years. A landfill tax (with a progressive increase from 3 EUR/t to 27.51 EUR/t for non-hazardous waste, and from 47.79 EUR/t to 70.96 EUR/t for hazardous waste until 2</w:t>
      </w:r>
      <w:r>
        <w:rPr>
          <w:rFonts w:cs="Times New Roman"/>
          <w:noProof/>
          <w:sz w:val="20"/>
        </w:rPr>
        <w:t>020) and excise duties on natural gas (used as a heating fuel) have been introduced from January 2016. The landfill tax could encourage resource efficiency in waste management and divert waste from landfill</w:t>
      </w:r>
    </w:p>
    <w:p w:rsidR="00647B3C" w:rsidRDefault="009B368F">
      <w:pPr>
        <w:widowControl w:val="0"/>
        <w:spacing w:before="80" w:after="80" w:line="240" w:lineRule="auto"/>
        <w:jc w:val="both"/>
        <w:rPr>
          <w:rFonts w:cs="Times New Roman"/>
          <w:noProof/>
          <w:sz w:val="20"/>
        </w:rPr>
      </w:pPr>
      <w:r>
        <w:rPr>
          <w:rFonts w:cs="Times New Roman"/>
          <w:noProof/>
          <w:sz w:val="20"/>
        </w:rPr>
        <w:t xml:space="preserve">Indeed, a 2016 study shows there is considerable </w:t>
      </w:r>
      <w:r>
        <w:rPr>
          <w:rFonts w:cs="Times New Roman"/>
          <w:noProof/>
          <w:sz w:val="20"/>
        </w:rPr>
        <w:t>potential for shifting taxes from labour to environment</w:t>
      </w:r>
      <w:r>
        <w:rPr>
          <w:rFonts w:cs="Times New Roman"/>
          <w:noProof/>
          <w:sz w:val="20"/>
          <w:vertAlign w:val="superscript"/>
        </w:rPr>
        <w:footnoteReference w:id="87"/>
      </w:r>
      <w:r>
        <w:rPr>
          <w:rFonts w:cs="Times New Roman"/>
          <w:noProof/>
          <w:sz w:val="20"/>
        </w:rPr>
        <w:t>. Under a good practice scenario</w:t>
      </w:r>
      <w:r>
        <w:rPr>
          <w:rFonts w:cs="Times New Roman"/>
          <w:noProof/>
          <w:sz w:val="20"/>
          <w:vertAlign w:val="superscript"/>
        </w:rPr>
        <w:footnoteReference w:id="88"/>
      </w:r>
      <w:r>
        <w:rPr>
          <w:rFonts w:cs="Times New Roman"/>
          <w:noProof/>
          <w:sz w:val="20"/>
        </w:rPr>
        <w:t>, these taxes could generate an additional EUR 0.36 billion by 2018, rising to EUR 0.76 billion by 2030 (both in real 2015 terms). This is equivalent to an increase by</w:t>
      </w:r>
      <w:r>
        <w:rPr>
          <w:rFonts w:cs="Times New Roman"/>
          <w:noProof/>
          <w:sz w:val="20"/>
        </w:rPr>
        <w:t xml:space="preserve"> 0.85% and 1.22% of GDP in 2018 and 2030, respectively. </w:t>
      </w:r>
    </w:p>
    <w:p w:rsidR="00647B3C" w:rsidRDefault="009B368F">
      <w:pPr>
        <w:widowControl w:val="0"/>
        <w:spacing w:before="80" w:after="80" w:line="240" w:lineRule="auto"/>
        <w:jc w:val="both"/>
        <w:rPr>
          <w:rFonts w:cs="Times New Roman"/>
          <w:noProof/>
          <w:sz w:val="20"/>
        </w:rPr>
      </w:pPr>
      <w:r>
        <w:rPr>
          <w:rFonts w:cs="Times New Roman"/>
          <w:noProof/>
          <w:sz w:val="20"/>
        </w:rPr>
        <w:t>In 2014, a study on the “Naming of environmentally harmful subsidies, and determination of their common values in the tax system setting. Methodology for evaluation of environmentally harmful subsidi</w:t>
      </w:r>
      <w:r>
        <w:rPr>
          <w:rFonts w:cs="Times New Roman"/>
          <w:noProof/>
          <w:sz w:val="20"/>
        </w:rPr>
        <w:t xml:space="preserve">es” was carried out in Lithuania. The study has identified 37 environmentally harmful subsidies in Lithuania, composing of 79% of the National budget subsidies and 22% of EU support subsidies. The study proposed to review the tax subsidy incentives, which </w:t>
      </w:r>
      <w:r>
        <w:rPr>
          <w:rFonts w:cs="Times New Roman"/>
          <w:noProof/>
          <w:sz w:val="20"/>
        </w:rPr>
        <w:t xml:space="preserve">are related to natural resources, mobile pollution sources and energy products gradually abandoning them. </w:t>
      </w:r>
    </w:p>
    <w:p w:rsidR="00647B3C" w:rsidRDefault="009B368F">
      <w:pPr>
        <w:widowControl w:val="0"/>
        <w:spacing w:before="120" w:after="120" w:line="240" w:lineRule="auto"/>
        <w:outlineLvl w:val="1"/>
        <w:rPr>
          <w:rFonts w:cs="Times New Roman"/>
          <w:b/>
          <w:noProof/>
          <w:color w:val="1F497D" w:themeColor="text2"/>
          <w:sz w:val="24"/>
          <w:lang w:eastAsia="en-GB"/>
        </w:rPr>
      </w:pPr>
      <w:bookmarkStart w:id="48" w:name="_Toc454460691"/>
      <w:bookmarkStart w:id="49" w:name="_Toc469313211"/>
      <w:bookmarkStart w:id="50" w:name="_Toc448925421"/>
      <w:r>
        <w:rPr>
          <w:rFonts w:cs="Times New Roman"/>
          <w:b/>
          <w:noProof/>
          <w:color w:val="1F497D" w:themeColor="text2"/>
          <w:sz w:val="24"/>
          <w:lang w:eastAsia="en-GB"/>
        </w:rPr>
        <w:t>Green Public Procurement</w:t>
      </w:r>
      <w:bookmarkEnd w:id="48"/>
      <w:bookmarkEnd w:id="49"/>
      <w:r>
        <w:rPr>
          <w:rFonts w:cs="Times New Roman"/>
          <w:b/>
          <w:noProof/>
          <w:color w:val="1F497D" w:themeColor="text2"/>
          <w:sz w:val="24"/>
          <w:lang w:eastAsia="en-GB"/>
        </w:rPr>
        <w:t xml:space="preserve"> </w:t>
      </w:r>
    </w:p>
    <w:bookmarkEnd w:id="50"/>
    <w:p w:rsidR="00647B3C" w:rsidRDefault="009B368F">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States to take further steps to reach the target of applying </w:t>
      </w:r>
      <w:r>
        <w:rPr>
          <w:rFonts w:cs="Times New Roman"/>
          <w:noProof/>
          <w:color w:val="FFFFFF" w:themeColor="background1"/>
          <w:sz w:val="20"/>
        </w:rPr>
        <w:t>green procurement criteria to at least 50% of public tenders.</w:t>
      </w:r>
    </w:p>
    <w:p w:rsidR="00647B3C" w:rsidRDefault="009B368F">
      <w:pPr>
        <w:widowControl w:val="0"/>
        <w:spacing w:before="240"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w:t>
      </w:r>
      <w:r>
        <w:rPr>
          <w:rFonts w:cs="Times New Roman"/>
          <w:noProof/>
          <w:sz w:val="20"/>
        </w:rPr>
        <w:t xml:space="preserve">goods, services and works with the same primary function that would otherwise be procured. </w:t>
      </w:r>
    </w:p>
    <w:p w:rsidR="00647B3C" w:rsidRDefault="009B368F">
      <w:pPr>
        <w:widowControl w:val="0"/>
        <w:spacing w:after="120" w:line="240" w:lineRule="auto"/>
        <w:jc w:val="both"/>
        <w:rPr>
          <w:rFonts w:cs="Times New Roman"/>
          <w:noProof/>
          <w:sz w:val="20"/>
        </w:rPr>
      </w:pPr>
      <w:r>
        <w:rPr>
          <w:rFonts w:cs="Times New Roman"/>
          <w:noProof/>
          <w:sz w:val="20"/>
        </w:rPr>
        <w:t>The purchasing power of public procurement in the EU equals to approximately 14% of GDP</w:t>
      </w:r>
      <w:r>
        <w:rPr>
          <w:rFonts w:cs="Times New Roman"/>
          <w:noProof/>
          <w:sz w:val="20"/>
          <w:vertAlign w:val="superscript"/>
        </w:rPr>
        <w:footnoteReference w:id="89"/>
      </w:r>
      <w:r>
        <w:rPr>
          <w:rFonts w:cs="Times New Roman"/>
          <w:noProof/>
          <w:sz w:val="20"/>
        </w:rPr>
        <w:t>. A substantial part of this money is spent on sectors with high environment</w:t>
      </w:r>
      <w:r>
        <w:rPr>
          <w:rFonts w:cs="Times New Roman"/>
          <w:noProof/>
          <w:sz w:val="20"/>
        </w:rPr>
        <w:t>al impact such as construction or transport, so GPP can help to significantly lower the impact of public spending and foster sustainable innovative businesses. The Commission has proposed EU GPP criteria</w:t>
      </w:r>
      <w:r>
        <w:rPr>
          <w:rFonts w:cs="Times New Roman"/>
          <w:noProof/>
          <w:sz w:val="20"/>
          <w:vertAlign w:val="superscript"/>
        </w:rPr>
        <w:footnoteReference w:id="90"/>
      </w:r>
      <w:r>
        <w:rPr>
          <w:rFonts w:cs="Times New Roman"/>
          <w:noProof/>
          <w:sz w:val="20"/>
        </w:rPr>
        <w:t>.</w:t>
      </w:r>
    </w:p>
    <w:p w:rsidR="00647B3C" w:rsidRDefault="009B368F">
      <w:pPr>
        <w:widowControl w:val="0"/>
        <w:spacing w:before="80" w:after="80" w:line="240" w:lineRule="auto"/>
        <w:jc w:val="both"/>
        <w:rPr>
          <w:rFonts w:cs="Times New Roman"/>
          <w:noProof/>
          <w:sz w:val="20"/>
        </w:rPr>
      </w:pPr>
      <w:r>
        <w:rPr>
          <w:rFonts w:cs="Times New Roman"/>
          <w:noProof/>
          <w:sz w:val="20"/>
        </w:rPr>
        <w:t xml:space="preserve">A National Action Plan (NAP) or National Strategy </w:t>
      </w:r>
      <w:r>
        <w:rPr>
          <w:rFonts w:cs="Times New Roman"/>
          <w:noProof/>
          <w:sz w:val="20"/>
        </w:rPr>
        <w:t>on GPP is in force, and the implementation measures of GPP for the period 2016−2020 was approved in October 2015. GPP criteria are developed at the national level for environmental criteria for 26 products attributed to 4 groups</w:t>
      </w:r>
      <w:r>
        <w:rPr>
          <w:rFonts w:cs="Times New Roman"/>
          <w:noProof/>
          <w:sz w:val="20"/>
          <w:vertAlign w:val="superscript"/>
        </w:rPr>
        <w:footnoteReference w:id="91"/>
      </w:r>
      <w:r>
        <w:rPr>
          <w:rFonts w:cs="Times New Roman"/>
          <w:noProof/>
          <w:sz w:val="20"/>
        </w:rPr>
        <w:t>, see webpage for the Minis</w:t>
      </w:r>
      <w:r>
        <w:rPr>
          <w:rFonts w:cs="Times New Roman"/>
          <w:noProof/>
          <w:sz w:val="20"/>
        </w:rPr>
        <w:t>try of Environment</w:t>
      </w:r>
      <w:r>
        <w:rPr>
          <w:rFonts w:cs="Times New Roman"/>
          <w:noProof/>
          <w:sz w:val="20"/>
          <w:vertAlign w:val="superscript"/>
        </w:rPr>
        <w:footnoteReference w:id="92"/>
      </w:r>
      <w:r>
        <w:rPr>
          <w:rFonts w:cs="Times New Roman"/>
          <w:noProof/>
          <w:sz w:val="20"/>
        </w:rPr>
        <w:t>. A previous aim was to achieve 35% green public procurement contracts of all public contracts for goods, services and works, for the purchase of which core (mandatory) and comprehensive (advisable) environmental criteria are established</w:t>
      </w:r>
      <w:r>
        <w:rPr>
          <w:rFonts w:cs="Times New Roman"/>
          <w:noProof/>
          <w:sz w:val="20"/>
        </w:rPr>
        <w:t xml:space="preserve"> in 2015.</w:t>
      </w:r>
      <w:r>
        <w:rPr>
          <w:rFonts w:cs="Times New Roman"/>
          <w:noProof/>
          <w:sz w:val="20"/>
          <w:vertAlign w:val="superscript"/>
        </w:rPr>
        <w:footnoteReference w:id="93"/>
      </w:r>
    </w:p>
    <w:p w:rsidR="00647B3C" w:rsidRDefault="009B368F">
      <w:pPr>
        <w:widowControl w:val="0"/>
        <w:spacing w:before="80" w:after="80" w:line="240" w:lineRule="auto"/>
        <w:jc w:val="both"/>
        <w:rPr>
          <w:rFonts w:cs="Times New Roman"/>
          <w:noProof/>
          <w:sz w:val="20"/>
        </w:rPr>
      </w:pPr>
      <w:r>
        <w:rPr>
          <w:rFonts w:cs="Times New Roman"/>
          <w:noProof/>
          <w:sz w:val="20"/>
        </w:rPr>
        <w:t>According to a 2010 study, 10% and 20% of Lithuanian authorities included GPP requirements in between 50% and 100% of their contracts</w:t>
      </w:r>
      <w:r>
        <w:rPr>
          <w:rFonts w:cs="Times New Roman"/>
          <w:noProof/>
          <w:sz w:val="20"/>
          <w:vertAlign w:val="superscript"/>
        </w:rPr>
        <w:footnoteReference w:id="94"/>
      </w:r>
      <w:r>
        <w:rPr>
          <w:rFonts w:cs="Times New Roman"/>
          <w:noProof/>
          <w:sz w:val="20"/>
        </w:rPr>
        <w:t>.</w:t>
      </w:r>
    </w:p>
    <w:p w:rsidR="00647B3C" w:rsidRDefault="009B368F">
      <w:pPr>
        <w:widowControl w:val="0"/>
        <w:spacing w:before="80" w:after="80" w:line="240" w:lineRule="auto"/>
        <w:jc w:val="both"/>
        <w:rPr>
          <w:rFonts w:cs="Times New Roman"/>
          <w:noProof/>
          <w:sz w:val="20"/>
        </w:rPr>
      </w:pPr>
      <w:r>
        <w:rPr>
          <w:rFonts w:cs="Times New Roman"/>
          <w:noProof/>
          <w:sz w:val="20"/>
        </w:rPr>
        <w:t>According to a 2011 survey, Lithuanian authorities included at least one of the EU core green criteria in 56%</w:t>
      </w:r>
      <w:r>
        <w:rPr>
          <w:rFonts w:cs="Times New Roman"/>
          <w:noProof/>
          <w:sz w:val="20"/>
        </w:rPr>
        <w:t xml:space="preserve"> of the contracts, and 33% of the contracts included all the relevant EU core green criteria.</w:t>
      </w:r>
      <w:r>
        <w:rPr>
          <w:rFonts w:cs="Times New Roman"/>
          <w:noProof/>
          <w:sz w:val="20"/>
          <w:vertAlign w:val="superscript"/>
        </w:rPr>
        <w:footnoteReference w:id="95"/>
      </w:r>
      <w:r>
        <w:rPr>
          <w:rFonts w:cs="Times New Roman"/>
          <w:noProof/>
          <w:sz w:val="20"/>
        </w:rPr>
        <w:t>.</w:t>
      </w:r>
    </w:p>
    <w:p w:rsidR="00647B3C" w:rsidRDefault="009B368F">
      <w:pPr>
        <w:widowControl w:val="0"/>
        <w:spacing w:before="80" w:after="80" w:line="240" w:lineRule="auto"/>
        <w:jc w:val="both"/>
        <w:rPr>
          <w:rFonts w:cs="Times New Roman"/>
          <w:noProof/>
          <w:sz w:val="20"/>
        </w:rPr>
      </w:pPr>
      <w:r>
        <w:rPr>
          <w:rFonts w:cs="Times New Roman"/>
          <w:noProof/>
          <w:sz w:val="20"/>
        </w:rPr>
        <w:t xml:space="preserve">No data is available in regard to the achievement of this goal. </w:t>
      </w:r>
    </w:p>
    <w:p w:rsidR="00647B3C" w:rsidRDefault="009B368F">
      <w:pPr>
        <w:widowControl w:val="0"/>
        <w:spacing w:before="120" w:after="120" w:line="240" w:lineRule="auto"/>
        <w:outlineLvl w:val="1"/>
        <w:rPr>
          <w:rFonts w:cs="Times New Roman"/>
          <w:b/>
          <w:noProof/>
          <w:color w:val="1F497D" w:themeColor="text2"/>
          <w:sz w:val="24"/>
          <w:lang w:eastAsia="en-GB"/>
        </w:rPr>
      </w:pPr>
      <w:bookmarkStart w:id="51" w:name="_Toc454460692"/>
      <w:bookmarkStart w:id="52" w:name="_Toc469313212"/>
      <w:bookmarkEnd w:id="46"/>
      <w:r>
        <w:rPr>
          <w:rFonts w:cs="Times New Roman"/>
          <w:b/>
          <w:noProof/>
          <w:color w:val="1F497D" w:themeColor="text2"/>
          <w:sz w:val="24"/>
          <w:lang w:eastAsia="en-GB"/>
        </w:rPr>
        <w:t xml:space="preserve">Investments: </w:t>
      </w:r>
      <w:bookmarkEnd w:id="51"/>
      <w:r>
        <w:rPr>
          <w:rFonts w:cs="Times New Roman"/>
          <w:b/>
          <w:noProof/>
          <w:color w:val="1F497D" w:themeColor="text2"/>
          <w:sz w:val="24"/>
          <w:lang w:eastAsia="en-GB"/>
        </w:rPr>
        <w:t>the contribution of EU funds</w:t>
      </w:r>
      <w:bookmarkEnd w:id="52"/>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European Structural and Investment Funds Regulations </w:t>
      </w:r>
      <w:r>
        <w:rPr>
          <w:rFonts w:cs="Times New Roman"/>
          <w:noProof/>
          <w:color w:val="FFFFFF" w:themeColor="background1"/>
          <w:sz w:val="20"/>
        </w:rPr>
        <w:t>provide that Member States promote environment and climate objectives in their funding strategies and programmes for economic, social and territorial cohesion, rural development and maritime policy, and reinforce the capacity of implementing bodies to deli</w:t>
      </w:r>
      <w:r>
        <w:rPr>
          <w:rFonts w:cs="Times New Roman"/>
          <w:noProof/>
          <w:color w:val="FFFFFF" w:themeColor="background1"/>
          <w:sz w:val="20"/>
        </w:rPr>
        <w:t>ver cost-effective and sustainable investments in these areas.</w:t>
      </w:r>
    </w:p>
    <w:p w:rsidR="00647B3C" w:rsidRDefault="009B368F">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96"/>
      </w:r>
      <w:r>
        <w:rPr>
          <w:rFonts w:cs="Times New Roman"/>
          <w:noProof/>
          <w:sz w:val="20"/>
          <w:szCs w:val="24"/>
        </w:rPr>
        <w:t xml:space="preserve"> </w:t>
      </w:r>
      <w:r>
        <w:rPr>
          <w:rFonts w:cs="Times New Roman"/>
          <w:noProof/>
          <w:sz w:val="20"/>
        </w:rPr>
        <w:t>is essential to achieve the environmental goals and integrate these into other policy areas. Other instruments such as th</w:t>
      </w:r>
      <w:r>
        <w:rPr>
          <w:rFonts w:cs="Times New Roman"/>
          <w:noProof/>
          <w:sz w:val="20"/>
        </w:rPr>
        <w:t>e Horizon 2020, the LIFE programme and EFSI may also support implementation and spread off best practice.</w:t>
      </w:r>
    </w:p>
    <w:p w:rsidR="00647B3C" w:rsidRDefault="009B368F">
      <w:pPr>
        <w:widowControl w:val="0"/>
        <w:spacing w:before="120" w:after="120" w:line="240" w:lineRule="auto"/>
        <w:jc w:val="both"/>
        <w:rPr>
          <w:rFonts w:cs="Times New Roman"/>
          <w:noProof/>
          <w:sz w:val="20"/>
        </w:rPr>
      </w:pPr>
      <w:r>
        <w:rPr>
          <w:rFonts w:cs="Times New Roman"/>
          <w:noProof/>
          <w:sz w:val="20"/>
        </w:rPr>
        <w:t>Lithuania, through 3 national and regional programmes, benefits from ESIF funding of EUR 8.4 billion over the period 2014-2020 (see Figure 12)</w:t>
      </w:r>
      <w:r>
        <w:rPr>
          <w:rFonts w:cs="Times New Roman"/>
          <w:noProof/>
          <w:sz w:val="20"/>
          <w:vertAlign w:val="superscript"/>
        </w:rPr>
        <w:footnoteReference w:id="97"/>
      </w:r>
      <w:r>
        <w:rPr>
          <w:rFonts w:cs="Times New Roman"/>
          <w:noProof/>
          <w:sz w:val="20"/>
        </w:rPr>
        <w:t xml:space="preserve">. </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The </w:t>
      </w:r>
      <w:r>
        <w:rPr>
          <w:rFonts w:cs="Times New Roman"/>
          <w:noProof/>
          <w:sz w:val="20"/>
        </w:rPr>
        <w:t>biggest share – EUR 3.5 billion (41.8%) of funding is coming from the European Fund for Regional Development (ERDF).</w:t>
      </w:r>
    </w:p>
    <w:p w:rsidR="00647B3C" w:rsidRDefault="009B368F">
      <w:pPr>
        <w:widowControl w:val="0"/>
        <w:spacing w:before="120" w:after="120" w:line="240" w:lineRule="auto"/>
        <w:jc w:val="both"/>
        <w:rPr>
          <w:rFonts w:cs="Times New Roman"/>
          <w:noProof/>
          <w:sz w:val="20"/>
        </w:rPr>
      </w:pPr>
      <w:r>
        <w:rPr>
          <w:rFonts w:cs="Times New Roman"/>
          <w:noProof/>
          <w:sz w:val="20"/>
        </w:rPr>
        <w:t>EUR 1.6 billion (19.2%) – from the European Agricultural Fund for Rural Development (EAFRD).</w:t>
      </w:r>
    </w:p>
    <w:p w:rsidR="00647B3C" w:rsidRDefault="009B368F">
      <w:pPr>
        <w:widowControl w:val="0"/>
        <w:spacing w:before="120" w:after="120" w:line="240" w:lineRule="auto"/>
        <w:jc w:val="both"/>
        <w:rPr>
          <w:rFonts w:cs="Times New Roman"/>
          <w:noProof/>
          <w:sz w:val="20"/>
        </w:rPr>
      </w:pPr>
      <w:r>
        <w:rPr>
          <w:rFonts w:cs="Times New Roman"/>
          <w:noProof/>
          <w:sz w:val="20"/>
        </w:rPr>
        <w:t>EUR 1.1 billion (13.4%) - from the European So</w:t>
      </w:r>
      <w:r>
        <w:rPr>
          <w:rFonts w:cs="Times New Roman"/>
          <w:noProof/>
          <w:sz w:val="20"/>
        </w:rPr>
        <w:t>cial Fund (ESF).</w:t>
      </w:r>
    </w:p>
    <w:p w:rsidR="00647B3C" w:rsidRDefault="009B368F">
      <w:pPr>
        <w:widowControl w:val="0"/>
        <w:spacing w:before="120" w:after="120" w:line="240" w:lineRule="auto"/>
        <w:jc w:val="both"/>
        <w:rPr>
          <w:rFonts w:cs="Times New Roman"/>
          <w:noProof/>
          <w:sz w:val="20"/>
        </w:rPr>
      </w:pPr>
      <w:r>
        <w:rPr>
          <w:rFonts w:cs="Times New Roman"/>
          <w:noProof/>
          <w:sz w:val="20"/>
        </w:rPr>
        <w:t>EUR 63.4 million (0.8%) from the European Maritime and Fisheries Fund (EMFF) and</w:t>
      </w:r>
    </w:p>
    <w:p w:rsidR="00647B3C" w:rsidRDefault="009B368F">
      <w:pPr>
        <w:widowControl w:val="0"/>
        <w:spacing w:before="120" w:after="120" w:line="240" w:lineRule="auto"/>
        <w:jc w:val="both"/>
        <w:rPr>
          <w:rFonts w:cs="Times New Roman"/>
          <w:noProof/>
          <w:sz w:val="20"/>
        </w:rPr>
      </w:pPr>
      <w:r>
        <w:rPr>
          <w:rFonts w:cs="Times New Roman"/>
          <w:noProof/>
          <w:sz w:val="20"/>
        </w:rPr>
        <w:t>EUR 2.1 billion (24.4%) - from the Cohesion Fund (CF).</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The environmental expenditure estimates to around 1 billion EUR or 18% of the total ERDF and CF (based </w:t>
      </w:r>
      <w:r>
        <w:rPr>
          <w:rFonts w:cs="Times New Roman"/>
          <w:noProof/>
          <w:sz w:val="20"/>
        </w:rPr>
        <w:t>on categories of expenditure). These investments target water, waste, air, biodiversity and nature, sustainable urban transport. Among other things the EU investment will help to reduce landfilling of municipal waste to 35% in 2023 (60% in 2014), develop a</w:t>
      </w:r>
      <w:r>
        <w:rPr>
          <w:rFonts w:cs="Times New Roman"/>
          <w:noProof/>
          <w:sz w:val="20"/>
        </w:rPr>
        <w:t>dditional municipal waste separate collection and recycling capacity (150.000 and 100.000 tons a year respectively), ensure improved water supply and wastewater management services for 60.000 persons, support 1,150 hectares of surface area of habitats to a</w:t>
      </w:r>
      <w:r>
        <w:rPr>
          <w:rFonts w:cs="Times New Roman"/>
          <w:noProof/>
          <w:sz w:val="20"/>
        </w:rPr>
        <w:t>ttain better conservation status.</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In addition, 970 million EUR (or 13,5% of ERDF and CF) are earmarked for the shift to low carbon technologies in all sectors, including support to energy efficiency, increase of the use of renewable energy sources, </w:t>
      </w:r>
      <w:r>
        <w:rPr>
          <w:rFonts w:cs="Times New Roman"/>
          <w:noProof/>
          <w:sz w:val="20"/>
        </w:rPr>
        <w:t>sustainable transport and urban mobility measures.</w:t>
      </w:r>
    </w:p>
    <w:p w:rsidR="00647B3C" w:rsidRDefault="009B368F">
      <w:pPr>
        <w:widowControl w:val="0"/>
        <w:spacing w:before="120" w:after="120" w:line="240" w:lineRule="auto"/>
        <w:jc w:val="both"/>
        <w:rPr>
          <w:rFonts w:cs="Times New Roman"/>
          <w:noProof/>
          <w:sz w:val="20"/>
        </w:rPr>
      </w:pPr>
      <w:r>
        <w:rPr>
          <w:rFonts w:cs="Times New Roman"/>
          <w:noProof/>
          <w:sz w:val="20"/>
        </w:rPr>
        <w:t>It is too early to draw conclusions as regards the use and results of ESIF funds for the period 2014-2020, as the relevant programmes are still in an early stage of their implementation. Current data sugge</w:t>
      </w:r>
      <w:r>
        <w:rPr>
          <w:rFonts w:cs="Times New Roman"/>
          <w:noProof/>
          <w:sz w:val="20"/>
        </w:rPr>
        <w:t>st that the EU funds for the 2007-2013 period were almost fully spent. However, Lithuania would benefit from more targeted investments.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rPr>
          <w:trHeight w:val="541"/>
        </w:trPr>
        <w:tc>
          <w:tcPr>
            <w:tcW w:w="4909" w:type="dxa"/>
          </w:tcPr>
          <w:p w:rsidR="00647B3C" w:rsidRDefault="009B368F">
            <w:pPr>
              <w:spacing w:after="120"/>
              <w:jc w:val="both"/>
              <w:rPr>
                <w:rFonts w:cs="Times New Roman"/>
                <w:noProof/>
                <w:sz w:val="20"/>
              </w:rPr>
            </w:pPr>
            <w:r>
              <w:rPr>
                <w:rFonts w:cs="Times New Roman"/>
                <w:b/>
                <w:bCs/>
                <w:noProof/>
                <w:color w:val="1F497D" w:themeColor="text2"/>
                <w:sz w:val="20"/>
              </w:rPr>
              <w:t>Figure 12: European Structural and Investment Funds 2014-2020: Budget Lithuania by theme, EUR billion</w:t>
            </w:r>
            <w:r>
              <w:rPr>
                <w:rFonts w:cs="Times New Roman"/>
                <w:noProof/>
                <w:sz w:val="20"/>
                <w:vertAlign w:val="superscript"/>
              </w:rPr>
              <w:footnoteReference w:id="98"/>
            </w:r>
          </w:p>
        </w:tc>
      </w:tr>
      <w:tr w:rsidR="00647B3C">
        <w:trPr>
          <w:trHeight w:val="558"/>
        </w:trPr>
        <w:tc>
          <w:tcPr>
            <w:tcW w:w="4909" w:type="dxa"/>
          </w:tcPr>
          <w:p w:rsidR="00647B3C" w:rsidRDefault="009B368F">
            <w:pPr>
              <w:spacing w:after="120"/>
              <w:jc w:val="both"/>
              <w:rPr>
                <w:rFonts w:cs="Times New Roman"/>
                <w:noProof/>
                <w:sz w:val="20"/>
              </w:rPr>
            </w:pPr>
            <w:r>
              <w:rPr>
                <w:rFonts w:cs="Times New Roman"/>
                <w:noProof/>
                <w:sz w:val="20"/>
                <w:lang w:eastAsia="en-GB"/>
              </w:rPr>
              <w:drawing>
                <wp:inline distT="0" distB="0" distL="0" distR="0" wp14:anchorId="50ED81BA" wp14:editId="4296956F">
                  <wp:extent cx="3057097" cy="400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3065177" cy="4011073"/>
                          </a:xfrm>
                          <a:prstGeom prst="rect">
                            <a:avLst/>
                          </a:prstGeom>
                        </pic:spPr>
                      </pic:pic>
                    </a:graphicData>
                  </a:graphic>
                </wp:inline>
              </w:drawing>
            </w:r>
          </w:p>
        </w:tc>
      </w:tr>
    </w:tbl>
    <w:p w:rsidR="00647B3C" w:rsidRDefault="009B368F">
      <w:pPr>
        <w:widowControl w:val="0"/>
        <w:spacing w:before="120" w:after="120" w:line="240" w:lineRule="auto"/>
        <w:jc w:val="both"/>
        <w:rPr>
          <w:rFonts w:cs="Times New Roman"/>
          <w:noProof/>
          <w:sz w:val="20"/>
        </w:rPr>
      </w:pPr>
      <w:r>
        <w:rPr>
          <w:rFonts w:cs="Times New Roman"/>
          <w:noProof/>
          <w:sz w:val="20"/>
        </w:rPr>
        <w:t xml:space="preserve">In total, EUR 960 million a dedicated to the Thematic objective (TO) 6 </w:t>
      </w:r>
      <w:r>
        <w:rPr>
          <w:rFonts w:cs="Times New Roman"/>
          <w:i/>
          <w:noProof/>
          <w:sz w:val="20"/>
        </w:rPr>
        <w:t>Environment Protection and Resource efficiency</w:t>
      </w:r>
      <w:r>
        <w:rPr>
          <w:rFonts w:cs="Times New Roman"/>
          <w:noProof/>
          <w:sz w:val="20"/>
        </w:rPr>
        <w:t>, EUR 539.3 million through the CF,  EUR 214.1 million through the EAFRD programme, EUR 189.6 million through the ERDF programmes, EUR 17.6</w:t>
      </w:r>
      <w:r>
        <w:rPr>
          <w:rFonts w:cs="Times New Roman"/>
          <w:noProof/>
          <w:sz w:val="20"/>
        </w:rPr>
        <w:t xml:space="preserve"> million through the EMFF. In addition, EUR 1.1 billion is foreseen for TO4 </w:t>
      </w:r>
      <w:r>
        <w:rPr>
          <w:rFonts w:cs="Times New Roman"/>
          <w:i/>
          <w:noProof/>
          <w:sz w:val="20"/>
        </w:rPr>
        <w:t>Low Carbon Economy</w:t>
      </w:r>
      <w:r>
        <w:rPr>
          <w:rFonts w:cs="Times New Roman"/>
          <w:noProof/>
          <w:sz w:val="20"/>
        </w:rPr>
        <w:t xml:space="preserve"> (ERDF, CF, EMFF and EAFRD) and EUR 322.9 million for TO5 </w:t>
      </w:r>
      <w:r>
        <w:rPr>
          <w:rFonts w:cs="Times New Roman"/>
          <w:i/>
          <w:noProof/>
          <w:sz w:val="20"/>
        </w:rPr>
        <w:t xml:space="preserve">Climate Change Adoption and Risk Prevention </w:t>
      </w:r>
      <w:r>
        <w:rPr>
          <w:rFonts w:cs="Times New Roman"/>
          <w:noProof/>
          <w:sz w:val="20"/>
        </w:rPr>
        <w:t xml:space="preserve">(EAFRD, CF and ERDF). </w:t>
      </w:r>
    </w:p>
    <w:p w:rsidR="00647B3C" w:rsidRDefault="009B368F">
      <w:pPr>
        <w:widowControl w:val="0"/>
        <w:spacing w:before="120" w:after="120" w:line="240" w:lineRule="auto"/>
        <w:jc w:val="both"/>
        <w:rPr>
          <w:rFonts w:cs="Times New Roman"/>
          <w:noProof/>
          <w:sz w:val="20"/>
        </w:rPr>
      </w:pPr>
      <w:r>
        <w:rPr>
          <w:rFonts w:cs="Times New Roman"/>
          <w:noProof/>
          <w:sz w:val="20"/>
        </w:rPr>
        <w:t>With regard to the integration of env</w:t>
      </w:r>
      <w:r>
        <w:rPr>
          <w:rFonts w:cs="Times New Roman"/>
          <w:noProof/>
          <w:sz w:val="20"/>
        </w:rPr>
        <w:t>ironmental concerns into the Common Agricultural Policy (CAP), the two key areas for Lithuania (as for all Member States) are, first, using Rural Development funds to pay for environmental land management and other environmental measures, while avoiding fi</w:t>
      </w:r>
      <w:r>
        <w:rPr>
          <w:rFonts w:cs="Times New Roman"/>
          <w:noProof/>
          <w:sz w:val="20"/>
        </w:rPr>
        <w:t xml:space="preserve">nancing measures which could damage the environment; and secondly, ensuring an effective implementation of the first pillar of the CAP with regard to cross compliance and 1st pillar 'greening'. </w:t>
      </w:r>
    </w:p>
    <w:p w:rsidR="00647B3C" w:rsidRDefault="009B368F">
      <w:pPr>
        <w:widowControl w:val="0"/>
        <w:spacing w:before="120" w:after="120" w:line="240" w:lineRule="auto"/>
        <w:jc w:val="both"/>
        <w:rPr>
          <w:rFonts w:cs="Times New Roman"/>
          <w:noProof/>
          <w:sz w:val="20"/>
        </w:rPr>
      </w:pPr>
      <w:r>
        <w:rPr>
          <w:rFonts w:cs="Times New Roman"/>
          <w:noProof/>
          <w:sz w:val="20"/>
        </w:rPr>
        <w:t>The approved National Rural Development Program (EARDF) amoun</w:t>
      </w:r>
      <w:r>
        <w:rPr>
          <w:rFonts w:cs="Times New Roman"/>
          <w:noProof/>
          <w:sz w:val="20"/>
        </w:rPr>
        <w:t>ts overall to EUR 1.613 billion. The planned spending on the ecosystem priority is EUR 0.431 billion, which represents 26.7% of the total budget, but only EUR 0.179 billion, 11.1% of the total budget is dedicated to agri-environment-climate measures. It is</w:t>
      </w:r>
      <w:r>
        <w:rPr>
          <w:rFonts w:cs="Times New Roman"/>
          <w:noProof/>
          <w:sz w:val="20"/>
        </w:rPr>
        <w:t xml:space="preserve"> recognised that environment and climate measures proposed in the RDP, with adequate uptake and now improved funding, have the potential to contribute to addressing the environmental problems identified. The RDP contribution to the delivery of the required</w:t>
      </w:r>
      <w:r>
        <w:rPr>
          <w:rFonts w:cs="Times New Roman"/>
          <w:noProof/>
          <w:sz w:val="20"/>
        </w:rPr>
        <w:t xml:space="preserve"> regulatory outcomes of "good status of water" and the "good conservation status of species and habitats" needs to be aligned further and monitored as the program evolves especially in the context of potential increased agricultural intensity.  Lithuania s</w:t>
      </w:r>
      <w:r>
        <w:rPr>
          <w:rFonts w:cs="Times New Roman"/>
          <w:noProof/>
          <w:sz w:val="20"/>
        </w:rPr>
        <w:t xml:space="preserve">hould strengthen the development of biodiversity aspects in the Rural Development Programme.  </w:t>
      </w:r>
    </w:p>
    <w:p w:rsidR="00647B3C" w:rsidRDefault="009B368F">
      <w:pPr>
        <w:widowControl w:val="0"/>
        <w:spacing w:before="120" w:after="120" w:line="240" w:lineRule="auto"/>
        <w:jc w:val="both"/>
        <w:rPr>
          <w:rFonts w:cs="Times New Roman"/>
          <w:noProof/>
          <w:sz w:val="20"/>
        </w:rPr>
      </w:pPr>
      <w:r>
        <w:rPr>
          <w:rFonts w:cs="Times New Roman"/>
          <w:noProof/>
          <w:sz w:val="20"/>
        </w:rPr>
        <w:t xml:space="preserve">The Direct Payment envelope of Lithuania for the period 2015-2020 is EUR 2.336 billion, (according to Commission delegated regulation (EU) No 994/2014 of 13 May </w:t>
      </w:r>
      <w:r>
        <w:rPr>
          <w:rFonts w:cs="Times New Roman"/>
          <w:noProof/>
          <w:sz w:val="20"/>
        </w:rPr>
        <w:t xml:space="preserve">2014), 30% of which (EUR 0.701 billion) being allocated to greening practices beneficial for the environment. An environmentally ambitious implementation of 1st pillar greening would clearly help to improve the environmental situation in areas not covered </w:t>
      </w:r>
      <w:r>
        <w:rPr>
          <w:rFonts w:cs="Times New Roman"/>
          <w:noProof/>
          <w:sz w:val="20"/>
        </w:rPr>
        <w:t>by rural development, including intensive area, and if appropriate Lithuania could review its implementation of this.</w:t>
      </w: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sectPr w:rsidR="00647B3C">
          <w:headerReference w:type="even" r:id="rId115"/>
          <w:headerReference w:type="default" r:id="rId116"/>
          <w:footerReference w:type="even" r:id="rId117"/>
          <w:footerReference w:type="default" r:id="rId118"/>
          <w:headerReference w:type="first" r:id="rId119"/>
          <w:footerReference w:type="first" r:id="rId120"/>
          <w:type w:val="continuous"/>
          <w:pgSz w:w="11906" w:h="16838"/>
          <w:pgMar w:top="1440" w:right="1080" w:bottom="1440" w:left="1080" w:header="708" w:footer="708" w:gutter="0"/>
          <w:cols w:num="2" w:space="360"/>
          <w:docGrid w:linePitch="360"/>
        </w:sectPr>
      </w:pPr>
    </w:p>
    <w:p w:rsidR="00647B3C" w:rsidRDefault="009B368F">
      <w:pPr>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bookmarkStart w:id="53" w:name="_Toc469313213"/>
      <w:bookmarkStart w:id="54" w:name="_Toc433798401"/>
      <w:r>
        <w:rPr>
          <w:rFonts w:eastAsiaTheme="majorEastAsia" w:cstheme="majorBidi"/>
          <w:b/>
          <w:bCs/>
          <w:noProof/>
          <w:color w:val="1F497D" w:themeColor="text2"/>
          <w:sz w:val="32"/>
          <w:szCs w:val="28"/>
        </w:rPr>
        <w:br w:type="page"/>
      </w:r>
    </w:p>
    <w:p w:rsidR="00647B3C" w:rsidRDefault="009B368F">
      <w:pPr>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t>Effective governance and knowledge</w:t>
      </w:r>
      <w:bookmarkEnd w:id="53"/>
    </w:p>
    <w:p w:rsidR="00647B3C" w:rsidRDefault="00647B3C">
      <w:pPr>
        <w:widowControl w:val="0"/>
        <w:spacing w:after="120" w:line="240" w:lineRule="auto"/>
        <w:jc w:val="both"/>
        <w:rPr>
          <w:rFonts w:cs="Times New Roman"/>
          <w:noProof/>
          <w:sz w:val="20"/>
        </w:rPr>
      </w:pPr>
    </w:p>
    <w:p w:rsidR="00647B3C" w:rsidRDefault="00647B3C">
      <w:pPr>
        <w:widowControl w:val="0"/>
        <w:spacing w:after="120" w:line="240" w:lineRule="auto"/>
        <w:jc w:val="both"/>
        <w:rPr>
          <w:rFonts w:cs="Times New Roman"/>
          <w:noProof/>
          <w:sz w:val="20"/>
        </w:rPr>
        <w:sectPr w:rsidR="00647B3C">
          <w:headerReference w:type="even" r:id="rId121"/>
          <w:headerReference w:type="default" r:id="rId122"/>
          <w:footerReference w:type="even" r:id="rId123"/>
          <w:footerReference w:type="default" r:id="rId124"/>
          <w:headerReference w:type="first" r:id="rId125"/>
          <w:footerReference w:type="first" r:id="rId126"/>
          <w:type w:val="continuous"/>
          <w:pgSz w:w="11906" w:h="16838"/>
          <w:pgMar w:top="1440" w:right="1080" w:bottom="1440" w:left="1080" w:header="708" w:footer="708" w:gutter="0"/>
          <w:cols w:space="566"/>
          <w:docGrid w:linePitch="360"/>
        </w:sectPr>
      </w:pPr>
    </w:p>
    <w:bookmarkEnd w:id="54"/>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SDG 16 aims at providing access to justice and building effective, </w:t>
      </w:r>
      <w:r>
        <w:rPr>
          <w:rFonts w:cs="Times New Roman"/>
          <w:noProof/>
          <w:color w:val="FFFFFF" w:themeColor="background1"/>
          <w:sz w:val="20"/>
        </w:rPr>
        <w:t>accountable and inclusive institutions at all levels. SDG 17 aims at better implementation, improving policy coordination and policy coherence, stimulating science, technology and innovation, establishing partnerships and developing measurements of progres</w:t>
      </w:r>
      <w:r>
        <w:rPr>
          <w:rFonts w:cs="Times New Roman"/>
          <w:noProof/>
          <w:color w:val="FFFFFF" w:themeColor="background1"/>
          <w:sz w:val="20"/>
        </w:rPr>
        <w:t>s.</w:t>
      </w:r>
    </w:p>
    <w:p w:rsidR="00647B3C" w:rsidRDefault="009B368F">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coordination, applying legal and non-legal instruments, engaging with non-governmental stakeholders, and havin</w:t>
      </w:r>
      <w:r>
        <w:rPr>
          <w:rFonts w:cs="Times New Roman"/>
          <w:noProof/>
          <w:sz w:val="20"/>
        </w:rPr>
        <w:t>g adequate levels of knowledge and skills</w:t>
      </w:r>
      <w:r>
        <w:rPr>
          <w:rFonts w:cs="Times New Roman"/>
          <w:noProof/>
          <w:sz w:val="20"/>
          <w:vertAlign w:val="superscript"/>
        </w:rPr>
        <w:footnoteReference w:id="99"/>
      </w:r>
      <w:r>
        <w:rPr>
          <w:rFonts w:cs="Times New Roman"/>
          <w:noProof/>
          <w:sz w:val="20"/>
        </w:rPr>
        <w:t>. Successful implementation depends, to a large extent, on central, regional and local government fulfilling key legislative and administrative tasks, notably adoption of sound implementing legislation, co-ordinate</w:t>
      </w:r>
      <w:r>
        <w:rPr>
          <w:rFonts w:cs="Times New Roman"/>
          <w:noProof/>
          <w:sz w:val="20"/>
        </w:rPr>
        <w:t>d action to meet environmental objectives and correct decision-making on matters such as industrial permits. Beyond fulfilment of these tasks, government must intervene to ensure day-to-day compliance by economic operators, utilities and individuals ("comp</w:t>
      </w:r>
      <w:r>
        <w:rPr>
          <w:rFonts w:cs="Times New Roman"/>
          <w:noProof/>
          <w:sz w:val="20"/>
        </w:rPr>
        <w:t>liance assurance"). Civil society also has a role to play, including through legal action. To underpin the roles of all actors, it is crucial to collect and share knowledge and evidence on the state of the environment and on environmental pressures, driver</w:t>
      </w:r>
      <w:r>
        <w:rPr>
          <w:rFonts w:cs="Times New Roman"/>
          <w:noProof/>
          <w:sz w:val="20"/>
        </w:rPr>
        <w:t>s and impacts.</w:t>
      </w:r>
    </w:p>
    <w:p w:rsidR="00647B3C" w:rsidRDefault="009B368F">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from a dialogue within Member States and between Member States and the Commission on whether the current EU environmental legislation is fit for purpose. Leg</w:t>
      </w:r>
      <w:r>
        <w:rPr>
          <w:rFonts w:cs="Times New Roman"/>
          <w:noProof/>
          <w:sz w:val="20"/>
          <w:szCs w:val="20"/>
          <w:lang w:val="en-US"/>
        </w:rPr>
        <w:t>islation can only be properly implemented when it takes into account experiences at Member State level with putting EU commitments into effect. The Make it Work initiative, a Member State driven project, established in 2014, organizes a discussion on how t</w:t>
      </w:r>
      <w:r>
        <w:rPr>
          <w:rFonts w:cs="Times New Roman"/>
          <w:noProof/>
          <w:sz w:val="20"/>
          <w:szCs w:val="20"/>
          <w:lang w:val="en-US"/>
        </w:rPr>
        <w:t>he clarity, coherence and structure of EU environmental legislation can be improved without lowering existing protection standards.</w:t>
      </w:r>
    </w:p>
    <w:p w:rsidR="00647B3C" w:rsidRDefault="009B368F">
      <w:pPr>
        <w:widowControl w:val="0"/>
        <w:spacing w:after="120" w:line="240" w:lineRule="auto"/>
        <w:outlineLvl w:val="1"/>
        <w:rPr>
          <w:rFonts w:cs="Times New Roman"/>
          <w:b/>
          <w:noProof/>
          <w:color w:val="1F497D" w:themeColor="text2"/>
          <w:sz w:val="24"/>
        </w:rPr>
      </w:pPr>
      <w:bookmarkStart w:id="55" w:name="_Toc455589321"/>
      <w:bookmarkStart w:id="56" w:name="_Toc469313214"/>
      <w:r>
        <w:rPr>
          <w:rFonts w:cs="Times New Roman"/>
          <w:b/>
          <w:noProof/>
          <w:color w:val="1F497D" w:themeColor="text2"/>
          <w:sz w:val="24"/>
        </w:rPr>
        <w:t>Effective governance within central, regional and local government</w:t>
      </w:r>
      <w:bookmarkEnd w:id="55"/>
      <w:bookmarkEnd w:id="56"/>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w:t>
      </w:r>
      <w:r>
        <w:rPr>
          <w:rFonts w:cs="Times New Roman"/>
          <w:noProof/>
          <w:color w:val="FFFFFF" w:themeColor="background1"/>
          <w:sz w:val="20"/>
        </w:rPr>
        <w:t xml:space="preserve"> Union, national, regional and local levels need to be equipped with the knowledge, tools and capacity to improve the delivery of benefits from that legislation, and the governance of the enforcement process.</w:t>
      </w:r>
    </w:p>
    <w:p w:rsidR="00647B3C" w:rsidRDefault="009B368F">
      <w:pPr>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Capacity to implement rules</w:t>
      </w:r>
    </w:p>
    <w:p w:rsidR="00647B3C" w:rsidRDefault="009B368F">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It is crucial that </w:t>
      </w:r>
      <w:r>
        <w:rPr>
          <w:rFonts w:cs="Times New Roman"/>
          <w:noProof/>
          <w:color w:val="000000" w:themeColor="text1"/>
          <w:sz w:val="20"/>
        </w:rPr>
        <w:t>federal, regional and local administrations have the necessary capacities and skills and training to carry out their own tasks and co-operate and co-ordinate effectively with each other, within a system of multi-level governance.</w:t>
      </w:r>
    </w:p>
    <w:p w:rsidR="00647B3C" w:rsidRDefault="009B368F">
      <w:pPr>
        <w:widowControl w:val="0"/>
        <w:spacing w:before="120" w:after="120" w:line="240" w:lineRule="auto"/>
        <w:jc w:val="both"/>
        <w:rPr>
          <w:rFonts w:cs="Times New Roman"/>
          <w:noProof/>
          <w:sz w:val="20"/>
        </w:rPr>
      </w:pPr>
      <w:r>
        <w:rPr>
          <w:rFonts w:cs="Times New Roman"/>
          <w:noProof/>
          <w:sz w:val="20"/>
        </w:rPr>
        <w:t>In the 2014-2020 programmi</w:t>
      </w:r>
      <w:r>
        <w:rPr>
          <w:rFonts w:cs="Times New Roman"/>
          <w:noProof/>
          <w:sz w:val="20"/>
        </w:rPr>
        <w:t>ng period is foreseen to allocate EUR 150 million (or 13.3% from the ESF) at increasing the efficiency of public administration institutions, developing and executing national public administration reforms and implementing one of the Council recommendation</w:t>
      </w:r>
      <w:r>
        <w:rPr>
          <w:rFonts w:cs="Times New Roman"/>
          <w:noProof/>
          <w:sz w:val="20"/>
        </w:rPr>
        <w:t>s related to the reform of state-owned enterprises. Specific action include strengthening result-orientation of governance, increasing transparency and openness of the public administration processes, improving the quality of services and make them more cu</w:t>
      </w:r>
      <w:r>
        <w:rPr>
          <w:rFonts w:cs="Times New Roman"/>
          <w:noProof/>
          <w:sz w:val="20"/>
        </w:rPr>
        <w:t>stomer-oriented, improving business regulation environment, and improving management of human resources in the public service.</w:t>
      </w:r>
      <w:r>
        <w:rPr>
          <w:rFonts w:cs="Times New Roman"/>
          <w:noProof/>
          <w:sz w:val="20"/>
          <w:vertAlign w:val="superscript"/>
        </w:rPr>
        <w:footnoteReference w:id="100"/>
      </w:r>
    </w:p>
    <w:p w:rsidR="00647B3C" w:rsidRDefault="009B368F">
      <w:pPr>
        <w:widowControl w:val="0"/>
        <w:spacing w:before="120" w:after="120" w:line="240" w:lineRule="auto"/>
        <w:jc w:val="both"/>
        <w:rPr>
          <w:rFonts w:cs="Times New Roman"/>
          <w:noProof/>
          <w:sz w:val="20"/>
        </w:rPr>
      </w:pPr>
      <w:r>
        <w:rPr>
          <w:rFonts w:cs="Times New Roman"/>
          <w:noProof/>
          <w:sz w:val="20"/>
        </w:rPr>
        <w:t>The government of Lithuania has recognised the strategic importance of civic engagement in law-making, policy making, and servic</w:t>
      </w:r>
      <w:r>
        <w:rPr>
          <w:rFonts w:cs="Times New Roman"/>
          <w:noProof/>
          <w:sz w:val="20"/>
        </w:rPr>
        <w:t>e delivery; and has established a conducive legal framework and multiple mechanisms to support it. Nevertheless, citizens’ engagement rates remain fairly low.</w:t>
      </w:r>
      <w:r>
        <w:rPr>
          <w:rFonts w:cs="Times New Roman"/>
          <w:noProof/>
          <w:sz w:val="20"/>
          <w:vertAlign w:val="superscript"/>
        </w:rPr>
        <w:footnoteReference w:id="101"/>
      </w:r>
    </w:p>
    <w:p w:rsidR="00647B3C" w:rsidRDefault="009B368F">
      <w:pPr>
        <w:widowControl w:val="0"/>
        <w:spacing w:before="120" w:after="120" w:line="240" w:lineRule="auto"/>
        <w:jc w:val="both"/>
        <w:rPr>
          <w:rFonts w:cs="Times New Roman"/>
          <w:noProof/>
          <w:color w:val="FF0000"/>
          <w:sz w:val="20"/>
        </w:rPr>
      </w:pPr>
      <w:r>
        <w:rPr>
          <w:rFonts w:cs="Times New Roman"/>
          <w:noProof/>
          <w:color w:val="FF0000"/>
          <w:sz w:val="20"/>
          <w:lang w:eastAsia="en-GB"/>
        </w:rPr>
        <w:drawing>
          <wp:inline distT="0" distB="0" distL="0" distR="0" wp14:anchorId="25EFAD80" wp14:editId="76DFC9BC">
            <wp:extent cx="2980690" cy="1990163"/>
            <wp:effectExtent l="0" t="0" r="0" b="0"/>
            <wp:docPr id="6" name="Picture 6" descr="P:\ENV-E2\1. ENV IMPLEMENTATION REVIEW\EIR Data management\Pictures\Final versions\LT parliament iStock_56266458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V-E2\1. ENV IMPLEMENTATION REVIEW\EIR Data management\Pictures\Final versions\LT parliament iStock_56266458_LARGE compressed.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80690" cy="1990163"/>
                    </a:xfrm>
                    <a:prstGeom prst="rect">
                      <a:avLst/>
                    </a:prstGeom>
                    <a:noFill/>
                    <a:ln>
                      <a:noFill/>
                    </a:ln>
                  </pic:spPr>
                </pic:pic>
              </a:graphicData>
            </a:graphic>
          </wp:inline>
        </w:drawing>
      </w:r>
    </w:p>
    <w:p w:rsidR="00647B3C" w:rsidRDefault="009B368F">
      <w:pPr>
        <w:widowControl w:val="0"/>
        <w:spacing w:before="120" w:after="120" w:line="240" w:lineRule="auto"/>
        <w:jc w:val="both"/>
        <w:rPr>
          <w:rFonts w:cs="Times New Roman"/>
          <w:noProof/>
          <w:sz w:val="20"/>
        </w:rPr>
      </w:pPr>
      <w:r>
        <w:rPr>
          <w:rFonts w:cs="Times New Roman"/>
          <w:noProof/>
          <w:sz w:val="20"/>
        </w:rPr>
        <w:t>The basic principles of environmental protection are established in the Constitution of the Re</w:t>
      </w:r>
      <w:r>
        <w:rPr>
          <w:rFonts w:cs="Times New Roman"/>
          <w:noProof/>
          <w:sz w:val="20"/>
        </w:rPr>
        <w:t xml:space="preserve">public of Lithuania, stipulating that the state and the individual must protect the environment from harmful influences and the state shall take care of the protection of the natural environment, wildlife and plants, individual objects of nature and areas </w:t>
      </w:r>
      <w:r>
        <w:rPr>
          <w:rFonts w:cs="Times New Roman"/>
          <w:noProof/>
          <w:sz w:val="20"/>
        </w:rPr>
        <w:t>of particular value and shall supervise a sustainable use of natural resources, their restoration and increase. The law states that, in the Republic of Lithuania, environmental governance is the concern and duty of the Parliament, the Government, the Minis</w:t>
      </w:r>
      <w:r>
        <w:rPr>
          <w:rFonts w:cs="Times New Roman"/>
          <w:noProof/>
          <w:sz w:val="20"/>
        </w:rPr>
        <w:t>try of Environment, and the municipalities at the respective levels.</w:t>
      </w:r>
    </w:p>
    <w:p w:rsidR="00647B3C" w:rsidRDefault="009B368F">
      <w:pPr>
        <w:widowControl w:val="0"/>
        <w:spacing w:before="120" w:after="120" w:line="240" w:lineRule="auto"/>
        <w:jc w:val="both"/>
        <w:rPr>
          <w:rFonts w:cs="Times New Roman"/>
          <w:noProof/>
          <w:sz w:val="20"/>
        </w:rPr>
      </w:pPr>
      <w:r>
        <w:rPr>
          <w:rFonts w:cs="Times New Roman"/>
          <w:noProof/>
          <w:sz w:val="20"/>
        </w:rPr>
        <w:t>Lithuania transposes new directives into the national legislation respecting the established timelines and communicates national transposing measures relatively fast. There is a rather lo</w:t>
      </w:r>
      <w:r>
        <w:rPr>
          <w:rFonts w:cs="Times New Roman"/>
          <w:noProof/>
          <w:sz w:val="20"/>
        </w:rPr>
        <w:t>w number of complaints.</w:t>
      </w:r>
    </w:p>
    <w:p w:rsidR="00647B3C" w:rsidRDefault="009B368F">
      <w:pPr>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Coordination and integration</w:t>
      </w:r>
    </w:p>
    <w:p w:rsidR="00647B3C" w:rsidRDefault="009B368F">
      <w:pPr>
        <w:widowControl w:val="0"/>
        <w:spacing w:before="120" w:after="120" w:line="240" w:lineRule="auto"/>
        <w:jc w:val="both"/>
        <w:rPr>
          <w:rFonts w:cs="Times New Roman"/>
          <w:noProof/>
          <w:sz w:val="20"/>
        </w:rPr>
      </w:pPr>
      <w:r>
        <w:rPr>
          <w:rFonts w:cs="Times New Roman"/>
          <w:noProof/>
          <w:sz w:val="20"/>
        </w:rPr>
        <w:t>Lithuania adopted its National Sustainable development strategy in 2009 and National Environment Protection Strategy in 2015 and National Environment Protection Strategy in 2015.</w:t>
      </w:r>
    </w:p>
    <w:p w:rsidR="00647B3C" w:rsidRDefault="009B368F">
      <w:pPr>
        <w:widowControl w:val="0"/>
        <w:spacing w:before="120" w:after="120" w:line="240" w:lineRule="auto"/>
        <w:jc w:val="both"/>
        <w:rPr>
          <w:rFonts w:cs="Times New Roman"/>
          <w:noProof/>
          <w:sz w:val="20"/>
        </w:rPr>
      </w:pPr>
      <w:r>
        <w:rPr>
          <w:rFonts w:cs="Times New Roman"/>
          <w:noProof/>
          <w:sz w:val="20"/>
        </w:rPr>
        <w:t>Environmental issues fal</w:t>
      </w:r>
      <w:r>
        <w:rPr>
          <w:rFonts w:cs="Times New Roman"/>
          <w:noProof/>
          <w:sz w:val="20"/>
        </w:rPr>
        <w:t>l within the area of governance of the Ministry of Environment (Aplinkos ministerija). There are a number of subordinate institutions: five agencies, eight regional departments, the State Territorial Planning and Construction Inspectorate, three enterprise</w:t>
      </w:r>
      <w:r>
        <w:rPr>
          <w:rFonts w:cs="Times New Roman"/>
          <w:noProof/>
          <w:sz w:val="20"/>
        </w:rPr>
        <w:t>s (e.g. Construction production Certification Centre) and a number of directorates and services.</w:t>
      </w:r>
    </w:p>
    <w:p w:rsidR="00647B3C" w:rsidRDefault="009B368F">
      <w:pPr>
        <w:widowControl w:val="0"/>
        <w:spacing w:before="120" w:after="120" w:line="240" w:lineRule="auto"/>
        <w:jc w:val="both"/>
        <w:rPr>
          <w:rFonts w:cs="Times New Roman"/>
          <w:noProof/>
          <w:sz w:val="20"/>
        </w:rPr>
      </w:pPr>
      <w:r>
        <w:rPr>
          <w:rFonts w:cs="Times New Roman"/>
          <w:noProof/>
          <w:sz w:val="20"/>
        </w:rPr>
        <w:t>The Commission encourages the streamlining of the environmental assessments to avoid overlaps in environmental assessments and accelerate decision-making, with</w:t>
      </w:r>
      <w:r>
        <w:rPr>
          <w:rFonts w:cs="Times New Roman"/>
          <w:noProof/>
          <w:sz w:val="20"/>
        </w:rPr>
        <w:t>out compromising the quality of the environmental assessment procedure. The Commission has issued a guidance document in 2016</w:t>
      </w:r>
      <w:r>
        <w:rPr>
          <w:rFonts w:cs="Times New Roman"/>
          <w:noProof/>
          <w:sz w:val="20"/>
          <w:vertAlign w:val="superscript"/>
        </w:rPr>
        <w:footnoteReference w:id="102"/>
      </w:r>
      <w:r>
        <w:rPr>
          <w:rFonts w:cs="Times New Roman"/>
          <w:noProof/>
          <w:sz w:val="20"/>
        </w:rPr>
        <w:t xml:space="preserve"> regarding the setting up of coordinated and/or joint procedures that are simultaneously subject to assessments under the EIA Dire</w:t>
      </w:r>
      <w:r>
        <w:rPr>
          <w:rFonts w:cs="Times New Roman"/>
          <w:noProof/>
          <w:sz w:val="20"/>
        </w:rPr>
        <w:t>ctive, Habitats Directive, Water Framework Directive, and the Industrial Emissions Directive.</w:t>
      </w:r>
    </w:p>
    <w:p w:rsidR="00647B3C" w:rsidRDefault="009B368F">
      <w:pPr>
        <w:widowControl w:val="0"/>
        <w:spacing w:after="120" w:line="240" w:lineRule="auto"/>
        <w:outlineLvl w:val="1"/>
        <w:rPr>
          <w:rFonts w:cs="Times New Roman"/>
          <w:b/>
          <w:noProof/>
          <w:color w:val="000000" w:themeColor="text1"/>
          <w:sz w:val="24"/>
        </w:rPr>
      </w:pPr>
      <w:bookmarkStart w:id="57" w:name="_Toc469313215"/>
      <w:r>
        <w:rPr>
          <w:rFonts w:cs="Times New Roman"/>
          <w:b/>
          <w:noProof/>
          <w:color w:val="1F497D" w:themeColor="text2"/>
          <w:sz w:val="24"/>
        </w:rPr>
        <w:t>Compliance assurance</w:t>
      </w:r>
      <w:bookmarkEnd w:id="57"/>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provisions on inspections, other checks, penalties and environmental liability help lay the basis for the syste</w:t>
      </w:r>
      <w:r>
        <w:rPr>
          <w:rFonts w:cs="Times New Roman"/>
          <w:noProof/>
          <w:color w:val="FFFFFF" w:themeColor="background1"/>
          <w:sz w:val="20"/>
        </w:rPr>
        <w:t>ms Member States need to have in place to secure compliance with EU environmental rules.</w:t>
      </w:r>
    </w:p>
    <w:p w:rsidR="00647B3C" w:rsidRDefault="009B368F">
      <w:pPr>
        <w:widowControl w:val="0"/>
        <w:spacing w:after="120" w:line="240" w:lineRule="auto"/>
        <w:jc w:val="both"/>
        <w:rPr>
          <w:noProof/>
          <w:sz w:val="20"/>
        </w:rPr>
      </w:pPr>
      <w:r>
        <w:rPr>
          <w:rFonts w:cs="Times New Roman"/>
          <w:noProof/>
          <w:sz w:val="20"/>
        </w:rPr>
        <w:t xml:space="preserve">Public authorities help ensure accountability of duty-holders by monitoring and promoting compliance and by taking credible follow-up action (i.e. enforcement) when </w:t>
      </w:r>
      <w:r>
        <w:rPr>
          <w:rFonts w:cs="Times New Roman"/>
          <w:noProof/>
          <w:sz w:val="20"/>
        </w:rPr>
        <w:t>breaches occur or liabilities arise. Compliance monitoring can be done both on the initiative of authorities themselves and in response to citizen complaints. It can involve using various kinds of checks, including inspections for permitted activities, sur</w:t>
      </w:r>
      <w:r>
        <w:rPr>
          <w:rFonts w:cs="Times New Roman"/>
          <w:noProof/>
          <w:sz w:val="20"/>
        </w:rPr>
        <w:t xml:space="preserve">veillance for possible illegal activities, investigations for crimes and audits for systemic weaknesses. Similarly, there is a range of means to promote compliance, including awareness-raising campaigns and use of guidance documents and online information </w:t>
      </w:r>
      <w:r>
        <w:rPr>
          <w:rFonts w:cs="Times New Roman"/>
          <w:noProof/>
          <w:sz w:val="20"/>
        </w:rPr>
        <w:t>tools. Follow-up to breaches and liabilities can include administrative action (e.g. withdrawal of a permit), use of criminal law</w:t>
      </w:r>
      <w:r>
        <w:rPr>
          <w:rFonts w:cs="Times New Roman"/>
          <w:noProof/>
          <w:sz w:val="20"/>
          <w:vertAlign w:val="superscript"/>
        </w:rPr>
        <w:footnoteReference w:id="103"/>
      </w:r>
      <w:r>
        <w:rPr>
          <w:rFonts w:cs="Times New Roman"/>
          <w:noProof/>
          <w:sz w:val="20"/>
        </w:rPr>
        <w:t xml:space="preserve"> and action under liability law (e.g. required remediation after damage from an accident using liability rules) and contractua</w:t>
      </w:r>
      <w:r>
        <w:rPr>
          <w:rFonts w:cs="Times New Roman"/>
          <w:noProof/>
          <w:sz w:val="20"/>
        </w:rPr>
        <w:t>l law (e.g. measures to require compliance with nature conservation contracts). Taken together, all of these interventions represent "compliance assurance" as shown in Figure 13.</w:t>
      </w:r>
      <w:r>
        <w:rPr>
          <w:noProof/>
          <w:sz w:val="20"/>
        </w:rPr>
        <w:t xml:space="preserve"> </w:t>
      </w:r>
    </w:p>
    <w:p w:rsidR="00647B3C" w:rsidRDefault="009B368F">
      <w:pPr>
        <w:widowControl w:val="0"/>
        <w:spacing w:after="120" w:line="240" w:lineRule="auto"/>
        <w:jc w:val="both"/>
        <w:rPr>
          <w:noProof/>
          <w:sz w:val="20"/>
        </w:rPr>
      </w:pPr>
      <w:r>
        <w:rPr>
          <w:noProof/>
          <w:sz w:val="20"/>
        </w:rPr>
        <w:t>Best practice has moved towards a risk-based approach at strategic and opera</w:t>
      </w:r>
      <w:r>
        <w:rPr>
          <w:noProof/>
          <w:sz w:val="20"/>
        </w:rPr>
        <w:t>tional levels in which the best mix of compliance monitoring, promotion and enforcement is directed at the most serious problems. Best practice also recognises the need for coordination and cooperation between different authorities to ensure consistency, a</w:t>
      </w:r>
      <w:r>
        <w:rPr>
          <w:noProof/>
          <w:sz w:val="20"/>
        </w:rPr>
        <w:t>void duplication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104"/>
      </w:r>
      <w:r>
        <w:rPr>
          <w:i/>
          <w:noProof/>
          <w:sz w:val="20"/>
        </w:rPr>
        <w:t>, EUFJE</w:t>
      </w:r>
      <w:r>
        <w:rPr>
          <w:i/>
          <w:noProof/>
          <w:sz w:val="20"/>
          <w:vertAlign w:val="superscript"/>
        </w:rPr>
        <w:footnoteReference w:id="105"/>
      </w:r>
      <w:r>
        <w:rPr>
          <w:i/>
          <w:noProof/>
          <w:sz w:val="20"/>
        </w:rPr>
        <w:t>, ENPE</w:t>
      </w:r>
      <w:r>
        <w:rPr>
          <w:i/>
          <w:noProof/>
          <w:sz w:val="20"/>
          <w:vertAlign w:val="superscript"/>
        </w:rPr>
        <w:footnoteReference w:id="106"/>
      </w:r>
      <w:r>
        <w:rPr>
          <w:i/>
          <w:noProof/>
          <w:sz w:val="20"/>
        </w:rPr>
        <w:t xml:space="preserve"> and EnviCrimeNet</w:t>
      </w:r>
      <w:r>
        <w:rPr>
          <w:i/>
          <w:noProof/>
          <w:sz w:val="20"/>
          <w:vertAlign w:val="superscript"/>
        </w:rPr>
        <w:footnoteReference w:id="107"/>
      </w:r>
      <w:r>
        <w:rPr>
          <w:noProof/>
          <w:sz w:val="20"/>
        </w:rPr>
        <w:t>, is a valuable tool for sharing experience a</w:t>
      </w:r>
      <w:r>
        <w:rPr>
          <w:noProof/>
          <w:sz w:val="20"/>
        </w:rPr>
        <w:t>nd good practices.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47B3C">
        <w:tc>
          <w:tcPr>
            <w:tcW w:w="4909" w:type="dxa"/>
          </w:tcPr>
          <w:p w:rsidR="00647B3C" w:rsidRDefault="009B368F">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p w:rsidR="00647B3C" w:rsidRDefault="009B368F">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024B2105" wp14:editId="173E69B4">
                  <wp:extent cx="2980055" cy="21056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647B3C" w:rsidRDefault="009B368F">
      <w:pPr>
        <w:widowControl w:val="0"/>
        <w:spacing w:after="120" w:line="240" w:lineRule="auto"/>
        <w:jc w:val="both"/>
        <w:rPr>
          <w:noProof/>
          <w:sz w:val="20"/>
        </w:rPr>
      </w:pPr>
      <w:r>
        <w:rPr>
          <w:noProof/>
          <w:sz w:val="20"/>
        </w:rPr>
        <w:t>Currently, there exist a number of sectoral obligations on inspections and the EU directive on environmental liability (ELD)</w:t>
      </w:r>
      <w:r>
        <w:rPr>
          <w:noProof/>
          <w:sz w:val="20"/>
          <w:vertAlign w:val="superscript"/>
        </w:rPr>
        <w:t xml:space="preserve"> </w:t>
      </w:r>
      <w:r>
        <w:rPr>
          <w:noProof/>
          <w:sz w:val="20"/>
          <w:vertAlign w:val="superscript"/>
        </w:rPr>
        <w:footnoteReference w:id="108"/>
      </w:r>
      <w:r>
        <w:rPr>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w:t>
      </w:r>
      <w:r>
        <w:rPr>
          <w:noProof/>
          <w:sz w:val="20"/>
        </w:rPr>
        <w:t xml:space="preserve">er State. </w:t>
      </w:r>
    </w:p>
    <w:p w:rsidR="00647B3C" w:rsidRDefault="009B368F">
      <w:pPr>
        <w:widowControl w:val="0"/>
        <w:spacing w:after="120" w:line="240" w:lineRule="auto"/>
        <w:jc w:val="both"/>
        <w:rPr>
          <w:noProof/>
          <w:sz w:val="20"/>
        </w:rPr>
      </w:pPr>
      <w:r>
        <w:rPr>
          <w:noProof/>
          <w:sz w:val="20"/>
        </w:rPr>
        <w:t>For each Member State, the following were therefore reviewed: use of risk-based compliance assurance; coordination and co-operation between authorities and participation in pan-European networks; and key aspects of implementation of the ELD base</w:t>
      </w:r>
      <w:r>
        <w:rPr>
          <w:noProof/>
          <w:sz w:val="20"/>
        </w:rPr>
        <w:t>d on the Commission's recently published implementation report and REFIT evaluation</w:t>
      </w:r>
      <w:r>
        <w:rPr>
          <w:noProof/>
          <w:sz w:val="20"/>
          <w:vertAlign w:val="superscript"/>
        </w:rPr>
        <w:footnoteReference w:id="109"/>
      </w:r>
      <w:r>
        <w:rPr>
          <w:noProof/>
          <w:sz w:val="20"/>
        </w:rPr>
        <w:t xml:space="preserve">. </w:t>
      </w:r>
    </w:p>
    <w:p w:rsidR="00647B3C" w:rsidRDefault="009B368F">
      <w:pPr>
        <w:widowControl w:val="0"/>
        <w:spacing w:before="120" w:after="120" w:line="240" w:lineRule="auto"/>
        <w:jc w:val="both"/>
        <w:rPr>
          <w:rFonts w:cs="Times New Roman"/>
          <w:noProof/>
          <w:color w:val="000000" w:themeColor="text1"/>
          <w:sz w:val="20"/>
          <w:lang w:val="en-US"/>
        </w:rPr>
      </w:pPr>
      <w:r>
        <w:rPr>
          <w:rFonts w:cs="Times New Roman"/>
          <w:noProof/>
          <w:color w:val="000000" w:themeColor="text1"/>
          <w:sz w:val="20"/>
          <w:lang w:val="en-US"/>
        </w:rPr>
        <w:t>From the available sources, no significant up-to-date information has been found on the organisation and functioning of the environmental compliance system in Lithuania.</w:t>
      </w:r>
      <w:r>
        <w:rPr>
          <w:rFonts w:cs="Times New Roman"/>
          <w:noProof/>
          <w:color w:val="000000" w:themeColor="text1"/>
          <w:sz w:val="20"/>
          <w:lang w:val="en-US"/>
        </w:rPr>
        <w:t xml:space="preserve"> Information is lacking in particular in relation to the following:</w:t>
      </w:r>
    </w:p>
    <w:p w:rsidR="00647B3C" w:rsidRDefault="009B368F">
      <w:pPr>
        <w:widowControl w:val="0"/>
        <w:numPr>
          <w:ilvl w:val="0"/>
          <w:numId w:val="26"/>
        </w:numPr>
        <w:spacing w:before="120" w:after="120" w:line="240" w:lineRule="auto"/>
        <w:contextualSpacing/>
        <w:jc w:val="both"/>
        <w:rPr>
          <w:rFonts w:cs="Times New Roman"/>
          <w:noProof/>
          <w:color w:val="000000" w:themeColor="text1"/>
          <w:sz w:val="20"/>
          <w:lang w:val="en-US"/>
        </w:rPr>
      </w:pPr>
      <w:r>
        <w:rPr>
          <w:rFonts w:cs="Times New Roman"/>
          <w:noProof/>
          <w:color w:val="000000" w:themeColor="text1"/>
          <w:sz w:val="20"/>
          <w:lang w:val="en-US"/>
        </w:rPr>
        <w:t>data-collection arrangements to track the use and effectiveness of different compliance assurance interventions;</w:t>
      </w:r>
    </w:p>
    <w:p w:rsidR="00647B3C" w:rsidRDefault="009B368F">
      <w:pPr>
        <w:widowControl w:val="0"/>
        <w:numPr>
          <w:ilvl w:val="0"/>
          <w:numId w:val="26"/>
        </w:numPr>
        <w:spacing w:before="120" w:after="120" w:line="240" w:lineRule="auto"/>
        <w:contextualSpacing/>
        <w:jc w:val="both"/>
        <w:rPr>
          <w:rFonts w:cs="Times New Roman"/>
          <w:noProof/>
          <w:color w:val="000000" w:themeColor="text1"/>
          <w:sz w:val="20"/>
          <w:lang w:val="en-US"/>
        </w:rPr>
      </w:pPr>
      <w:r>
        <w:rPr>
          <w:rFonts w:cs="Times New Roman"/>
          <w:noProof/>
          <w:color w:val="000000" w:themeColor="text1"/>
          <w:sz w:val="20"/>
          <w:lang w:val="en-US"/>
        </w:rPr>
        <w:t>the extent to which risk-based methods are used to direct compliance assura</w:t>
      </w:r>
      <w:r>
        <w:rPr>
          <w:rFonts w:cs="Times New Roman"/>
          <w:noProof/>
          <w:color w:val="000000" w:themeColor="text1"/>
          <w:sz w:val="20"/>
          <w:lang w:val="en-US"/>
        </w:rPr>
        <w:t>nce at the strategic level and in relation to industrial installations as well other critical activities, including specific problem-areas highlighted elsewhere in this Country Report, i.e. the threats to protected habitat types and species, poor air quali</w:t>
      </w:r>
      <w:r>
        <w:rPr>
          <w:rFonts w:cs="Times New Roman"/>
          <w:noProof/>
          <w:color w:val="000000" w:themeColor="text1"/>
          <w:sz w:val="20"/>
          <w:lang w:val="en-US"/>
        </w:rPr>
        <w:t xml:space="preserve">ty and the pressures on water quality from diffuse sources of pollution and reliance on individual domestic waste-water treatment systems. </w:t>
      </w:r>
    </w:p>
    <w:p w:rsidR="00647B3C" w:rsidRDefault="009B368F">
      <w:pPr>
        <w:widowControl w:val="0"/>
        <w:numPr>
          <w:ilvl w:val="0"/>
          <w:numId w:val="26"/>
        </w:numPr>
        <w:spacing w:before="120" w:after="120" w:line="240" w:lineRule="auto"/>
        <w:contextualSpacing/>
        <w:jc w:val="both"/>
        <w:rPr>
          <w:rFonts w:cs="Times New Roman"/>
          <w:noProof/>
          <w:color w:val="000000" w:themeColor="text1"/>
          <w:sz w:val="20"/>
          <w:lang w:val="en-US"/>
        </w:rPr>
      </w:pPr>
      <w:r>
        <w:rPr>
          <w:rFonts w:cs="Times New Roman"/>
          <w:noProof/>
          <w:color w:val="000000" w:themeColor="text1"/>
          <w:sz w:val="20"/>
          <w:lang w:val="en-US"/>
        </w:rPr>
        <w:t>how the Lithuanian authorities ensure a targeted and proportionate response to different types of non-compliant beha</w:t>
      </w:r>
      <w:r>
        <w:rPr>
          <w:rFonts w:cs="Times New Roman"/>
          <w:noProof/>
          <w:color w:val="000000" w:themeColor="text1"/>
          <w:sz w:val="20"/>
          <w:lang w:val="en-US"/>
        </w:rPr>
        <w:t xml:space="preserve">vior, in particular in relation to serious breaches detected. </w:t>
      </w:r>
    </w:p>
    <w:p w:rsidR="00647B3C" w:rsidRDefault="009B368F">
      <w:pPr>
        <w:widowControl w:val="0"/>
        <w:spacing w:before="240" w:after="120" w:line="240" w:lineRule="auto"/>
        <w:jc w:val="both"/>
        <w:rPr>
          <w:rFonts w:cs="Times New Roman"/>
          <w:noProof/>
          <w:sz w:val="20"/>
          <w:lang w:val="en-US"/>
        </w:rPr>
      </w:pPr>
      <w:r>
        <w:rPr>
          <w:rFonts w:cs="Times New Roman"/>
          <w:noProof/>
          <w:sz w:val="20"/>
          <w:lang w:val="en-US"/>
        </w:rPr>
        <w:t>Currently Lithuania does not actively participate in the activities of the European networks of environmental professionals.</w:t>
      </w:r>
    </w:p>
    <w:p w:rsidR="00647B3C" w:rsidRDefault="009B368F">
      <w:pPr>
        <w:widowControl w:val="0"/>
        <w:spacing w:after="120" w:line="240" w:lineRule="auto"/>
        <w:jc w:val="both"/>
        <w:rPr>
          <w:rFonts w:cs="Times New Roman"/>
          <w:noProof/>
          <w:sz w:val="20"/>
          <w:lang w:val="en-US"/>
        </w:rPr>
      </w:pPr>
      <w:r>
        <w:rPr>
          <w:rFonts w:cs="Times New Roman"/>
          <w:noProof/>
          <w:sz w:val="20"/>
          <w:lang w:val="en-US"/>
        </w:rPr>
        <w:t>For the period 2007 to 2013, Lithuania reported four cases of environmental damage handled according to the Environmental Liability Directive. Lithuania participated in the Commission training but there is scope for additional measures to improve implement</w:t>
      </w:r>
      <w:r>
        <w:rPr>
          <w:rFonts w:cs="Times New Roman"/>
          <w:noProof/>
          <w:sz w:val="20"/>
          <w:lang w:val="en-US"/>
        </w:rPr>
        <w:t xml:space="preserve">ation. The country does not have mandatory financial security (to pay for remediation when an operator cannot) and it is not evident that insurance is either sufficiently available or taken out. </w:t>
      </w:r>
    </w:p>
    <w:p w:rsidR="00647B3C" w:rsidRDefault="009B368F">
      <w:pPr>
        <w:widowControl w:val="0"/>
        <w:spacing w:before="12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47B3C" w:rsidRDefault="009B368F">
      <w:pPr>
        <w:pStyle w:val="ListParagraph"/>
        <w:widowControl w:val="0"/>
        <w:numPr>
          <w:ilvl w:val="0"/>
          <w:numId w:val="33"/>
        </w:numPr>
        <w:spacing w:before="120"/>
        <w:ind w:left="170" w:hanging="170"/>
        <w:rPr>
          <w:noProof/>
        </w:rPr>
      </w:pPr>
      <w:r>
        <w:rPr>
          <w:noProof/>
        </w:rPr>
        <w:t>Improve transparency on the organisation an</w:t>
      </w:r>
      <w:r>
        <w:rPr>
          <w:noProof/>
        </w:rPr>
        <w:t>d functioning of compliance assurance and on how significant risks are addressed, as outlined above.</w:t>
      </w:r>
    </w:p>
    <w:p w:rsidR="00647B3C" w:rsidRDefault="009B368F">
      <w:pPr>
        <w:pStyle w:val="ListParagraph"/>
        <w:widowControl w:val="0"/>
        <w:numPr>
          <w:ilvl w:val="0"/>
          <w:numId w:val="33"/>
        </w:numPr>
        <w:spacing w:before="120"/>
        <w:ind w:left="170" w:hanging="170"/>
        <w:rPr>
          <w:noProof/>
          <w:color w:val="000000" w:themeColor="text1"/>
          <w:lang w:val="en-US"/>
        </w:rPr>
      </w:pPr>
      <w:r>
        <w:rPr>
          <w:noProof/>
          <w:color w:val="000000" w:themeColor="text1"/>
          <w:lang w:val="en-US"/>
        </w:rPr>
        <w:t>Step up efforts in the implementation of the Environmental Liability Directive (ELD) with proactive initiatives, in particular by setting up a national reg</w:t>
      </w:r>
      <w:r>
        <w:rPr>
          <w:noProof/>
          <w:color w:val="000000" w:themeColor="text1"/>
          <w:lang w:val="en-US"/>
        </w:rPr>
        <w:t>ister of ELD incidents and drafting national guidance; take further steps to ensure an effective system of financial security for environmental liabilities (so that operators not only have insurance cover available to them but actually take it up).</w:t>
      </w:r>
    </w:p>
    <w:p w:rsidR="00647B3C" w:rsidRDefault="00647B3C">
      <w:pPr>
        <w:widowControl w:val="0"/>
        <w:spacing w:before="120" w:after="120" w:line="240" w:lineRule="auto"/>
        <w:outlineLvl w:val="1"/>
        <w:rPr>
          <w:rFonts w:cs="Times New Roman"/>
          <w:b/>
          <w:noProof/>
          <w:color w:val="1F497D" w:themeColor="text2"/>
          <w:sz w:val="24"/>
        </w:rPr>
      </w:pPr>
      <w:bookmarkStart w:id="58" w:name="_Toc439678163"/>
      <w:bookmarkStart w:id="59" w:name="_Toc454457667"/>
      <w:bookmarkStart w:id="60" w:name="_Toc469313216"/>
    </w:p>
    <w:p w:rsidR="00647B3C" w:rsidRDefault="009B368F">
      <w:pPr>
        <w:widowControl w:val="0"/>
        <w:spacing w:before="120" w:after="120" w:line="240" w:lineRule="auto"/>
        <w:outlineLvl w:val="1"/>
        <w:rPr>
          <w:rFonts w:cs="Times New Roman"/>
          <w:b/>
          <w:noProof/>
          <w:color w:val="1F497D" w:themeColor="text2"/>
          <w:sz w:val="24"/>
        </w:rPr>
      </w:pPr>
      <w:r>
        <w:rPr>
          <w:rFonts w:cs="Times New Roman"/>
          <w:b/>
          <w:noProof/>
          <w:color w:val="1F497D" w:themeColor="text2"/>
          <w:sz w:val="24"/>
        </w:rPr>
        <w:t>Public</w:t>
      </w:r>
      <w:r>
        <w:rPr>
          <w:rFonts w:cs="Times New Roman"/>
          <w:b/>
          <w:noProof/>
          <w:color w:val="1F497D" w:themeColor="text2"/>
          <w:sz w:val="24"/>
        </w:rPr>
        <w:t xml:space="preserve"> participation and access to justice</w:t>
      </w:r>
      <w:bookmarkEnd w:id="58"/>
      <w:bookmarkEnd w:id="59"/>
      <w:bookmarkEnd w:id="60"/>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citizens and their associations should be able to particip</w:t>
      </w:r>
      <w:r>
        <w:rPr>
          <w:rFonts w:cs="Times New Roman"/>
          <w:noProof/>
          <w:color w:val="FFFFFF" w:themeColor="background1"/>
          <w:sz w:val="20"/>
        </w:rPr>
        <w:t>ate in decision-making on projects and plans and should enjoy effective environmental access to justice.</w:t>
      </w:r>
    </w:p>
    <w:p w:rsidR="00647B3C" w:rsidRDefault="009B368F">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w:t>
      </w:r>
      <w:r>
        <w:rPr>
          <w:rFonts w:cs="Times New Roman"/>
          <w:noProof/>
          <w:sz w:val="20"/>
        </w:rPr>
        <w:t>ipation in Decision-making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w:t>
      </w:r>
      <w:r>
        <w:rPr>
          <w:rFonts w:cs="Times New Roman"/>
          <w:noProof/>
          <w:sz w:val="20"/>
        </w:rPr>
        <w:t>ible basis. The Commission intends to examine compliance with mandatory public participation requirements more systematically at a later stage.</w:t>
      </w:r>
    </w:p>
    <w:p w:rsidR="00647B3C" w:rsidRDefault="009B368F">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w:t>
      </w:r>
      <w:r>
        <w:rPr>
          <w:rFonts w:cs="Times New Roman"/>
          <w:noProof/>
          <w:sz w:val="20"/>
        </w:rPr>
        <w:t xml:space="preserve"> challenge acts or omissions of the public administration before a court. It is a tool for decentralised implementation of EU environmental law.</w:t>
      </w:r>
    </w:p>
    <w:p w:rsidR="00647B3C" w:rsidRDefault="009B368F">
      <w:pPr>
        <w:widowControl w:val="0"/>
        <w:spacing w:after="120" w:line="240" w:lineRule="auto"/>
        <w:jc w:val="both"/>
        <w:rPr>
          <w:rFonts w:cs="Times New Roman"/>
          <w:noProof/>
          <w:sz w:val="20"/>
        </w:rPr>
      </w:pPr>
      <w:r>
        <w:rPr>
          <w:rFonts w:cs="Times New Roman"/>
          <w:noProof/>
          <w:sz w:val="20"/>
        </w:rPr>
        <w:t xml:space="preserve">For each Member State, two crucial elements for effective access to justice have been systematically reviewed: </w:t>
      </w:r>
      <w:r>
        <w:rPr>
          <w:rFonts w:cs="Times New Roman"/>
          <w:noProof/>
          <w:sz w:val="20"/>
        </w:rPr>
        <w:t>the legal standing for the public, including NGOs and the extent to which prohibitive costs represent a barrier.</w:t>
      </w:r>
    </w:p>
    <w:p w:rsidR="00647B3C" w:rsidRDefault="009B368F">
      <w:pPr>
        <w:widowControl w:val="0"/>
        <w:spacing w:before="120" w:after="120" w:line="240" w:lineRule="auto"/>
        <w:jc w:val="both"/>
        <w:rPr>
          <w:rFonts w:cs="Times New Roman"/>
          <w:noProof/>
          <w:color w:val="000000" w:themeColor="text1"/>
          <w:sz w:val="20"/>
        </w:rPr>
      </w:pPr>
      <w:r>
        <w:rPr>
          <w:rFonts w:cs="Times New Roman"/>
          <w:noProof/>
          <w:color w:val="000000" w:themeColor="text1"/>
          <w:sz w:val="20"/>
        </w:rPr>
        <w:t>Lithuania grants the public, notably individuals and NGOs, a broad access to justice in environmental cases. The costs for bringing a case to a</w:t>
      </w:r>
      <w:r>
        <w:rPr>
          <w:rFonts w:cs="Times New Roman"/>
          <w:noProof/>
          <w:color w:val="000000" w:themeColor="text1"/>
          <w:sz w:val="20"/>
        </w:rPr>
        <w:t xml:space="preserve"> court are also not prohibitively high. This guarantees that members of the public are provided with good conditions for asking for a judicial review in environmental matters in Lithuania. One problem, however, seems to be the lack of resource of environme</w:t>
      </w:r>
      <w:r>
        <w:rPr>
          <w:rFonts w:cs="Times New Roman"/>
          <w:noProof/>
          <w:color w:val="000000" w:themeColor="text1"/>
          <w:sz w:val="20"/>
        </w:rPr>
        <w:t>ntal NGOs, which prevents them to follow up environmental cases to the extent necessary</w:t>
      </w:r>
      <w:r>
        <w:rPr>
          <w:rFonts w:cs="Times New Roman"/>
          <w:noProof/>
          <w:color w:val="000000" w:themeColor="text1"/>
          <w:sz w:val="20"/>
          <w:vertAlign w:val="superscript"/>
        </w:rPr>
        <w:footnoteReference w:id="110"/>
      </w:r>
      <w:r>
        <w:rPr>
          <w:rFonts w:cs="Times New Roman"/>
          <w:noProof/>
          <w:color w:val="000000" w:themeColor="text1"/>
          <w:sz w:val="20"/>
        </w:rPr>
        <w:t>.</w:t>
      </w:r>
      <w:bookmarkStart w:id="61" w:name="_Toc454457668"/>
    </w:p>
    <w:p w:rsidR="00647B3C" w:rsidRDefault="009B368F">
      <w:pPr>
        <w:widowControl w:val="0"/>
        <w:spacing w:before="120" w:after="120" w:line="240" w:lineRule="auto"/>
        <w:jc w:val="both"/>
        <w:outlineLvl w:val="1"/>
        <w:rPr>
          <w:rFonts w:cs="Times New Roman"/>
          <w:b/>
          <w:noProof/>
          <w:color w:val="1F497D" w:themeColor="text2"/>
          <w:sz w:val="24"/>
        </w:rPr>
      </w:pPr>
      <w:bookmarkStart w:id="62" w:name="_Toc469313217"/>
      <w:r>
        <w:rPr>
          <w:rFonts w:cs="Times New Roman"/>
          <w:b/>
          <w:noProof/>
          <w:color w:val="1F497D" w:themeColor="text2"/>
          <w:sz w:val="24"/>
        </w:rPr>
        <w:t>Access to information, knowledge and evidence</w:t>
      </w:r>
      <w:bookmarkEnd w:id="61"/>
      <w:bookmarkEnd w:id="62"/>
    </w:p>
    <w:p w:rsidR="00647B3C" w:rsidRDefault="009B368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w:t>
      </w:r>
      <w:r>
        <w:rPr>
          <w:rFonts w:cs="Times New Roman"/>
          <w:noProof/>
          <w:color w:val="FFFFFF" w:themeColor="background1"/>
          <w:sz w:val="20"/>
        </w:rPr>
        <w:t>he public has access to clear information on the environment, including on how Union environmental law is being implemented.</w:t>
      </w:r>
    </w:p>
    <w:p w:rsidR="00647B3C" w:rsidRDefault="009B368F">
      <w:pPr>
        <w:widowControl w:val="0"/>
        <w:spacing w:after="120" w:line="240" w:lineRule="auto"/>
        <w:jc w:val="both"/>
        <w:rPr>
          <w:noProof/>
          <w:sz w:val="20"/>
        </w:rPr>
      </w:pPr>
      <w:r>
        <w:rPr>
          <w:noProof/>
          <w:sz w:val="20"/>
        </w:rPr>
        <w:t>It is of crucial importance to public authorities, the public and business that environmental information is shared in an efficient</w:t>
      </w:r>
      <w:r>
        <w:rPr>
          <w:noProof/>
          <w:sz w:val="20"/>
        </w:rPr>
        <w:t xml:space="preserve"> and effective way. This covers reporting by businesses and public authorities and active dissemination to the public, increasingly through electronic means.</w:t>
      </w:r>
    </w:p>
    <w:p w:rsidR="00647B3C" w:rsidRDefault="009B368F">
      <w:pPr>
        <w:widowControl w:val="0"/>
        <w:spacing w:after="120" w:line="240" w:lineRule="auto"/>
        <w:jc w:val="both"/>
        <w:rPr>
          <w:noProof/>
          <w:sz w:val="20"/>
        </w:rPr>
      </w:pPr>
      <w:r>
        <w:rPr>
          <w:noProof/>
          <w:sz w:val="20"/>
        </w:rPr>
        <w:t>The Aarhus Convention</w:t>
      </w:r>
      <w:r>
        <w:rPr>
          <w:noProof/>
          <w:sz w:val="20"/>
          <w:vertAlign w:val="superscript"/>
        </w:rPr>
        <w:footnoteReference w:id="111"/>
      </w:r>
      <w:r>
        <w:rPr>
          <w:noProof/>
          <w:sz w:val="20"/>
        </w:rPr>
        <w:t>, the Access to Environmental Information Directive</w:t>
      </w:r>
      <w:r>
        <w:rPr>
          <w:noProof/>
          <w:sz w:val="20"/>
          <w:vertAlign w:val="superscript"/>
        </w:rPr>
        <w:footnoteReference w:id="112"/>
      </w:r>
      <w:r>
        <w:rPr>
          <w:noProof/>
          <w:sz w:val="20"/>
        </w:rPr>
        <w:t xml:space="preserve"> and the INSPIRE Directi</w:t>
      </w:r>
      <w:r>
        <w:rPr>
          <w:noProof/>
          <w:sz w:val="20"/>
        </w:rPr>
        <w:t>ve</w:t>
      </w:r>
      <w:r>
        <w:rPr>
          <w:noProof/>
          <w:sz w:val="20"/>
          <w:vertAlign w:val="superscript"/>
        </w:rPr>
        <w:footnoteReference w:id="113"/>
      </w:r>
      <w:r>
        <w:rPr>
          <w:noProof/>
          <w:sz w:val="20"/>
        </w:rPr>
        <w:t xml:space="preserve"> together create a legal foundation for the sharing of environmental information between public authorities and with the public. They also represent the green part of the ongoing EU e-Government Action Plan</w:t>
      </w:r>
      <w:r>
        <w:rPr>
          <w:noProof/>
          <w:sz w:val="20"/>
          <w:vertAlign w:val="superscript"/>
        </w:rPr>
        <w:footnoteReference w:id="114"/>
      </w:r>
      <w:r>
        <w:rPr>
          <w:noProof/>
          <w:sz w:val="20"/>
        </w:rPr>
        <w:t>. The first two instruments create obligations</w:t>
      </w:r>
      <w:r>
        <w:rPr>
          <w:noProof/>
          <w:sz w:val="20"/>
        </w:rPr>
        <w:t xml:space="preserve"> to provide information to the public, both on request and actively. The INSPIRE Directive is a pioneering instrument for electronic data-sharing between public authorities who can vary in their data-sharing policies, e.g. on whether access to data is for </w:t>
      </w:r>
      <w:r>
        <w:rPr>
          <w:noProof/>
          <w:sz w:val="20"/>
        </w:rPr>
        <w:t>free. The INSPIRE Directive sets up a geoportal which indicates the level of shared spatial data in each Member State – i.e. data related to specific locations, such as air quality monitoring data. Amongst other benefits it facilitates the public authoriti</w:t>
      </w:r>
      <w:r>
        <w:rPr>
          <w:noProof/>
          <w:sz w:val="20"/>
        </w:rPr>
        <w:t xml:space="preserve">es' reporting obligations. </w:t>
      </w:r>
    </w:p>
    <w:p w:rsidR="00647B3C" w:rsidRDefault="009B368F">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well as data-sharing policies ('open data') have been systematically reviewed</w:t>
      </w:r>
      <w:r>
        <w:rPr>
          <w:rFonts w:cs="Times New Roman"/>
          <w:noProof/>
          <w:sz w:val="20"/>
          <w:vertAlign w:val="superscript"/>
        </w:rPr>
        <w:footnoteReference w:id="115"/>
      </w:r>
      <w:r>
        <w:rPr>
          <w:rFonts w:cs="Times New Roman"/>
          <w:noProof/>
          <w:sz w:val="20"/>
        </w:rPr>
        <w:t xml:space="preserve">. </w:t>
      </w:r>
    </w:p>
    <w:p w:rsidR="00647B3C" w:rsidRDefault="009B368F">
      <w:pPr>
        <w:widowControl w:val="0"/>
        <w:spacing w:before="120" w:after="120" w:line="240" w:lineRule="auto"/>
        <w:jc w:val="both"/>
        <w:rPr>
          <w:rFonts w:cs="Times New Roman"/>
          <w:noProof/>
          <w:sz w:val="20"/>
        </w:rPr>
      </w:pPr>
      <w:r>
        <w:rPr>
          <w:rFonts w:cs="Times New Roman"/>
          <w:noProof/>
          <w:sz w:val="20"/>
        </w:rPr>
        <w:t>Lithuania's performance on the im</w:t>
      </w:r>
      <w:r>
        <w:rPr>
          <w:rFonts w:cs="Times New Roman"/>
          <w:noProof/>
          <w:sz w:val="20"/>
        </w:rPr>
        <w:t>plementation of the INSPIRE Directive as enabling framework to actively disseminate environmental information to the public leaves room for improvement. Lithuania has indicated in the 3-yearly INSPIRE implementation report</w:t>
      </w:r>
      <w:r>
        <w:rPr>
          <w:rFonts w:cs="Times New Roman"/>
          <w:noProof/>
          <w:sz w:val="20"/>
          <w:vertAlign w:val="superscript"/>
        </w:rPr>
        <w:footnoteReference w:id="116"/>
      </w:r>
      <w:r>
        <w:rPr>
          <w:rFonts w:cs="Times New Roman"/>
          <w:noProof/>
          <w:sz w:val="20"/>
        </w:rPr>
        <w:t xml:space="preserve"> that the necessary data-sharing </w:t>
      </w:r>
      <w:r>
        <w:rPr>
          <w:rFonts w:cs="Times New Roman"/>
          <w:noProof/>
          <w:sz w:val="20"/>
        </w:rPr>
        <w:t>policies allowing access and use of spatial data by national administrations, other Member States' administrations and EU institutions without procedural obstacles are available and implemented. Most of the spatial information is shared between public auth</w:t>
      </w:r>
      <w:r>
        <w:rPr>
          <w:rFonts w:cs="Times New Roman"/>
          <w:noProof/>
          <w:sz w:val="20"/>
        </w:rPr>
        <w:t xml:space="preserve">orities and with the public free of charge. Experienced barriers to the sharing of data where mostly of the technical kind and have been remediated by Lithuania.  </w:t>
      </w:r>
    </w:p>
    <w:p w:rsidR="00647B3C" w:rsidRDefault="009B368F">
      <w:pPr>
        <w:widowControl w:val="0"/>
        <w:spacing w:before="120"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17"/>
      </w:r>
      <w:r>
        <w:rPr>
          <w:rFonts w:cs="Times New Roman"/>
          <w:noProof/>
          <w:sz w:val="20"/>
        </w:rPr>
        <w:t xml:space="preserve"> issued by Lithuania and the spatial information that Lith</w:t>
      </w:r>
      <w:r>
        <w:rPr>
          <w:rFonts w:cs="Times New Roman"/>
          <w:noProof/>
          <w:sz w:val="20"/>
        </w:rPr>
        <w:t>uania has published on the INSPIRE geoportal</w:t>
      </w:r>
      <w:r>
        <w:rPr>
          <w:rFonts w:cs="Times New Roman"/>
          <w:noProof/>
          <w:sz w:val="20"/>
          <w:vertAlign w:val="superscript"/>
        </w:rPr>
        <w:footnoteReference w:id="118"/>
      </w:r>
      <w:r>
        <w:rPr>
          <w:rFonts w:cs="Times New Roman"/>
          <w:noProof/>
          <w:sz w:val="20"/>
        </w:rPr>
        <w:t xml:space="preserve"> indicate that not all spatial information needed for the evaluation and implementation of EU environmental law has been made available or is accessible. The larger part of this missing spatial information consi</w:t>
      </w:r>
      <w:r>
        <w:rPr>
          <w:rFonts w:cs="Times New Roman"/>
          <w:noProof/>
          <w:sz w:val="20"/>
        </w:rPr>
        <w:t>sts of the environmental data required to be made available under the existing reporting and monitoring regulations of EU environmental law.</w:t>
      </w:r>
    </w:p>
    <w:p w:rsidR="00647B3C" w:rsidRDefault="009B368F">
      <w:pPr>
        <w:widowControl w:val="0"/>
        <w:spacing w:before="12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47B3C" w:rsidRDefault="009B368F">
      <w:pPr>
        <w:pStyle w:val="ListParagraph"/>
        <w:widowControl w:val="0"/>
        <w:numPr>
          <w:ilvl w:val="0"/>
          <w:numId w:val="32"/>
        </w:numPr>
        <w:spacing w:before="120"/>
        <w:ind w:left="170" w:hanging="170"/>
        <w:rPr>
          <w:rStyle w:val="Strong"/>
          <w:noProof/>
        </w:rPr>
      </w:pPr>
      <w:r>
        <w:rPr>
          <w:rStyle w:val="Strong"/>
          <w:noProof/>
        </w:rPr>
        <w:t xml:space="preserve">Critically review the effectiveness of its data policies and amend them, taking 'best practices' into consideration. </w:t>
      </w:r>
    </w:p>
    <w:p w:rsidR="00647B3C" w:rsidRDefault="009B368F">
      <w:pPr>
        <w:pStyle w:val="ListParagraph"/>
        <w:widowControl w:val="0"/>
        <w:numPr>
          <w:ilvl w:val="0"/>
          <w:numId w:val="32"/>
        </w:numPr>
        <w:ind w:left="170" w:hanging="170"/>
        <w:rPr>
          <w:rStyle w:val="Strong"/>
          <w:noProof/>
        </w:rPr>
      </w:pPr>
      <w:r>
        <w:rPr>
          <w:rStyle w:val="Strong"/>
          <w:noProof/>
        </w:rPr>
        <w:t>Identify and document all spatial data sets required for the implementation of environmental law, and make the data and documentation at l</w:t>
      </w:r>
      <w:r>
        <w:rPr>
          <w:rStyle w:val="Strong"/>
          <w:noProof/>
        </w:rPr>
        <w:t xml:space="preserve">east accessible 'as is' to other public authorities and the public through the digital services foreseen in the INSPIRE Directive. </w:t>
      </w:r>
    </w:p>
    <w:p w:rsidR="00647B3C" w:rsidRDefault="00647B3C">
      <w:pPr>
        <w:widowControl w:val="0"/>
        <w:spacing w:before="120" w:after="120" w:line="240" w:lineRule="auto"/>
        <w:jc w:val="both"/>
        <w:rPr>
          <w:rFonts w:cs="Times New Roman"/>
          <w:noProof/>
          <w:sz w:val="20"/>
        </w:rPr>
      </w:pPr>
    </w:p>
    <w:p w:rsidR="00647B3C" w:rsidRDefault="00647B3C">
      <w:pPr>
        <w:widowControl w:val="0"/>
        <w:spacing w:before="120" w:after="120" w:line="240" w:lineRule="auto"/>
        <w:jc w:val="both"/>
        <w:rPr>
          <w:rFonts w:cs="Times New Roman"/>
          <w:noProof/>
          <w:sz w:val="20"/>
        </w:rPr>
      </w:pPr>
    </w:p>
    <w:p w:rsidR="00647B3C" w:rsidRDefault="00647B3C">
      <w:pPr>
        <w:widowControl w:val="0"/>
        <w:suppressLineNumbers/>
        <w:jc w:val="center"/>
        <w:rPr>
          <w:noProof/>
        </w:rPr>
      </w:pPr>
    </w:p>
    <w:sectPr w:rsidR="00647B3C">
      <w:headerReference w:type="even" r:id="rId129"/>
      <w:headerReference w:type="default" r:id="rId130"/>
      <w:footerReference w:type="even" r:id="rId131"/>
      <w:footerReference w:type="default" r:id="rId132"/>
      <w:headerReference w:type="first" r:id="rId133"/>
      <w:footerReference w:type="first" r:id="rId134"/>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B3C" w:rsidRDefault="009B368F">
      <w:pPr>
        <w:spacing w:after="0" w:line="240" w:lineRule="auto"/>
      </w:pPr>
      <w:r>
        <w:separator/>
      </w:r>
    </w:p>
  </w:endnote>
  <w:endnote w:type="continuationSeparator" w:id="0">
    <w:p w:rsidR="00647B3C" w:rsidRDefault="009B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F" w:rsidRPr="009B368F" w:rsidRDefault="009B368F" w:rsidP="009B368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2016 – Lithuania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2016 – Lithuania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F" w:rsidRPr="009B368F" w:rsidRDefault="009B368F" w:rsidP="009B368F">
    <w:pPr>
      <w:pStyle w:val="FooterCoverPage"/>
      <w:rPr>
        <w:rFonts w:ascii="Arial" w:hAnsi="Arial" w:cs="Arial"/>
        <w:b/>
        <w:sz w:val="48"/>
      </w:rPr>
    </w:pPr>
    <w:r w:rsidRPr="009B368F">
      <w:rPr>
        <w:rFonts w:ascii="Arial" w:hAnsi="Arial" w:cs="Arial"/>
        <w:b/>
        <w:sz w:val="48"/>
      </w:rPr>
      <w:t>EN</w:t>
    </w:r>
    <w:r w:rsidRPr="009B368F">
      <w:rPr>
        <w:rFonts w:ascii="Arial" w:hAnsi="Arial" w:cs="Arial"/>
        <w:b/>
        <w:sz w:val="48"/>
      </w:rPr>
      <w:tab/>
    </w:r>
    <w:r w:rsidRPr="009B368F">
      <w:rPr>
        <w:rFonts w:ascii="Arial" w:hAnsi="Arial" w:cs="Arial"/>
        <w:b/>
        <w:sz w:val="48"/>
      </w:rPr>
      <w:tab/>
    </w:r>
    <w:fldSimple w:instr=" DOCVARIABLE &quot;LW_Confidence&quot; \* MERGEFORMAT ">
      <w:r>
        <w:t xml:space="preserve"> </w:t>
      </w:r>
    </w:fldSimple>
    <w:r w:rsidRPr="009B368F">
      <w:tab/>
    </w:r>
    <w:proofErr w:type="spellStart"/>
    <w:r w:rsidRPr="009B368F">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 xml:space="preserve">Environmental Implementation Report – </w:t>
    </w:r>
    <w:r>
      <w:t>Lithuania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F" w:rsidRPr="009B368F" w:rsidRDefault="009B368F" w:rsidP="009B368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 xml:space="preserve">Environmental </w:t>
    </w:r>
    <w:r>
      <w:t>Implementation Report – Lithuania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2016 – Lithuania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9B368F">
    <w:pPr>
      <w:pStyle w:val="Footer"/>
      <w:jc w:val="center"/>
    </w:pPr>
    <w:r>
      <w:t>Environmental Implementation Report – Lithuania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B3C" w:rsidRDefault="009B368F">
      <w:pPr>
        <w:spacing w:after="0" w:line="240" w:lineRule="auto"/>
      </w:pPr>
      <w:r>
        <w:separator/>
      </w:r>
    </w:p>
  </w:footnote>
  <w:footnote w:type="continuationSeparator" w:id="0">
    <w:p w:rsidR="00647B3C" w:rsidRDefault="009B368F">
      <w:pPr>
        <w:spacing w:after="0" w:line="240" w:lineRule="auto"/>
      </w:pPr>
      <w:r>
        <w:continuationSeparator/>
      </w:r>
    </w:p>
  </w:footnote>
  <w:footnote w:id="1">
    <w:p w:rsidR="00647B3C" w:rsidRDefault="009B368F">
      <w:pPr>
        <w:pStyle w:val="FootnoteText"/>
        <w:ind w:left="113" w:hanging="113"/>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 xml:space="preserve">Communication </w:t>
      </w:r>
      <w:r>
        <w:rPr>
          <w:rFonts w:asciiTheme="minorHAnsi" w:hAnsiTheme="minorHAnsi"/>
          <w:sz w:val="16"/>
          <w:szCs w:val="16"/>
        </w:rPr>
        <w:t>"Delivering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647B3C" w:rsidRDefault="009B368F">
      <w:pPr>
        <w:pStyle w:val="FootnoteText"/>
        <w:keepLines/>
        <w:widowControl w:val="0"/>
        <w:ind w:left="113" w:hanging="113"/>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 xml:space="preserve">Decision No. 1386/2013/EU of 20 </w:t>
      </w:r>
      <w:r>
        <w:rPr>
          <w:rFonts w:asciiTheme="minorHAnsi" w:hAnsiTheme="minorHAnsi"/>
          <w:sz w:val="16"/>
          <w:szCs w:val="16"/>
        </w:rPr>
        <w:t>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647B3C" w:rsidRDefault="009B368F">
      <w:pPr>
        <w:pStyle w:val="FootnoteText"/>
        <w:keepLines/>
        <w:widowControl w:val="0"/>
        <w:tabs>
          <w:tab w:val="left" w:pos="142"/>
        </w:tabs>
        <w:ind w:left="113" w:hanging="113"/>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vertAlign w:val="superscript"/>
        </w:rPr>
        <w:t xml:space="preserve"> </w:t>
      </w:r>
    </w:p>
  </w:footnote>
  <w:footnote w:id="4">
    <w:p w:rsidR="00647B3C" w:rsidRDefault="009B368F">
      <w:pPr>
        <w:pStyle w:val="FootnoteText"/>
        <w:keepLines/>
        <w:widowControl w:val="0"/>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This EIR report does not cover climate change, chemicals and energy.</w:t>
      </w:r>
    </w:p>
  </w:footnote>
  <w:footnote w:id="5">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Mechanical biological treatment facility</w:t>
      </w:r>
    </w:p>
  </w:footnote>
  <w:footnote w:id="6">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p>
  </w:footnote>
  <w:footnote w:id="7">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Resource productivity is defined as the ratio between gross domestic product (GDP) and domestic material consumption (DMC).</w:t>
      </w:r>
    </w:p>
  </w:footnote>
  <w:footnote w:id="8">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 xml:space="preserve">Eurostat, </w:t>
      </w:r>
      <w:hyperlink r:id="rId5"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9">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 xml:space="preserve">Eurostat, </w:t>
      </w:r>
      <w:hyperlink r:id="rId6"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10">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cstheme="minorHAnsi"/>
          <w:sz w:val="16"/>
          <w:szCs w:val="16"/>
        </w:rPr>
        <w:t>European Commission, 2015.</w:t>
      </w:r>
      <w:proofErr w:type="gramEnd"/>
      <w:r>
        <w:rPr>
          <w:rFonts w:asciiTheme="minorHAnsi" w:hAnsiTheme="minorHAnsi" w:cstheme="minorHAnsi"/>
          <w:sz w:val="16"/>
          <w:szCs w:val="16"/>
        </w:rPr>
        <w:t xml:space="preserve"> Flash 426 </w:t>
      </w:r>
      <w:proofErr w:type="spellStart"/>
      <w:r>
        <w:rPr>
          <w:rFonts w:asciiTheme="minorHAnsi" w:hAnsiTheme="minorHAnsi" w:cstheme="minorHAnsi"/>
          <w:sz w:val="16"/>
          <w:szCs w:val="16"/>
        </w:rPr>
        <w:t>Eurobarometer</w:t>
      </w:r>
      <w:proofErr w:type="spellEnd"/>
      <w:r>
        <w:rPr>
          <w:rFonts w:asciiTheme="minorHAnsi" w:hAnsiTheme="minorHAnsi" w:cstheme="minorHAnsi"/>
          <w:sz w:val="16"/>
          <w:szCs w:val="16"/>
        </w:rPr>
        <w:t xml:space="preserve"> </w:t>
      </w:r>
      <w:hyperlink r:id="rId7" w:history="1">
        <w:r>
          <w:rPr>
            <w:rStyle w:val="Hyperlink"/>
            <w:rFonts w:asciiTheme="minorHAnsi" w:hAnsiTheme="minorHAnsi" w:cstheme="minorHAnsi"/>
            <w:sz w:val="16"/>
            <w:szCs w:val="16"/>
          </w:rPr>
          <w:t>"SMEs, resource efficiency and green markets"</w:t>
        </w:r>
      </w:hyperlink>
    </w:p>
  </w:footnote>
  <w:footnote w:id="11">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Flash </w:t>
      </w:r>
      <w:proofErr w:type="spellStart"/>
      <w:r>
        <w:rPr>
          <w:rFonts w:asciiTheme="minorHAnsi" w:hAnsiTheme="minorHAnsi"/>
          <w:sz w:val="16"/>
          <w:szCs w:val="16"/>
        </w:rPr>
        <w:t>Eurobarometer</w:t>
      </w:r>
      <w:proofErr w:type="spellEnd"/>
      <w:r>
        <w:rPr>
          <w:rFonts w:asciiTheme="minorHAnsi" w:hAnsiTheme="minorHAnsi"/>
          <w:sz w:val="16"/>
          <w:szCs w:val="16"/>
        </w:rPr>
        <w:t xml:space="preserve"> 426 "SMEs, resource efficiency and green markets" defines "green job" as a job that directly deals with information, technologies, or materials that preserves or restores environmental quality. This requires specialised skills, knowledge, tra</w:t>
      </w:r>
      <w:r>
        <w:rPr>
          <w:rFonts w:asciiTheme="minorHAnsi" w:hAnsiTheme="minorHAnsi"/>
          <w:sz w:val="16"/>
          <w:szCs w:val="16"/>
        </w:rPr>
        <w:t>ining, or experience (e.g. verifying compliance with environmental legislation, monitoring resource efficiency within the company, promoting and selling green products and services).</w:t>
      </w:r>
    </w:p>
  </w:footnote>
  <w:footnote w:id="12">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8" w:history="1">
        <w:r>
          <w:rPr>
            <w:rStyle w:val="Hyperlink"/>
            <w:rFonts w:asciiTheme="minorHAnsi" w:hAnsiTheme="minorHAnsi"/>
            <w:sz w:val="16"/>
            <w:szCs w:val="16"/>
          </w:rPr>
          <w:t>Lithuanian Innovation Development Programme for 2014-2020</w:t>
        </w:r>
      </w:hyperlink>
      <w:r>
        <w:rPr>
          <w:rFonts w:asciiTheme="minorHAnsi" w:hAnsiTheme="minorHAnsi"/>
          <w:sz w:val="16"/>
          <w:szCs w:val="16"/>
        </w:rPr>
        <w:t xml:space="preserve"> and </w:t>
      </w:r>
      <w:hyperlink r:id="rId9" w:history="1">
        <w:r>
          <w:rPr>
            <w:rStyle w:val="Hyperlink"/>
            <w:rFonts w:asciiTheme="minorHAnsi" w:hAnsiTheme="minorHAnsi"/>
            <w:sz w:val="16"/>
            <w:szCs w:val="16"/>
          </w:rPr>
          <w:t>Lithuanian Smart Specialisation Strategy</w:t>
        </w:r>
      </w:hyperlink>
    </w:p>
  </w:footnote>
  <w:footnote w:id="13">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10"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4">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 xml:space="preserve">Eurostat, </w:t>
      </w:r>
      <w:hyperlink r:id="rId11" w:history="1">
        <w:r>
          <w:rPr>
            <w:rStyle w:val="Hyperlink"/>
            <w:sz w:val="16"/>
            <w:szCs w:val="16"/>
          </w:rPr>
          <w:t>Municipal waste and treatment, by type of treatme</w:t>
        </w:r>
        <w:r>
          <w:rPr>
            <w:rStyle w:val="Hyperlink"/>
            <w:sz w:val="16"/>
            <w:szCs w:val="16"/>
          </w:rPr>
          <w:t>nt method,</w:t>
        </w:r>
      </w:hyperlink>
      <w:r>
        <w:rPr>
          <w:sz w:val="16"/>
          <w:szCs w:val="16"/>
        </w:rPr>
        <w:t xml:space="preserve"> accessed October 2016</w:t>
      </w:r>
    </w:p>
  </w:footnote>
  <w:footnote w:id="15">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 xml:space="preserve">Eurostat, </w:t>
      </w:r>
      <w:hyperlink r:id="rId12" w:history="1">
        <w:r>
          <w:rPr>
            <w:rStyle w:val="Hyperlink"/>
            <w:sz w:val="16"/>
            <w:szCs w:val="16"/>
          </w:rPr>
          <w:t>Municipal waste and treatment, by type of treatment method,</w:t>
        </w:r>
      </w:hyperlink>
      <w:r>
        <w:rPr>
          <w:sz w:val="16"/>
          <w:szCs w:val="16"/>
        </w:rPr>
        <w:t xml:space="preserve"> accessed October 2016</w:t>
      </w:r>
    </w:p>
  </w:footnote>
  <w:footnote w:id="16">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Member States </w:t>
      </w:r>
      <w:r>
        <w:rPr>
          <w:rFonts w:asciiTheme="minorHAnsi" w:hAnsiTheme="minorHAnsi"/>
          <w:sz w:val="16"/>
          <w:szCs w:val="16"/>
        </w:rPr>
        <w:t>may choose a different method than the one used by ESTAT (and referred to in this report) to calculate their recycling rates and track compliance with the 2020 target of 50% recycling of municipal waste.</w:t>
      </w:r>
    </w:p>
  </w:footnote>
  <w:footnote w:id="17">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 xml:space="preserve">Eurostat, </w:t>
      </w:r>
      <w:hyperlink r:id="rId13"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18">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European Commission, Support to Member States in improving waste management based on assessment of Member States’ performan</w:t>
      </w:r>
      <w:r>
        <w:rPr>
          <w:rFonts w:asciiTheme="minorHAnsi" w:hAnsiTheme="minorHAnsi"/>
          <w:sz w:val="16"/>
          <w:szCs w:val="16"/>
        </w:rPr>
        <w:t xml:space="preserve">ce, </w:t>
      </w:r>
      <w:hyperlink r:id="rId14" w:history="1">
        <w:r>
          <w:rPr>
            <w:rStyle w:val="Hyperlink"/>
            <w:rFonts w:asciiTheme="minorHAnsi" w:hAnsiTheme="minorHAnsi"/>
            <w:sz w:val="16"/>
            <w:szCs w:val="16"/>
          </w:rPr>
          <w:t>Roadmap for Lithuania</w:t>
        </w:r>
        <w:r>
          <w:rPr>
            <w:rStyle w:val="Hyperlink"/>
            <w:rFonts w:asciiTheme="minorHAnsi" w:hAnsiTheme="minorHAnsi"/>
            <w:sz w:val="16"/>
            <w:szCs w:val="16"/>
            <w:vertAlign w:val="superscript"/>
          </w:rPr>
          <w:t xml:space="preserve"> </w:t>
        </w:r>
      </w:hyperlink>
      <w:r>
        <w:rPr>
          <w:rFonts w:asciiTheme="minorHAnsi" w:hAnsiTheme="minorHAnsi"/>
          <w:sz w:val="16"/>
          <w:szCs w:val="16"/>
          <w:vertAlign w:val="superscript"/>
        </w:rPr>
        <w:t xml:space="preserve"> </w:t>
      </w:r>
    </w:p>
  </w:footnote>
  <w:footnote w:id="19">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Bio Intelligence service, 2011. </w:t>
      </w:r>
      <w:hyperlink r:id="rId15" w:history="1">
        <w:r>
          <w:rPr>
            <w:rStyle w:val="Hyperlink"/>
            <w:rFonts w:asciiTheme="minorHAnsi" w:hAnsiTheme="minorHAnsi"/>
            <w:sz w:val="16"/>
            <w:szCs w:val="16"/>
          </w:rPr>
          <w:t>Impleme</w:t>
        </w:r>
        <w:r>
          <w:rPr>
            <w:rStyle w:val="Hyperlink"/>
            <w:rFonts w:asciiTheme="minorHAnsi" w:hAnsiTheme="minorHAnsi"/>
            <w:sz w:val="16"/>
            <w:szCs w:val="16"/>
          </w:rPr>
          <w:t>nting EU Waste legislation for Green Growth</w:t>
        </w:r>
      </w:hyperlink>
      <w:r>
        <w:rPr>
          <w:rFonts w:asciiTheme="minorHAnsi" w:hAnsiTheme="minorHAnsi"/>
          <w:sz w:val="16"/>
          <w:szCs w:val="16"/>
        </w:rPr>
        <w:t>, study for European Commission. The breakdown per country on job creation was made by the consultant on Commission demand but was not included in the published document.</w:t>
      </w:r>
      <w:r>
        <w:rPr>
          <w:rStyle w:val="Hyperlink"/>
          <w:rFonts w:asciiTheme="minorHAnsi" w:hAnsiTheme="minorHAnsi"/>
          <w:sz w:val="16"/>
          <w:szCs w:val="16"/>
          <w:vertAlign w:val="superscript"/>
        </w:rPr>
        <w:t xml:space="preserve">  </w:t>
      </w:r>
    </w:p>
  </w:footnote>
  <w:footnote w:id="20">
    <w:p w:rsidR="00647B3C" w:rsidRDefault="009B368F">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Sites of Community Importance (SCIs) a</w:t>
      </w:r>
      <w:r>
        <w:rPr>
          <w:rFonts w:asciiTheme="minorHAnsi" w:hAnsiTheme="minorHAnsi"/>
          <w:sz w:val="16"/>
          <w:szCs w:val="16"/>
        </w:rPr>
        <w:t>re designated pursuant to the Habitats Directive whereas Special Areas of Protection (SPAs) are designated pursuant to the Birds Directive; figures of coverage do not add up due to the fact that some SCIs and SPAs overlap. Special Areas of Conservation (SA</w:t>
      </w:r>
      <w:r>
        <w:rPr>
          <w:rFonts w:asciiTheme="minorHAnsi" w:hAnsiTheme="minorHAnsi"/>
          <w:sz w:val="16"/>
          <w:szCs w:val="16"/>
        </w:rPr>
        <w:t>Cs) means a SCI designated by the Member States.</w:t>
      </w:r>
    </w:p>
  </w:footnote>
  <w:footnote w:id="21">
    <w:p w:rsidR="00647B3C" w:rsidRDefault="009B368F">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For each Member State, the Commission assesses whether the species and habitat types on Annexes I and II of the Habitats Directive, are sufficiently represented by the sites designated to date. This is exp</w:t>
      </w:r>
      <w:r>
        <w:rPr>
          <w:rFonts w:asciiTheme="minorHAnsi" w:hAnsiTheme="minorHAnsi"/>
          <w:sz w:val="16"/>
          <w:szCs w:val="16"/>
        </w:rPr>
        <w:t xml:space="preserve">ressed as a percentage of species and habitats for which further areas need to be designated in order to complete the network in that country. </w:t>
      </w:r>
      <w:hyperlink r:id="rId16" w:history="1">
        <w:r>
          <w:rPr>
            <w:rStyle w:val="Hyperlink"/>
            <w:rFonts w:asciiTheme="minorHAnsi" w:hAnsiTheme="minorHAnsi"/>
            <w:sz w:val="16"/>
            <w:szCs w:val="16"/>
          </w:rPr>
          <w:t>The current data</w:t>
        </w:r>
      </w:hyperlink>
      <w:r>
        <w:rPr>
          <w:rFonts w:asciiTheme="minorHAnsi" w:hAnsiTheme="minorHAnsi"/>
          <w:sz w:val="16"/>
          <w:szCs w:val="16"/>
        </w:rPr>
        <w:t>,</w:t>
      </w:r>
      <w:r>
        <w:rPr>
          <w:rFonts w:asciiTheme="minorHAnsi" w:hAnsiTheme="minorHAnsi"/>
          <w:sz w:val="16"/>
          <w:szCs w:val="16"/>
        </w:rPr>
        <w:t xml:space="preserve"> which were assessed in 2014-2015, reflect the situation up until December 2013.</w:t>
      </w:r>
    </w:p>
  </w:footnote>
  <w:footnote w:id="22">
    <w:p w:rsidR="00647B3C" w:rsidRDefault="009B368F">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number of assessments (one assessment covering 1 species or 1 habitat in a given biographical region with the </w:t>
      </w:r>
      <w:r>
        <w:rPr>
          <w:sz w:val="16"/>
          <w:szCs w:val="16"/>
        </w:rPr>
        <w:t>Member State); if a habitat type or a species occurs in more than 1 Biogeographic region within a given Member State, there will be as many individual assessments as there are Biogeographic regions with an occurrence of that species or habitat in this Memb</w:t>
      </w:r>
      <w:r>
        <w:rPr>
          <w:sz w:val="16"/>
          <w:szCs w:val="16"/>
        </w:rPr>
        <w:t>er State.</w:t>
      </w:r>
    </w:p>
  </w:footnote>
  <w:footnote w:id="23">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internal assessment.</w:t>
      </w:r>
      <w:proofErr w:type="gramEnd"/>
    </w:p>
  </w:footnote>
  <w:footnote w:id="24">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The core of the ‘Article 17’ report is the assessment of conservation status of the habitats and species targeted by the Habitats Directive</w:t>
      </w:r>
    </w:p>
  </w:footnote>
  <w:footnote w:id="25">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Conservation status is assessed using a standard methodolog</w:t>
      </w:r>
      <w:r>
        <w:rPr>
          <w:rFonts w:asciiTheme="minorHAnsi" w:hAnsiTheme="minorHAnsi"/>
          <w:sz w:val="16"/>
          <w:szCs w:val="16"/>
        </w:rPr>
        <w:t>y as being either ‘favourable’, ‘unfavourable-inadequate’ and ‘unfavourable-bad’, based on four parameters as defined in Article 1 of the Habitats Directive.</w:t>
      </w:r>
    </w:p>
  </w:footnote>
  <w:footnote w:id="26">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Please note that a direct comparison between 2007 and 2013 data is complicated by the fact that </w:t>
      </w:r>
      <w:r>
        <w:rPr>
          <w:rFonts w:asciiTheme="minorHAnsi" w:hAnsiTheme="minorHAnsi"/>
          <w:sz w:val="16"/>
          <w:szCs w:val="16"/>
        </w:rPr>
        <w:t>Bulgaria and Romania were not covered by the 2007 reporting cycle, that the ‘unknown’ assessments have strongly diminished particularly for species, and that some reported changes are not real as they result from improved data / monitoring methods.</w:t>
      </w:r>
    </w:p>
  </w:footnote>
  <w:footnote w:id="27">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cstheme="minorHAnsi"/>
          <w:iCs/>
          <w:sz w:val="16"/>
          <w:szCs w:val="16"/>
        </w:rPr>
        <w:t>These</w:t>
      </w:r>
      <w:r>
        <w:rPr>
          <w:rFonts w:asciiTheme="minorHAnsi" w:hAnsiTheme="minorHAnsi" w:cstheme="minorHAnsi"/>
          <w:iCs/>
          <w:sz w:val="16"/>
          <w:szCs w:val="16"/>
        </w:rPr>
        <w:t xml:space="preserv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w:t>
      </w:r>
      <w:r>
        <w:rPr>
          <w:rFonts w:asciiTheme="minorHAnsi" w:hAnsiTheme="minorHAnsi"/>
          <w:sz w:val="16"/>
          <w:szCs w:val="16"/>
        </w:rPr>
        <w:t>n is based on the ‘</w:t>
      </w:r>
      <w:hyperlink r:id="rId17" w:history="1">
        <w:r>
          <w:rPr>
            <w:rStyle w:val="Hyperlink"/>
            <w:rFonts w:asciiTheme="minorHAnsi" w:hAnsiTheme="minorHAnsi"/>
            <w:sz w:val="16"/>
            <w:szCs w:val="16"/>
          </w:rPr>
          <w:t>Article 17’ report</w:t>
        </w:r>
      </w:hyperlink>
      <w:r>
        <w:rPr>
          <w:rFonts w:asciiTheme="minorHAnsi" w:hAnsiTheme="minorHAnsi"/>
          <w:sz w:val="16"/>
          <w:szCs w:val="16"/>
        </w:rPr>
        <w:t xml:space="preserve"> – national summary of Lithuania.</w:t>
      </w:r>
      <w:r>
        <w:rPr>
          <w:rFonts w:asciiTheme="minorHAnsi" w:hAnsiTheme="minorHAnsi"/>
          <w:sz w:val="16"/>
          <w:szCs w:val="16"/>
          <w:vertAlign w:val="superscript"/>
        </w:rPr>
        <w:t xml:space="preserve"> </w:t>
      </w:r>
    </w:p>
  </w:footnote>
  <w:footnote w:id="28">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Article 12 of the Birds Directive reporting - </w:t>
      </w:r>
      <w:hyperlink r:id="rId18" w:history="1">
        <w:r>
          <w:rPr>
            <w:rStyle w:val="Hyperlink"/>
            <w:rFonts w:asciiTheme="minorHAnsi" w:hAnsiTheme="minorHAnsi"/>
            <w:sz w:val="16"/>
            <w:szCs w:val="16"/>
          </w:rPr>
          <w:t>nation</w:t>
        </w:r>
        <w:r>
          <w:rPr>
            <w:rStyle w:val="Hyperlink"/>
            <w:rFonts w:asciiTheme="minorHAnsi" w:hAnsiTheme="minorHAnsi"/>
            <w:sz w:val="16"/>
            <w:szCs w:val="16"/>
          </w:rPr>
          <w:t>al summary of Lithuania</w:t>
        </w:r>
      </w:hyperlink>
    </w:p>
  </w:footnote>
  <w:footnote w:id="29">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Green Infrastructure — Enhancing Europe’s Natural Capital,( </w:t>
      </w:r>
      <w:hyperlink r:id="rId19" w:history="1">
        <w:r>
          <w:rPr>
            <w:rStyle w:val="Hyperlink"/>
            <w:rFonts w:asciiTheme="minorHAnsi" w:hAnsiTheme="minorHAnsi"/>
            <w:sz w:val="16"/>
            <w:szCs w:val="16"/>
          </w:rPr>
          <w:t>COM/2013/0249</w:t>
        </w:r>
      </w:hyperlink>
      <w:r>
        <w:rPr>
          <w:rStyle w:val="Hyperlink"/>
          <w:rFonts w:asciiTheme="minorHAnsi" w:hAnsiTheme="minorHAnsi"/>
          <w:sz w:val="16"/>
          <w:szCs w:val="16"/>
        </w:rPr>
        <w:t>)</w:t>
      </w:r>
    </w:p>
  </w:footnote>
  <w:footnote w:id="30">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LIFE09 NAT/LT/000581: </w:t>
      </w:r>
      <w:hyperlink r:id="rId20" w:history="1">
        <w:r>
          <w:rPr>
            <w:rStyle w:val="Hyperlink"/>
            <w:rFonts w:asciiTheme="minorHAnsi" w:hAnsiTheme="minorHAnsi"/>
            <w:sz w:val="16"/>
            <w:szCs w:val="16"/>
          </w:rPr>
          <w:t>http://www.glis.lt/ekotinklas/index.php/lt/</w:t>
        </w:r>
      </w:hyperlink>
      <w:r>
        <w:rPr>
          <w:rFonts w:asciiTheme="minorHAnsi" w:hAnsiTheme="minorHAnsi"/>
          <w:sz w:val="16"/>
          <w:szCs w:val="16"/>
        </w:rPr>
        <w:t xml:space="preserve">  (in Lithuanian)</w:t>
      </w:r>
    </w:p>
  </w:footnote>
  <w:footnote w:id="31">
    <w:p w:rsidR="00647B3C" w:rsidRDefault="009B368F">
      <w:pPr>
        <w:pStyle w:val="FootnoteText"/>
        <w:ind w:left="170" w:hanging="170"/>
        <w:rPr>
          <w:sz w:val="16"/>
          <w:szCs w:val="16"/>
        </w:rPr>
      </w:pPr>
      <w:r>
        <w:rPr>
          <w:rStyle w:val="FootnoteReference"/>
          <w:sz w:val="16"/>
          <w:szCs w:val="16"/>
        </w:rPr>
        <w:footnoteRef/>
      </w:r>
      <w:r>
        <w:rPr>
          <w:sz w:val="16"/>
          <w:szCs w:val="16"/>
        </w:rPr>
        <w:t xml:space="preserve"> European Environment Agency </w:t>
      </w:r>
      <w:hyperlink r:id="rId21" w:history="1">
        <w:r>
          <w:rPr>
            <w:rStyle w:val="Hyperlink"/>
            <w:sz w:val="16"/>
            <w:szCs w:val="16"/>
          </w:rPr>
          <w:t xml:space="preserve">Draft results of CORINE Land Cover (CLC) </w:t>
        </w:r>
        <w:r>
          <w:rPr>
            <w:rStyle w:val="Hyperlink"/>
            <w:sz w:val="16"/>
            <w:szCs w:val="16"/>
          </w:rPr>
          <w:t>inventory 2012</w:t>
        </w:r>
      </w:hyperlink>
      <w:r>
        <w:rPr>
          <w:rStyle w:val="Hyperlink"/>
          <w:sz w:val="16"/>
          <w:szCs w:val="16"/>
        </w:rPr>
        <w:t xml:space="preserve">; </w:t>
      </w:r>
      <w:r>
        <w:rPr>
          <w:sz w:val="16"/>
          <w:szCs w:val="16"/>
        </w:rPr>
        <w:t>mean annual land take 2006-12 as a % of 2006 artificial land.</w:t>
      </w:r>
    </w:p>
  </w:footnote>
  <w:footnote w:id="32">
    <w:p w:rsidR="00647B3C" w:rsidRDefault="009B368F">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sz w:val="16"/>
          <w:szCs w:val="16"/>
        </w:rPr>
        <w:t>European Environment Agency, 2016.</w:t>
      </w:r>
      <w:proofErr w:type="gramEnd"/>
      <w:r>
        <w:rPr>
          <w:sz w:val="16"/>
          <w:szCs w:val="16"/>
        </w:rPr>
        <w:t xml:space="preserve"> </w:t>
      </w:r>
      <w:hyperlink r:id="rId22" w:history="1">
        <w:r>
          <w:rPr>
            <w:rStyle w:val="Hyperlink"/>
            <w:sz w:val="16"/>
            <w:szCs w:val="16"/>
          </w:rPr>
          <w:t>Imperviousness and imperviousness change</w:t>
        </w:r>
      </w:hyperlink>
      <w:r>
        <w:rPr>
          <w:rStyle w:val="Hyperlink"/>
          <w:sz w:val="16"/>
          <w:szCs w:val="16"/>
        </w:rPr>
        <w:t xml:space="preserve">, </w:t>
      </w:r>
      <w:r>
        <w:rPr>
          <w:rStyle w:val="Hyperlink"/>
          <w:sz w:val="16"/>
          <w:szCs w:val="16"/>
        </w:rPr>
        <w:t>Figure 1</w:t>
      </w:r>
    </w:p>
  </w:footnote>
  <w:footnote w:id="33">
    <w:p w:rsidR="00647B3C" w:rsidRDefault="009B368F">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Eurostat,</w:t>
      </w:r>
      <w:hyperlink r:id="rId23" w:history="1">
        <w:r>
          <w:rPr>
            <w:rStyle w:val="Hyperlink"/>
            <w:sz w:val="16"/>
            <w:szCs w:val="16"/>
          </w:rPr>
          <w:t xml:space="preserve"> Soil water erosion rate</w:t>
        </w:r>
      </w:hyperlink>
      <w:r>
        <w:rPr>
          <w:sz w:val="16"/>
          <w:szCs w:val="16"/>
        </w:rPr>
        <w:t>, Figure 2, accessed November 2016</w:t>
      </w:r>
    </w:p>
  </w:footnote>
  <w:footnote w:id="34">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sz w:val="16"/>
          <w:szCs w:val="16"/>
        </w:rPr>
        <w:t>European Environment Agency, 2016.</w:t>
      </w:r>
      <w:proofErr w:type="gramEnd"/>
      <w:r>
        <w:rPr>
          <w:sz w:val="16"/>
          <w:szCs w:val="16"/>
        </w:rPr>
        <w:t xml:space="preserve"> Land cover 2012 and </w:t>
      </w:r>
      <w:r>
        <w:rPr>
          <w:sz w:val="16"/>
          <w:szCs w:val="16"/>
        </w:rPr>
        <w:t>changes country analysis [publication forthcoming]</w:t>
      </w:r>
    </w:p>
  </w:footnote>
  <w:footnote w:id="35">
    <w:p w:rsidR="00647B3C" w:rsidRDefault="009B368F">
      <w:pPr>
        <w:pStyle w:val="FootnoteText"/>
        <w:ind w:left="170" w:hanging="170"/>
        <w:rPr>
          <w:rFonts w:asciiTheme="minorHAnsi" w:hAnsiTheme="minorHAnsi"/>
          <w:sz w:val="16"/>
          <w:szCs w:val="16"/>
          <w:vertAlign w:val="superscript"/>
          <w:lang w:val="lt-L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spellStart"/>
      <w:r>
        <w:rPr>
          <w:rFonts w:asciiTheme="minorHAnsi" w:hAnsiTheme="minorHAnsi"/>
          <w:sz w:val="16"/>
          <w:szCs w:val="16"/>
          <w:lang w:val="lt-LT"/>
        </w:rPr>
        <w:t>Lithuanian</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Geological</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Survey</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Annual</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Report</w:t>
      </w:r>
      <w:proofErr w:type="spellEnd"/>
      <w:r>
        <w:rPr>
          <w:rFonts w:asciiTheme="minorHAnsi" w:hAnsiTheme="minorHAnsi"/>
          <w:sz w:val="16"/>
          <w:szCs w:val="16"/>
          <w:lang w:val="lt-LT"/>
        </w:rPr>
        <w:t>, 2015.</w:t>
      </w:r>
    </w:p>
  </w:footnote>
  <w:footnote w:id="36">
    <w:p w:rsidR="00647B3C" w:rsidRDefault="009B368F">
      <w:pPr>
        <w:pStyle w:val="FootnoteText"/>
        <w:ind w:left="170" w:hanging="170"/>
        <w:rPr>
          <w:rFonts w:asciiTheme="minorHAnsi" w:hAnsiTheme="minorHAnsi"/>
          <w:sz w:val="16"/>
          <w:szCs w:val="16"/>
          <w:vertAlign w:val="superscript"/>
          <w:lang w:val="lt-LT"/>
        </w:rPr>
      </w:pPr>
      <w:r>
        <w:rPr>
          <w:rStyle w:val="FootnoteReference"/>
          <w:rFonts w:asciiTheme="minorHAnsi" w:hAnsiTheme="minorHAnsi"/>
          <w:sz w:val="16"/>
          <w:szCs w:val="16"/>
        </w:rPr>
        <w:footnoteRef/>
      </w:r>
      <w:r>
        <w:rPr>
          <w:rFonts w:asciiTheme="minorHAnsi" w:hAnsiTheme="minorHAnsi"/>
          <w:sz w:val="16"/>
          <w:szCs w:val="16"/>
          <w:vertAlign w:val="superscript"/>
          <w:lang w:val="lt-LT"/>
        </w:rPr>
        <w:t xml:space="preserve"> </w:t>
      </w:r>
      <w:proofErr w:type="spellStart"/>
      <w:r>
        <w:rPr>
          <w:rFonts w:asciiTheme="minorHAnsi" w:hAnsiTheme="minorHAnsi"/>
          <w:sz w:val="16"/>
          <w:szCs w:val="16"/>
          <w:lang w:val="lt-LT"/>
        </w:rPr>
        <w:t>Lithuanian</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Geological</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Survey</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Annual</w:t>
      </w:r>
      <w:proofErr w:type="spellEnd"/>
      <w:r>
        <w:rPr>
          <w:rFonts w:asciiTheme="minorHAnsi" w:hAnsiTheme="minorHAnsi"/>
          <w:sz w:val="16"/>
          <w:szCs w:val="16"/>
          <w:lang w:val="lt-LT"/>
        </w:rPr>
        <w:t xml:space="preserve"> </w:t>
      </w:r>
      <w:proofErr w:type="spellStart"/>
      <w:r>
        <w:rPr>
          <w:rFonts w:asciiTheme="minorHAnsi" w:hAnsiTheme="minorHAnsi"/>
          <w:sz w:val="16"/>
          <w:szCs w:val="16"/>
          <w:lang w:val="lt-LT"/>
        </w:rPr>
        <w:t>Report</w:t>
      </w:r>
      <w:proofErr w:type="spellEnd"/>
      <w:r>
        <w:rPr>
          <w:rFonts w:asciiTheme="minorHAnsi" w:hAnsiTheme="minorHAnsi"/>
          <w:sz w:val="16"/>
          <w:szCs w:val="16"/>
          <w:lang w:val="lt-LT"/>
        </w:rPr>
        <w:t>, 2015.</w:t>
      </w:r>
    </w:p>
  </w:footnote>
  <w:footnote w:id="37">
    <w:p w:rsidR="00647B3C" w:rsidRDefault="009B368F">
      <w:pPr>
        <w:pStyle w:val="FootnoteText"/>
        <w:ind w:left="170" w:hanging="170"/>
        <w:rPr>
          <w:rFonts w:asciiTheme="minorHAnsi" w:hAnsiTheme="minorHAnsi"/>
          <w:sz w:val="16"/>
          <w:szCs w:val="16"/>
          <w:vertAlign w:val="superscript"/>
          <w:lang w:val="lt-LT"/>
        </w:rPr>
      </w:pPr>
      <w:r>
        <w:rPr>
          <w:rStyle w:val="FootnoteReference"/>
          <w:rFonts w:asciiTheme="minorHAnsi" w:hAnsiTheme="minorHAnsi"/>
          <w:sz w:val="16"/>
          <w:szCs w:val="16"/>
        </w:rPr>
        <w:footnoteRef/>
      </w:r>
      <w:r>
        <w:rPr>
          <w:rFonts w:asciiTheme="minorHAnsi" w:hAnsiTheme="minorHAnsi"/>
          <w:sz w:val="16"/>
          <w:szCs w:val="16"/>
          <w:vertAlign w:val="superscript"/>
          <w:lang w:val="lt-LT"/>
        </w:rPr>
        <w:t xml:space="preserve"> </w:t>
      </w:r>
      <w:hyperlink r:id="rId24" w:history="1">
        <w:r>
          <w:rPr>
            <w:rStyle w:val="Hyperlink"/>
            <w:rFonts w:asciiTheme="minorHAnsi" w:hAnsiTheme="minorHAnsi"/>
            <w:sz w:val="16"/>
            <w:szCs w:val="16"/>
          </w:rPr>
          <w:t>National</w:t>
        </w:r>
        <w:r>
          <w:rPr>
            <w:rStyle w:val="Hyperlink"/>
            <w:rFonts w:asciiTheme="minorHAnsi" w:hAnsiTheme="minorHAnsi"/>
            <w:sz w:val="16"/>
            <w:szCs w:val="16"/>
          </w:rPr>
          <w:t xml:space="preserve"> Environment Protection Strategy</w:t>
        </w:r>
      </w:hyperlink>
    </w:p>
  </w:footnote>
  <w:footnote w:id="38">
    <w:p w:rsidR="00647B3C" w:rsidRDefault="009B368F">
      <w:pPr>
        <w:pStyle w:val="FootnoteText"/>
        <w:ind w:left="170" w:hanging="170"/>
        <w:rPr>
          <w:rFonts w:asciiTheme="minorHAnsi" w:hAnsiTheme="minorHAnsi"/>
          <w:sz w:val="16"/>
          <w:szCs w:val="16"/>
          <w:vertAlign w:val="superscript"/>
          <w:lang w:val="lt-LT"/>
        </w:rPr>
      </w:pPr>
      <w:r>
        <w:rPr>
          <w:rStyle w:val="FootnoteReference"/>
          <w:rFonts w:asciiTheme="minorHAnsi" w:hAnsiTheme="minorHAnsi"/>
          <w:sz w:val="16"/>
          <w:szCs w:val="16"/>
        </w:rPr>
        <w:footnoteRef/>
      </w:r>
      <w:r>
        <w:rPr>
          <w:rFonts w:asciiTheme="minorHAnsi" w:hAnsiTheme="minorHAnsi"/>
          <w:sz w:val="16"/>
          <w:szCs w:val="16"/>
          <w:vertAlign w:val="superscript"/>
          <w:lang w:val="lt-LT"/>
        </w:rPr>
        <w:t xml:space="preserve"> </w:t>
      </w:r>
      <w:hyperlink r:id="rId25" w:history="1">
        <w:r>
          <w:rPr>
            <w:rStyle w:val="Hyperlink"/>
            <w:rFonts w:asciiTheme="minorHAnsi" w:hAnsiTheme="minorHAnsi"/>
            <w:sz w:val="16"/>
            <w:szCs w:val="16"/>
            <w:lang w:eastAsia="en-GB"/>
          </w:rPr>
          <w:t>Management Plan of Contaminated sites for 2013-2023</w:t>
        </w:r>
      </w:hyperlink>
    </w:p>
  </w:footnote>
  <w:footnote w:id="39">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w:t>
      </w:r>
      <w:hyperlink r:id="rId26" w:history="1">
        <w:r>
          <w:rPr>
            <w:rStyle w:val="Hyperlink"/>
            <w:rFonts w:asciiTheme="minorHAnsi" w:hAnsiTheme="minorHAnsi"/>
            <w:sz w:val="16"/>
            <w:szCs w:val="16"/>
          </w:rPr>
          <w:t>Marine Strategy Framework Directive 2008/56/EC</w:t>
        </w:r>
      </w:hyperlink>
    </w:p>
  </w:footnote>
  <w:footnote w:id="40">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The MSFD defines Good Environmental Status (GES) in Article 3 as: “The environmental status of marine waters where these pr</w:t>
      </w:r>
      <w:r>
        <w:rPr>
          <w:rFonts w:asciiTheme="minorHAnsi" w:hAnsiTheme="minorHAnsi"/>
          <w:sz w:val="16"/>
          <w:szCs w:val="16"/>
        </w:rPr>
        <w:t>ovide ecologically diverse and dynamic oceans and seas which are clean, healthy and productive”</w:t>
      </w:r>
      <w:r>
        <w:rPr>
          <w:rFonts w:asciiTheme="minorHAnsi" w:hAnsiTheme="minorHAnsi"/>
          <w:sz w:val="16"/>
          <w:szCs w:val="16"/>
          <w:vertAlign w:val="superscript"/>
        </w:rPr>
        <w:t xml:space="preserve"> </w:t>
      </w:r>
    </w:p>
  </w:footnote>
  <w:footnote w:id="41">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Report from the Commission "The first phase of implementation of the Marine Strategy Framework Directive (2008/56/EC) - The European Commission's assessment </w:t>
      </w:r>
      <w:r>
        <w:rPr>
          <w:rFonts w:asciiTheme="minorHAnsi" w:hAnsiTheme="minorHAnsi"/>
          <w:sz w:val="16"/>
          <w:szCs w:val="16"/>
        </w:rPr>
        <w:t xml:space="preserve">and guidance" </w:t>
      </w:r>
      <w:hyperlink r:id="rId27" w:history="1">
        <w:r>
          <w:rPr>
            <w:rStyle w:val="Hyperlink"/>
            <w:rFonts w:asciiTheme="minorHAnsi" w:hAnsiTheme="minorHAnsi"/>
            <w:sz w:val="16"/>
            <w:szCs w:val="16"/>
          </w:rPr>
          <w:t>COM(2014)097</w:t>
        </w:r>
      </w:hyperlink>
    </w:p>
  </w:footnote>
  <w:footnote w:id="42">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cstheme="minorHAnsi"/>
          <w:sz w:val="16"/>
          <w:szCs w:val="16"/>
        </w:rPr>
        <w:t>Commission Staff Working Document Accompanying the Commission Report assessing Member States' monitoring programmes under the Marine Strategy Framework Directive (COM(2017)3 and SWD(2017)1 final)</w:t>
      </w:r>
    </w:p>
  </w:footnote>
  <w:footnote w:id="43">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2012 Data pro</w:t>
      </w:r>
      <w:r>
        <w:rPr>
          <w:rFonts w:asciiTheme="minorHAnsi" w:hAnsiTheme="minorHAnsi"/>
          <w:sz w:val="16"/>
          <w:szCs w:val="16"/>
        </w:rPr>
        <w:t>vided by the European Environmental Agency to the European Commission– Not published</w:t>
      </w:r>
    </w:p>
  </w:footnote>
  <w:footnote w:id="44">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Report from the Commission "The first phase of implementation of the Marine Strategy Framework Directive (2008/56/EC) - The European Commission's assessment and guidance</w:t>
      </w:r>
      <w:r>
        <w:rPr>
          <w:rFonts w:asciiTheme="minorHAnsi" w:hAnsiTheme="minorHAnsi"/>
          <w:sz w:val="16"/>
          <w:szCs w:val="16"/>
        </w:rPr>
        <w:t xml:space="preserve">" </w:t>
      </w:r>
      <w:hyperlink r:id="rId28" w:history="1">
        <w:r>
          <w:rPr>
            <w:rStyle w:val="Hyperlink"/>
            <w:rFonts w:asciiTheme="minorHAnsi" w:hAnsiTheme="minorHAnsi"/>
            <w:sz w:val="16"/>
            <w:szCs w:val="16"/>
          </w:rPr>
          <w:t>COM(2014)097</w:t>
        </w:r>
      </w:hyperlink>
    </w:p>
  </w:footnote>
  <w:footnote w:id="45">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As of 7.10.2016, Lithuania has not yet reported its programme of measures to the Commission.</w:t>
      </w:r>
    </w:p>
  </w:footnote>
  <w:footnote w:id="46">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29" w:history="1">
        <w:r>
          <w:rPr>
            <w:rStyle w:val="Hyperlink"/>
            <w:rFonts w:asciiTheme="minorHAnsi" w:hAnsiTheme="minorHAnsi"/>
            <w:sz w:val="16"/>
            <w:szCs w:val="16"/>
          </w:rPr>
          <w:t>Air Quality Standards</w:t>
        </w:r>
      </w:hyperlink>
    </w:p>
  </w:footnote>
  <w:footnote w:id="47">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rPr>
        <w:t xml:space="preserve"> See</w:t>
      </w:r>
      <w:r>
        <w:rPr>
          <w:rFonts w:asciiTheme="minorHAnsi" w:hAnsiTheme="minorHAnsi"/>
          <w:sz w:val="16"/>
          <w:szCs w:val="16"/>
        </w:rPr>
        <w:t xml:space="preserve"> </w:t>
      </w:r>
      <w:hyperlink r:id="rId30"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31" w:history="1">
        <w:r>
          <w:rPr>
            <w:rStyle w:val="Hyperlink"/>
            <w:rFonts w:asciiTheme="minorHAnsi" w:hAnsiTheme="minorHAnsi"/>
            <w:sz w:val="16"/>
            <w:szCs w:val="16"/>
          </w:rPr>
          <w:t>Air pollutant emissions data viewer (NEC Directive)</w:t>
        </w:r>
      </w:hyperlink>
    </w:p>
  </w:footnote>
  <w:footnote w:id="48">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The current natio</w:t>
      </w:r>
      <w:r>
        <w:rPr>
          <w:rFonts w:asciiTheme="minorHAnsi" w:hAnsiTheme="minorHAnsi"/>
          <w:sz w:val="16"/>
          <w:szCs w:val="16"/>
        </w:rPr>
        <w:t>nal emission ceilings apply since 2010 (</w:t>
      </w:r>
      <w:hyperlink r:id="rId32"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3"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49">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34"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sz w:val="16"/>
          <w:szCs w:val="16"/>
        </w:rPr>
        <w:t>.</w:t>
      </w:r>
      <w:proofErr w:type="gramEnd"/>
      <w:r>
        <w:rPr>
          <w:rFonts w:asciiTheme="minorHAnsi" w:hAnsiTheme="minorHAnsi"/>
          <w:sz w:val="16"/>
          <w:szCs w:val="16"/>
        </w:rPr>
        <w:t xml:space="preserve"> (Table </w:t>
      </w:r>
      <w:proofErr w:type="gramStart"/>
      <w:r>
        <w:rPr>
          <w:rFonts w:asciiTheme="minorHAnsi" w:hAnsiTheme="minorHAnsi"/>
          <w:sz w:val="16"/>
          <w:szCs w:val="16"/>
        </w:rPr>
        <w:t>10.2,</w:t>
      </w:r>
      <w:proofErr w:type="gramEnd"/>
      <w:r>
        <w:rPr>
          <w:rFonts w:asciiTheme="minorHAnsi" w:hAnsiTheme="minorHAnsi"/>
          <w:sz w:val="16"/>
          <w:szCs w:val="16"/>
        </w:rPr>
        <w:t xml:space="preserve"> please see details in this report as regards the underpinning    methodology).</w:t>
      </w:r>
    </w:p>
  </w:footnote>
  <w:footnote w:id="50">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Particula</w:t>
      </w:r>
      <w:r>
        <w:rPr>
          <w:rFonts w:asciiTheme="minorHAnsi" w:hAnsiTheme="minorHAnsi"/>
          <w:sz w:val="16"/>
          <w:szCs w:val="16"/>
        </w:rPr>
        <w:t>te matter (PM) is a mixture of aerosol particles (solid and liquid) covering a wide range of sizes and chemical compositions. PM10 (PM2.5) refers to particles with a diameter of 10 (2.5) micrometres or less. PM is emitted from many human sources, including</w:t>
      </w:r>
      <w:r>
        <w:rPr>
          <w:rFonts w:asciiTheme="minorHAnsi" w:hAnsiTheme="minorHAnsi"/>
          <w:sz w:val="16"/>
          <w:szCs w:val="16"/>
        </w:rPr>
        <w:t xml:space="preserve"> combustion.</w:t>
      </w:r>
    </w:p>
  </w:footnote>
  <w:footnote w:id="51">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Low level ozone is produced by photochemical action on pollution and it is also a greenhouse gas</w:t>
      </w:r>
    </w:p>
  </w:footnote>
  <w:footnote w:id="52">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cstheme="minorHAnsi"/>
          <w:sz w:val="16"/>
          <w:szCs w:val="16"/>
        </w:rPr>
        <w:t>Based on European Environment Agency, 2016.</w:t>
      </w:r>
      <w:proofErr w:type="gramEnd"/>
      <w:r>
        <w:rPr>
          <w:rFonts w:asciiTheme="minorHAnsi" w:hAnsiTheme="minorHAnsi" w:cstheme="minorHAnsi"/>
          <w:sz w:val="16"/>
          <w:szCs w:val="16"/>
        </w:rPr>
        <w:t xml:space="preserve"> </w:t>
      </w:r>
      <w:hyperlink r:id="rId35" w:history="1">
        <w:proofErr w:type="gramStart"/>
        <w:r>
          <w:rPr>
            <w:rStyle w:val="Hyperlink"/>
            <w:rFonts w:asciiTheme="minorHAnsi" w:hAnsiTheme="minorHAnsi"/>
            <w:sz w:val="16"/>
            <w:szCs w:val="16"/>
            <w:lang w:eastAsia="en-GB"/>
          </w:rPr>
          <w:t>Air Quality in Eu</w:t>
        </w:r>
        <w:r>
          <w:rPr>
            <w:rStyle w:val="Hyperlink"/>
            <w:rFonts w:asciiTheme="minorHAnsi" w:hAnsiTheme="minorHAnsi"/>
            <w:sz w:val="16"/>
            <w:szCs w:val="16"/>
            <w:lang w:eastAsia="en-GB"/>
          </w:rPr>
          <w:t>rope – 2016 Report</w:t>
        </w:r>
      </w:hyperlink>
      <w:r>
        <w:rPr>
          <w:rFonts w:asciiTheme="minorHAnsi" w:hAnsiTheme="minorHAnsi" w:cstheme="minorHAnsi"/>
          <w:sz w:val="16"/>
          <w:szCs w:val="16"/>
        </w:rPr>
        <w:t>.</w:t>
      </w:r>
      <w:proofErr w:type="gramEnd"/>
      <w:r>
        <w:rPr>
          <w:rFonts w:asciiTheme="minorHAnsi" w:hAnsiTheme="minorHAnsi" w:cstheme="minorHAnsi"/>
          <w:sz w:val="16"/>
          <w:szCs w:val="16"/>
        </w:rPr>
        <w:t xml:space="preserve"> (Figures 4.1, 5.1 and 6.1)</w:t>
      </w:r>
    </w:p>
  </w:footnote>
  <w:footnote w:id="53">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See </w:t>
      </w:r>
      <w:hyperlink r:id="rId36"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w:t>
        </w:r>
      </w:hyperlink>
      <w:r>
        <w:rPr>
          <w:rFonts w:asciiTheme="minorHAnsi" w:hAnsiTheme="minorHAnsi"/>
          <w:sz w:val="16"/>
          <w:szCs w:val="16"/>
        </w:rPr>
        <w:t xml:space="preserve"> and the related Central Data Repository</w:t>
      </w:r>
    </w:p>
  </w:footnote>
  <w:footnote w:id="54">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These figures are based on the </w:t>
      </w:r>
      <w:hyperlink r:id="rId37"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55">
    <w:p w:rsidR="00647B3C" w:rsidRDefault="009B368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w:t>
      </w:r>
      <w:r>
        <w:rPr>
          <w:rFonts w:asciiTheme="minorHAnsi" w:hAnsiTheme="minorHAnsi"/>
          <w:sz w:val="16"/>
          <w:szCs w:val="16"/>
        </w:rPr>
        <w:t xml:space="preserve">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8"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56">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The Nois</w:t>
      </w:r>
      <w:r>
        <w:rPr>
          <w:rFonts w:asciiTheme="minorHAnsi" w:hAnsiTheme="minorHAnsi"/>
          <w:sz w:val="16"/>
          <w:szCs w:val="16"/>
        </w:rPr>
        <w:t xml:space="preserve">e Directive requires Member States to prepare and publish, every 5 years, noise maps and noise management action plans for agglomerations with more than 100,000 inhabitants, and for major roads, railways and airports. </w:t>
      </w:r>
    </w:p>
  </w:footnote>
  <w:footnote w:id="57">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This includes the </w:t>
      </w:r>
      <w:hyperlink r:id="rId39"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0" w:history="1">
        <w:r>
          <w:rPr>
            <w:rStyle w:val="Hyperlink"/>
            <w:rFonts w:asciiTheme="minorHAnsi" w:hAnsiTheme="minorHAnsi"/>
            <w:sz w:val="16"/>
            <w:szCs w:val="16"/>
          </w:rPr>
          <w:t xml:space="preserve">Urban Waste Water Treatment </w:t>
        </w:r>
        <w:r>
          <w:rPr>
            <w:rStyle w:val="Hyperlink"/>
            <w:rFonts w:asciiTheme="minorHAnsi" w:hAnsiTheme="minorHAnsi"/>
            <w:sz w:val="16"/>
            <w:szCs w:val="16"/>
          </w:rPr>
          <w:t>Directive (91/271/EEC)</w:t>
        </w:r>
      </w:hyperlink>
      <w:r>
        <w:rPr>
          <w:rFonts w:asciiTheme="minorHAnsi" w:hAnsiTheme="minorHAnsi"/>
          <w:sz w:val="16"/>
          <w:szCs w:val="16"/>
        </w:rPr>
        <w:t xml:space="preserve"> concerning discharges of municipal and some industrial waste waters; the </w:t>
      </w:r>
      <w:hyperlink r:id="rId41"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2"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3"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4" w:history="1">
        <w:r>
          <w:rPr>
            <w:rStyle w:val="Hyperlink"/>
            <w:rFonts w:asciiTheme="minorHAnsi" w:hAnsiTheme="minorHAnsi"/>
            <w:sz w:val="16"/>
            <w:szCs w:val="16"/>
          </w:rPr>
          <w:t>Floods Directive (2007/60/EC)</w:t>
        </w:r>
      </w:hyperlink>
    </w:p>
  </w:footnote>
  <w:footnote w:id="58">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For groundwater, a precautionary approach has been taken that comprises a prohibition </w:t>
      </w:r>
      <w:r>
        <w:rPr>
          <w:rFonts w:asciiTheme="minorHAnsi" w:hAnsiTheme="minorHAnsi"/>
          <w:sz w:val="16"/>
          <w:szCs w:val="16"/>
        </w:rPr>
        <w:t>on direct discharges to groundwater, and a requirement to monitor groundwater bodies.</w:t>
      </w:r>
    </w:p>
  </w:footnote>
  <w:footnote w:id="59">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Good ecological status is defined in the Water Framework Directive referring to the quality of the biological community, the hydrological characteristics and the chemic</w:t>
      </w:r>
      <w:r>
        <w:rPr>
          <w:rFonts w:asciiTheme="minorHAnsi" w:hAnsiTheme="minorHAnsi"/>
          <w:sz w:val="16"/>
          <w:szCs w:val="16"/>
        </w:rPr>
        <w:t>al characteristics.</w:t>
      </w:r>
    </w:p>
  </w:footnote>
  <w:footnote w:id="60">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Many European river basins and waters have been altered by human activities, such as land drainage, flood protection, and, building of dams to create reservoirs.</w:t>
      </w:r>
    </w:p>
  </w:footnote>
  <w:footnote w:id="61">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Good chemical status is defined in the Water Framework Directive refer</w:t>
      </w:r>
      <w:r>
        <w:rPr>
          <w:rFonts w:asciiTheme="minorHAnsi" w:hAnsiTheme="minorHAnsi"/>
          <w:sz w:val="16"/>
          <w:szCs w:val="16"/>
        </w:rPr>
        <w:t>ring to compliance with all the quality standards established for chemical substances at European level.</w:t>
      </w:r>
    </w:p>
  </w:footnote>
  <w:footnote w:id="62">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Diffuse pollution comes from widespread activities with no one discrete source.</w:t>
      </w:r>
    </w:p>
  </w:footnote>
  <w:footnote w:id="63">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45"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 COM(2016)666 </w:t>
      </w:r>
    </w:p>
  </w:footnote>
  <w:footnote w:id="64">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46"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65">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Environment Agency, </w:t>
      </w:r>
      <w:hyperlink r:id="rId47" w:history="1">
        <w:r>
          <w:rPr>
            <w:rStyle w:val="Hyperlink"/>
            <w:rFonts w:asciiTheme="minorHAnsi" w:hAnsiTheme="minorHAnsi"/>
            <w:sz w:val="16"/>
            <w:szCs w:val="16"/>
          </w:rPr>
          <w:t>State of bathing water</w:t>
        </w:r>
      </w:hyperlink>
      <w:r>
        <w:rPr>
          <w:rStyle w:val="Hyperlink"/>
          <w:rFonts w:asciiTheme="minorHAnsi" w:hAnsiTheme="minorHAnsi"/>
          <w:sz w:val="16"/>
          <w:szCs w:val="16"/>
        </w:rPr>
        <w:t xml:space="preserve"> – country report Lithuania</w:t>
      </w:r>
      <w:r>
        <w:rPr>
          <w:rFonts w:asciiTheme="minorHAnsi" w:hAnsiTheme="minorHAnsi"/>
          <w:sz w:val="16"/>
          <w:szCs w:val="16"/>
        </w:rPr>
        <w:t>, 2016</w:t>
      </w:r>
    </w:p>
  </w:footnote>
  <w:footnote w:id="66">
    <w:p w:rsidR="00647B3C" w:rsidRDefault="009B368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European</w:t>
      </w:r>
      <w:r>
        <w:rPr>
          <w:rFonts w:asciiTheme="minorHAnsi" w:hAnsiTheme="minorHAnsi" w:cstheme="minorHAnsi"/>
          <w:sz w:val="16"/>
          <w:szCs w:val="16"/>
          <w:vertAlign w:val="superscript"/>
        </w:rPr>
        <w:t xml:space="preserve"> </w:t>
      </w:r>
      <w:r>
        <w:rPr>
          <w:rFonts w:asciiTheme="minorHAnsi" w:hAnsiTheme="minorHAnsi" w:cstheme="minorHAnsi"/>
          <w:sz w:val="16"/>
          <w:szCs w:val="16"/>
        </w:rPr>
        <w:t>Commission</w:t>
      </w:r>
      <w:r>
        <w:rPr>
          <w:rFonts w:asciiTheme="minorHAnsi" w:hAnsiTheme="minorHAnsi"/>
          <w:sz w:val="16"/>
          <w:szCs w:val="16"/>
        </w:rPr>
        <w:t xml:space="preserve">, Eighth Report on the Implementation Status and the Programmes for Implementation (as required by Article 17) of Council Directive 91/271/EEC concerning Urban Waste Water treatment Directive </w:t>
      </w:r>
      <w:hyperlink r:id="rId48"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49" w:history="1">
        <w:r>
          <w:rPr>
            <w:rStyle w:val="Hyperlink"/>
            <w:rFonts w:asciiTheme="minorHAnsi" w:hAnsiTheme="minorHAnsi"/>
            <w:sz w:val="16"/>
            <w:szCs w:val="16"/>
          </w:rPr>
          <w:t>(SWD/2016/45 final</w:t>
        </w:r>
      </w:hyperlink>
      <w:r>
        <w:rPr>
          <w:rFonts w:asciiTheme="minorHAnsi" w:hAnsiTheme="minorHAnsi"/>
          <w:sz w:val="16"/>
          <w:szCs w:val="16"/>
        </w:rPr>
        <w:t>).</w:t>
      </w:r>
    </w:p>
  </w:footnote>
  <w:footnote w:id="67">
    <w:p w:rsidR="00647B3C" w:rsidRDefault="009B368F">
      <w:pPr>
        <w:pStyle w:val="FootnoteText"/>
        <w:widowControl w:val="0"/>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Environment</w:t>
      </w:r>
      <w:proofErr w:type="spellEnd"/>
      <w:r>
        <w:rPr>
          <w:rFonts w:asciiTheme="minorHAnsi" w:hAnsiTheme="minorHAnsi"/>
          <w:sz w:val="16"/>
          <w:szCs w:val="16"/>
          <w:lang w:val="fr-BE"/>
        </w:rPr>
        <w:t xml:space="preserve"> Agency, </w:t>
      </w:r>
      <w:r>
        <w:fldChar w:fldCharType="begin"/>
      </w:r>
      <w:r w:rsidRPr="009B368F">
        <w:rPr>
          <w:lang w:val="fr-BE"/>
        </w:rPr>
        <w:instrText xml:space="preserve"> HYPERLINK</w:instrText>
      </w:r>
      <w:r w:rsidRPr="009B368F">
        <w:rPr>
          <w:lang w:val="fr-BE"/>
        </w:rPr>
        <w:instrText xml:space="preserve"> "http://www.eea.europa.eu/themes/urban" </w:instrText>
      </w:r>
      <w:r>
        <w:fldChar w:fldCharType="separate"/>
      </w:r>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r>
        <w:rPr>
          <w:rStyle w:val="Hyperlink"/>
          <w:rFonts w:asciiTheme="minorHAnsi" w:hAnsiTheme="minorHAnsi"/>
          <w:sz w:val="16"/>
          <w:szCs w:val="16"/>
          <w:lang w:val="fr-BE"/>
        </w:rPr>
        <w:fldChar w:fldCharType="end"/>
      </w:r>
    </w:p>
  </w:footnote>
  <w:footnote w:id="68">
    <w:p w:rsidR="00647B3C" w:rsidRDefault="009B368F">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50" w:history="1">
        <w:r>
          <w:rPr>
            <w:rStyle w:val="Hyperlink"/>
            <w:rFonts w:asciiTheme="minorHAnsi" w:hAnsiTheme="minorHAnsi"/>
            <w:sz w:val="16"/>
            <w:szCs w:val="16"/>
            <w:lang w:val="fr-BE"/>
          </w:rPr>
          <w:t>http://urbanagendaforthe.eu/</w:t>
        </w:r>
      </w:hyperlink>
    </w:p>
  </w:footnote>
  <w:footnote w:id="69">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1" w:history="1">
        <w:r>
          <w:rPr>
            <w:rStyle w:val="Hyperlink"/>
            <w:rFonts w:asciiTheme="minorHAnsi" w:hAnsiTheme="minorHAnsi"/>
            <w:sz w:val="16"/>
            <w:szCs w:val="16"/>
          </w:rPr>
          <w:t xml:space="preserve">Urban Benchmarking and </w:t>
        </w:r>
        <w:r>
          <w:rPr>
            <w:rStyle w:val="Hyperlink"/>
            <w:rFonts w:asciiTheme="minorHAnsi" w:hAnsiTheme="minorHAnsi"/>
            <w:sz w:val="16"/>
            <w:szCs w:val="16"/>
          </w:rPr>
          <w:t>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Covenant of Mayors and others.</w:t>
      </w:r>
    </w:p>
  </w:footnote>
  <w:footnote w:id="70">
    <w:p w:rsidR="00647B3C" w:rsidRDefault="009B368F">
      <w:pPr>
        <w:spacing w:after="0" w:line="240" w:lineRule="auto"/>
        <w:ind w:left="170" w:hanging="170"/>
        <w:rPr>
          <w:rFonts w:eastAsia="Times New Roman" w:cs="Arial"/>
          <w:sz w:val="16"/>
          <w:szCs w:val="16"/>
          <w:vertAlign w:val="superscript"/>
          <w:lang w:val="en-US"/>
        </w:rPr>
      </w:pPr>
      <w:r>
        <w:rPr>
          <w:rStyle w:val="FootnoteReference"/>
          <w:sz w:val="16"/>
          <w:szCs w:val="16"/>
          <w:lang w:val="en-US"/>
        </w:rPr>
        <w:footnoteRef/>
      </w:r>
      <w:r>
        <w:rPr>
          <w:sz w:val="16"/>
          <w:szCs w:val="16"/>
          <w:vertAlign w:val="superscript"/>
          <w:lang w:val="en-US"/>
        </w:rPr>
        <w:t xml:space="preserve"> </w:t>
      </w:r>
      <w:r>
        <w:rPr>
          <w:sz w:val="16"/>
          <w:szCs w:val="16"/>
          <w:lang w:val="en-US"/>
        </w:rPr>
        <w:t xml:space="preserve">Statistics Lithuania, </w:t>
      </w:r>
      <w:hyperlink r:id="rId52" w:history="1">
        <w:r>
          <w:rPr>
            <w:rStyle w:val="Hyperlink"/>
            <w:sz w:val="16"/>
            <w:szCs w:val="16"/>
            <w:lang w:val="en-US"/>
          </w:rPr>
          <w:t>Official Statistics Portal</w:t>
        </w:r>
      </w:hyperlink>
    </w:p>
  </w:footnote>
  <w:footnote w:id="71">
    <w:p w:rsidR="00647B3C" w:rsidRDefault="009B368F">
      <w:pPr>
        <w:spacing w:after="0" w:line="240" w:lineRule="auto"/>
        <w:ind w:left="170" w:hanging="170"/>
        <w:rPr>
          <w:sz w:val="16"/>
          <w:szCs w:val="16"/>
          <w:vertAlign w:val="superscript"/>
        </w:rPr>
      </w:pPr>
      <w:r>
        <w:rPr>
          <w:rStyle w:val="FootnoteReference"/>
          <w:sz w:val="16"/>
          <w:szCs w:val="16"/>
        </w:rPr>
        <w:footnoteRef/>
      </w:r>
      <w:r>
        <w:rPr>
          <w:sz w:val="16"/>
          <w:szCs w:val="16"/>
          <w:vertAlign w:val="superscript"/>
        </w:rPr>
        <w:t xml:space="preserve"> </w:t>
      </w:r>
      <w:hyperlink r:id="rId53" w:history="1">
        <w:r>
          <w:rPr>
            <w:rStyle w:val="Hyperlink"/>
            <w:sz w:val="16"/>
            <w:szCs w:val="16"/>
          </w:rPr>
          <w:t>The National Environmental Protection Strategy</w:t>
        </w:r>
        <w:r>
          <w:rPr>
            <w:rStyle w:val="Hyperlink"/>
            <w:sz w:val="16"/>
            <w:szCs w:val="16"/>
          </w:rPr>
          <w:t>,</w:t>
        </w:r>
      </w:hyperlink>
      <w:r>
        <w:rPr>
          <w:sz w:val="16"/>
          <w:szCs w:val="16"/>
        </w:rPr>
        <w:t xml:space="preserve"> 2015</w:t>
      </w:r>
    </w:p>
  </w:footnote>
  <w:footnote w:id="72">
    <w:p w:rsidR="00647B3C" w:rsidRDefault="009B368F">
      <w:pPr>
        <w:spacing w:after="0" w:line="240" w:lineRule="auto"/>
        <w:ind w:left="170" w:hanging="170"/>
        <w:rPr>
          <w:sz w:val="16"/>
          <w:szCs w:val="16"/>
          <w:vertAlign w:val="superscript"/>
          <w:lang w:val="en-US"/>
        </w:rPr>
      </w:pPr>
      <w:r>
        <w:rPr>
          <w:rStyle w:val="FootnoteReference"/>
          <w:sz w:val="16"/>
          <w:szCs w:val="16"/>
        </w:rPr>
        <w:footnoteRef/>
      </w:r>
      <w:r>
        <w:rPr>
          <w:sz w:val="16"/>
          <w:szCs w:val="16"/>
          <w:vertAlign w:val="superscript"/>
        </w:rPr>
        <w:t xml:space="preserve"> </w:t>
      </w:r>
      <w:hyperlink r:id="rId54" w:history="1">
        <w:r>
          <w:rPr>
            <w:rStyle w:val="Hyperlink"/>
            <w:sz w:val="16"/>
            <w:szCs w:val="16"/>
          </w:rPr>
          <w:t>Green Cities Index, 2010</w:t>
        </w:r>
      </w:hyperlink>
    </w:p>
  </w:footnote>
  <w:footnote w:id="73">
    <w:p w:rsidR="00647B3C" w:rsidRDefault="009B368F">
      <w:pPr>
        <w:spacing w:after="0" w:line="240" w:lineRule="auto"/>
        <w:ind w:left="170" w:hanging="170"/>
        <w:rPr>
          <w:sz w:val="16"/>
          <w:szCs w:val="16"/>
          <w:vertAlign w:val="superscript"/>
          <w:lang w:val="en-US"/>
        </w:rPr>
      </w:pPr>
      <w:r>
        <w:rPr>
          <w:rStyle w:val="FootnoteReference"/>
          <w:sz w:val="16"/>
          <w:szCs w:val="16"/>
          <w:lang w:val="en-US"/>
        </w:rPr>
        <w:footnoteRef/>
      </w:r>
      <w:r>
        <w:rPr>
          <w:sz w:val="16"/>
          <w:szCs w:val="16"/>
          <w:vertAlign w:val="superscript"/>
          <w:lang w:val="en-US"/>
        </w:rPr>
        <w:t xml:space="preserve"> </w:t>
      </w:r>
      <w:r>
        <w:rPr>
          <w:sz w:val="16"/>
          <w:szCs w:val="16"/>
          <w:lang w:val="en-US"/>
        </w:rPr>
        <w:t xml:space="preserve">ESPON Future Orientations for Cities (FOCI), </w:t>
      </w:r>
      <w:hyperlink r:id="rId55" w:history="1">
        <w:r>
          <w:rPr>
            <w:rStyle w:val="Hyperlink"/>
            <w:sz w:val="16"/>
            <w:szCs w:val="16"/>
            <w:lang w:val="en-US"/>
          </w:rPr>
          <w:t>Final Scientific Report</w:t>
        </w:r>
      </w:hyperlink>
      <w:r>
        <w:rPr>
          <w:sz w:val="16"/>
          <w:szCs w:val="16"/>
          <w:lang w:val="en-US"/>
        </w:rPr>
        <w:t>, 2010</w:t>
      </w:r>
    </w:p>
  </w:footnote>
  <w:footnote w:id="74">
    <w:p w:rsidR="00647B3C" w:rsidRDefault="009B368F">
      <w:pPr>
        <w:spacing w:after="0" w:line="240" w:lineRule="auto"/>
        <w:ind w:left="170" w:hanging="170"/>
        <w:rPr>
          <w:sz w:val="16"/>
          <w:szCs w:val="16"/>
          <w:vertAlign w:val="superscript"/>
        </w:rPr>
      </w:pPr>
      <w:r>
        <w:rPr>
          <w:rStyle w:val="FootnoteReference"/>
          <w:sz w:val="16"/>
          <w:szCs w:val="16"/>
        </w:rPr>
        <w:footnoteRef/>
      </w:r>
      <w:r>
        <w:rPr>
          <w:vertAlign w:val="superscript"/>
        </w:rPr>
        <w:t xml:space="preserve"> </w:t>
      </w:r>
      <w:hyperlink r:id="rId56" w:history="1">
        <w:proofErr w:type="spellStart"/>
        <w:r>
          <w:rPr>
            <w:rStyle w:val="Hyperlink"/>
            <w:sz w:val="16"/>
            <w:szCs w:val="16"/>
          </w:rPr>
          <w:t>Klaipėda</w:t>
        </w:r>
        <w:proofErr w:type="spellEnd"/>
        <w:r>
          <w:rPr>
            <w:rStyle w:val="Hyperlink"/>
            <w:sz w:val="16"/>
            <w:szCs w:val="16"/>
          </w:rPr>
          <w:t xml:space="preserve"> Master Plan monitoring report, 2007-2014</w:t>
        </w:r>
      </w:hyperlink>
      <w:r>
        <w:rPr>
          <w:sz w:val="16"/>
          <w:szCs w:val="16"/>
          <w:vertAlign w:val="superscript"/>
        </w:rPr>
        <w:t xml:space="preserve"> </w:t>
      </w:r>
    </w:p>
  </w:footnote>
  <w:footnote w:id="75">
    <w:p w:rsidR="00647B3C" w:rsidRDefault="009B368F">
      <w:pPr>
        <w:spacing w:after="0" w:line="240" w:lineRule="auto"/>
        <w:ind w:left="170" w:hanging="170"/>
        <w:rPr>
          <w:sz w:val="16"/>
          <w:szCs w:val="16"/>
          <w:vertAlign w:val="superscript"/>
          <w:lang w:val="en-US"/>
        </w:rPr>
      </w:pPr>
      <w:r>
        <w:rPr>
          <w:rStyle w:val="FootnoteReference"/>
          <w:sz w:val="16"/>
          <w:szCs w:val="16"/>
        </w:rPr>
        <w:footnoteRef/>
      </w:r>
      <w:r>
        <w:rPr>
          <w:sz w:val="16"/>
          <w:szCs w:val="16"/>
          <w:vertAlign w:val="superscript"/>
        </w:rPr>
        <w:t xml:space="preserve"> </w:t>
      </w:r>
      <w:hyperlink r:id="rId57" w:history="1">
        <w:r>
          <w:rPr>
            <w:rStyle w:val="Hyperlink"/>
            <w:sz w:val="16"/>
            <w:szCs w:val="16"/>
          </w:rPr>
          <w:t>The National Environmental Protection Strategy</w:t>
        </w:r>
      </w:hyperlink>
      <w:r>
        <w:rPr>
          <w:sz w:val="16"/>
          <w:szCs w:val="16"/>
        </w:rPr>
        <w:t>, 2015</w:t>
      </w:r>
    </w:p>
  </w:footnote>
  <w:footnote w:id="76">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58" w:history="1">
        <w:r>
          <w:rPr>
            <w:rStyle w:val="Hyperlink"/>
            <w:rFonts w:asciiTheme="minorHAnsi" w:hAnsiTheme="minorHAnsi"/>
            <w:sz w:val="16"/>
            <w:szCs w:val="16"/>
          </w:rPr>
          <w:t>The path towards sustainable urban regeneration in Vilnius</w:t>
        </w:r>
      </w:hyperlink>
      <w:r>
        <w:rPr>
          <w:rFonts w:asciiTheme="minorHAnsi" w:hAnsiTheme="minorHAnsi"/>
          <w:sz w:val="16"/>
          <w:szCs w:val="16"/>
        </w:rPr>
        <w:t>, URBACT II Capitalisation, April 2015</w:t>
      </w:r>
    </w:p>
  </w:footnote>
  <w:footnote w:id="77">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 xml:space="preserve">Reconstruction of the Park of </w:t>
      </w:r>
      <w:proofErr w:type="spellStart"/>
      <w:r>
        <w:rPr>
          <w:rFonts w:asciiTheme="minorHAnsi" w:hAnsiTheme="minorHAnsi"/>
          <w:sz w:val="16"/>
          <w:szCs w:val="16"/>
        </w:rPr>
        <w:t>Sereikiškės</w:t>
      </w:r>
      <w:proofErr w:type="spellEnd"/>
      <w:r>
        <w:rPr>
          <w:rFonts w:asciiTheme="minorHAnsi" w:hAnsiTheme="minorHAnsi"/>
          <w:sz w:val="16"/>
          <w:szCs w:val="16"/>
        </w:rPr>
        <w:t xml:space="preserve">, </w:t>
      </w:r>
      <w:hyperlink r:id="rId59" w:history="1">
        <w:r>
          <w:rPr>
            <w:rStyle w:val="Hyperlink"/>
            <w:rFonts w:asciiTheme="minorHAnsi" w:hAnsiTheme="minorHAnsi"/>
            <w:sz w:val="16"/>
            <w:szCs w:val="16"/>
          </w:rPr>
          <w:t>Technical project</w:t>
        </w:r>
      </w:hyperlink>
      <w:r>
        <w:rPr>
          <w:rFonts w:asciiTheme="minorHAnsi" w:hAnsiTheme="minorHAnsi"/>
          <w:sz w:val="16"/>
          <w:szCs w:val="16"/>
        </w:rPr>
        <w:t>.</w:t>
      </w:r>
      <w:proofErr w:type="gramEnd"/>
      <w:r>
        <w:rPr>
          <w:rFonts w:asciiTheme="minorHAnsi" w:hAnsiTheme="minorHAnsi"/>
          <w:sz w:val="16"/>
          <w:szCs w:val="16"/>
          <w:vertAlign w:val="superscript"/>
        </w:rPr>
        <w:t xml:space="preserve"> </w:t>
      </w:r>
    </w:p>
  </w:footnote>
  <w:footnote w:id="78">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Protocol on Access to Genetic Resources and the Fair and Equitable Sharing of Benefits Arising from their Utilization to the Convention on Biological Diversity.</w:t>
      </w:r>
      <w:proofErr w:type="gramEnd"/>
    </w:p>
  </w:footnote>
  <w:footnote w:id="79">
    <w:p w:rsidR="00647B3C" w:rsidRDefault="009B368F">
      <w:pPr>
        <w:pStyle w:val="Default"/>
        <w:widowControl w:val="0"/>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r>
        <w:rPr>
          <w:rFonts w:asciiTheme="minorHAnsi" w:hAnsiTheme="minorHAnsi" w:cs="Calibri"/>
          <w:color w:val="auto"/>
          <w:sz w:val="16"/>
          <w:szCs w:val="16"/>
          <w:lang w:val="fr-BE" w:eastAsia="en-US"/>
        </w:rPr>
        <w:t>Eurostat</w:t>
      </w:r>
      <w:r>
        <w:rPr>
          <w:rFonts w:asciiTheme="minorHAnsi" w:hAnsiTheme="minorHAnsi"/>
          <w:sz w:val="16"/>
          <w:szCs w:val="16"/>
          <w:lang w:val="fr-BE"/>
        </w:rPr>
        <w:t xml:space="preserve">, </w:t>
      </w:r>
      <w:hyperlink r:id="rId60"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June</w:t>
      </w:r>
      <w:proofErr w:type="spellEnd"/>
      <w:r>
        <w:rPr>
          <w:rFonts w:asciiTheme="minorHAnsi" w:hAnsiTheme="minorHAnsi"/>
          <w:sz w:val="16"/>
          <w:szCs w:val="16"/>
          <w:lang w:val="fr-BE"/>
        </w:rPr>
        <w:t xml:space="preserve"> 2016</w:t>
      </w:r>
    </w:p>
  </w:footnote>
  <w:footnote w:id="80">
    <w:p w:rsidR="00647B3C" w:rsidRDefault="009B368F">
      <w:pPr>
        <w:pStyle w:val="Default"/>
        <w:widowControl w:val="0"/>
        <w:ind w:left="170" w:hanging="170"/>
        <w:rPr>
          <w:rFonts w:asciiTheme="minorHAnsi" w:hAnsiTheme="minorHAnsi"/>
          <w:sz w:val="16"/>
          <w:szCs w:val="16"/>
          <w:vertAlign w:val="superscript"/>
        </w:rPr>
      </w:pPr>
      <w:r>
        <w:rPr>
          <w:rStyle w:val="FootnoteCharacters"/>
          <w:rFonts w:asciiTheme="minorHAnsi" w:hAnsiTheme="minorHAnsi"/>
          <w:sz w:val="16"/>
          <w:szCs w:val="16"/>
          <w:vertAlign w:val="superscript"/>
        </w:rPr>
        <w:footnoteRef/>
      </w:r>
      <w:r>
        <w:rPr>
          <w:rFonts w:asciiTheme="minorHAnsi" w:eastAsia="Verdana" w:hAnsiTheme="minorHAnsi"/>
          <w:sz w:val="16"/>
          <w:szCs w:val="16"/>
          <w:vertAlign w:val="superscript"/>
        </w:rPr>
        <w:t xml:space="preserve"> </w:t>
      </w:r>
      <w:r>
        <w:rPr>
          <w:rFonts w:asciiTheme="minorHAnsi" w:hAnsiTheme="minorHAnsi" w:cs="Calibri"/>
          <w:color w:val="auto"/>
          <w:sz w:val="16"/>
          <w:szCs w:val="16"/>
          <w:lang w:eastAsia="en-US"/>
        </w:rPr>
        <w:t>Taxation trends in the EU (Eurostat, 2014); Tax Reforms in EU Member States 2014 (TAXUD)</w:t>
      </w:r>
    </w:p>
  </w:footnote>
  <w:footnote w:id="81">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The average age of passenger cars in Lithuania is around 15 years</w:t>
      </w:r>
      <w:r>
        <w:rPr>
          <w:rFonts w:asciiTheme="minorHAnsi" w:hAnsiTheme="minorHAnsi"/>
          <w:sz w:val="16"/>
          <w:szCs w:val="16"/>
        </w:rPr>
        <w:t xml:space="preserve"> while it is between 7 and 8 years in the EU   (Source: DG ECFIN Country  Focus, Vol. 12, 2014. New passenger car missions are 135.82 g CO2/km against the EU average of 123.40 g CO2/km (Source: EEA, 2014, provisional values).</w:t>
      </w:r>
    </w:p>
  </w:footnote>
  <w:footnote w:id="82">
    <w:p w:rsidR="00647B3C" w:rsidRDefault="009B368F">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r>
        <w:rPr>
          <w:rFonts w:asciiTheme="minorHAnsi" w:hAnsiTheme="minorHAnsi"/>
          <w:sz w:val="16"/>
          <w:szCs w:val="16"/>
          <w:lang w:val="fr-BE"/>
        </w:rPr>
        <w:t xml:space="preserve">Eurostat, </w:t>
      </w:r>
      <w:hyperlink r:id="rId6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83">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Staff Working Document, </w:t>
      </w:r>
      <w:hyperlink r:id="rId62" w:history="1">
        <w:r>
          <w:rPr>
            <w:rStyle w:val="Hyperlink"/>
            <w:rFonts w:asciiTheme="minorHAnsi" w:hAnsiTheme="minorHAnsi"/>
            <w:sz w:val="16"/>
            <w:szCs w:val="16"/>
          </w:rPr>
          <w:t>Country Report Lithuania 2016</w:t>
        </w:r>
      </w:hyperlink>
      <w:r>
        <w:rPr>
          <w:rStyle w:val="Hyperlink"/>
          <w:rFonts w:asciiTheme="minorHAnsi" w:hAnsiTheme="minorHAnsi"/>
          <w:sz w:val="16"/>
          <w:szCs w:val="16"/>
          <w:vertAlign w:val="superscript"/>
        </w:rPr>
        <w:t xml:space="preserve"> </w:t>
      </w:r>
    </w:p>
  </w:footnote>
  <w:footnote w:id="84">
    <w:p w:rsidR="00647B3C" w:rsidRDefault="009B368F">
      <w:pPr>
        <w:spacing w:after="0" w:line="240" w:lineRule="auto"/>
        <w:ind w:left="170" w:hanging="170"/>
        <w:rPr>
          <w:sz w:val="16"/>
          <w:szCs w:val="16"/>
          <w:vertAlign w:val="superscript"/>
        </w:rPr>
      </w:pPr>
      <w:r>
        <w:rPr>
          <w:rStyle w:val="FootnoteReference"/>
          <w:rFonts w:eastAsia="Calibri" w:cs="Times New Roman"/>
          <w:sz w:val="16"/>
          <w:szCs w:val="16"/>
        </w:rPr>
        <w:footnoteRef/>
      </w:r>
      <w:r>
        <w:rPr>
          <w:rStyle w:val="FootnoteReference"/>
          <w:rFonts w:eastAsia="Calibri" w:cs="Times New Roman"/>
          <w:sz w:val="16"/>
          <w:szCs w:val="16"/>
        </w:rPr>
        <w:t xml:space="preserve"> “</w:t>
      </w:r>
      <w:r>
        <w:rPr>
          <w:rStyle w:val="FootnoteReference"/>
          <w:sz w:val="16"/>
          <w:szCs w:val="16"/>
          <w:vertAlign w:val="baseline"/>
        </w:rPr>
        <w:t>Developm</w:t>
      </w:r>
      <w:proofErr w:type="gramStart"/>
      <w:r>
        <w:rPr>
          <w:rFonts w:eastAsia="Calibri" w:cs="Times New Roman"/>
          <w:sz w:val="16"/>
          <w:szCs w:val="16"/>
        </w:rPr>
        <w:t>ent</w:t>
      </w:r>
      <w:proofErr w:type="gramEnd"/>
      <w:r>
        <w:rPr>
          <w:rFonts w:eastAsia="Calibri" w:cs="Times New Roman"/>
          <w:sz w:val="16"/>
          <w:szCs w:val="16"/>
        </w:rPr>
        <w:t xml:space="preserve"> of the criteria for determining the rates of vehicle circulation tax and formulation of recommendations for the taxation of vehicles </w:t>
      </w:r>
      <w:r>
        <w:rPr>
          <w:rFonts w:eastAsia="Calibri" w:cs="Times New Roman"/>
          <w:sz w:val="16"/>
          <w:szCs w:val="16"/>
        </w:rPr>
        <w:t xml:space="preserve">in Lithuania”, July 2015, </w:t>
      </w:r>
      <w:hyperlink r:id="rId63" w:history="1">
        <w:r>
          <w:rPr>
            <w:rStyle w:val="Hyperlink"/>
            <w:rFonts w:eastAsia="Calibri" w:cs="Times New Roman"/>
            <w:sz w:val="16"/>
            <w:szCs w:val="16"/>
          </w:rPr>
          <w:t>Summary report</w:t>
        </w:r>
      </w:hyperlink>
      <w:r>
        <w:rPr>
          <w:rFonts w:eastAsia="Calibri" w:cs="Times New Roman"/>
          <w:sz w:val="16"/>
          <w:szCs w:val="16"/>
        </w:rPr>
        <w:t>.</w:t>
      </w:r>
    </w:p>
    <w:p w:rsidR="00647B3C" w:rsidRDefault="00647B3C">
      <w:pPr>
        <w:spacing w:after="0" w:line="240" w:lineRule="auto"/>
        <w:ind w:left="170" w:hanging="170"/>
        <w:rPr>
          <w:rStyle w:val="Hyperlink"/>
          <w:sz w:val="16"/>
          <w:szCs w:val="16"/>
          <w:vertAlign w:val="superscript"/>
        </w:rPr>
      </w:pPr>
    </w:p>
    <w:p w:rsidR="00647B3C" w:rsidRDefault="00647B3C">
      <w:pPr>
        <w:pStyle w:val="FootnoteText"/>
        <w:ind w:left="170" w:hanging="170"/>
        <w:rPr>
          <w:rFonts w:asciiTheme="minorHAnsi" w:hAnsiTheme="minorHAnsi"/>
          <w:sz w:val="16"/>
          <w:szCs w:val="16"/>
          <w:vertAlign w:val="superscript"/>
        </w:rPr>
      </w:pPr>
    </w:p>
  </w:footnote>
  <w:footnote w:id="85">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Passenger car taxation in Baltics (ECFIN country focus):"the renewal of the car fleet and the reduction in engine power and car mass could help</w:t>
      </w:r>
      <w:r>
        <w:rPr>
          <w:rFonts w:asciiTheme="minorHAnsi" w:hAnsiTheme="minorHAnsi"/>
          <w:sz w:val="16"/>
          <w:szCs w:val="16"/>
        </w:rPr>
        <w:t xml:space="preserve"> reduce other externalities such as the very high number of people killed in road accidents in the Baltic States". In 2013, Lithuania had the 4th of the highest number of road deaths in the EU – 85 fatalities per million inhabitants, way above the EU avera</w:t>
      </w:r>
      <w:r>
        <w:rPr>
          <w:rFonts w:asciiTheme="minorHAnsi" w:hAnsiTheme="minorHAnsi"/>
          <w:sz w:val="16"/>
          <w:szCs w:val="16"/>
        </w:rPr>
        <w:t xml:space="preserve">ge of 52 (ref.  </w:t>
      </w:r>
      <w:proofErr w:type="gramStart"/>
      <w:r>
        <w:rPr>
          <w:rFonts w:asciiTheme="minorHAnsi" w:hAnsiTheme="minorHAnsi"/>
          <w:sz w:val="16"/>
          <w:szCs w:val="16"/>
        </w:rPr>
        <w:t>Road Safety in the European Union (2015)).</w:t>
      </w:r>
      <w:proofErr w:type="gramEnd"/>
    </w:p>
  </w:footnote>
  <w:footnote w:id="86">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EUROSTAT (</w:t>
      </w:r>
      <w:hyperlink r:id="rId64" w:history="1">
        <w:r>
          <w:rPr>
            <w:rStyle w:val="Hyperlink"/>
            <w:rFonts w:asciiTheme="minorHAnsi" w:hAnsiTheme="minorHAnsi"/>
            <w:sz w:val="16"/>
            <w:szCs w:val="16"/>
          </w:rPr>
          <w:t>Code: tsdcc360</w:t>
        </w:r>
      </w:hyperlink>
      <w:r>
        <w:rPr>
          <w:rFonts w:asciiTheme="minorHAnsi" w:hAnsiTheme="minorHAnsi"/>
          <w:sz w:val="16"/>
          <w:szCs w:val="16"/>
        </w:rPr>
        <w:t>)</w:t>
      </w:r>
    </w:p>
  </w:footnote>
  <w:footnote w:id="87">
    <w:p w:rsidR="00647B3C" w:rsidRDefault="009B368F">
      <w:pPr>
        <w:spacing w:after="0" w:line="240" w:lineRule="auto"/>
        <w:ind w:left="170" w:hanging="170"/>
        <w:jc w:val="both"/>
        <w:rPr>
          <w:rFonts w:cstheme="minorHAnsi"/>
          <w:sz w:val="16"/>
          <w:szCs w:val="16"/>
        </w:rPr>
      </w:pPr>
      <w:r>
        <w:rPr>
          <w:rFonts w:cstheme="minorHAnsi"/>
          <w:sz w:val="16"/>
          <w:szCs w:val="16"/>
        </w:rPr>
        <w:footnoteRef/>
      </w:r>
      <w:r>
        <w:rPr>
          <w:rFonts w:cstheme="minorHAnsi"/>
          <w:sz w:val="16"/>
          <w:szCs w:val="16"/>
        </w:rPr>
        <w:t xml:space="preserve"> </w:t>
      </w:r>
      <w:proofErr w:type="gramStart"/>
      <w:r>
        <w:rPr>
          <w:rFonts w:cstheme="minorHAnsi"/>
          <w:sz w:val="16"/>
          <w:szCs w:val="16"/>
        </w:rPr>
        <w:t>Eunomia Research and Consulting, IEEP, Aarhus University, ENT, 2016.</w:t>
      </w:r>
      <w:proofErr w:type="gramEnd"/>
      <w:r>
        <w:rPr>
          <w:rFonts w:cstheme="minorHAnsi"/>
          <w:sz w:val="16"/>
          <w:szCs w:val="16"/>
        </w:rPr>
        <w:t xml:space="preserve"> </w:t>
      </w:r>
      <w:hyperlink r:id="rId65" w:history="1">
        <w:r>
          <w:rPr>
            <w:rStyle w:val="Hyperlink"/>
            <w:rFonts w:cstheme="minorHAnsi"/>
            <w:sz w:val="16"/>
            <w:szCs w:val="16"/>
          </w:rPr>
          <w:t>Study on Assessing the Environmental Fiscal Reform Potential for the EU28</w:t>
        </w:r>
      </w:hyperlink>
      <w:r>
        <w:rPr>
          <w:rStyle w:val="Hyperlink"/>
          <w:rFonts w:cstheme="minorHAnsi"/>
          <w:sz w:val="16"/>
          <w:szCs w:val="16"/>
        </w:rPr>
        <w:t>. N.B. National governments are responsible for setting tax rates wi</w:t>
      </w:r>
      <w:r>
        <w:rPr>
          <w:rStyle w:val="Hyperlink"/>
          <w:rFonts w:cstheme="minorHAnsi"/>
          <w:sz w:val="16"/>
          <w:szCs w:val="16"/>
        </w:rPr>
        <w:t xml:space="preserve">thin the EU Single Market rules and this report is not suggesting concrete changes as to the level of environmental taxation. It merely presents the findings of the 2016 study by Eunomia </w:t>
      </w:r>
      <w:r>
        <w:rPr>
          <w:rStyle w:val="Hyperlink"/>
          <w:rFonts w:cstheme="minorHAnsi"/>
          <w:i/>
          <w:sz w:val="16"/>
          <w:szCs w:val="16"/>
        </w:rPr>
        <w:t>et al</w:t>
      </w:r>
      <w:r>
        <w:rPr>
          <w:rStyle w:val="Hyperlink"/>
          <w:rFonts w:cstheme="minorHAnsi"/>
          <w:sz w:val="16"/>
          <w:szCs w:val="16"/>
        </w:rPr>
        <w:t xml:space="preserve"> on the potential benefits various environmental taxes could bri</w:t>
      </w:r>
      <w:r>
        <w:rPr>
          <w:rStyle w:val="Hyperlink"/>
          <w:rFonts w:cstheme="minorHAnsi"/>
          <w:sz w:val="16"/>
          <w:szCs w:val="16"/>
        </w:rPr>
        <w:t>ng. It is then for the national authorities to assess this study and their concrete impacts in the national context. A first step in this respect, already done by a number of Member States, is to set up expert groups to assess these and make specific propo</w:t>
      </w:r>
      <w:r>
        <w:rPr>
          <w:rStyle w:val="Hyperlink"/>
          <w:rFonts w:cstheme="minorHAnsi"/>
          <w:sz w:val="16"/>
          <w:szCs w:val="16"/>
        </w:rPr>
        <w:t>sals.</w:t>
      </w:r>
    </w:p>
  </w:footnote>
  <w:footnote w:id="88">
    <w:p w:rsidR="00647B3C" w:rsidRDefault="009B368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89">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66" w:history="1">
        <w:r>
          <w:rPr>
            <w:rStyle w:val="Hyperlink"/>
            <w:rFonts w:asciiTheme="minorHAnsi" w:hAnsiTheme="minorHAnsi"/>
            <w:sz w:val="16"/>
            <w:szCs w:val="16"/>
          </w:rPr>
          <w:t>Public procurement</w:t>
        </w:r>
      </w:hyperlink>
    </w:p>
  </w:footnote>
  <w:footnote w:id="90">
    <w:p w:rsidR="00647B3C" w:rsidRDefault="009B368F">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67" w:history="1">
        <w:r>
          <w:rPr>
            <w:rStyle w:val="Hyperlink"/>
            <w:sz w:val="16"/>
            <w:szCs w:val="16"/>
            <w:lang w:val="en"/>
          </w:rPr>
          <w:t xml:space="preserve">(COM </w:t>
        </w:r>
        <w:r>
          <w:rPr>
            <w:rStyle w:val="Hyperlink"/>
            <w:sz w:val="16"/>
            <w:szCs w:val="16"/>
            <w:lang w:val="en"/>
          </w:rPr>
          <w:t>/2008/400)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 life-cycle </w:t>
      </w:r>
      <w:r>
        <w:rPr>
          <w:sz w:val="16"/>
          <w:szCs w:val="16"/>
          <w:lang w:val="en"/>
        </w:rPr>
        <w:t>approach and scientific evidence base.</w:t>
      </w:r>
    </w:p>
  </w:footnote>
  <w:footnote w:id="91">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68" w:history="1">
        <w:r>
          <w:rPr>
            <w:rStyle w:val="Hyperlink"/>
            <w:rFonts w:asciiTheme="minorHAnsi" w:hAnsiTheme="minorHAnsi"/>
            <w:sz w:val="16"/>
            <w:szCs w:val="16"/>
          </w:rPr>
          <w:t>Documentation on National GPP Action Plans</w:t>
        </w:r>
      </w:hyperlink>
    </w:p>
  </w:footnote>
  <w:footnote w:id="92">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Ministry of Environment, </w:t>
      </w:r>
      <w:hyperlink r:id="rId69" w:anchor="r/1189" w:history="1">
        <w:r>
          <w:rPr>
            <w:rStyle w:val="Hyperlink"/>
            <w:rFonts w:asciiTheme="minorHAnsi" w:hAnsiTheme="minorHAnsi"/>
            <w:sz w:val="16"/>
            <w:szCs w:val="16"/>
          </w:rPr>
          <w:t xml:space="preserve">Environmental criteria </w:t>
        </w:r>
        <w:proofErr w:type="spellStart"/>
        <w:r>
          <w:rPr>
            <w:rStyle w:val="Hyperlink"/>
            <w:rFonts w:asciiTheme="minorHAnsi" w:hAnsiTheme="minorHAnsi"/>
            <w:sz w:val="16"/>
            <w:szCs w:val="16"/>
          </w:rPr>
          <w:t>por</w:t>
        </w:r>
        <w:proofErr w:type="spellEnd"/>
        <w:r>
          <w:rPr>
            <w:rStyle w:val="Hyperlink"/>
            <w:rFonts w:asciiTheme="minorHAnsi" w:hAnsiTheme="minorHAnsi"/>
            <w:sz w:val="16"/>
            <w:szCs w:val="16"/>
          </w:rPr>
          <w:t xml:space="preserve"> public procurement</w:t>
        </w:r>
      </w:hyperlink>
    </w:p>
  </w:footnote>
  <w:footnote w:id="93">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70" w:history="1">
        <w:r>
          <w:rPr>
            <w:rStyle w:val="Hyperlink"/>
            <w:rFonts w:asciiTheme="minorHAnsi" w:hAnsiTheme="minorHAnsi"/>
            <w:sz w:val="16"/>
            <w:szCs w:val="16"/>
          </w:rPr>
          <w:t>Documentation on National GPP Action Plans</w:t>
        </w:r>
      </w:hyperlink>
    </w:p>
  </w:footnote>
  <w:footnote w:id="94">
    <w:p w:rsidR="00647B3C" w:rsidRDefault="00647B3C">
      <w:pPr>
        <w:pStyle w:val="FootnoteText"/>
        <w:widowControl w:val="0"/>
        <w:ind w:left="170" w:hanging="170"/>
        <w:rPr>
          <w:rFonts w:asciiTheme="minorHAnsi" w:hAnsiTheme="minorHAnsi"/>
          <w:sz w:val="16"/>
          <w:szCs w:val="16"/>
          <w:vertAlign w:val="superscript"/>
        </w:rPr>
      </w:pPr>
    </w:p>
  </w:footnote>
  <w:footnote w:id="95">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CEPS, 2012.</w:t>
      </w:r>
      <w:proofErr w:type="gramEnd"/>
      <w:r>
        <w:rPr>
          <w:rFonts w:asciiTheme="minorHAnsi" w:hAnsiTheme="minorHAnsi"/>
          <w:sz w:val="16"/>
          <w:szCs w:val="16"/>
        </w:rPr>
        <w:t xml:space="preserve"> </w:t>
      </w:r>
      <w:hyperlink r:id="rId71" w:history="1">
        <w:r>
          <w:rPr>
            <w:rStyle w:val="Hyperlink"/>
            <w:rFonts w:asciiTheme="minorHAnsi" w:hAnsiTheme="minorHAnsi"/>
            <w:sz w:val="16"/>
            <w:szCs w:val="16"/>
          </w:rPr>
          <w:t>Monitoring the Uptake of GPP in the EU</w:t>
        </w:r>
      </w:hyperlink>
    </w:p>
  </w:footnote>
  <w:footnote w:id="96">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ESIF comprises five funds – the European Regional Development Funds (ERDF), the Cohesion Fund (CF), the European Social Fund (ESF), the European Agricultural Fund for </w:t>
      </w:r>
      <w:r>
        <w:rPr>
          <w:rFonts w:asciiTheme="minorHAnsi" w:hAnsiTheme="minorHAnsi"/>
          <w:sz w:val="16"/>
          <w:szCs w:val="16"/>
        </w:rPr>
        <w:t>Rural Development (EAFRD), and the European Maritime and Fisheries Fund (EMFF). The ERDF, the CF and the ESF together form the Cohesion Policy funds.</w:t>
      </w:r>
    </w:p>
  </w:footnote>
  <w:footnote w:id="97">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Commission : European Structural and Investment Funds </w:t>
      </w:r>
      <w:hyperlink r:id="rId72" w:history="1">
        <w:r>
          <w:rPr>
            <w:rStyle w:val="Hyperlink"/>
            <w:rFonts w:asciiTheme="minorHAnsi" w:hAnsiTheme="minorHAnsi"/>
            <w:sz w:val="16"/>
            <w:szCs w:val="16"/>
          </w:rPr>
          <w:t>Country Data for Lithuania</w:t>
        </w:r>
      </w:hyperlink>
    </w:p>
  </w:footnote>
  <w:footnote w:id="98">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Commission, </w:t>
      </w:r>
      <w:hyperlink r:id="rId73" w:history="1">
        <w:r>
          <w:rPr>
            <w:rStyle w:val="Hyperlink"/>
            <w:rFonts w:asciiTheme="minorHAnsi" w:hAnsiTheme="minorHAnsi"/>
            <w:sz w:val="16"/>
            <w:szCs w:val="16"/>
          </w:rPr>
          <w:t>European Structural and Investment Funds Data By Country</w:t>
        </w:r>
      </w:hyperlink>
    </w:p>
  </w:footnote>
  <w:footnote w:id="99">
    <w:p w:rsidR="00647B3C" w:rsidRDefault="009B368F">
      <w:pPr>
        <w:widowControl w:val="0"/>
        <w:spacing w:after="0" w:line="240" w:lineRule="auto"/>
        <w:ind w:left="170" w:hanging="170"/>
        <w:rPr>
          <w:b/>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Commission has work ongoing to improve the country-specific </w:t>
      </w:r>
      <w:r>
        <w:rPr>
          <w:sz w:val="16"/>
          <w:szCs w:val="16"/>
        </w:rPr>
        <w:t>knowledge about quality and functioning of the administrative systems of Member States.</w:t>
      </w:r>
    </w:p>
  </w:footnote>
  <w:footnote w:id="100">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Lithuanian Operational Programme for the European Union Funds’ Investments in 2014-2020</w:t>
      </w:r>
    </w:p>
  </w:footnote>
  <w:footnote w:id="101">
    <w:p w:rsidR="00647B3C" w:rsidRDefault="009B368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OECD, 2015.</w:t>
      </w:r>
      <w:proofErr w:type="gramEnd"/>
      <w:r>
        <w:rPr>
          <w:rFonts w:asciiTheme="minorHAnsi" w:hAnsiTheme="minorHAnsi"/>
          <w:sz w:val="16"/>
          <w:szCs w:val="16"/>
        </w:rPr>
        <w:t xml:space="preserve"> </w:t>
      </w:r>
      <w:hyperlink r:id="rId74" w:history="1">
        <w:r>
          <w:rPr>
            <w:rStyle w:val="Hyperlink"/>
            <w:rFonts w:asciiTheme="minorHAnsi" w:hAnsiTheme="minorHAnsi"/>
            <w:sz w:val="16"/>
            <w:szCs w:val="16"/>
          </w:rPr>
          <w:t>Lithuania: Fostering Open and Inclusive Policy Making</w:t>
        </w:r>
      </w:hyperlink>
    </w:p>
  </w:footnote>
  <w:footnote w:id="102">
    <w:p w:rsidR="00647B3C" w:rsidRDefault="009B368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75"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w:t>
      </w:r>
      <w:r>
        <w:rPr>
          <w:rFonts w:asciiTheme="minorHAnsi" w:hAnsiTheme="minorHAnsi"/>
          <w:sz w:val="16"/>
          <w:szCs w:val="16"/>
        </w:rPr>
        <w:t>ed by Directive 2014/52/EU).</w:t>
      </w:r>
    </w:p>
  </w:footnote>
  <w:footnote w:id="103">
    <w:p w:rsidR="00647B3C" w:rsidRDefault="009B368F">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w:t>
      </w:r>
      <w:hyperlink r:id="rId76" w:history="1">
        <w:r>
          <w:rPr>
            <w:rStyle w:val="Hyperlink"/>
            <w:rFonts w:asciiTheme="minorHAnsi" w:hAnsiTheme="minorHAnsi"/>
            <w:sz w:val="16"/>
            <w:szCs w:val="16"/>
          </w:rPr>
          <w:t>Environmental Crime Directive 2008/99/EC</w:t>
        </w:r>
      </w:hyperlink>
    </w:p>
  </w:footnote>
  <w:footnote w:id="104">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77" w:history="1">
        <w:r>
          <w:rPr>
            <w:rStyle w:val="Hyperlink"/>
            <w:rFonts w:asciiTheme="minorHAnsi" w:hAnsiTheme="minorHAnsi"/>
            <w:sz w:val="16"/>
            <w:szCs w:val="16"/>
          </w:rPr>
          <w:t>European Union Network for the Implementatio</w:t>
        </w:r>
        <w:r>
          <w:rPr>
            <w:rStyle w:val="Hyperlink"/>
            <w:rFonts w:asciiTheme="minorHAnsi" w:hAnsiTheme="minorHAnsi"/>
            <w:sz w:val="16"/>
            <w:szCs w:val="16"/>
          </w:rPr>
          <w:t>n and Enforcement of Environmental Law</w:t>
        </w:r>
      </w:hyperlink>
    </w:p>
  </w:footnote>
  <w:footnote w:id="105">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78" w:history="1">
        <w:r>
          <w:rPr>
            <w:rStyle w:val="Hyperlink"/>
            <w:rFonts w:asciiTheme="minorHAnsi" w:hAnsiTheme="minorHAnsi"/>
            <w:sz w:val="16"/>
            <w:szCs w:val="16"/>
          </w:rPr>
          <w:t>European Union Forum of judges for the environment</w:t>
        </w:r>
      </w:hyperlink>
      <w:r>
        <w:rPr>
          <w:rFonts w:asciiTheme="minorHAnsi" w:hAnsiTheme="minorHAnsi"/>
          <w:sz w:val="16"/>
          <w:szCs w:val="16"/>
          <w:vertAlign w:val="superscript"/>
        </w:rPr>
        <w:t xml:space="preserve"> </w:t>
      </w:r>
    </w:p>
  </w:footnote>
  <w:footnote w:id="106">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79" w:history="1">
        <w:r>
          <w:rPr>
            <w:rStyle w:val="Hyperlink"/>
            <w:rFonts w:asciiTheme="minorHAnsi" w:hAnsiTheme="minorHAnsi"/>
            <w:sz w:val="16"/>
            <w:szCs w:val="16"/>
          </w:rPr>
          <w:t>The European Network of Prosecutors for the Environment</w:t>
        </w:r>
      </w:hyperlink>
      <w:r>
        <w:rPr>
          <w:rFonts w:asciiTheme="minorHAnsi" w:hAnsiTheme="minorHAnsi"/>
          <w:sz w:val="16"/>
          <w:szCs w:val="16"/>
          <w:vertAlign w:val="superscript"/>
        </w:rPr>
        <w:t xml:space="preserve"> </w:t>
      </w:r>
    </w:p>
  </w:footnote>
  <w:footnote w:id="107">
    <w:p w:rsidR="00647B3C" w:rsidRDefault="009B368F">
      <w:pPr>
        <w:pStyle w:val="FootnoteText"/>
        <w:widowControl w:val="0"/>
        <w:ind w:left="227" w:hanging="227"/>
        <w:outlineLvl w:val="4"/>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r>
        <w:fldChar w:fldCharType="begin"/>
      </w:r>
      <w:r w:rsidRPr="009B368F">
        <w:rPr>
          <w:lang w:val="fr-BE"/>
        </w:rPr>
        <w:instrText xml:space="preserve"> HYPERLINK "http://envicrimenet.com/" </w:instrText>
      </w:r>
      <w:r>
        <w:fldChar w:fldCharType="separate"/>
      </w:r>
      <w:proofErr w:type="spellStart"/>
      <w:r>
        <w:rPr>
          <w:rStyle w:val="Hyperlink"/>
          <w:rFonts w:asciiTheme="minorHAnsi" w:hAnsiTheme="minorHAnsi"/>
          <w:sz w:val="16"/>
          <w:szCs w:val="16"/>
          <w:lang w:val="fr-BE"/>
        </w:rPr>
        <w:t>EnviCrimeNet</w:t>
      </w:r>
      <w:proofErr w:type="spellEnd"/>
      <w:r>
        <w:rPr>
          <w:rStyle w:val="Hyperlink"/>
          <w:rFonts w:asciiTheme="minorHAnsi" w:hAnsiTheme="minorHAnsi"/>
          <w:sz w:val="16"/>
          <w:szCs w:val="16"/>
          <w:lang w:val="fr-BE"/>
        </w:rPr>
        <w:fldChar w:fldCharType="end"/>
      </w:r>
    </w:p>
  </w:footnote>
  <w:footnote w:id="108">
    <w:p w:rsidR="00647B3C" w:rsidRDefault="009B368F">
      <w:pPr>
        <w:pStyle w:val="FootnoteText"/>
        <w:widowControl w:val="0"/>
        <w:ind w:left="227" w:hanging="227"/>
        <w:outlineLvl w:val="4"/>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w:t>
      </w:r>
      <w:r>
        <w:rPr>
          <w:rFonts w:asciiTheme="minorHAnsi" w:hAnsiTheme="minorHAnsi" w:cstheme="minorHAnsi"/>
          <w:sz w:val="16"/>
          <w:szCs w:val="16"/>
          <w:lang w:val="fr-BE"/>
        </w:rPr>
        <w:t xml:space="preserve">, </w:t>
      </w:r>
      <w:hyperlink r:id="rId80" w:history="1">
        <w:proofErr w:type="spellStart"/>
        <w:r>
          <w:rPr>
            <w:rStyle w:val="Hyperlink"/>
            <w:rFonts w:asciiTheme="minorHAnsi" w:hAnsiTheme="minorHAnsi" w:cstheme="minorHAnsi"/>
            <w:sz w:val="16"/>
            <w:szCs w:val="16"/>
            <w:lang w:val="fr-BE"/>
          </w:rPr>
          <w:t>Environmental</w:t>
        </w:r>
        <w:proofErr w:type="spellEnd"/>
        <w:r>
          <w:rPr>
            <w:rStyle w:val="Hyperlink"/>
            <w:rFonts w:asciiTheme="minorHAnsi" w:hAnsiTheme="minorHAnsi" w:cstheme="minorHAnsi"/>
            <w:sz w:val="16"/>
            <w:szCs w:val="16"/>
            <w:lang w:val="fr-BE"/>
          </w:rPr>
          <w:t xml:space="preserve"> </w:t>
        </w:r>
        <w:proofErr w:type="spellStart"/>
        <w:r>
          <w:rPr>
            <w:rStyle w:val="Hyperlink"/>
            <w:rFonts w:asciiTheme="minorHAnsi" w:hAnsiTheme="minorHAnsi" w:cstheme="minorHAnsi"/>
            <w:sz w:val="16"/>
            <w:szCs w:val="16"/>
            <w:lang w:val="fr-BE"/>
          </w:rPr>
          <w:t>Liability</w:t>
        </w:r>
        <w:proofErr w:type="spellEnd"/>
        <w:r>
          <w:rPr>
            <w:rStyle w:val="Hyperlink"/>
            <w:rFonts w:asciiTheme="minorHAnsi" w:hAnsiTheme="minorHAnsi" w:cstheme="minorHAnsi"/>
            <w:sz w:val="16"/>
            <w:szCs w:val="16"/>
            <w:lang w:val="fr-BE"/>
          </w:rPr>
          <w:t xml:space="preserve"> Directive 2004/35/CE</w:t>
        </w:r>
      </w:hyperlink>
    </w:p>
  </w:footnote>
  <w:footnote w:id="109">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81" w:history="1">
        <w:proofErr w:type="gramStart"/>
        <w:r>
          <w:rPr>
            <w:rStyle w:val="Hyperlink"/>
            <w:rFonts w:asciiTheme="minorHAnsi" w:hAnsiTheme="minorHAnsi"/>
            <w:sz w:val="16"/>
            <w:szCs w:val="16"/>
          </w:rPr>
          <w:t>COM(</w:t>
        </w:r>
        <w:proofErr w:type="gramEnd"/>
        <w:r>
          <w:rPr>
            <w:rStyle w:val="Hyperlink"/>
            <w:rFonts w:asciiTheme="minorHAnsi" w:hAnsiTheme="minorHAnsi"/>
            <w:sz w:val="16"/>
            <w:szCs w:val="16"/>
          </w:rPr>
          <w:t>2016)204 final</w:t>
        </w:r>
      </w:hyperlink>
      <w:r>
        <w:rPr>
          <w:rFonts w:asciiTheme="minorHAnsi" w:hAnsiTheme="minorHAnsi"/>
          <w:sz w:val="16"/>
          <w:szCs w:val="16"/>
        </w:rPr>
        <w:t xml:space="preserve"> and </w:t>
      </w:r>
      <w:hyperlink r:id="rId82"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w:t>
      </w:r>
      <w:r>
        <w:rPr>
          <w:rFonts w:asciiTheme="minorHAnsi" w:hAnsiTheme="minorHAnsi"/>
          <w:sz w:val="16"/>
          <w:szCs w:val="16"/>
        </w:rPr>
        <w:t>ed in practice; for tools to support its implementation, such as guidance, training and ELD registers; and for financial security to be available in case events or incidents generate remediation costs.</w:t>
      </w:r>
    </w:p>
  </w:footnote>
  <w:footnote w:id="110">
    <w:p w:rsidR="00647B3C" w:rsidRDefault="009B368F">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Commission, </w:t>
      </w:r>
      <w:hyperlink r:id="rId83" w:history="1">
        <w:r>
          <w:rPr>
            <w:rStyle w:val="Hyperlink"/>
            <w:rFonts w:asciiTheme="minorHAnsi" w:hAnsiTheme="minorHAnsi"/>
            <w:sz w:val="16"/>
            <w:szCs w:val="16"/>
          </w:rPr>
          <w:t>2012/2013 access to justice in environmental matters</w:t>
        </w:r>
      </w:hyperlink>
    </w:p>
  </w:footnote>
  <w:footnote w:id="111">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84" w:history="1">
        <w:r>
          <w:rPr>
            <w:rStyle w:val="Hyperlink"/>
            <w:rFonts w:asciiTheme="minorHAnsi" w:hAnsiTheme="minorHAnsi"/>
            <w:sz w:val="16"/>
            <w:szCs w:val="16"/>
          </w:rPr>
          <w:t>Convention on Access to Information, Public Participation in Decis</w:t>
        </w:r>
        <w:r>
          <w:rPr>
            <w:rStyle w:val="Hyperlink"/>
            <w:rFonts w:asciiTheme="minorHAnsi" w:hAnsiTheme="minorHAnsi"/>
            <w:sz w:val="16"/>
            <w:szCs w:val="16"/>
          </w:rPr>
          <w:t>ion-Making and Access to Justice in Environmental Matters</w:t>
        </w:r>
      </w:hyperlink>
    </w:p>
  </w:footnote>
  <w:footnote w:id="112">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w:t>
      </w:r>
      <w:hyperlink r:id="rId85" w:history="1">
        <w:r>
          <w:rPr>
            <w:rStyle w:val="Hyperlink"/>
            <w:rFonts w:asciiTheme="minorHAnsi" w:hAnsiTheme="minorHAnsi"/>
            <w:sz w:val="16"/>
            <w:szCs w:val="16"/>
          </w:rPr>
          <w:t>Directive 2003/4/EC on public access to environmental information</w:t>
        </w:r>
      </w:hyperlink>
    </w:p>
  </w:footnote>
  <w:footnote w:id="113">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w:t>
      </w:r>
      <w:hyperlink r:id="rId86" w:history="1">
        <w:r>
          <w:rPr>
            <w:rStyle w:val="Hyperlink"/>
            <w:rFonts w:asciiTheme="minorHAnsi" w:hAnsiTheme="minorHAnsi"/>
            <w:sz w:val="16"/>
            <w:szCs w:val="16"/>
          </w:rPr>
          <w:t>INSPIRE Directive 2007/2/EC</w:t>
        </w:r>
      </w:hyperlink>
      <w:r>
        <w:rPr>
          <w:rFonts w:asciiTheme="minorHAnsi" w:hAnsiTheme="minorHAnsi"/>
          <w:sz w:val="16"/>
          <w:szCs w:val="16"/>
          <w:vertAlign w:val="superscript"/>
        </w:rPr>
        <w:t xml:space="preserve"> </w:t>
      </w:r>
    </w:p>
  </w:footnote>
  <w:footnote w:id="114">
    <w:p w:rsidR="00647B3C" w:rsidRDefault="009B368F">
      <w:pPr>
        <w:pStyle w:val="FootnoteText"/>
        <w:widowControl w:val="0"/>
        <w:ind w:left="227" w:hanging="227"/>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digital transformation of government </w:t>
      </w:r>
      <w:hyperlink r:id="rId87"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15">
    <w:p w:rsidR="00647B3C" w:rsidRDefault="009B368F">
      <w:pPr>
        <w:pStyle w:val="FootnoteText"/>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Upon request by the Commission, most Member States provided an INSPIRE Action Plan addressing implementa</w:t>
      </w:r>
      <w:r>
        <w:rPr>
          <w:rFonts w:asciiTheme="minorHAnsi" w:hAnsiTheme="minorHAnsi"/>
          <w:sz w:val="16"/>
          <w:szCs w:val="16"/>
        </w:rPr>
        <w:t>tion issues. These plans are currently being assessed by the Commission.</w:t>
      </w:r>
    </w:p>
  </w:footnote>
  <w:footnote w:id="116">
    <w:p w:rsidR="00647B3C" w:rsidRDefault="009B368F">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8" w:history="1">
        <w:r>
          <w:rPr>
            <w:rStyle w:val="Hyperlink"/>
            <w:rFonts w:asciiTheme="minorHAnsi" w:hAnsiTheme="minorHAnsi"/>
            <w:sz w:val="16"/>
            <w:szCs w:val="16"/>
          </w:rPr>
          <w:t>INSPIRE reports</w:t>
        </w:r>
      </w:hyperlink>
    </w:p>
  </w:footnote>
  <w:footnote w:id="117">
    <w:p w:rsidR="00647B3C" w:rsidRDefault="009B368F">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89" w:history="1">
        <w:r>
          <w:rPr>
            <w:rStyle w:val="Hyperlink"/>
            <w:rFonts w:asciiTheme="minorHAnsi" w:hAnsiTheme="minorHAnsi"/>
            <w:sz w:val="16"/>
            <w:szCs w:val="16"/>
          </w:rPr>
          <w:t>Inspi</w:t>
        </w:r>
        <w:r>
          <w:rPr>
            <w:rStyle w:val="Hyperlink"/>
            <w:rFonts w:asciiTheme="minorHAnsi" w:hAnsiTheme="minorHAnsi"/>
            <w:sz w:val="16"/>
            <w:szCs w:val="16"/>
          </w:rPr>
          <w:t>re indicator trends</w:t>
        </w:r>
      </w:hyperlink>
      <w:r>
        <w:rPr>
          <w:rFonts w:asciiTheme="minorHAnsi" w:hAnsiTheme="minorHAnsi"/>
          <w:sz w:val="16"/>
          <w:szCs w:val="16"/>
          <w:vertAlign w:val="superscript"/>
        </w:rPr>
        <w:t xml:space="preserve"> </w:t>
      </w:r>
    </w:p>
  </w:footnote>
  <w:footnote w:id="118">
    <w:p w:rsidR="00647B3C" w:rsidRDefault="009B368F">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90"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F" w:rsidRPr="009B368F" w:rsidRDefault="009B368F" w:rsidP="009B368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w:instrText>
          </w:r>
          <w:r>
            <w:rPr>
              <w:rFonts w:cstheme="minorHAnsi"/>
              <w:b/>
              <w:bCs/>
              <w:color w:val="1F497D" w:themeColor="text2"/>
              <w:sz w:val="28"/>
            </w:rPr>
            <w:instrText xml:space="preserve">\*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F" w:rsidRPr="009B368F" w:rsidRDefault="009B368F" w:rsidP="009B368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w:t>
          </w:r>
          <w:r>
            <w:rPr>
              <w:rFonts w:cstheme="minorHAnsi"/>
              <w:b/>
              <w:bCs/>
              <w:color w:val="1F497D" w:themeColor="text2"/>
            </w:rPr>
            <w: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w:t>
          </w:r>
          <w:r>
            <w:rPr>
              <w:rFonts w:cstheme="minorHAnsi"/>
              <w:b/>
              <w:bCs/>
              <w:color w:val="1F497D" w:themeColor="text2"/>
            </w:rPr>
            <w: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8F" w:rsidRPr="009B368F" w:rsidRDefault="009B368F" w:rsidP="009B368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24</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647B3C" w:rsidRDefault="00647B3C">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28</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rPr>
        <w:lang w:val="fr-BE"/>
      </w:rPr>
    </w:pPr>
  </w:p>
  <w:p w:rsidR="00647B3C" w:rsidRDefault="00647B3C">
    <w:pPr>
      <w:pStyle w:val="Header"/>
      <w:rPr>
        <w:lang w:val="fr-B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B3C" w:rsidRDefault="00647B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47B3C">
      <w:tc>
        <w:tcPr>
          <w:tcW w:w="0" w:type="auto"/>
          <w:tcBorders>
            <w:top w:val="nil"/>
            <w:left w:val="nil"/>
            <w:bottom w:val="nil"/>
            <w:right w:val="single" w:sz="6" w:space="0" w:color="000000" w:themeColor="text1"/>
          </w:tcBorders>
          <w:hideMark/>
        </w:tcPr>
        <w:p w:rsidR="00647B3C" w:rsidRDefault="009B368F">
          <w:pPr>
            <w:pStyle w:val="Header"/>
            <w:spacing w:line="276" w:lineRule="auto"/>
            <w:jc w:val="right"/>
            <w:rPr>
              <w:rFonts w:cstheme="minorHAnsi"/>
              <w:b/>
              <w:bCs/>
              <w:color w:val="1F497D" w:themeColor="text2"/>
            </w:rPr>
          </w:pPr>
          <w:r>
            <w:rPr>
              <w:rFonts w:cstheme="minorHAnsi"/>
              <w:b/>
              <w:bCs/>
              <w:color w:val="1F497D" w:themeColor="text2"/>
            </w:rPr>
            <w:t>Lithuania</w:t>
          </w:r>
        </w:p>
      </w:tc>
      <w:tc>
        <w:tcPr>
          <w:tcW w:w="1152" w:type="dxa"/>
          <w:tcBorders>
            <w:top w:val="nil"/>
            <w:left w:val="single" w:sz="6" w:space="0" w:color="000000" w:themeColor="text1"/>
            <w:bottom w:val="nil"/>
            <w:right w:val="nil"/>
          </w:tcBorders>
          <w:hideMark/>
        </w:tcPr>
        <w:p w:rsidR="00647B3C" w:rsidRDefault="009B368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647B3C" w:rsidRDefault="00647B3C">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47B3C">
      <w:tc>
        <w:tcPr>
          <w:tcW w:w="0" w:type="auto"/>
          <w:tcBorders>
            <w:top w:val="nil"/>
            <w:left w:val="nil"/>
            <w:bottom w:val="nil"/>
            <w:right w:val="single" w:sz="6" w:space="0" w:color="000000" w:themeColor="text1"/>
          </w:tcBorders>
        </w:tcPr>
        <w:p w:rsidR="00647B3C" w:rsidRDefault="00647B3C">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47B3C" w:rsidRDefault="00647B3C">
          <w:pPr>
            <w:pStyle w:val="Header"/>
            <w:spacing w:line="276" w:lineRule="auto"/>
            <w:rPr>
              <w:rFonts w:cstheme="minorHAnsi"/>
              <w:b/>
              <w:bCs/>
              <w:color w:val="1F497D" w:themeColor="text2"/>
            </w:rPr>
          </w:pPr>
        </w:p>
      </w:tc>
    </w:tr>
  </w:tbl>
  <w:p w:rsidR="00647B3C" w:rsidRDefault="00647B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929"/>
    <w:multiLevelType w:val="hybridMultilevel"/>
    <w:tmpl w:val="0EE47BE6"/>
    <w:lvl w:ilvl="0" w:tplc="B56A43B8">
      <w:start w:val="1"/>
      <w:numFmt w:val="bullet"/>
      <w:pStyle w:val="NoSpacing"/>
      <w:lvlText w:val=""/>
      <w:lvlJc w:val="left"/>
      <w:pPr>
        <w:ind w:left="-351" w:hanging="360"/>
      </w:pPr>
      <w:rPr>
        <w:rFonts w:ascii="Symbol" w:hAnsi="Symbol" w:hint="default"/>
        <w:color w:val="auto"/>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6272786"/>
    <w:multiLevelType w:val="hybridMultilevel"/>
    <w:tmpl w:val="F9B669BE"/>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E3350BC"/>
    <w:multiLevelType w:val="hybridMultilevel"/>
    <w:tmpl w:val="03CE4AC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D71C52"/>
    <w:multiLevelType w:val="hybridMultilevel"/>
    <w:tmpl w:val="598231EC"/>
    <w:lvl w:ilvl="0" w:tplc="2ABCD1E2">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95B17ED"/>
    <w:multiLevelType w:val="hybridMultilevel"/>
    <w:tmpl w:val="1E10C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4025B9"/>
    <w:multiLevelType w:val="hybridMultilevel"/>
    <w:tmpl w:val="98DA837A"/>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49D86E6A">
      <w:numFmt w:val="bullet"/>
      <w:lvlText w:val="•"/>
      <w:lvlJc w:val="left"/>
      <w:pPr>
        <w:ind w:left="2160" w:hanging="72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AF1688"/>
    <w:multiLevelType w:val="hybridMultilevel"/>
    <w:tmpl w:val="4AB8E7EA"/>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0DC5D92"/>
    <w:multiLevelType w:val="hybridMultilevel"/>
    <w:tmpl w:val="CDD4E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C914BB3"/>
    <w:multiLevelType w:val="hybridMultilevel"/>
    <w:tmpl w:val="CDB05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
    <w:nsid w:val="7494332D"/>
    <w:multiLevelType w:val="hybridMultilevel"/>
    <w:tmpl w:val="08307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D29642C"/>
    <w:multiLevelType w:val="hybridMultilevel"/>
    <w:tmpl w:val="52469D2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2119D9"/>
    <w:multiLevelType w:val="hybridMultilevel"/>
    <w:tmpl w:val="91C24012"/>
    <w:lvl w:ilvl="0" w:tplc="2ABCD1E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6"/>
  </w:num>
  <w:num w:numId="3">
    <w:abstractNumId w:val="26"/>
  </w:num>
  <w:num w:numId="4">
    <w:abstractNumId w:val="22"/>
  </w:num>
  <w:num w:numId="5">
    <w:abstractNumId w:val="14"/>
  </w:num>
  <w:num w:numId="6">
    <w:abstractNumId w:val="11"/>
  </w:num>
  <w:num w:numId="7">
    <w:abstractNumId w:val="31"/>
  </w:num>
  <w:num w:numId="8">
    <w:abstractNumId w:val="21"/>
  </w:num>
  <w:num w:numId="9">
    <w:abstractNumId w:val="10"/>
  </w:num>
  <w:num w:numId="10">
    <w:abstractNumId w:val="8"/>
  </w:num>
  <w:num w:numId="11">
    <w:abstractNumId w:val="4"/>
  </w:num>
  <w:num w:numId="12">
    <w:abstractNumId w:val="3"/>
  </w:num>
  <w:num w:numId="13">
    <w:abstractNumId w:val="23"/>
  </w:num>
  <w:num w:numId="14">
    <w:abstractNumId w:val="25"/>
  </w:num>
  <w:num w:numId="15">
    <w:abstractNumId w:val="24"/>
  </w:num>
  <w:num w:numId="16">
    <w:abstractNumId w:val="28"/>
  </w:num>
  <w:num w:numId="17">
    <w:abstractNumId w:val="7"/>
  </w:num>
  <w:num w:numId="18">
    <w:abstractNumId w:val="13"/>
  </w:num>
  <w:num w:numId="19">
    <w:abstractNumId w:val="17"/>
  </w:num>
  <w:num w:numId="20">
    <w:abstractNumId w:val="15"/>
  </w:num>
  <w:num w:numId="21">
    <w:abstractNumId w:val="1"/>
  </w:num>
  <w:num w:numId="22">
    <w:abstractNumId w:val="18"/>
  </w:num>
  <w:num w:numId="23">
    <w:abstractNumId w:val="19"/>
  </w:num>
  <w:num w:numId="24">
    <w:abstractNumId w:val="12"/>
  </w:num>
  <w:num w:numId="25">
    <w:abstractNumId w:val="32"/>
  </w:num>
  <w:num w:numId="26">
    <w:abstractNumId w:val="33"/>
  </w:num>
  <w:num w:numId="27">
    <w:abstractNumId w:val="9"/>
  </w:num>
  <w:num w:numId="28">
    <w:abstractNumId w:val="6"/>
  </w:num>
  <w:num w:numId="29">
    <w:abstractNumId w:val="29"/>
  </w:num>
  <w:num w:numId="30">
    <w:abstractNumId w:val="2"/>
  </w:num>
  <w:num w:numId="31">
    <w:abstractNumId w:val="5"/>
  </w:num>
  <w:num w:numId="32">
    <w:abstractNumId w:val="27"/>
  </w:num>
  <w:num w:numId="33">
    <w:abstractNumId w:val="2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396"/>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C889169D885434698FB8AEEB72469F9"/>
    <w:docVar w:name="LW_CROSSREFERENCE" w:val="{COM(2017) 63 final}_x000a_{SWD(2017) 33 - 47 final}_x000a_{SWD(2017) 49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48"/>
    <w:docVar w:name="LW_REF.INTERNE" w:val="&lt;UNUSED&gt;"/>
    <w:docVar w:name="LW_SUPERTITRE" w:val="&lt;UNUSED&gt;"/>
    <w:docVar w:name="LW_TITRE.OBJ.CP" w:val="The EU Environmental Implementation Review_x000b_Country Report - LITHUAN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647B3C"/>
    <w:rsid w:val="00647B3C"/>
    <w:rsid w:val="009B368F"/>
  </w:rsids>
  <m:mathPr>
    <m:mathFont m:val="Cambria Math"/>
    <m:brkBin m:val="before"/>
    <m:brkBinSub m:val="--"/>
    <m:smallFrac m:val="0"/>
    <m:dispDef/>
    <m:lMargin m:val="0"/>
    <m:rMargin m:val="0"/>
    <m:defJc m:val="centerGroup"/>
    <m:wrapIndent m:val="1440"/>
    <m:intLim m:val="subSup"/>
    <m:naryLim m:val="undOvr"/>
  </m:mathPr>
  <w:themeFontLang w:val="fr-BE" w:bidi="lo-L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tabs>
        <w:tab w:val="clear" w:pos="3912"/>
        <w:tab w:val="num" w:pos="360"/>
      </w:tabs>
      <w:spacing w:after="240" w:line="240" w:lineRule="auto"/>
      <w:ind w:left="0" w:firstLine="0"/>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aliases w:val="SA"/>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pPr>
      <w:spacing w:after="0" w:line="240" w:lineRule="auto"/>
      <w:jc w:val="both"/>
    </w:pPr>
    <w:rPr>
      <w:rFonts w:cs="Times New Roman"/>
      <w:sz w:val="20"/>
      <w:szCs w:val="20"/>
    </w:rPr>
  </w:style>
  <w:style w:type="character" w:customStyle="1" w:styleId="EndnoteTextChar">
    <w:name w:val="Endnote Text Char"/>
    <w:basedOn w:val="DefaultParagraphFont"/>
    <w:link w:val="EndnoteText"/>
    <w:uiPriority w:val="99"/>
    <w:semiHidden/>
    <w:rPr>
      <w:rFonts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imes">
    <w:name w:val="Times"/>
    <w:basedOn w:val="Normal"/>
    <w:pPr>
      <w:spacing w:after="120" w:line="240" w:lineRule="auto"/>
      <w:jc w:val="both"/>
    </w:pPr>
    <w:rPr>
      <w:rFonts w:cs="Times New Roman"/>
      <w:color w:val="FF0000"/>
      <w:sz w:val="20"/>
      <w:szCs w:val="20"/>
      <w:lang w:val="en-US"/>
    </w:rPr>
  </w:style>
  <w:style w:type="paragraph" w:styleId="Subtitle">
    <w:name w:val="Subtitle"/>
    <w:basedOn w:val="Normal"/>
    <w:next w:val="Normal"/>
    <w:link w:val="SubtitleChar"/>
    <w:uiPriority w:val="11"/>
    <w:qFormat/>
    <w:pPr>
      <w:numPr>
        <w:ilvl w:val="1"/>
      </w:numPr>
      <w:spacing w:after="120" w:line="240" w:lineRule="auto"/>
      <w:jc w:val="center"/>
    </w:pPr>
    <w:rPr>
      <w:rFonts w:asciiTheme="majorHAnsi" w:eastAsiaTheme="majorEastAsia" w:hAnsiTheme="majorHAnsi" w:cstheme="majorBidi"/>
      <w:b/>
      <w:iCs/>
      <w:color w:val="4F81BD" w:themeColor="accent1"/>
      <w:spacing w:val="15"/>
      <w:sz w:val="40"/>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b/>
      <w:iCs/>
      <w:color w:val="4F81BD" w:themeColor="accent1"/>
      <w:spacing w:val="15"/>
      <w:sz w:val="40"/>
      <w:szCs w:val="24"/>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tabs>
        <w:tab w:val="clear" w:pos="3912"/>
        <w:tab w:val="num" w:pos="360"/>
      </w:tabs>
      <w:spacing w:after="240" w:line="240" w:lineRule="auto"/>
      <w:ind w:left="0" w:firstLine="0"/>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aliases w:val="SA"/>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pPr>
      <w:spacing w:after="0" w:line="240" w:lineRule="auto"/>
      <w:jc w:val="both"/>
    </w:pPr>
    <w:rPr>
      <w:rFonts w:cs="Times New Roman"/>
      <w:sz w:val="20"/>
      <w:szCs w:val="20"/>
    </w:rPr>
  </w:style>
  <w:style w:type="character" w:customStyle="1" w:styleId="EndnoteTextChar">
    <w:name w:val="Endnote Text Char"/>
    <w:basedOn w:val="DefaultParagraphFont"/>
    <w:link w:val="EndnoteText"/>
    <w:uiPriority w:val="99"/>
    <w:semiHidden/>
    <w:rPr>
      <w:rFonts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Times">
    <w:name w:val="Times"/>
    <w:basedOn w:val="Normal"/>
    <w:pPr>
      <w:spacing w:after="120" w:line="240" w:lineRule="auto"/>
      <w:jc w:val="both"/>
    </w:pPr>
    <w:rPr>
      <w:rFonts w:cs="Times New Roman"/>
      <w:color w:val="FF0000"/>
      <w:sz w:val="20"/>
      <w:szCs w:val="20"/>
      <w:lang w:val="en-US"/>
    </w:rPr>
  </w:style>
  <w:style w:type="paragraph" w:styleId="Subtitle">
    <w:name w:val="Subtitle"/>
    <w:basedOn w:val="Normal"/>
    <w:next w:val="Normal"/>
    <w:link w:val="SubtitleChar"/>
    <w:uiPriority w:val="11"/>
    <w:qFormat/>
    <w:pPr>
      <w:numPr>
        <w:ilvl w:val="1"/>
      </w:numPr>
      <w:spacing w:after="120" w:line="240" w:lineRule="auto"/>
      <w:jc w:val="center"/>
    </w:pPr>
    <w:rPr>
      <w:rFonts w:asciiTheme="majorHAnsi" w:eastAsiaTheme="majorEastAsia" w:hAnsiTheme="majorHAnsi" w:cstheme="majorBidi"/>
      <w:b/>
      <w:iCs/>
      <w:color w:val="4F81BD" w:themeColor="accent1"/>
      <w:spacing w:val="15"/>
      <w:sz w:val="40"/>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b/>
      <w:iCs/>
      <w:color w:val="4F81BD" w:themeColor="accent1"/>
      <w:spacing w:val="15"/>
      <w:sz w:val="40"/>
      <w:szCs w:val="24"/>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7479">
      <w:bodyDiv w:val="1"/>
      <w:marLeft w:val="0"/>
      <w:marRight w:val="0"/>
      <w:marTop w:val="0"/>
      <w:marBottom w:val="0"/>
      <w:divBdr>
        <w:top w:val="none" w:sz="0" w:space="0" w:color="auto"/>
        <w:left w:val="none" w:sz="0" w:space="0" w:color="auto"/>
        <w:bottom w:val="none" w:sz="0" w:space="0" w:color="auto"/>
        <w:right w:val="none" w:sz="0" w:space="0" w:color="auto"/>
      </w:divBdr>
    </w:div>
    <w:div w:id="1006322202">
      <w:bodyDiv w:val="1"/>
      <w:marLeft w:val="0"/>
      <w:marRight w:val="0"/>
      <w:marTop w:val="0"/>
      <w:marBottom w:val="0"/>
      <w:divBdr>
        <w:top w:val="none" w:sz="0" w:space="0" w:color="auto"/>
        <w:left w:val="none" w:sz="0" w:space="0" w:color="auto"/>
        <w:bottom w:val="none" w:sz="0" w:space="0" w:color="auto"/>
        <w:right w:val="none" w:sz="0" w:space="0" w:color="auto"/>
      </w:divBdr>
    </w:div>
    <w:div w:id="1159732394">
      <w:bodyDiv w:val="1"/>
      <w:marLeft w:val="0"/>
      <w:marRight w:val="0"/>
      <w:marTop w:val="0"/>
      <w:marBottom w:val="0"/>
      <w:divBdr>
        <w:top w:val="none" w:sz="0" w:space="0" w:color="auto"/>
        <w:left w:val="none" w:sz="0" w:space="0" w:color="auto"/>
        <w:bottom w:val="none" w:sz="0" w:space="0" w:color="auto"/>
        <w:right w:val="none" w:sz="0" w:space="0" w:color="auto"/>
      </w:divBdr>
    </w:div>
    <w:div w:id="136748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3.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header" Target="header31.xml"/><Relationship Id="rId89" Type="http://schemas.openxmlformats.org/officeDocument/2006/relationships/footer" Target="footer33.xml"/><Relationship Id="rId112" Type="http://schemas.openxmlformats.org/officeDocument/2006/relationships/footer" Target="footer42.xml"/><Relationship Id="rId133" Type="http://schemas.openxmlformats.org/officeDocument/2006/relationships/header" Target="header51.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2.xml"/><Relationship Id="rId74" Type="http://schemas.openxmlformats.org/officeDocument/2006/relationships/image" Target="media/image10.jpeg"/><Relationship Id="rId79" Type="http://schemas.openxmlformats.org/officeDocument/2006/relationships/header" Target="header29.xml"/><Relationship Id="rId102" Type="http://schemas.openxmlformats.org/officeDocument/2006/relationships/header" Target="header38.xml"/><Relationship Id="rId123" Type="http://schemas.openxmlformats.org/officeDocument/2006/relationships/footer" Target="footer46.xml"/><Relationship Id="rId128" Type="http://schemas.openxmlformats.org/officeDocument/2006/relationships/image" Target="media/image22.jpeg"/><Relationship Id="rId5" Type="http://schemas.openxmlformats.org/officeDocument/2006/relationships/settings" Target="settings.xml"/><Relationship Id="rId90" Type="http://schemas.openxmlformats.org/officeDocument/2006/relationships/image" Target="media/image14.png"/><Relationship Id="rId95" Type="http://schemas.openxmlformats.org/officeDocument/2006/relationships/header" Target="header3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image" Target="media/image4.png"/><Relationship Id="rId64" Type="http://schemas.openxmlformats.org/officeDocument/2006/relationships/header" Target="header25.xml"/><Relationship Id="rId69" Type="http://schemas.openxmlformats.org/officeDocument/2006/relationships/footer" Target="footer27.xml"/><Relationship Id="rId77" Type="http://schemas.openxmlformats.org/officeDocument/2006/relationships/image" Target="media/image13.png"/><Relationship Id="rId100" Type="http://schemas.openxmlformats.org/officeDocument/2006/relationships/footer" Target="footer36.xml"/><Relationship Id="rId105" Type="http://schemas.openxmlformats.org/officeDocument/2006/relationships/header" Target="header39.xml"/><Relationship Id="rId113" Type="http://schemas.openxmlformats.org/officeDocument/2006/relationships/image" Target="media/image19.png"/><Relationship Id="rId118" Type="http://schemas.openxmlformats.org/officeDocument/2006/relationships/footer" Target="footer44.xml"/><Relationship Id="rId126" Type="http://schemas.openxmlformats.org/officeDocument/2006/relationships/footer" Target="footer48.xml"/><Relationship Id="rId134" Type="http://schemas.openxmlformats.org/officeDocument/2006/relationships/footer" Target="footer51.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8.png"/><Relationship Id="rId80" Type="http://schemas.openxmlformats.org/officeDocument/2006/relationships/footer" Target="footer28.xml"/><Relationship Id="rId85" Type="http://schemas.openxmlformats.org/officeDocument/2006/relationships/header" Target="header32.xml"/><Relationship Id="rId93" Type="http://schemas.openxmlformats.org/officeDocument/2006/relationships/image" Target="media/image17.jpeg"/><Relationship Id="rId98" Type="http://schemas.openxmlformats.org/officeDocument/2006/relationships/footer" Target="footer35.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footer" Target="footer26.xml"/><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header" Target="header44.xml"/><Relationship Id="rId124" Type="http://schemas.openxmlformats.org/officeDocument/2006/relationships/footer" Target="footer47.xml"/><Relationship Id="rId129" Type="http://schemas.openxmlformats.org/officeDocument/2006/relationships/header" Target="header49.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2.png"/><Relationship Id="rId62" Type="http://schemas.openxmlformats.org/officeDocument/2006/relationships/header" Target="header24.xml"/><Relationship Id="rId70" Type="http://schemas.openxmlformats.org/officeDocument/2006/relationships/image" Target="media/image6.png"/><Relationship Id="rId75" Type="http://schemas.openxmlformats.org/officeDocument/2006/relationships/image" Target="media/image11.jpeg"/><Relationship Id="rId83" Type="http://schemas.openxmlformats.org/officeDocument/2006/relationships/footer" Target="footer30.xml"/><Relationship Id="rId88" Type="http://schemas.openxmlformats.org/officeDocument/2006/relationships/header" Target="header33.xml"/><Relationship Id="rId91" Type="http://schemas.openxmlformats.org/officeDocument/2006/relationships/image" Target="media/image15.jpeg"/><Relationship Id="rId96" Type="http://schemas.openxmlformats.org/officeDocument/2006/relationships/header" Target="header35.xml"/><Relationship Id="rId111" Type="http://schemas.openxmlformats.org/officeDocument/2006/relationships/header" Target="header42.xml"/><Relationship Id="rId132"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5.png"/><Relationship Id="rId106" Type="http://schemas.openxmlformats.org/officeDocument/2006/relationships/footer" Target="footer39.xml"/><Relationship Id="rId114" Type="http://schemas.openxmlformats.org/officeDocument/2006/relationships/image" Target="media/image20.png"/><Relationship Id="rId119" Type="http://schemas.openxmlformats.org/officeDocument/2006/relationships/header" Target="header45.xml"/><Relationship Id="rId127" Type="http://schemas.openxmlformats.org/officeDocument/2006/relationships/image" Target="media/image21.jpeg"/><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2.xml"/><Relationship Id="rId65" Type="http://schemas.openxmlformats.org/officeDocument/2006/relationships/header" Target="header26.xml"/><Relationship Id="rId73" Type="http://schemas.openxmlformats.org/officeDocument/2006/relationships/image" Target="media/image9.png"/><Relationship Id="rId78" Type="http://schemas.openxmlformats.org/officeDocument/2006/relationships/header" Target="header28.xml"/><Relationship Id="rId81" Type="http://schemas.openxmlformats.org/officeDocument/2006/relationships/footer" Target="footer29.xml"/><Relationship Id="rId86" Type="http://schemas.openxmlformats.org/officeDocument/2006/relationships/footer" Target="footer31.xml"/><Relationship Id="rId94" Type="http://schemas.openxmlformats.org/officeDocument/2006/relationships/image" Target="media/image18.jpeg"/><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header" Target="header47.xml"/><Relationship Id="rId130" Type="http://schemas.openxmlformats.org/officeDocument/2006/relationships/header" Target="header50.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image" Target="media/image3.png"/><Relationship Id="rId76" Type="http://schemas.openxmlformats.org/officeDocument/2006/relationships/image" Target="media/image12.emf"/><Relationship Id="rId97" Type="http://schemas.openxmlformats.org/officeDocument/2006/relationships/footer" Target="footer34.xml"/><Relationship Id="rId104" Type="http://schemas.openxmlformats.org/officeDocument/2006/relationships/footer" Target="footer38.xml"/><Relationship Id="rId120" Type="http://schemas.openxmlformats.org/officeDocument/2006/relationships/footer" Target="footer45.xml"/><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image" Target="media/image7.jpeg"/><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footer" Target="footer32.xml"/><Relationship Id="rId110" Type="http://schemas.openxmlformats.org/officeDocument/2006/relationships/footer" Target="footer41.xml"/><Relationship Id="rId115" Type="http://schemas.openxmlformats.org/officeDocument/2006/relationships/header" Target="header43.xml"/><Relationship Id="rId131" Type="http://schemas.openxmlformats.org/officeDocument/2006/relationships/footer" Target="footer49.xml"/><Relationship Id="rId136" Type="http://schemas.openxmlformats.org/officeDocument/2006/relationships/theme" Target="theme/theme1.xml"/><Relationship Id="rId61" Type="http://schemas.openxmlformats.org/officeDocument/2006/relationships/footer" Target="footer23.xml"/><Relationship Id="rId82" Type="http://schemas.openxmlformats.org/officeDocument/2006/relationships/header" Target="header3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urostat/tgm/table.do?tab=table&amp;init=1&amp;language=en&amp;pcode=t2020_rt120&amp;plugin=1" TargetMode="External"/><Relationship Id="rId18" Type="http://schemas.openxmlformats.org/officeDocument/2006/relationships/hyperlink" Target="http://biodiversity.europa.eu/countries/eu_country_profiles/lithuania" TargetMode="External"/><Relationship Id="rId26" Type="http://schemas.openxmlformats.org/officeDocument/2006/relationships/hyperlink" Target="http://eur-lex.europa.eu/legal-content/EN/TXT/?uri=CELEX%3A32008L0056" TargetMode="External"/><Relationship Id="rId39" Type="http://schemas.openxmlformats.org/officeDocument/2006/relationships/hyperlink" Target="http://eur-lex.europa.eu/legal-content/EN/TXT/?qid=1481623908600&amp;uri=CELEX:32006L0007" TargetMode="External"/><Relationship Id="rId21" Type="http://schemas.openxmlformats.org/officeDocument/2006/relationships/hyperlink" Target="http://land.copernicus.eu/pan-european/corine-land-cover/lcc-2006-2012/view" TargetMode="External"/><Relationship Id="rId34" Type="http://schemas.openxmlformats.org/officeDocument/2006/relationships/hyperlink" Target="http://www.eea.europa.eu/publications/air-quality-in-europe-2016" TargetMode="External"/><Relationship Id="rId42" Type="http://schemas.openxmlformats.org/officeDocument/2006/relationships/hyperlink" Target="http://eur-lex.europa.eu/legal-content/EN/TXT/?qid=1481624135097&amp;uri=CELEX:32000L0060" TargetMode="External"/><Relationship Id="rId47" Type="http://schemas.openxmlformats.org/officeDocument/2006/relationships/hyperlink" Target="http://www.eea.europa.eu/themes/water/status-and-monitoring/state-of-bathing-water" TargetMode="External"/><Relationship Id="rId50" Type="http://schemas.openxmlformats.org/officeDocument/2006/relationships/hyperlink" Target="http://urbanagendaforthe.eu/" TargetMode="External"/><Relationship Id="rId55" Type="http://schemas.openxmlformats.org/officeDocument/2006/relationships/hyperlink" Target="https://www.espon.eu/export/sites/default/Documents/Projects/AppliedResearch/FOCI/FOCI_FinalReport_ScientificReport-r.pdf" TargetMode="External"/><Relationship Id="rId63" Type="http://schemas.openxmlformats.org/officeDocument/2006/relationships/hyperlink" Target="http://www.am.lt/VI/files/0.332051001448456657.pdf" TargetMode="External"/><Relationship Id="rId68" Type="http://schemas.openxmlformats.org/officeDocument/2006/relationships/hyperlink" Target="http://ec.europa.eu/environment/gpp/action_plan_en.htm" TargetMode="External"/><Relationship Id="rId76" Type="http://schemas.openxmlformats.org/officeDocument/2006/relationships/hyperlink" Target="http://eur-lex.europa.eu/legal-content/EN/TXT/?uri=CELEX%3A32008L0099" TargetMode="External"/><Relationship Id="rId84" Type="http://schemas.openxmlformats.org/officeDocument/2006/relationships/hyperlink" Target="http://www.unece.org/fileadmin/DAM/env/pp/documents/cep43e.pdf" TargetMode="External"/><Relationship Id="rId89" Type="http://schemas.openxmlformats.org/officeDocument/2006/relationships/hyperlink" Target="http://inspire.ec.europa.eu/portfolio/inspire-dashboard" TargetMode="External"/><Relationship Id="rId7" Type="http://schemas.openxmlformats.org/officeDocument/2006/relationships/hyperlink" Target="https://data.europa.eu/euodp/en/data/dataset/S2088_426_ENG" TargetMode="External"/><Relationship Id="rId71" Type="http://schemas.openxmlformats.org/officeDocument/2006/relationships/hyperlink" Target="http://ec.europa.eu/environment/gpp/pdf/CEPS-CoE-GPP%20MAIN%20REPORT.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nvironment/nature/info/pubs/docs/nat2000newsl/nat37_en.pdf" TargetMode="External"/><Relationship Id="rId29" Type="http://schemas.openxmlformats.org/officeDocument/2006/relationships/hyperlink" Target="http://ec.europa.eu/environment/air/quality/standards.htm" TargetMode="External"/><Relationship Id="rId11" Type="http://schemas.openxmlformats.org/officeDocument/2006/relationships/hyperlink" Target="http://ec.europa.eu/eurostat/tgm/table.do?tab=table&amp;init=1&amp;plugin=1&amp;language=en&amp;pcode=tsdpc240" TargetMode="External"/><Relationship Id="rId24" Type="http://schemas.openxmlformats.org/officeDocument/2006/relationships/hyperlink" Target="https://www.e-tar.lt/portal/lt/legalAct/a3b8f760ea5711e4a4809231b4b55019" TargetMode="External"/><Relationship Id="rId32" Type="http://schemas.openxmlformats.org/officeDocument/2006/relationships/hyperlink" Target="http://eur-lex.europa.eu/legal-content/EN/TXT/?uri=celex:32001L0081" TargetMode="External"/><Relationship Id="rId37" Type="http://schemas.openxmlformats.org/officeDocument/2006/relationships/hyperlink" Target="http://ec.europa.eu/environment/archives/air/pdf/Impact_assessment_en.pdf" TargetMode="External"/><Relationship Id="rId40" Type="http://schemas.openxmlformats.org/officeDocument/2006/relationships/hyperlink" Target="http://eur-lex.europa.eu/legal-content/EN/ALL/?uri=CELEX%3A31991L0271" TargetMode="External"/><Relationship Id="rId45" Type="http://schemas.openxmlformats.org/officeDocument/2006/relationships/hyperlink" Target="http://ec.europa.eu/environment/water/water-drink/reporting_en.html" TargetMode="External"/><Relationship Id="rId53" Type="http://schemas.openxmlformats.org/officeDocument/2006/relationships/hyperlink" Target="http://www.am.lt/VI/en/VI/files/File/Aplinkos_ministerija_A-5_001-104psl-EN-press.pdf" TargetMode="External"/><Relationship Id="rId58" Type="http://schemas.openxmlformats.org/officeDocument/2006/relationships/hyperlink" Target="https://encrypted.google.com/url?sa=t&amp;rct=j&amp;q=&amp;esrc=s&amp;source=web&amp;cd=1&amp;ved=0ahUKEwiYseGtquTQAhWDMBoKHSbbALIQFgggMAA&amp;url=http%3A%2F%2Furbact.eu%2Fsites%2Fdefault%2Ffiles%2Fcs-04b_sr-vilnius-f4.pdf&amp;usg=AFQjCNFleXO_VdDke_2phAQDgbS6pu8E6Q&amp;sig2=TX-ceTbhp9WJQiLBt0Nb0w" TargetMode="External"/><Relationship Id="rId66" Type="http://schemas.openxmlformats.org/officeDocument/2006/relationships/hyperlink" Target="http://ec.europa.eu/internal_market/scoreboard/performance_per_policy_area/public_procurement/index_en.htm" TargetMode="External"/><Relationship Id="rId74" Type="http://schemas.openxmlformats.org/officeDocument/2006/relationships/hyperlink" Target="http://www.oecd-ilibrary.org/docserver/download/4215111e.pdf?expires=1463751779&amp;id=id&amp;accname=oid031827&amp;checksum=D2997AAC9A5D7F64BBFB71FF609CE66A" TargetMode="External"/><Relationship Id="rId79" Type="http://schemas.openxmlformats.org/officeDocument/2006/relationships/hyperlink" Target="http://www.environmentalprosecutors.eu" TargetMode="External"/><Relationship Id="rId87" Type="http://schemas.openxmlformats.org/officeDocument/2006/relationships/hyperlink" Target="https://ec.europa.eu/digital-single-market/en/news/communication-eu-egovernment-action-plan-2016-2020-accelerating-digital-transformation"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ec.europa.eu/eurostat/tgm/table.do?tab=table&amp;init=1&amp;language=en&amp;pcode=t2020_rt320&amp;plugin=1http://ec.europa.eu/eurostat/en/web/products-datasets/-/T2020_RT320" TargetMode="External"/><Relationship Id="rId82" Type="http://schemas.openxmlformats.org/officeDocument/2006/relationships/hyperlink" Target="http://eur-lex.europa.eu/legal-content/EN/TXT/?uri=CELEX%3A52016SC0121" TargetMode="External"/><Relationship Id="rId90" Type="http://schemas.openxmlformats.org/officeDocument/2006/relationships/hyperlink" Target="http://inspire-geoportal.ec.europa.eu/resources/INSPIREResourcesReports/resourcesReport_2016-05-09/" TargetMode="External"/><Relationship Id="rId19" Type="http://schemas.openxmlformats.org/officeDocument/2006/relationships/hyperlink" Target="http://eur-lex.europa.eu/legal-content/EN/TXT/?uri=CELEX:52013DC0249"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s://www.e-tar.lt/portal/lt/legalAct/f416d360d77c11e3bb00c40fca124f97" TargetMode="External"/><Relationship Id="rId14" Type="http://schemas.openxmlformats.org/officeDocument/2006/relationships/hyperlink" Target="http://ec.europa.eu/environment/waste/framework/pdf/LT_Roadmap_FINAL.pdf" TargetMode="External"/><Relationship Id="rId22" Type="http://schemas.openxmlformats.org/officeDocument/2006/relationships/hyperlink" Target="http://www.eea.europa.eu/data-and-maps/indicators/imperviousness-change/assessment" TargetMode="External"/><Relationship Id="rId27"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0" Type="http://schemas.openxmlformats.org/officeDocument/2006/relationships/hyperlink" Target="http://cdr.eionet.europa.eu/"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uri=CELEX%3A31991L0676" TargetMode="External"/><Relationship Id="rId48" Type="http://schemas.openxmlformats.org/officeDocument/2006/relationships/hyperlink" Target="http://eur-lex.europa.eu/legal-content/EN/TXT/?uri=CELEX%3A52016DC0105" TargetMode="External"/><Relationship Id="rId56" Type="http://schemas.openxmlformats.org/officeDocument/2006/relationships/hyperlink" Target="http://www.monitoringas.tk/images/Dokumentai/2014/monitoringasuz2014.pdf" TargetMode="External"/><Relationship Id="rId64" Type="http://schemas.openxmlformats.org/officeDocument/2006/relationships/hyperlink" Target="http://ec.europa.eu/eurostat/cache/metadata/EN/tsdcc360_esmsip.htm" TargetMode="External"/><Relationship Id="rId69" Type="http://schemas.openxmlformats.org/officeDocument/2006/relationships/hyperlink" Target="http://www.am.lt/VI/index.php" TargetMode="External"/><Relationship Id="rId77" Type="http://schemas.openxmlformats.org/officeDocument/2006/relationships/hyperlink" Target="http://www.impel.eu" TargetMode="External"/><Relationship Id="rId8" Type="http://schemas.openxmlformats.org/officeDocument/2006/relationships/hyperlink" Target="http://www.mita.lt/uploads/documents/lithuanian_innovation_programme.pdf" TargetMode="External"/><Relationship Id="rId51" Type="http://schemas.openxmlformats.org/officeDocument/2006/relationships/hyperlink" Target="http://ec.europa.eu/environment/urban/tool.htm" TargetMode="External"/><Relationship Id="rId72" Type="http://schemas.openxmlformats.org/officeDocument/2006/relationships/hyperlink" Target="https://cohesiondata.ec.europa.eu/countries/LT" TargetMode="External"/><Relationship Id="rId80" Type="http://schemas.openxmlformats.org/officeDocument/2006/relationships/hyperlink" Target="http://eur-lex.europa.eu/legal-content/EN/TXT/?uri=CELEX%3A32004L0035" TargetMode="External"/><Relationship Id="rId85" Type="http://schemas.openxmlformats.org/officeDocument/2006/relationships/hyperlink" Target="http://eur-lex.europa.eu/legal-content/GA/ALL/?uri=CELEX:32003L0004"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urostat/tgm/table.do?tab=table&amp;init=1&amp;plugin=1&amp;language=en&amp;pcode=tsdpc240" TargetMode="External"/><Relationship Id="rId17" Type="http://schemas.openxmlformats.org/officeDocument/2006/relationships/hyperlink" Target="https://encrypted.google.com/url?sa=t&amp;rct=j&amp;q=&amp;esrc=s&amp;source=web&amp;cd=1&amp;ved=0ahUKEwjo5saut-LQAhUCahoKHU2fB1QQFggbMAA&amp;url=https%3A%2F%2Fcircabc.europa.eu%2Fsd%2Fa%2F2e93cc44-925f-4876-99ac-c3400297b2fb%2FLT_20140528.pdf&amp;usg=AFQjCNGTk_kiZxn1NepMRsU_aXOACjeK-g&amp;sig2=Vfs2ym1OAAGdqkq0qmQoLA" TargetMode="External"/><Relationship Id="rId25" Type="http://schemas.openxmlformats.org/officeDocument/2006/relationships/hyperlink" Target="https://www.e-tar.lt/portal/lt/legalAct/6b4e4ba0c26b11e4bac9d73c75fc910a" TargetMode="External"/><Relationship Id="rId33" Type="http://schemas.openxmlformats.org/officeDocument/2006/relationships/hyperlink" Target="http://eur-lex.europa.eu/legal-content/EN/TXT/?uri=uriserv:OJ.L_.2016.344.01.0001.01.ENG&amp;toc=OJ:L:2016:344:TOC" TargetMode="External"/><Relationship Id="rId38" Type="http://schemas.openxmlformats.org/officeDocument/2006/relationships/hyperlink" Target="http://www.euro.who.int/en/media-centre/sections/press-releases/2011/03/new-evidence-from-who-on-health-effects-of-traffic-related-noise-in-europe" TargetMode="External"/><Relationship Id="rId46" Type="http://schemas.openxmlformats.org/officeDocument/2006/relationships/hyperlink" Target="http://www.eea.europa.eu/publications/european-bathing-water-quality-2015" TargetMode="External"/><Relationship Id="rId59" Type="http://schemas.openxmlformats.org/officeDocument/2006/relationships/hyperlink" Target="http://www.architektusajunga.lt/uploads/old/1778_Microsoft%20PowerPoint%20-%20SEREIKISKES_090913M.ppt.pdf" TargetMode="External"/><Relationship Id="rId67" Type="http://schemas.openxmlformats.org/officeDocument/2006/relationships/hyperlink" Target="http://eur-lex.europa.eu/legal-content/EN/TXT/?uri=CELEX:52008DC0400http://eur-lex.europa.eu/legal-content/EN/TXT/?uri=CELEX:52008DC0400" TargetMode="External"/><Relationship Id="rId20" Type="http://schemas.openxmlformats.org/officeDocument/2006/relationships/hyperlink" Target="http://www.glis.lt/ekotinklas/index.php/lt/" TargetMode="External"/><Relationship Id="rId41" Type="http://schemas.openxmlformats.org/officeDocument/2006/relationships/hyperlink" Target="http://eur-lex.europa.eu/legal-content/EN/TXT/?uri=CELEX%3A31998L0083" TargetMode="External"/><Relationship Id="rId54" Type="http://schemas.openxmlformats.org/officeDocument/2006/relationships/hyperlink" Target="https://www.siemens.com/entry/cc/features/greencityindex_international/all/en/pdf/gci_report_summary.pdf" TargetMode="External"/><Relationship Id="rId62" Type="http://schemas.openxmlformats.org/officeDocument/2006/relationships/hyperlink" Target="http://ec.europa.eu/europe2020/pdf/csr2016/cr2016_lithuania_en.pdf" TargetMode="External"/><Relationship Id="rId70" Type="http://schemas.openxmlformats.org/officeDocument/2006/relationships/hyperlink" Target="http://ec.europa.eu/environment/gpp/action_plan_en.htm" TargetMode="External"/><Relationship Id="rId75" Type="http://schemas.openxmlformats.org/officeDocument/2006/relationships/hyperlink" Target="http://eur-lex.europa.eu/legal-content/EN/TXT/?uri=OJ:C:2016:273:TOC" TargetMode="External"/><Relationship Id="rId83" Type="http://schemas.openxmlformats.org/officeDocument/2006/relationships/hyperlink" Target="http://ec.europa.eu/environment/aarhus/access_studies.htm" TargetMode="External"/><Relationship Id="rId88" Type="http://schemas.openxmlformats.org/officeDocument/2006/relationships/hyperlink" Target="http://inspire.ec.europa.eu/index.cfm/pageid/182"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ec.europa.eu/environment/waste/studies/pdf/study%2012%20FINAL%20REPORT.pdf" TargetMode="External"/><Relationship Id="rId23" Type="http://schemas.openxmlformats.org/officeDocument/2006/relationships/hyperlink" Target="http://ec.europa.eu/eurostat/statistics-explained/index.php/Agri-environmental_indicator_-_soil_erosion" TargetMode="External"/><Relationship Id="rId2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6" Type="http://schemas.openxmlformats.org/officeDocument/2006/relationships/hyperlink" Target="http://www.eionet.europa.eu/aqportal" TargetMode="External"/><Relationship Id="rId49" Type="http://schemas.openxmlformats.org/officeDocument/2006/relationships/hyperlink" Target="http://eur-lex.europa.eu/legal-content/EN/TXT/?uri=CELEX:52016SC0045" TargetMode="External"/><Relationship Id="rId57" Type="http://schemas.openxmlformats.org/officeDocument/2006/relationships/hyperlink" Target="http://www.am.lt/VI/en/VI/files/File/Aplinkos_ministerija_A-5_001-104psl-EN-press.pdf" TargetMode="External"/><Relationship Id="rId10" Type="http://schemas.openxmlformats.org/officeDocument/2006/relationships/hyperlink" Target="https://ec.europa.eu/environment/ecoap/scoreboard_en" TargetMode="External"/><Relationship Id="rId31" Type="http://schemas.openxmlformats.org/officeDocument/2006/relationships/hyperlink" Target="http://www.eea.europa.eu/data-and-maps/data/data-viewers/emissions-nec-directive-viewer" TargetMode="External"/><Relationship Id="rId44" Type="http://schemas.openxmlformats.org/officeDocument/2006/relationships/hyperlink" Target="http://eur-lex.europa.eu/legal-content/EN/TXT/?uri=CELEX:32007L0060" TargetMode="External"/><Relationship Id="rId52" Type="http://schemas.openxmlformats.org/officeDocument/2006/relationships/hyperlink" Target="http://osp.stat.gov.lt/en/web/guest/home" TargetMode="External"/><Relationship Id="rId60" Type="http://schemas.openxmlformats.org/officeDocument/2006/relationships/hyperlink" Target="http://ec.europa.eu/eurostat/en/web/products-datasets/-/T2020_RT320" TargetMode="External"/><Relationship Id="rId65" Type="http://schemas.openxmlformats.org/officeDocument/2006/relationships/hyperlink" Target="http://ec.europa.eu/environment/integration/green_semester/pdf/Eunomia%20EFR%20Final%20Report%20MAIN%20REPORT.pdf" TargetMode="External"/><Relationship Id="rId73" Type="http://schemas.openxmlformats.org/officeDocument/2006/relationships/hyperlink" Target="https://cohesiondata.ec.europa.eu/countries" TargetMode="External"/><Relationship Id="rId78" Type="http://schemas.openxmlformats.org/officeDocument/2006/relationships/hyperlink" Target="http://www.eufje.org" TargetMode="External"/><Relationship Id="rId81" Type="http://schemas.openxmlformats.org/officeDocument/2006/relationships/hyperlink" Target="https://ec.europa.eu/transparency/regdoc/rep/1/2016/EN/1-2016-204-EN-F1-1.PDF" TargetMode="External"/><Relationship Id="rId86" Type="http://schemas.openxmlformats.org/officeDocument/2006/relationships/hyperlink" Target="http://eur-lex.europa.eu/LexUriServ/LexUriServ.do?uri=CELEX:32007L0002:EN:N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8AD9F-AAE9-41FD-975A-D2475C0D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11954</Words>
  <Characters>68762</Characters>
  <Application>Microsoft Office Word</Application>
  <DocSecurity>0</DocSecurity>
  <Lines>1750</Lines>
  <Paragraphs>330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2016-11-10T11:42:00Z</cp:lastPrinted>
  <dcterms:created xsi:type="dcterms:W3CDTF">2017-01-24T10:08:00Z</dcterms:created>
  <dcterms:modified xsi:type="dcterms:W3CDTF">2017-02-02T18:10:00Z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