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536" w:rsidRDefault="003D3C7F" w:rsidP="003D3C7F">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8E17B2BE3C8B43148BA1FE5750358DA1" style="width:450.75pt;height:498.75pt">
            <v:imagedata r:id="rId9" o:title=""/>
          </v:shape>
        </w:pict>
      </w:r>
    </w:p>
    <w:bookmarkEnd w:id="0"/>
    <w:p w:rsidR="004C5536" w:rsidRDefault="004C5536">
      <w:pPr>
        <w:rPr>
          <w:noProof/>
        </w:rPr>
        <w:sectPr w:rsidR="004C5536" w:rsidSect="003D3C7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4C5536" w:rsidRDefault="004C5536">
      <w:pPr>
        <w:widowControl w:val="0"/>
        <w:tabs>
          <w:tab w:val="right" w:leader="dot" w:pos="8640"/>
        </w:tabs>
        <w:spacing w:before="120" w:after="120" w:line="240" w:lineRule="auto"/>
        <w:ind w:right="720"/>
        <w:rPr>
          <w:rFonts w:eastAsia="Times New Roman" w:cs="Times New Roman"/>
          <w:noProof/>
          <w:szCs w:val="20"/>
        </w:rPr>
      </w:pPr>
      <w:bookmarkStart w:id="1" w:name="_GoBack"/>
      <w:bookmarkEnd w:id="1"/>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3D3C7F">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Style w:val="Hyperlink"/>
            <w:rFonts w:eastAsia="Times New Roman" w:cs="Times New Roman"/>
            <w:noProof/>
            <w:szCs w:val="20"/>
          </w:rPr>
          <w:t>ENV-EIR@ec.europa.eu</w:t>
        </w:r>
      </w:hyperlink>
      <w:r>
        <w:rPr>
          <w:rFonts w:eastAsia="Times New Roman" w:cs="Times New Roman"/>
          <w:noProof/>
          <w:szCs w:val="20"/>
        </w:rPr>
        <w:t xml:space="preserve"> </w:t>
      </w:r>
    </w:p>
    <w:p w:rsidR="004C5536" w:rsidRDefault="004C5536">
      <w:pPr>
        <w:widowControl w:val="0"/>
        <w:tabs>
          <w:tab w:val="right" w:leader="dot" w:pos="8640"/>
        </w:tabs>
        <w:spacing w:before="120" w:after="120" w:line="240" w:lineRule="auto"/>
        <w:ind w:left="482" w:right="720" w:hanging="482"/>
        <w:rPr>
          <w:rFonts w:eastAsia="Times New Roman" w:cs="Times New Roman"/>
          <w:noProof/>
          <w:szCs w:val="20"/>
        </w:rPr>
      </w:pPr>
    </w:p>
    <w:p w:rsidR="004C5536" w:rsidRDefault="003D3C7F">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Style w:val="Hyperlink"/>
            <w:rFonts w:eastAsia="Times New Roman" w:cs="Times New Roman"/>
            <w:noProof/>
            <w:szCs w:val="20"/>
          </w:rPr>
          <w:t>http://europa.eu</w:t>
        </w:r>
      </w:hyperlink>
      <w:r>
        <w:rPr>
          <w:rFonts w:eastAsia="Times New Roman" w:cs="Times New Roman"/>
          <w:noProof/>
          <w:szCs w:val="20"/>
        </w:rPr>
        <w:t>).</w:t>
      </w:r>
    </w:p>
    <w:p w:rsidR="004C5536" w:rsidRDefault="004C5536">
      <w:pPr>
        <w:widowControl w:val="0"/>
        <w:tabs>
          <w:tab w:val="right" w:leader="dot" w:pos="8640"/>
        </w:tabs>
        <w:spacing w:before="120" w:after="120" w:line="240" w:lineRule="auto"/>
        <w:ind w:left="482" w:right="720" w:hanging="482"/>
        <w:rPr>
          <w:rFonts w:eastAsia="Times New Roman" w:cs="Times New Roman"/>
          <w:noProof/>
          <w:szCs w:val="20"/>
        </w:rPr>
      </w:pPr>
    </w:p>
    <w:p w:rsidR="004C5536" w:rsidRDefault="003D3C7F">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p.9 – ©LIFE05 ENV/P/000369; p.13 – ©saiko3p/iStock; p.21 – ©jmorse2000/iStock; p.28 – ©Sergey Kelin/iStock</w:t>
      </w:r>
    </w:p>
    <w:p w:rsidR="004C5536" w:rsidRDefault="004C5536">
      <w:pPr>
        <w:widowControl w:val="0"/>
        <w:tabs>
          <w:tab w:val="right" w:leader="dot" w:pos="8640"/>
        </w:tabs>
        <w:spacing w:before="120" w:after="120" w:line="240" w:lineRule="auto"/>
        <w:ind w:right="141"/>
        <w:rPr>
          <w:rFonts w:eastAsia="Times New Roman" w:cs="Times New Roman"/>
          <w:noProof/>
          <w:szCs w:val="20"/>
        </w:rPr>
      </w:pPr>
    </w:p>
    <w:p w:rsidR="004C5536" w:rsidRDefault="003D3C7F">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 xml:space="preserve">For reproduction or use of these </w:t>
      </w:r>
      <w:r>
        <w:rPr>
          <w:rFonts w:eastAsia="Times New Roman" w:cs="Times New Roman"/>
          <w:noProof/>
          <w:szCs w:val="20"/>
        </w:rPr>
        <w:t>photos, permission must be sought directly from the copyright holder.</w:t>
      </w:r>
    </w:p>
    <w:p w:rsidR="004C5536" w:rsidRDefault="004C5536">
      <w:pPr>
        <w:widowControl w:val="0"/>
        <w:tabs>
          <w:tab w:val="right" w:leader="dot" w:pos="8640"/>
        </w:tabs>
        <w:spacing w:before="120" w:after="120" w:line="240" w:lineRule="auto"/>
        <w:jc w:val="both"/>
        <w:rPr>
          <w:rFonts w:eastAsia="Times New Roman" w:cs="Times New Roman"/>
          <w:noProof/>
          <w:szCs w:val="20"/>
        </w:rPr>
      </w:pPr>
    </w:p>
    <w:p w:rsidR="004C5536" w:rsidRDefault="003D3C7F">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4C5536" w:rsidRDefault="003D3C7F">
      <w:pPr>
        <w:widowControl w:val="0"/>
        <w:tabs>
          <w:tab w:val="right" w:leader="dot" w:pos="8640"/>
        </w:tabs>
        <w:spacing w:before="120" w:after="120" w:line="240" w:lineRule="auto"/>
        <w:rPr>
          <w:rFonts w:eastAsia="Times New Roman" w:cs="Times New Roman"/>
          <w:noProof/>
          <w:szCs w:val="20"/>
        </w:rPr>
        <w:sectPr w:rsidR="004C5536">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9" w:footer="709" w:gutter="0"/>
          <w:pgNumType w:start="2"/>
          <w:cols w:space="720"/>
          <w:titlePg/>
          <w:docGrid w:linePitch="360"/>
        </w:sectPr>
      </w:pPr>
      <w:r>
        <w:rPr>
          <w:rFonts w:eastAsia="Times New Roman" w:cs="Times New Roman"/>
          <w:noProof/>
          <w:szCs w:val="20"/>
        </w:rPr>
        <w:t>Reproduction is authorised provided the source is acknowledged.</w:t>
      </w:r>
    </w:p>
    <w:p w:rsidR="004C5536" w:rsidRDefault="003D3C7F">
      <w:pPr>
        <w:widowControl w:val="0"/>
        <w:spacing w:before="240" w:after="120" w:line="240" w:lineRule="auto"/>
        <w:ind w:left="113" w:hanging="113"/>
        <w:jc w:val="center"/>
        <w:rPr>
          <w:noProof/>
        </w:rPr>
      </w:pPr>
      <w:r>
        <w:rPr>
          <w:rFonts w:eastAsia="Times New Roman"/>
          <w:b/>
          <w:noProof/>
          <w:lang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en-US" w:eastAsia="ja-JP"/>
        </w:rPr>
        <w:instrText xml:space="preserve"> TOC \o "1-2" \h \z \u </w:instrText>
      </w:r>
      <w:r>
        <w:rPr>
          <w:rFonts w:eastAsiaTheme="minorEastAsia"/>
          <w:b/>
          <w:caps/>
          <w:noProof/>
          <w:lang w:val="en-US" w:eastAsia="ja-JP"/>
        </w:rPr>
        <w:fldChar w:fldCharType="separate"/>
      </w:r>
    </w:p>
    <w:p w:rsidR="004C5536" w:rsidRDefault="003D3C7F">
      <w:pPr>
        <w:pStyle w:val="TOC1"/>
        <w:rPr>
          <w:rFonts w:asciiTheme="minorHAnsi" w:eastAsiaTheme="minorEastAsia" w:hAnsiTheme="minorHAnsi" w:cstheme="minorBidi"/>
          <w:caps w:val="0"/>
          <w:noProof/>
          <w:sz w:val="22"/>
          <w:szCs w:val="22"/>
          <w:lang w:eastAsia="en-GB"/>
        </w:rPr>
      </w:pPr>
      <w:hyperlink w:anchor="_Toc469492744"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_Toc469492744 \h </w:instrText>
        </w:r>
        <w:r>
          <w:rPr>
            <w:noProof/>
            <w:webHidden/>
          </w:rPr>
        </w:r>
        <w:r>
          <w:rPr>
            <w:noProof/>
            <w:webHidden/>
          </w:rPr>
          <w:fldChar w:fldCharType="separate"/>
        </w:r>
        <w:r>
          <w:rPr>
            <w:noProof/>
            <w:webHidden/>
          </w:rPr>
          <w:t>4</w:t>
        </w:r>
        <w:r>
          <w:rPr>
            <w:noProof/>
            <w:webHidden/>
          </w:rPr>
          <w:fldChar w:fldCharType="end"/>
        </w:r>
      </w:hyperlink>
    </w:p>
    <w:p w:rsidR="004C5536" w:rsidRDefault="003D3C7F">
      <w:pPr>
        <w:pStyle w:val="TOC1"/>
        <w:rPr>
          <w:rFonts w:asciiTheme="minorHAnsi" w:eastAsiaTheme="minorEastAsia" w:hAnsiTheme="minorHAnsi" w:cstheme="minorBidi"/>
          <w:caps w:val="0"/>
          <w:noProof/>
          <w:sz w:val="22"/>
          <w:szCs w:val="22"/>
          <w:lang w:eastAsia="en-GB"/>
        </w:rPr>
      </w:pPr>
      <w:hyperlink w:anchor="_Toc469492745"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_Toc469492745 \h </w:instrText>
        </w:r>
        <w:r>
          <w:rPr>
            <w:noProof/>
            <w:webHidden/>
          </w:rPr>
        </w:r>
        <w:r>
          <w:rPr>
            <w:noProof/>
            <w:webHidden/>
          </w:rPr>
          <w:fldChar w:fldCharType="separate"/>
        </w:r>
        <w:r>
          <w:rPr>
            <w:noProof/>
            <w:webHidden/>
          </w:rPr>
          <w:t>6</w:t>
        </w:r>
        <w:r>
          <w:rPr>
            <w:noProof/>
            <w:webHidden/>
          </w:rPr>
          <w:fldChar w:fldCharType="end"/>
        </w:r>
      </w:hyperlink>
    </w:p>
    <w:p w:rsidR="004C5536" w:rsidRDefault="003D3C7F">
      <w:pPr>
        <w:pStyle w:val="TOC1"/>
        <w:rPr>
          <w:rFonts w:asciiTheme="minorHAnsi" w:eastAsiaTheme="minorEastAsia" w:hAnsiTheme="minorHAnsi" w:cstheme="minorBidi"/>
          <w:caps w:val="0"/>
          <w:noProof/>
          <w:sz w:val="22"/>
          <w:szCs w:val="22"/>
          <w:lang w:eastAsia="en-GB"/>
        </w:rPr>
      </w:pPr>
      <w:hyperlink w:anchor="_Toc469492746"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_Toc469492746 \h </w:instrText>
        </w:r>
        <w:r>
          <w:rPr>
            <w:noProof/>
            <w:webHidden/>
          </w:rPr>
        </w:r>
        <w:r>
          <w:rPr>
            <w:noProof/>
            <w:webHidden/>
          </w:rPr>
          <w:fldChar w:fldCharType="separate"/>
        </w:r>
        <w:r>
          <w:rPr>
            <w:noProof/>
            <w:webHidden/>
          </w:rPr>
          <w:t>6</w:t>
        </w:r>
        <w:r>
          <w:rPr>
            <w:noProof/>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47" w:history="1">
        <w:r>
          <w:rPr>
            <w:rStyle w:val="Hyperlink"/>
            <w:lang w:eastAsia="en-GB"/>
          </w:rPr>
          <w:t>Developing a circular economy and improving resource efficiency</w:t>
        </w:r>
        <w:r>
          <w:rPr>
            <w:webHidden/>
          </w:rPr>
          <w:tab/>
        </w:r>
        <w:r>
          <w:rPr>
            <w:webHidden/>
          </w:rPr>
          <w:fldChar w:fldCharType="begin"/>
        </w:r>
        <w:r>
          <w:rPr>
            <w:webHidden/>
          </w:rPr>
          <w:instrText xml:space="preserve"> PAGEREF _Toc469492747 \h </w:instrText>
        </w:r>
        <w:r>
          <w:rPr>
            <w:webHidden/>
          </w:rPr>
        </w:r>
        <w:r>
          <w:rPr>
            <w:webHidden/>
          </w:rPr>
          <w:fldChar w:fldCharType="separate"/>
        </w:r>
        <w:r>
          <w:rPr>
            <w:webHidden/>
          </w:rPr>
          <w:t>6</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48" w:history="1">
        <w:r>
          <w:rPr>
            <w:rStyle w:val="Hyperlink"/>
          </w:rPr>
          <w:t>Waste management</w:t>
        </w:r>
        <w:r>
          <w:rPr>
            <w:webHidden/>
          </w:rPr>
          <w:tab/>
        </w:r>
        <w:r>
          <w:rPr>
            <w:webHidden/>
          </w:rPr>
          <w:fldChar w:fldCharType="begin"/>
        </w:r>
        <w:r>
          <w:rPr>
            <w:webHidden/>
          </w:rPr>
          <w:instrText xml:space="preserve"> PAGEREF _Toc469492748 \h </w:instrText>
        </w:r>
        <w:r>
          <w:rPr>
            <w:webHidden/>
          </w:rPr>
        </w:r>
        <w:r>
          <w:rPr>
            <w:webHidden/>
          </w:rPr>
          <w:fldChar w:fldCharType="separate"/>
        </w:r>
        <w:r>
          <w:rPr>
            <w:webHidden/>
          </w:rPr>
          <w:t>8</w:t>
        </w:r>
        <w:r>
          <w:rPr>
            <w:webHidden/>
          </w:rPr>
          <w:fldChar w:fldCharType="end"/>
        </w:r>
      </w:hyperlink>
    </w:p>
    <w:p w:rsidR="004C5536" w:rsidRDefault="003D3C7F">
      <w:pPr>
        <w:pStyle w:val="TOC1"/>
        <w:rPr>
          <w:rFonts w:asciiTheme="minorHAnsi" w:eastAsiaTheme="minorEastAsia" w:hAnsiTheme="minorHAnsi" w:cstheme="minorBidi"/>
          <w:caps w:val="0"/>
          <w:noProof/>
          <w:sz w:val="22"/>
          <w:szCs w:val="22"/>
          <w:lang w:eastAsia="en-GB"/>
        </w:rPr>
      </w:pPr>
      <w:hyperlink w:anchor="_Toc469492749"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w:t>
        </w:r>
        <w:r>
          <w:rPr>
            <w:rStyle w:val="Hyperlink"/>
            <w:rFonts w:cstheme="majorBidi"/>
            <w:bCs/>
            <w:noProof/>
          </w:rPr>
          <w:t>g, conserving and enhancing natural capital</w:t>
        </w:r>
        <w:r>
          <w:rPr>
            <w:noProof/>
            <w:webHidden/>
          </w:rPr>
          <w:tab/>
        </w:r>
        <w:r>
          <w:rPr>
            <w:noProof/>
            <w:webHidden/>
          </w:rPr>
          <w:fldChar w:fldCharType="begin"/>
        </w:r>
        <w:r>
          <w:rPr>
            <w:noProof/>
            <w:webHidden/>
          </w:rPr>
          <w:instrText xml:space="preserve"> PAGEREF _Toc469492749 \h </w:instrText>
        </w:r>
        <w:r>
          <w:rPr>
            <w:noProof/>
            <w:webHidden/>
          </w:rPr>
        </w:r>
        <w:r>
          <w:rPr>
            <w:noProof/>
            <w:webHidden/>
          </w:rPr>
          <w:fldChar w:fldCharType="separate"/>
        </w:r>
        <w:r>
          <w:rPr>
            <w:noProof/>
            <w:webHidden/>
          </w:rPr>
          <w:t>11</w:t>
        </w:r>
        <w:r>
          <w:rPr>
            <w:noProof/>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50" w:history="1">
        <w:r>
          <w:rPr>
            <w:rStyle w:val="Hyperlink"/>
          </w:rPr>
          <w:t>Nature and Biodiversity</w:t>
        </w:r>
        <w:r>
          <w:rPr>
            <w:webHidden/>
          </w:rPr>
          <w:tab/>
        </w:r>
        <w:r>
          <w:rPr>
            <w:webHidden/>
          </w:rPr>
          <w:fldChar w:fldCharType="begin"/>
        </w:r>
        <w:r>
          <w:rPr>
            <w:webHidden/>
          </w:rPr>
          <w:instrText xml:space="preserve"> PAGEREF _Toc469492750 \h </w:instrText>
        </w:r>
        <w:r>
          <w:rPr>
            <w:webHidden/>
          </w:rPr>
        </w:r>
        <w:r>
          <w:rPr>
            <w:webHidden/>
          </w:rPr>
          <w:fldChar w:fldCharType="separate"/>
        </w:r>
        <w:r>
          <w:rPr>
            <w:webHidden/>
          </w:rPr>
          <w:t>11</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51" w:history="1">
        <w:r>
          <w:rPr>
            <w:rStyle w:val="Hyperlink"/>
          </w:rPr>
          <w:t>Green Infrastructure</w:t>
        </w:r>
        <w:r>
          <w:rPr>
            <w:webHidden/>
          </w:rPr>
          <w:tab/>
        </w:r>
        <w:r>
          <w:rPr>
            <w:webHidden/>
          </w:rPr>
          <w:fldChar w:fldCharType="begin"/>
        </w:r>
        <w:r>
          <w:rPr>
            <w:webHidden/>
          </w:rPr>
          <w:instrText xml:space="preserve"> PAGEREF _Toc469492751 \h </w:instrText>
        </w:r>
        <w:r>
          <w:rPr>
            <w:webHidden/>
          </w:rPr>
        </w:r>
        <w:r>
          <w:rPr>
            <w:webHidden/>
          </w:rPr>
          <w:fldChar w:fldCharType="separate"/>
        </w:r>
        <w:r>
          <w:rPr>
            <w:webHidden/>
          </w:rPr>
          <w:t>13</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52" w:history="1">
        <w:r>
          <w:rPr>
            <w:rStyle w:val="Hyperlink"/>
          </w:rPr>
          <w:t>Soil protection</w:t>
        </w:r>
        <w:r>
          <w:rPr>
            <w:webHidden/>
          </w:rPr>
          <w:tab/>
        </w:r>
        <w:r>
          <w:rPr>
            <w:webHidden/>
          </w:rPr>
          <w:fldChar w:fldCharType="begin"/>
        </w:r>
        <w:r>
          <w:rPr>
            <w:webHidden/>
          </w:rPr>
          <w:instrText xml:space="preserve"> PAGEREF _Toc469492752 \h </w:instrText>
        </w:r>
        <w:r>
          <w:rPr>
            <w:webHidden/>
          </w:rPr>
        </w:r>
        <w:r>
          <w:rPr>
            <w:webHidden/>
          </w:rPr>
          <w:fldChar w:fldCharType="separate"/>
        </w:r>
        <w:r>
          <w:rPr>
            <w:webHidden/>
          </w:rPr>
          <w:t>14</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53" w:history="1">
        <w:r>
          <w:rPr>
            <w:rStyle w:val="Hyperlink"/>
          </w:rPr>
          <w:t>Marine prote</w:t>
        </w:r>
        <w:r>
          <w:rPr>
            <w:rStyle w:val="Hyperlink"/>
          </w:rPr>
          <w:t>ction</w:t>
        </w:r>
        <w:r>
          <w:rPr>
            <w:webHidden/>
          </w:rPr>
          <w:tab/>
        </w:r>
        <w:r>
          <w:rPr>
            <w:webHidden/>
          </w:rPr>
          <w:fldChar w:fldCharType="begin"/>
        </w:r>
        <w:r>
          <w:rPr>
            <w:webHidden/>
          </w:rPr>
          <w:instrText xml:space="preserve"> PAGEREF _Toc469492753 \h </w:instrText>
        </w:r>
        <w:r>
          <w:rPr>
            <w:webHidden/>
          </w:rPr>
        </w:r>
        <w:r>
          <w:rPr>
            <w:webHidden/>
          </w:rPr>
          <w:fldChar w:fldCharType="separate"/>
        </w:r>
        <w:r>
          <w:rPr>
            <w:webHidden/>
          </w:rPr>
          <w:t>15</w:t>
        </w:r>
        <w:r>
          <w:rPr>
            <w:webHidden/>
          </w:rPr>
          <w:fldChar w:fldCharType="end"/>
        </w:r>
      </w:hyperlink>
    </w:p>
    <w:p w:rsidR="004C5536" w:rsidRDefault="003D3C7F">
      <w:pPr>
        <w:pStyle w:val="TOC1"/>
        <w:rPr>
          <w:rFonts w:asciiTheme="minorHAnsi" w:eastAsiaTheme="minorEastAsia" w:hAnsiTheme="minorHAnsi" w:cstheme="minorBidi"/>
          <w:caps w:val="0"/>
          <w:noProof/>
          <w:sz w:val="22"/>
          <w:szCs w:val="22"/>
          <w:lang w:eastAsia="en-GB"/>
        </w:rPr>
      </w:pPr>
      <w:hyperlink w:anchor="_Toc469492754" w:history="1">
        <w:r>
          <w:rPr>
            <w:rStyle w:val="Hyperlink"/>
            <w:rFonts w:eastAsiaTheme="majorEastAsia"/>
            <w:noProof/>
          </w:rPr>
          <w:t>3.</w:t>
        </w:r>
        <w:r>
          <w:rPr>
            <w:rFonts w:asciiTheme="minorHAnsi" w:eastAsiaTheme="minorEastAsia" w:hAnsiTheme="minorHAnsi" w:cstheme="minorBidi"/>
            <w:caps w:val="0"/>
            <w:noProof/>
            <w:sz w:val="22"/>
            <w:szCs w:val="22"/>
            <w:lang w:eastAsia="en-GB"/>
          </w:rPr>
          <w:tab/>
        </w:r>
        <w:r>
          <w:rPr>
            <w:rStyle w:val="Hyperlink"/>
            <w:rFonts w:eastAsiaTheme="majorEastAsia"/>
            <w:noProof/>
          </w:rPr>
          <w:t>Ensuring citizens' health and quality of life</w:t>
        </w:r>
        <w:r>
          <w:rPr>
            <w:noProof/>
            <w:webHidden/>
          </w:rPr>
          <w:tab/>
        </w:r>
        <w:r>
          <w:rPr>
            <w:noProof/>
            <w:webHidden/>
          </w:rPr>
          <w:fldChar w:fldCharType="begin"/>
        </w:r>
        <w:r>
          <w:rPr>
            <w:noProof/>
            <w:webHidden/>
          </w:rPr>
          <w:instrText xml:space="preserve"> PAGEREF _Toc469492754 \h </w:instrText>
        </w:r>
        <w:r>
          <w:rPr>
            <w:noProof/>
            <w:webHidden/>
          </w:rPr>
        </w:r>
        <w:r>
          <w:rPr>
            <w:noProof/>
            <w:webHidden/>
          </w:rPr>
          <w:fldChar w:fldCharType="separate"/>
        </w:r>
        <w:r>
          <w:rPr>
            <w:noProof/>
            <w:webHidden/>
          </w:rPr>
          <w:t>17</w:t>
        </w:r>
        <w:r>
          <w:rPr>
            <w:noProof/>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55" w:history="1">
        <w:r>
          <w:rPr>
            <w:rStyle w:val="Hyperlink"/>
          </w:rPr>
          <w:t>Air quality</w:t>
        </w:r>
        <w:r>
          <w:rPr>
            <w:webHidden/>
          </w:rPr>
          <w:tab/>
        </w:r>
        <w:r>
          <w:rPr>
            <w:webHidden/>
          </w:rPr>
          <w:fldChar w:fldCharType="begin"/>
        </w:r>
        <w:r>
          <w:rPr>
            <w:webHidden/>
          </w:rPr>
          <w:instrText xml:space="preserve"> PAGEREF _Toc469492755 \h </w:instrText>
        </w:r>
        <w:r>
          <w:rPr>
            <w:webHidden/>
          </w:rPr>
        </w:r>
        <w:r>
          <w:rPr>
            <w:webHidden/>
          </w:rPr>
          <w:fldChar w:fldCharType="separate"/>
        </w:r>
        <w:r>
          <w:rPr>
            <w:webHidden/>
          </w:rPr>
          <w:t>17</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56" w:history="1">
        <w:r>
          <w:rPr>
            <w:rStyle w:val="Hyperlink"/>
          </w:rPr>
          <w:t>Noise</w:t>
        </w:r>
        <w:r>
          <w:rPr>
            <w:webHidden/>
          </w:rPr>
          <w:tab/>
        </w:r>
        <w:r>
          <w:rPr>
            <w:webHidden/>
          </w:rPr>
          <w:tab/>
        </w:r>
        <w:r>
          <w:rPr>
            <w:webHidden/>
          </w:rPr>
          <w:fldChar w:fldCharType="begin"/>
        </w:r>
        <w:r>
          <w:rPr>
            <w:webHidden/>
          </w:rPr>
          <w:instrText xml:space="preserve"> PAGEREF _Toc469492756 \h </w:instrText>
        </w:r>
        <w:r>
          <w:rPr>
            <w:webHidden/>
          </w:rPr>
        </w:r>
        <w:r>
          <w:rPr>
            <w:webHidden/>
          </w:rPr>
          <w:fldChar w:fldCharType="separate"/>
        </w:r>
        <w:r>
          <w:rPr>
            <w:webHidden/>
          </w:rPr>
          <w:t>18</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57" w:history="1">
        <w:r>
          <w:rPr>
            <w:rStyle w:val="Hyperlink"/>
          </w:rPr>
          <w:t>Water quality and mana</w:t>
        </w:r>
        <w:r>
          <w:rPr>
            <w:rStyle w:val="Hyperlink"/>
          </w:rPr>
          <w:t>gement</w:t>
        </w:r>
        <w:r>
          <w:rPr>
            <w:webHidden/>
          </w:rPr>
          <w:tab/>
        </w:r>
        <w:r>
          <w:rPr>
            <w:webHidden/>
          </w:rPr>
          <w:fldChar w:fldCharType="begin"/>
        </w:r>
        <w:r>
          <w:rPr>
            <w:webHidden/>
          </w:rPr>
          <w:instrText xml:space="preserve"> PAGEREF _Toc469492757 \h </w:instrText>
        </w:r>
        <w:r>
          <w:rPr>
            <w:webHidden/>
          </w:rPr>
        </w:r>
        <w:r>
          <w:rPr>
            <w:webHidden/>
          </w:rPr>
          <w:fldChar w:fldCharType="separate"/>
        </w:r>
        <w:r>
          <w:rPr>
            <w:webHidden/>
          </w:rPr>
          <w:t>18</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58" w:history="1">
        <w:r>
          <w:rPr>
            <w:rStyle w:val="Hyperlink"/>
          </w:rPr>
          <w:t>Enhancing the sustainability of cities</w:t>
        </w:r>
        <w:r>
          <w:rPr>
            <w:webHidden/>
          </w:rPr>
          <w:tab/>
        </w:r>
        <w:r>
          <w:rPr>
            <w:webHidden/>
          </w:rPr>
          <w:fldChar w:fldCharType="begin"/>
        </w:r>
        <w:r>
          <w:rPr>
            <w:webHidden/>
          </w:rPr>
          <w:instrText xml:space="preserve"> PAGEREF _Toc469492758 \h </w:instrText>
        </w:r>
        <w:r>
          <w:rPr>
            <w:webHidden/>
          </w:rPr>
        </w:r>
        <w:r>
          <w:rPr>
            <w:webHidden/>
          </w:rPr>
          <w:fldChar w:fldCharType="separate"/>
        </w:r>
        <w:r>
          <w:rPr>
            <w:webHidden/>
          </w:rPr>
          <w:t>21</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59" w:history="1">
        <w:r>
          <w:rPr>
            <w:rStyle w:val="Hyperlink"/>
          </w:rPr>
          <w:t>International agreements</w:t>
        </w:r>
        <w:r>
          <w:rPr>
            <w:webHidden/>
          </w:rPr>
          <w:tab/>
        </w:r>
        <w:r>
          <w:rPr>
            <w:webHidden/>
          </w:rPr>
          <w:fldChar w:fldCharType="begin"/>
        </w:r>
        <w:r>
          <w:rPr>
            <w:webHidden/>
          </w:rPr>
          <w:instrText xml:space="preserve"> PAGEREF _Toc469492759 \h </w:instrText>
        </w:r>
        <w:r>
          <w:rPr>
            <w:webHidden/>
          </w:rPr>
        </w:r>
        <w:r>
          <w:rPr>
            <w:webHidden/>
          </w:rPr>
          <w:fldChar w:fldCharType="separate"/>
        </w:r>
        <w:r>
          <w:rPr>
            <w:webHidden/>
          </w:rPr>
          <w:t>22</w:t>
        </w:r>
        <w:r>
          <w:rPr>
            <w:webHidden/>
          </w:rPr>
          <w:fldChar w:fldCharType="end"/>
        </w:r>
      </w:hyperlink>
    </w:p>
    <w:p w:rsidR="004C5536" w:rsidRDefault="003D3C7F">
      <w:pPr>
        <w:pStyle w:val="TOC1"/>
        <w:rPr>
          <w:rFonts w:asciiTheme="minorHAnsi" w:eastAsiaTheme="minorEastAsia" w:hAnsiTheme="minorHAnsi" w:cstheme="minorBidi"/>
          <w:caps w:val="0"/>
          <w:noProof/>
          <w:sz w:val="22"/>
          <w:szCs w:val="22"/>
          <w:lang w:eastAsia="en-GB"/>
        </w:rPr>
      </w:pPr>
      <w:hyperlink w:anchor="_Toc469492760"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w:instrText>
        </w:r>
        <w:r>
          <w:rPr>
            <w:noProof/>
            <w:webHidden/>
          </w:rPr>
          <w:instrText xml:space="preserve">EREF _Toc469492760 \h </w:instrText>
        </w:r>
        <w:r>
          <w:rPr>
            <w:noProof/>
            <w:webHidden/>
          </w:rPr>
        </w:r>
        <w:r>
          <w:rPr>
            <w:noProof/>
            <w:webHidden/>
          </w:rPr>
          <w:fldChar w:fldCharType="separate"/>
        </w:r>
        <w:r>
          <w:rPr>
            <w:noProof/>
            <w:webHidden/>
          </w:rPr>
          <w:t>23</w:t>
        </w:r>
        <w:r>
          <w:rPr>
            <w:noProof/>
            <w:webHidden/>
          </w:rPr>
          <w:fldChar w:fldCharType="end"/>
        </w:r>
      </w:hyperlink>
    </w:p>
    <w:p w:rsidR="004C5536" w:rsidRDefault="003D3C7F">
      <w:pPr>
        <w:pStyle w:val="TOC1"/>
        <w:rPr>
          <w:rFonts w:asciiTheme="minorHAnsi" w:eastAsiaTheme="minorEastAsia" w:hAnsiTheme="minorHAnsi" w:cstheme="minorBidi"/>
          <w:caps w:val="0"/>
          <w:noProof/>
          <w:sz w:val="22"/>
          <w:szCs w:val="22"/>
          <w:lang w:eastAsia="en-GB"/>
        </w:rPr>
      </w:pPr>
      <w:hyperlink w:anchor="_Toc469492761"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Market based instruments and investment</w:t>
        </w:r>
        <w:r>
          <w:rPr>
            <w:noProof/>
            <w:webHidden/>
          </w:rPr>
          <w:tab/>
        </w:r>
        <w:r>
          <w:rPr>
            <w:noProof/>
            <w:webHidden/>
          </w:rPr>
          <w:fldChar w:fldCharType="begin"/>
        </w:r>
        <w:r>
          <w:rPr>
            <w:noProof/>
            <w:webHidden/>
          </w:rPr>
          <w:instrText xml:space="preserve"> PAGEREF _Toc469492761 \h </w:instrText>
        </w:r>
        <w:r>
          <w:rPr>
            <w:noProof/>
            <w:webHidden/>
          </w:rPr>
        </w:r>
        <w:r>
          <w:rPr>
            <w:noProof/>
            <w:webHidden/>
          </w:rPr>
          <w:fldChar w:fldCharType="separate"/>
        </w:r>
        <w:r>
          <w:rPr>
            <w:noProof/>
            <w:webHidden/>
          </w:rPr>
          <w:t>23</w:t>
        </w:r>
        <w:r>
          <w:rPr>
            <w:noProof/>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62" w:history="1">
        <w:r>
          <w:rPr>
            <w:rStyle w:val="Hyperlink"/>
          </w:rPr>
          <w:t>Green taxation and environmentally harmful subsidies</w:t>
        </w:r>
        <w:r>
          <w:rPr>
            <w:webHidden/>
          </w:rPr>
          <w:tab/>
        </w:r>
        <w:r>
          <w:rPr>
            <w:webHidden/>
          </w:rPr>
          <w:fldChar w:fldCharType="begin"/>
        </w:r>
        <w:r>
          <w:rPr>
            <w:webHidden/>
          </w:rPr>
          <w:instrText xml:space="preserve"> PAGEREF _Toc469492762 \h </w:instrText>
        </w:r>
        <w:r>
          <w:rPr>
            <w:webHidden/>
          </w:rPr>
        </w:r>
        <w:r>
          <w:rPr>
            <w:webHidden/>
          </w:rPr>
          <w:fldChar w:fldCharType="separate"/>
        </w:r>
        <w:r>
          <w:rPr>
            <w:webHidden/>
          </w:rPr>
          <w:t>23</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63" w:history="1">
        <w:r>
          <w:rPr>
            <w:rStyle w:val="Hyperlink"/>
          </w:rPr>
          <w:t>Green Public Procurement</w:t>
        </w:r>
        <w:r>
          <w:rPr>
            <w:webHidden/>
          </w:rPr>
          <w:tab/>
        </w:r>
        <w:r>
          <w:rPr>
            <w:webHidden/>
          </w:rPr>
          <w:fldChar w:fldCharType="begin"/>
        </w:r>
        <w:r>
          <w:rPr>
            <w:webHidden/>
          </w:rPr>
          <w:instrText xml:space="preserve"> PAGEREF _Toc469492763 \h </w:instrText>
        </w:r>
        <w:r>
          <w:rPr>
            <w:webHidden/>
          </w:rPr>
        </w:r>
        <w:r>
          <w:rPr>
            <w:webHidden/>
          </w:rPr>
          <w:fldChar w:fldCharType="separate"/>
        </w:r>
        <w:r>
          <w:rPr>
            <w:webHidden/>
          </w:rPr>
          <w:t>24</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64" w:history="1">
        <w:r>
          <w:rPr>
            <w:rStyle w:val="Hyperlink"/>
            <w:lang w:eastAsia="en-GB"/>
          </w:rPr>
          <w:t>Investments: the contribution of EU funds</w:t>
        </w:r>
        <w:r>
          <w:rPr>
            <w:webHidden/>
          </w:rPr>
          <w:tab/>
        </w:r>
        <w:r>
          <w:rPr>
            <w:webHidden/>
          </w:rPr>
          <w:fldChar w:fldCharType="begin"/>
        </w:r>
        <w:r>
          <w:rPr>
            <w:webHidden/>
          </w:rPr>
          <w:instrText xml:space="preserve"> PAGEREF _Toc469492764 \h </w:instrText>
        </w:r>
        <w:r>
          <w:rPr>
            <w:webHidden/>
          </w:rPr>
        </w:r>
        <w:r>
          <w:rPr>
            <w:webHidden/>
          </w:rPr>
          <w:fldChar w:fldCharType="separate"/>
        </w:r>
        <w:r>
          <w:rPr>
            <w:webHidden/>
          </w:rPr>
          <w:t>25</w:t>
        </w:r>
        <w:r>
          <w:rPr>
            <w:webHidden/>
          </w:rPr>
          <w:fldChar w:fldCharType="end"/>
        </w:r>
      </w:hyperlink>
    </w:p>
    <w:p w:rsidR="004C5536" w:rsidRDefault="003D3C7F">
      <w:pPr>
        <w:pStyle w:val="TOC1"/>
        <w:rPr>
          <w:rFonts w:asciiTheme="minorHAnsi" w:eastAsiaTheme="minorEastAsia" w:hAnsiTheme="minorHAnsi" w:cstheme="minorBidi"/>
          <w:caps w:val="0"/>
          <w:noProof/>
          <w:sz w:val="22"/>
          <w:szCs w:val="22"/>
          <w:lang w:eastAsia="en-GB"/>
        </w:rPr>
      </w:pPr>
      <w:hyperlink w:anchor="_Toc469492765" w:history="1">
        <w:r>
          <w:rPr>
            <w:rStyle w:val="Hyperlink"/>
            <w:rFonts w:eastAsiaTheme="majorEastAsia" w:cstheme="majorBidi"/>
            <w:bCs/>
            <w:noProof/>
          </w:rPr>
          <w:t>5.</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Effective governance and knowledge</w:t>
        </w:r>
        <w:r>
          <w:rPr>
            <w:noProof/>
            <w:webHidden/>
          </w:rPr>
          <w:tab/>
        </w:r>
        <w:r>
          <w:rPr>
            <w:noProof/>
            <w:webHidden/>
          </w:rPr>
          <w:fldChar w:fldCharType="begin"/>
        </w:r>
        <w:r>
          <w:rPr>
            <w:noProof/>
            <w:webHidden/>
          </w:rPr>
          <w:instrText xml:space="preserve"> PAGEREF _Toc469492765 \h </w:instrText>
        </w:r>
        <w:r>
          <w:rPr>
            <w:noProof/>
            <w:webHidden/>
          </w:rPr>
        </w:r>
        <w:r>
          <w:rPr>
            <w:noProof/>
            <w:webHidden/>
          </w:rPr>
          <w:fldChar w:fldCharType="separate"/>
        </w:r>
        <w:r>
          <w:rPr>
            <w:noProof/>
            <w:webHidden/>
          </w:rPr>
          <w:t>28</w:t>
        </w:r>
        <w:r>
          <w:rPr>
            <w:noProof/>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66" w:history="1">
        <w:r>
          <w:rPr>
            <w:rStyle w:val="Hyperlink"/>
          </w:rPr>
          <w:t>Effective governance within central, regional and local government</w:t>
        </w:r>
        <w:r>
          <w:rPr>
            <w:webHidden/>
          </w:rPr>
          <w:tab/>
        </w:r>
        <w:r>
          <w:rPr>
            <w:webHidden/>
          </w:rPr>
          <w:fldChar w:fldCharType="begin"/>
        </w:r>
        <w:r>
          <w:rPr>
            <w:webHidden/>
          </w:rPr>
          <w:instrText xml:space="preserve"> PAGEREF _Toc469492766 \h </w:instrText>
        </w:r>
        <w:r>
          <w:rPr>
            <w:webHidden/>
          </w:rPr>
        </w:r>
        <w:r>
          <w:rPr>
            <w:webHidden/>
          </w:rPr>
          <w:fldChar w:fldCharType="separate"/>
        </w:r>
        <w:r>
          <w:rPr>
            <w:webHidden/>
          </w:rPr>
          <w:t>28</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67" w:history="1">
        <w:r>
          <w:rPr>
            <w:rStyle w:val="Hyperlink"/>
          </w:rPr>
          <w:t>Compliance assurance</w:t>
        </w:r>
        <w:r>
          <w:rPr>
            <w:webHidden/>
          </w:rPr>
          <w:tab/>
        </w:r>
        <w:r>
          <w:rPr>
            <w:webHidden/>
          </w:rPr>
          <w:fldChar w:fldCharType="begin"/>
        </w:r>
        <w:r>
          <w:rPr>
            <w:webHidden/>
          </w:rPr>
          <w:instrText xml:space="preserve"> PAGEREF _Toc469492767 \h </w:instrText>
        </w:r>
        <w:r>
          <w:rPr>
            <w:webHidden/>
          </w:rPr>
        </w:r>
        <w:r>
          <w:rPr>
            <w:webHidden/>
          </w:rPr>
          <w:fldChar w:fldCharType="separate"/>
        </w:r>
        <w:r>
          <w:rPr>
            <w:webHidden/>
          </w:rPr>
          <w:t>29</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68" w:history="1">
        <w:r>
          <w:rPr>
            <w:rStyle w:val="Hyperlink"/>
          </w:rPr>
          <w:t>Public participation and access to justice</w:t>
        </w:r>
        <w:r>
          <w:rPr>
            <w:webHidden/>
          </w:rPr>
          <w:tab/>
        </w:r>
        <w:r>
          <w:rPr>
            <w:webHidden/>
          </w:rPr>
          <w:fldChar w:fldCharType="begin"/>
        </w:r>
        <w:r>
          <w:rPr>
            <w:webHidden/>
          </w:rPr>
          <w:instrText xml:space="preserve"> PAGEREF _Toc469492768 \h</w:instrText>
        </w:r>
        <w:r>
          <w:rPr>
            <w:webHidden/>
          </w:rPr>
          <w:instrText xml:space="preserve"> </w:instrText>
        </w:r>
        <w:r>
          <w:rPr>
            <w:webHidden/>
          </w:rPr>
        </w:r>
        <w:r>
          <w:rPr>
            <w:webHidden/>
          </w:rPr>
          <w:fldChar w:fldCharType="separate"/>
        </w:r>
        <w:r>
          <w:rPr>
            <w:webHidden/>
          </w:rPr>
          <w:t>31</w:t>
        </w:r>
        <w:r>
          <w:rPr>
            <w:webHidden/>
          </w:rPr>
          <w:fldChar w:fldCharType="end"/>
        </w:r>
      </w:hyperlink>
    </w:p>
    <w:p w:rsidR="004C5536" w:rsidRDefault="003D3C7F">
      <w:pPr>
        <w:pStyle w:val="TOC2"/>
        <w:rPr>
          <w:rFonts w:asciiTheme="minorHAnsi" w:eastAsiaTheme="minorEastAsia" w:hAnsiTheme="minorHAnsi" w:cstheme="minorBidi"/>
          <w:sz w:val="22"/>
          <w:szCs w:val="22"/>
          <w:lang w:eastAsia="en-GB"/>
        </w:rPr>
      </w:pPr>
      <w:hyperlink w:anchor="_Toc469492769" w:history="1">
        <w:r>
          <w:rPr>
            <w:rStyle w:val="Hyperlink"/>
          </w:rPr>
          <w:t>Access to information, knowledge and evidence</w:t>
        </w:r>
        <w:r>
          <w:rPr>
            <w:webHidden/>
          </w:rPr>
          <w:tab/>
        </w:r>
        <w:r>
          <w:rPr>
            <w:webHidden/>
          </w:rPr>
          <w:fldChar w:fldCharType="begin"/>
        </w:r>
        <w:r>
          <w:rPr>
            <w:webHidden/>
          </w:rPr>
          <w:instrText xml:space="preserve"> PAGEREF _Toc469492769 \h </w:instrText>
        </w:r>
        <w:r>
          <w:rPr>
            <w:webHidden/>
          </w:rPr>
        </w:r>
        <w:r>
          <w:rPr>
            <w:webHidden/>
          </w:rPr>
          <w:fldChar w:fldCharType="separate"/>
        </w:r>
        <w:r>
          <w:rPr>
            <w:webHidden/>
          </w:rPr>
          <w:t>32</w:t>
        </w:r>
        <w:r>
          <w:rPr>
            <w:webHidden/>
          </w:rPr>
          <w:fldChar w:fldCharType="end"/>
        </w:r>
      </w:hyperlink>
    </w:p>
    <w:p w:rsidR="004C5536" w:rsidRDefault="003D3C7F">
      <w:pPr>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4C5536" w:rsidRDefault="003D3C7F">
      <w:pPr>
        <w:widowControl w:val="0"/>
        <w:spacing w:after="120"/>
        <w:rPr>
          <w:rFonts w:cs="Times New Roman"/>
          <w:noProof/>
          <w:sz w:val="20"/>
        </w:rPr>
        <w:sectPr w:rsidR="004C5536">
          <w:headerReference w:type="even" r:id="rId24"/>
          <w:headerReference w:type="default" r:id="rId25"/>
          <w:footerReference w:type="even" r:id="rId26"/>
          <w:footerReference w:type="default" r:id="rId27"/>
          <w:headerReference w:type="first" r:id="rId28"/>
          <w:footerReference w:type="first" r:id="rId29"/>
          <w:pgSz w:w="11906" w:h="16838"/>
          <w:pgMar w:top="1440" w:right="1280" w:bottom="1440" w:left="1280" w:header="708" w:footer="708" w:gutter="0"/>
          <w:pgNumType w:start="3"/>
          <w:cols w:space="360"/>
          <w:docGrid w:linePitch="360"/>
        </w:sectPr>
      </w:pPr>
      <w:r>
        <w:rPr>
          <w:rFonts w:cs="Times New Roman"/>
          <w:noProof/>
          <w:sz w:val="20"/>
        </w:rPr>
        <w:br w:type="page"/>
      </w:r>
    </w:p>
    <w:p w:rsidR="004C5536" w:rsidRDefault="003D3C7F">
      <w:pPr>
        <w:keepLines/>
        <w:widowControl w:val="0"/>
        <w:spacing w:after="0" w:line="240" w:lineRule="auto"/>
        <w:jc w:val="center"/>
        <w:outlineLvl w:val="0"/>
        <w:rPr>
          <w:rFonts w:eastAsiaTheme="majorEastAsia" w:cstheme="majorBidi"/>
          <w:b/>
          <w:bCs/>
          <w:noProof/>
          <w:color w:val="1F497D" w:themeColor="text2"/>
          <w:sz w:val="32"/>
          <w:szCs w:val="28"/>
        </w:rPr>
      </w:pPr>
      <w:bookmarkStart w:id="5" w:name="_Toc469492744"/>
      <w:r>
        <w:rPr>
          <w:rFonts w:eastAsiaTheme="majorEastAsia" w:cstheme="majorBidi"/>
          <w:b/>
          <w:bCs/>
          <w:noProof/>
          <w:color w:val="1F497D" w:themeColor="text2"/>
          <w:sz w:val="32"/>
          <w:szCs w:val="28"/>
        </w:rPr>
        <w:lastRenderedPageBreak/>
        <w:t>Executive summary</w:t>
      </w:r>
      <w:bookmarkEnd w:id="4"/>
      <w:bookmarkEnd w:id="5"/>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sectPr w:rsidR="004C5536">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280" w:bottom="1440" w:left="1280" w:header="708" w:footer="708" w:gutter="0"/>
          <w:pgNumType w:start="4"/>
          <w:cols w:space="360"/>
          <w:docGrid w:linePitch="360"/>
        </w:sectPr>
      </w:pPr>
    </w:p>
    <w:p w:rsidR="004C5536" w:rsidRDefault="003D3C7F">
      <w:pPr>
        <w:widowControl w:val="0"/>
        <w:spacing w:after="120" w:line="240" w:lineRule="auto"/>
        <w:jc w:val="both"/>
        <w:rPr>
          <w:rFonts w:cstheme="minorHAnsi"/>
          <w:b/>
          <w:noProof/>
          <w:color w:val="1F497D" w:themeColor="text2"/>
        </w:rPr>
      </w:pPr>
      <w:r>
        <w:rPr>
          <w:rFonts w:cstheme="minorHAnsi"/>
          <w:b/>
          <w:noProof/>
          <w:color w:val="1F497D" w:themeColor="text2"/>
        </w:rPr>
        <w:t>About the Environmental Implementation Review</w:t>
      </w:r>
    </w:p>
    <w:p w:rsidR="004C5536" w:rsidRDefault="003D3C7F">
      <w:pPr>
        <w:widowControl w:val="0"/>
        <w:spacing w:after="120" w:line="240" w:lineRule="auto"/>
        <w:jc w:val="both"/>
        <w:rPr>
          <w:rFonts w:cs="Times New Roman"/>
          <w:noProof/>
          <w:sz w:val="20"/>
        </w:rPr>
      </w:pPr>
      <w:r>
        <w:rPr>
          <w:rFonts w:cs="Times New Roman"/>
          <w:noProof/>
          <w:sz w:val="20"/>
        </w:rPr>
        <w:t xml:space="preserve">In May 2016, the Commission launched the Environmental Implementation Review (EIR), a two-year cycle of analysis, dialogue and </w:t>
      </w:r>
      <w:r>
        <w:rPr>
          <w:rFonts w:cs="Times New Roman"/>
          <w:noProof/>
          <w:sz w:val="20"/>
        </w:rPr>
        <w:t>collaboration to improve the implementation of existing EU environmental policy and legislation</w:t>
      </w:r>
      <w:r>
        <w:rPr>
          <w:rFonts w:cs="Times New Roman"/>
          <w:noProof/>
          <w:sz w:val="20"/>
          <w:vertAlign w:val="superscript"/>
        </w:rPr>
        <w:footnoteReference w:id="1"/>
      </w:r>
      <w:r>
        <w:rPr>
          <w:rFonts w:cs="Times New Roman"/>
          <w:noProof/>
          <w:sz w:val="20"/>
        </w:rPr>
        <w:t>. As a first step, the Commission drafted 28 reports describing the main challenges and opportunities on environmental implementation for each Member State. The</w:t>
      </w:r>
      <w:r>
        <w:rPr>
          <w:rFonts w:cs="Times New Roman"/>
          <w:noProof/>
          <w:sz w:val="20"/>
        </w:rPr>
        <w:t>se reports are meant to stimulate a positive debate both on shared environmental challenges for the EU, as well as on the most effective ways to address the key implementation gaps. The reports rely on the detailed sectoral implementation reports collected</w:t>
      </w:r>
      <w:r>
        <w:rPr>
          <w:rFonts w:cs="Times New Roman"/>
          <w:noProof/>
          <w:sz w:val="20"/>
        </w:rPr>
        <w:t xml:space="preserve"> or issued by the Commission under specific environmental legislation as well as the 2015 State of the Environment Report and other reports by the European Environment Agency. These reports will not replace the specific instruments to ensure compliance wit</w:t>
      </w:r>
      <w:r>
        <w:rPr>
          <w:rFonts w:cs="Times New Roman"/>
          <w:noProof/>
          <w:sz w:val="20"/>
        </w:rPr>
        <w:t>h the EU legal obligations.</w:t>
      </w:r>
    </w:p>
    <w:p w:rsidR="004C5536" w:rsidRDefault="003D3C7F">
      <w:pPr>
        <w:widowControl w:val="0"/>
        <w:spacing w:after="120" w:line="240" w:lineRule="auto"/>
        <w:jc w:val="both"/>
        <w:rPr>
          <w:rFonts w:cs="Times New Roman"/>
          <w:noProof/>
          <w:sz w:val="20"/>
        </w:rPr>
      </w:pPr>
      <w:r>
        <w:rPr>
          <w:rFonts w:cs="Times New Roman"/>
          <w:noProof/>
          <w:sz w:val="20"/>
        </w:rPr>
        <w:t>The reports will broadly follow the outline of the 7th Environmental Action Programme</w:t>
      </w:r>
      <w:r>
        <w:rPr>
          <w:rFonts w:cs="Times New Roman"/>
          <w:noProof/>
          <w:sz w:val="20"/>
          <w:vertAlign w:val="superscript"/>
        </w:rPr>
        <w:footnoteReference w:id="2"/>
      </w:r>
      <w:r>
        <w:rPr>
          <w:rFonts w:cs="Times New Roman"/>
          <w:noProof/>
          <w:sz w:val="20"/>
        </w:rPr>
        <w:t xml:space="preserve"> and refer to the 2030 Agenda for Sustainable development and related Sustainable Development Goals (SDGs)</w:t>
      </w:r>
      <w:r>
        <w:rPr>
          <w:rFonts w:cs="Times New Roman"/>
          <w:noProof/>
          <w:sz w:val="20"/>
          <w:vertAlign w:val="superscript"/>
        </w:rPr>
        <w:footnoteReference w:id="3"/>
      </w:r>
      <w:r>
        <w:rPr>
          <w:rFonts w:cs="Times New Roman"/>
          <w:noProof/>
          <w:sz w:val="20"/>
        </w:rPr>
        <w:t xml:space="preserve"> to the extent to which they reflect the existing obligations and policy objectives of EU environmental law</w:t>
      </w:r>
      <w:r>
        <w:rPr>
          <w:rFonts w:cs="Times New Roman"/>
          <w:noProof/>
          <w:sz w:val="20"/>
          <w:vertAlign w:val="superscript"/>
        </w:rPr>
        <w:footnoteReference w:id="4"/>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The main challenges have been selected by taking into account factors such as the importance or the gravity of the environmental implementation is</w:t>
      </w:r>
      <w:r>
        <w:rPr>
          <w:rFonts w:cs="Times New Roman"/>
          <w:noProof/>
          <w:sz w:val="20"/>
        </w:rPr>
        <w:t>sue in the light of the impact on the quality of life of the citizens, the distance to target, and financial implications.</w:t>
      </w:r>
    </w:p>
    <w:p w:rsidR="004C5536" w:rsidRDefault="003D3C7F">
      <w:pPr>
        <w:widowControl w:val="0"/>
        <w:spacing w:after="240" w:line="240" w:lineRule="auto"/>
        <w:jc w:val="both"/>
        <w:rPr>
          <w:rFonts w:cs="Times New Roman"/>
          <w:noProof/>
          <w:sz w:val="20"/>
        </w:rPr>
      </w:pPr>
      <w:r>
        <w:rPr>
          <w:rFonts w:cs="Times New Roman"/>
          <w:noProof/>
          <w:sz w:val="20"/>
        </w:rPr>
        <w:t>The reports accompany the Communication "</w:t>
      </w:r>
      <w:r>
        <w:rPr>
          <w:rFonts w:cs="Times New Roman"/>
          <w:i/>
          <w:noProof/>
          <w:sz w:val="20"/>
        </w:rPr>
        <w:t>The EU Environmental Implementation Review 2016: Common challenges and how to combine effort</w:t>
      </w:r>
      <w:r>
        <w:rPr>
          <w:rFonts w:cs="Times New Roman"/>
          <w:i/>
          <w:noProof/>
          <w:sz w:val="20"/>
        </w:rPr>
        <w:t>s to deliver better results</w:t>
      </w:r>
      <w:r>
        <w:rPr>
          <w:rFonts w:cs="Times New Roman"/>
          <w:noProof/>
          <w:sz w:val="20"/>
        </w:rPr>
        <w:t xml:space="preserve">", which identifies challenges that are common to several Member States, provides preliminary conclusions on possible root causes of implementation gaps and proposes joint actions to deliver better results. It also groups in its </w:t>
      </w:r>
      <w:r>
        <w:rPr>
          <w:rFonts w:cs="Times New Roman"/>
          <w:noProof/>
          <w:sz w:val="20"/>
        </w:rPr>
        <w:t>Annex the actions proposed in each country report to improve implementation at national level.</w:t>
      </w:r>
    </w:p>
    <w:p w:rsidR="004C5536" w:rsidRDefault="004C5536">
      <w:pPr>
        <w:widowControl w:val="0"/>
        <w:spacing w:after="240" w:line="240" w:lineRule="auto"/>
        <w:jc w:val="both"/>
        <w:rPr>
          <w:rFonts w:cs="Times New Roman"/>
          <w:noProof/>
          <w:sz w:val="20"/>
        </w:rPr>
      </w:pPr>
    </w:p>
    <w:p w:rsidR="004C5536" w:rsidRDefault="004C5536">
      <w:pPr>
        <w:widowControl w:val="0"/>
        <w:spacing w:after="240" w:line="240" w:lineRule="auto"/>
        <w:jc w:val="both"/>
        <w:rPr>
          <w:rFonts w:cs="Times New Roman"/>
          <w:noProof/>
          <w:sz w:val="20"/>
        </w:rPr>
      </w:pPr>
    </w:p>
    <w:p w:rsidR="004C5536" w:rsidRDefault="003D3C7F">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4C5536" w:rsidRDefault="003D3C7F">
      <w:pPr>
        <w:widowControl w:val="0"/>
        <w:spacing w:after="360" w:line="240" w:lineRule="auto"/>
        <w:jc w:val="both"/>
        <w:rPr>
          <w:rFonts w:cs="Times New Roman"/>
          <w:noProof/>
          <w:sz w:val="20"/>
        </w:rPr>
      </w:pPr>
      <w:r>
        <w:rPr>
          <w:rFonts w:cs="Times New Roman"/>
          <w:noProof/>
          <w:sz w:val="20"/>
        </w:rPr>
        <w:t>During the last decades, the implementation of the EU environmental law and policy has contributed to preserve and to improve the environment i</w:t>
      </w:r>
      <w:r>
        <w:rPr>
          <w:rFonts w:cs="Times New Roman"/>
          <w:noProof/>
          <w:sz w:val="20"/>
        </w:rPr>
        <w:t>n Portugal, thanks also to the significant assistance from EU funding. Nevertheless, Portugal still faces considerable challenges in the areas of water and waste management, air quality and nature conservation. Furthermore, environmental implementation and</w:t>
      </w:r>
      <w:r>
        <w:rPr>
          <w:rFonts w:cs="Times New Roman"/>
          <w:noProof/>
          <w:sz w:val="20"/>
        </w:rPr>
        <w:t xml:space="preserve"> enforcement represent overall a challenge for Portugal.</w:t>
      </w:r>
    </w:p>
    <w:p w:rsidR="004C5536" w:rsidRDefault="003D3C7F">
      <w:pPr>
        <w:widowControl w:val="0"/>
        <w:spacing w:before="240" w:after="120" w:line="240" w:lineRule="auto"/>
        <w:jc w:val="both"/>
        <w:rPr>
          <w:rFonts w:cstheme="minorHAnsi"/>
          <w:b/>
          <w:noProof/>
          <w:color w:val="1F497D" w:themeColor="text2"/>
        </w:rPr>
      </w:pPr>
      <w:r>
        <w:rPr>
          <w:rFonts w:cstheme="minorHAnsi"/>
          <w:b/>
          <w:noProof/>
          <w:color w:val="1F497D" w:themeColor="text2"/>
        </w:rPr>
        <w:t>Main Challenges</w:t>
      </w:r>
    </w:p>
    <w:p w:rsidR="004C5536" w:rsidRDefault="003D3C7F">
      <w:pPr>
        <w:widowControl w:val="0"/>
        <w:spacing w:after="120" w:line="240" w:lineRule="auto"/>
        <w:jc w:val="both"/>
        <w:rPr>
          <w:rFonts w:cs="Times New Roman"/>
          <w:noProof/>
          <w:sz w:val="20"/>
        </w:rPr>
      </w:pPr>
      <w:r>
        <w:rPr>
          <w:rFonts w:cs="Times New Roman"/>
          <w:noProof/>
          <w:sz w:val="20"/>
        </w:rPr>
        <w:t>The three main challenges with regard to implementation of EU environmental policy and law in Portugal are:</w:t>
      </w:r>
    </w:p>
    <w:p w:rsidR="004C5536" w:rsidRDefault="003D3C7F">
      <w:pPr>
        <w:widowControl w:val="0"/>
        <w:numPr>
          <w:ilvl w:val="0"/>
          <w:numId w:val="31"/>
        </w:numPr>
        <w:spacing w:after="0" w:line="240" w:lineRule="auto"/>
        <w:jc w:val="both"/>
        <w:rPr>
          <w:rFonts w:cs="Times New Roman"/>
          <w:noProof/>
          <w:sz w:val="20"/>
        </w:rPr>
      </w:pPr>
      <w:r>
        <w:rPr>
          <w:rFonts w:cs="Times New Roman"/>
          <w:noProof/>
          <w:sz w:val="20"/>
        </w:rPr>
        <w:t>Improving waste management and developing the potential of the circular eco</w:t>
      </w:r>
      <w:r>
        <w:rPr>
          <w:rFonts w:cs="Times New Roman"/>
          <w:noProof/>
          <w:sz w:val="20"/>
        </w:rPr>
        <w:t>nomy.</w:t>
      </w:r>
    </w:p>
    <w:p w:rsidR="004C5536" w:rsidRDefault="003D3C7F">
      <w:pPr>
        <w:widowControl w:val="0"/>
        <w:numPr>
          <w:ilvl w:val="0"/>
          <w:numId w:val="31"/>
        </w:numPr>
        <w:spacing w:after="0" w:line="240" w:lineRule="auto"/>
        <w:jc w:val="both"/>
        <w:rPr>
          <w:rFonts w:cs="Times New Roman"/>
          <w:noProof/>
          <w:sz w:val="20"/>
        </w:rPr>
      </w:pPr>
      <w:r>
        <w:rPr>
          <w:rFonts w:cs="Times New Roman"/>
          <w:noProof/>
          <w:sz w:val="20"/>
        </w:rPr>
        <w:t>Enhancing the effective protection of the Natura 2000 network.</w:t>
      </w:r>
    </w:p>
    <w:p w:rsidR="004C5536" w:rsidRDefault="003D3C7F">
      <w:pPr>
        <w:widowControl w:val="0"/>
        <w:numPr>
          <w:ilvl w:val="0"/>
          <w:numId w:val="31"/>
        </w:numPr>
        <w:spacing w:after="360" w:line="240" w:lineRule="auto"/>
        <w:ind w:left="357" w:hanging="357"/>
        <w:jc w:val="both"/>
        <w:rPr>
          <w:rFonts w:cs="Times New Roman"/>
          <w:noProof/>
          <w:sz w:val="20"/>
        </w:rPr>
      </w:pPr>
      <w:r>
        <w:rPr>
          <w:rFonts w:cs="Times New Roman"/>
          <w:noProof/>
          <w:sz w:val="20"/>
        </w:rPr>
        <w:t>Following up on the implementation of marine strategies to meet a good environmental status of marine waters.</w:t>
      </w:r>
    </w:p>
    <w:p w:rsidR="004C5536" w:rsidRDefault="003D3C7F">
      <w:pPr>
        <w:widowControl w:val="0"/>
        <w:spacing w:after="120"/>
        <w:jc w:val="both"/>
        <w:rPr>
          <w:rFonts w:cstheme="minorHAnsi"/>
          <w:b/>
          <w:noProof/>
          <w:color w:val="1F497D" w:themeColor="text2"/>
        </w:rPr>
      </w:pPr>
      <w:r>
        <w:rPr>
          <w:rFonts w:cstheme="minorHAnsi"/>
          <w:b/>
          <w:noProof/>
          <w:color w:val="1F497D" w:themeColor="text2"/>
        </w:rPr>
        <w:t>Main Opportunities</w:t>
      </w:r>
    </w:p>
    <w:p w:rsidR="004C5536" w:rsidRDefault="003D3C7F">
      <w:pPr>
        <w:widowControl w:val="0"/>
        <w:spacing w:after="120"/>
        <w:jc w:val="both"/>
        <w:rPr>
          <w:noProof/>
          <w:sz w:val="20"/>
          <w:szCs w:val="20"/>
        </w:rPr>
      </w:pPr>
      <w:r>
        <w:rPr>
          <w:noProof/>
          <w:sz w:val="20"/>
          <w:szCs w:val="20"/>
        </w:rPr>
        <w:t>Portugal could perform better on topics where there is alr</w:t>
      </w:r>
      <w:r>
        <w:rPr>
          <w:noProof/>
          <w:sz w:val="20"/>
          <w:szCs w:val="20"/>
        </w:rPr>
        <w:t>eady a good knowledge base and good practices. This applies in particular to:</w:t>
      </w:r>
    </w:p>
    <w:p w:rsidR="004C5536" w:rsidRDefault="003D3C7F">
      <w:pPr>
        <w:widowControl w:val="0"/>
        <w:numPr>
          <w:ilvl w:val="0"/>
          <w:numId w:val="33"/>
        </w:numPr>
        <w:spacing w:after="0" w:line="240" w:lineRule="auto"/>
        <w:jc w:val="both"/>
        <w:rPr>
          <w:rFonts w:cs="Times New Roman"/>
          <w:noProof/>
          <w:sz w:val="20"/>
        </w:rPr>
      </w:pPr>
      <w:r>
        <w:rPr>
          <w:rFonts w:cs="Times New Roman"/>
          <w:noProof/>
          <w:sz w:val="20"/>
        </w:rPr>
        <w:t>Using the experience already gained over the past few years to improve compliance with the Air Quality Directive, in particular for NO2.</w:t>
      </w:r>
    </w:p>
    <w:p w:rsidR="004C5536" w:rsidRDefault="003D3C7F">
      <w:pPr>
        <w:widowControl w:val="0"/>
        <w:numPr>
          <w:ilvl w:val="0"/>
          <w:numId w:val="33"/>
        </w:numPr>
        <w:spacing w:after="0" w:line="240" w:lineRule="auto"/>
        <w:jc w:val="both"/>
        <w:rPr>
          <w:rFonts w:cs="Times New Roman"/>
          <w:noProof/>
          <w:sz w:val="20"/>
        </w:rPr>
      </w:pPr>
      <w:r>
        <w:rPr>
          <w:rFonts w:cs="Times New Roman"/>
          <w:noProof/>
          <w:sz w:val="20"/>
        </w:rPr>
        <w:t xml:space="preserve">Improving efficiency, effectiveness and </w:t>
      </w:r>
      <w:r>
        <w:rPr>
          <w:rFonts w:cs="Times New Roman"/>
          <w:noProof/>
          <w:sz w:val="20"/>
        </w:rPr>
        <w:t xml:space="preserve">coordination in the public environmental sector implementing recent initiatives such as the Single Environment Permit (SEP) scheme, the Unique Platform for Inspection and Monitoring in the areas of agriculture, sea and environment and the National Network </w:t>
      </w:r>
      <w:r>
        <w:rPr>
          <w:rFonts w:cs="Times New Roman"/>
          <w:noProof/>
          <w:sz w:val="20"/>
        </w:rPr>
        <w:t>for the Implementation and Enforcement of Environmental Law (IMPEL).</w:t>
      </w:r>
    </w:p>
    <w:p w:rsidR="004C5536" w:rsidRDefault="003D3C7F">
      <w:pPr>
        <w:widowControl w:val="0"/>
        <w:numPr>
          <w:ilvl w:val="0"/>
          <w:numId w:val="33"/>
        </w:numPr>
        <w:spacing w:after="360" w:line="240" w:lineRule="auto"/>
        <w:ind w:left="357" w:hanging="357"/>
        <w:jc w:val="both"/>
        <w:rPr>
          <w:rFonts w:cs="Times New Roman"/>
          <w:noProof/>
          <w:sz w:val="20"/>
        </w:rPr>
      </w:pPr>
      <w:r>
        <w:rPr>
          <w:rFonts w:cs="Times New Roman"/>
          <w:noProof/>
          <w:sz w:val="20"/>
        </w:rPr>
        <w:t>Taking advantage of the opportunities for greening the first pillar of the Common Agricultural Policy (CAP) and making further use of the rural development measures under the second pilla</w:t>
      </w:r>
      <w:r>
        <w:rPr>
          <w:rFonts w:cs="Times New Roman"/>
          <w:noProof/>
          <w:sz w:val="20"/>
        </w:rPr>
        <w:t>r.</w:t>
      </w:r>
    </w:p>
    <w:p w:rsidR="004C5536" w:rsidRDefault="004C5536">
      <w:pPr>
        <w:widowControl w:val="0"/>
        <w:spacing w:after="360" w:line="240" w:lineRule="auto"/>
        <w:jc w:val="both"/>
        <w:rPr>
          <w:rFonts w:cs="Times New Roman"/>
          <w:noProof/>
          <w:sz w:val="20"/>
        </w:rPr>
      </w:pPr>
    </w:p>
    <w:p w:rsidR="004C5536" w:rsidRDefault="004C5536">
      <w:pPr>
        <w:widowControl w:val="0"/>
        <w:spacing w:after="360" w:line="240" w:lineRule="auto"/>
        <w:jc w:val="both"/>
        <w:rPr>
          <w:rFonts w:cs="Times New Roman"/>
          <w:noProof/>
          <w:sz w:val="20"/>
        </w:rPr>
      </w:pPr>
    </w:p>
    <w:p w:rsidR="004C5536" w:rsidRDefault="004C5536">
      <w:pPr>
        <w:widowControl w:val="0"/>
        <w:spacing w:after="360" w:line="240" w:lineRule="auto"/>
        <w:jc w:val="both"/>
        <w:rPr>
          <w:rFonts w:cs="Times New Roman"/>
          <w:noProof/>
          <w:sz w:val="20"/>
        </w:rPr>
      </w:pPr>
    </w:p>
    <w:p w:rsidR="004C5536" w:rsidRDefault="003D3C7F">
      <w:pPr>
        <w:widowControl w:val="0"/>
        <w:spacing w:after="120"/>
        <w:rPr>
          <w:rFonts w:cstheme="minorHAnsi"/>
          <w:b/>
          <w:noProof/>
          <w:color w:val="1F497D" w:themeColor="text2"/>
        </w:rPr>
      </w:pPr>
      <w:r>
        <w:rPr>
          <w:rFonts w:cstheme="minorHAnsi"/>
          <w:b/>
          <w:noProof/>
          <w:color w:val="1F497D" w:themeColor="text2"/>
        </w:rPr>
        <w:t>Points of Excellence</w:t>
      </w:r>
    </w:p>
    <w:p w:rsidR="004C5536" w:rsidRDefault="003D3C7F">
      <w:pPr>
        <w:widowControl w:val="0"/>
        <w:spacing w:after="120" w:line="240" w:lineRule="auto"/>
        <w:jc w:val="both"/>
        <w:rPr>
          <w:rFonts w:cs="Times New Roman"/>
          <w:noProof/>
          <w:sz w:val="20"/>
        </w:rPr>
      </w:pPr>
      <w:r>
        <w:rPr>
          <w:rFonts w:cs="Times New Roman"/>
          <w:noProof/>
          <w:sz w:val="20"/>
        </w:rPr>
        <w:t>Where Portugal leads in environmental implementation, it could share its innovative approaches more widely among other countries. Good examples are:</w:t>
      </w:r>
    </w:p>
    <w:p w:rsidR="004C5536" w:rsidRDefault="003D3C7F">
      <w:pPr>
        <w:widowControl w:val="0"/>
        <w:numPr>
          <w:ilvl w:val="0"/>
          <w:numId w:val="34"/>
        </w:numPr>
        <w:spacing w:after="120" w:line="240" w:lineRule="auto"/>
        <w:contextualSpacing/>
        <w:jc w:val="both"/>
        <w:rPr>
          <w:rFonts w:cs="Times New Roman"/>
          <w:noProof/>
          <w:sz w:val="20"/>
          <w:lang w:eastAsia="ja-JP"/>
        </w:rPr>
      </w:pPr>
      <w:r>
        <w:rPr>
          <w:rFonts w:cs="Times New Roman"/>
          <w:noProof/>
          <w:sz w:val="20"/>
          <w:lang w:eastAsia="ja-JP"/>
        </w:rPr>
        <w:t>The creation of a "Commission for Green Tax Reform" in 2014 and the subsequent r</w:t>
      </w:r>
      <w:r>
        <w:rPr>
          <w:rFonts w:cs="Times New Roman"/>
          <w:noProof/>
          <w:sz w:val="20"/>
          <w:lang w:eastAsia="ja-JP"/>
        </w:rPr>
        <w:t>eform of the Portuguese tax system in 2015 in order to foster environmental taxation.</w:t>
      </w:r>
    </w:p>
    <w:p w:rsidR="004C5536" w:rsidRDefault="003D3C7F">
      <w:pPr>
        <w:widowControl w:val="0"/>
        <w:numPr>
          <w:ilvl w:val="0"/>
          <w:numId w:val="34"/>
        </w:numPr>
        <w:spacing w:after="120" w:line="240" w:lineRule="auto"/>
        <w:contextualSpacing/>
        <w:jc w:val="both"/>
        <w:rPr>
          <w:rFonts w:cs="Times New Roman"/>
          <w:noProof/>
          <w:sz w:val="20"/>
          <w:lang w:eastAsia="ja-JP"/>
        </w:rPr>
      </w:pPr>
      <w:r>
        <w:rPr>
          <w:rFonts w:cs="Times New Roman"/>
          <w:noProof/>
          <w:sz w:val="20"/>
          <w:lang w:eastAsia="ja-JP"/>
        </w:rPr>
        <w:t>The national strategy "Commitment for Green Growth" adopted by the Portuguese government in 2015.</w:t>
      </w:r>
    </w:p>
    <w:p w:rsidR="004C5536" w:rsidRDefault="003D3C7F">
      <w:pPr>
        <w:widowControl w:val="0"/>
        <w:numPr>
          <w:ilvl w:val="0"/>
          <w:numId w:val="34"/>
        </w:numPr>
        <w:spacing w:after="120" w:line="240" w:lineRule="auto"/>
        <w:contextualSpacing/>
        <w:jc w:val="both"/>
        <w:rPr>
          <w:rFonts w:cs="Times New Roman"/>
          <w:noProof/>
          <w:sz w:val="20"/>
          <w:lang w:eastAsia="ja-JP"/>
        </w:rPr>
      </w:pPr>
      <w:r>
        <w:rPr>
          <w:rFonts w:cs="Times New Roman"/>
          <w:noProof/>
          <w:sz w:val="20"/>
          <w:lang w:eastAsia="ja-JP"/>
        </w:rPr>
        <w:t>The improvements in the quality of the drinking water supply systems exp</w:t>
      </w:r>
      <w:r>
        <w:rPr>
          <w:rFonts w:cs="Times New Roman"/>
          <w:noProof/>
          <w:sz w:val="20"/>
          <w:lang w:eastAsia="ja-JP"/>
        </w:rPr>
        <w:t>erienced over the last decade.</w:t>
      </w: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4C5536">
      <w:pPr>
        <w:widowControl w:val="0"/>
        <w:spacing w:after="120" w:line="240" w:lineRule="auto"/>
        <w:contextualSpacing/>
        <w:jc w:val="both"/>
        <w:rPr>
          <w:rFonts w:cs="Times New Roman"/>
          <w:noProof/>
          <w:sz w:val="20"/>
          <w:lang w:eastAsia="ja-JP"/>
        </w:rPr>
      </w:pPr>
    </w:p>
    <w:p w:rsidR="004C5536" w:rsidRDefault="003D3C7F">
      <w:pPr>
        <w:rPr>
          <w:rFonts w:cs="Times New Roman"/>
          <w:noProof/>
          <w:sz w:val="20"/>
          <w:lang w:eastAsia="ja-JP"/>
        </w:rPr>
      </w:pPr>
      <w:r>
        <w:rPr>
          <w:rFonts w:cs="Times New Roman"/>
          <w:noProof/>
          <w:sz w:val="20"/>
          <w:lang w:eastAsia="ja-JP"/>
        </w:rPr>
        <w:br w:type="page"/>
      </w:r>
    </w:p>
    <w:p w:rsidR="004C5536" w:rsidRDefault="004C5536">
      <w:pPr>
        <w:widowControl w:val="0"/>
        <w:spacing w:after="120" w:line="240" w:lineRule="auto"/>
        <w:contextualSpacing/>
        <w:jc w:val="both"/>
        <w:rPr>
          <w:rFonts w:cs="Times New Roman"/>
          <w:noProof/>
          <w:sz w:val="20"/>
          <w:lang w:eastAsia="ja-JP"/>
        </w:rPr>
        <w:sectPr w:rsidR="004C5536">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440" w:right="1080" w:bottom="1440" w:left="1080" w:header="709" w:footer="709" w:gutter="0"/>
          <w:cols w:num="2" w:space="360"/>
          <w:docGrid w:linePitch="360"/>
        </w:sectPr>
      </w:pPr>
    </w:p>
    <w:p w:rsidR="004C5536" w:rsidRDefault="004C5536">
      <w:pPr>
        <w:widowControl w:val="0"/>
        <w:spacing w:after="120" w:line="240" w:lineRule="auto"/>
        <w:jc w:val="both"/>
        <w:rPr>
          <w:rFonts w:cs="Times New Roman"/>
          <w:noProof/>
          <w:sz w:val="20"/>
        </w:rPr>
        <w:sectPr w:rsidR="004C5536">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6"/>
          <w:cols w:space="360"/>
          <w:docGrid w:linePitch="360"/>
        </w:sectPr>
      </w:pPr>
    </w:p>
    <w:p w:rsidR="004C5536" w:rsidRDefault="003D3C7F">
      <w:pPr>
        <w:keepLines/>
        <w:widowControl w:val="0"/>
        <w:spacing w:after="0" w:line="240" w:lineRule="auto"/>
        <w:jc w:val="center"/>
        <w:outlineLvl w:val="0"/>
        <w:rPr>
          <w:rFonts w:eastAsiaTheme="majorEastAsia" w:cstheme="majorBidi"/>
          <w:b/>
          <w:bCs/>
          <w:noProof/>
          <w:color w:val="1F497D" w:themeColor="text2"/>
          <w:sz w:val="32"/>
          <w:szCs w:val="28"/>
        </w:rPr>
      </w:pPr>
      <w:bookmarkStart w:id="6" w:name="_Toc433296150"/>
      <w:bookmarkStart w:id="7" w:name="_Toc469492745"/>
      <w:r>
        <w:rPr>
          <w:rFonts w:eastAsiaTheme="majorEastAsia" w:cstheme="majorBidi"/>
          <w:b/>
          <w:bCs/>
          <w:noProof/>
          <w:color w:val="1F497D" w:themeColor="text2"/>
          <w:sz w:val="32"/>
          <w:szCs w:val="28"/>
        </w:rPr>
        <w:t>Part I: Thematic Areas</w:t>
      </w:r>
      <w:bookmarkEnd w:id="6"/>
      <w:bookmarkEnd w:id="7"/>
    </w:p>
    <w:p w:rsidR="004C5536" w:rsidRDefault="004C5536">
      <w:pPr>
        <w:widowControl w:val="0"/>
        <w:spacing w:after="120" w:line="240" w:lineRule="auto"/>
        <w:jc w:val="both"/>
        <w:rPr>
          <w:rFonts w:cs="Times New Roman"/>
          <w:noProof/>
          <w:sz w:val="20"/>
        </w:rPr>
      </w:pPr>
    </w:p>
    <w:p w:rsidR="004C5536" w:rsidRDefault="003D3C7F">
      <w:pPr>
        <w:keepLines/>
        <w:widowControl w:val="0"/>
        <w:numPr>
          <w:ilvl w:val="0"/>
          <w:numId w:val="24"/>
        </w:numPr>
        <w:spacing w:after="0" w:line="240" w:lineRule="auto"/>
        <w:jc w:val="center"/>
        <w:outlineLvl w:val="0"/>
        <w:rPr>
          <w:rFonts w:eastAsiaTheme="majorEastAsia" w:cstheme="majorBidi"/>
          <w:b/>
          <w:bCs/>
          <w:noProof/>
          <w:color w:val="1F497D" w:themeColor="text2"/>
          <w:sz w:val="32"/>
          <w:szCs w:val="28"/>
        </w:rPr>
      </w:pPr>
      <w:bookmarkStart w:id="8" w:name="_Toc433296151"/>
      <w:bookmarkStart w:id="9" w:name="_Toc469492746"/>
      <w:r>
        <w:rPr>
          <w:rFonts w:eastAsiaTheme="majorEastAsia" w:cstheme="majorBidi"/>
          <w:b/>
          <w:bCs/>
          <w:noProof/>
          <w:color w:val="1F497D" w:themeColor="text2"/>
          <w:sz w:val="32"/>
          <w:szCs w:val="28"/>
        </w:rPr>
        <w:t>Turning the EU into a circular, resource-efficient, green and competitive low-carbon economy</w:t>
      </w:r>
      <w:bookmarkEnd w:id="8"/>
      <w:bookmarkEnd w:id="9"/>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sectPr w:rsidR="004C5536">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40" w:right="1080" w:bottom="1440" w:left="1080" w:header="708" w:footer="708" w:gutter="0"/>
          <w:pgNumType w:start="1"/>
          <w:cols w:space="708"/>
          <w:docGrid w:linePitch="360"/>
        </w:sectPr>
      </w:pPr>
    </w:p>
    <w:p w:rsidR="004C5536" w:rsidRDefault="003D3C7F">
      <w:pPr>
        <w:widowControl w:val="0"/>
        <w:spacing w:after="240" w:line="240" w:lineRule="auto"/>
        <w:jc w:val="both"/>
        <w:outlineLvl w:val="1"/>
        <w:rPr>
          <w:rFonts w:cs="Times New Roman"/>
          <w:b/>
          <w:noProof/>
          <w:color w:val="1F497D" w:themeColor="text2"/>
          <w:sz w:val="24"/>
          <w:lang w:eastAsia="en-GB"/>
        </w:rPr>
      </w:pPr>
      <w:bookmarkStart w:id="10" w:name="_Toc454377324"/>
      <w:bookmarkStart w:id="11" w:name="_Toc469492747"/>
      <w:r>
        <w:rPr>
          <w:rFonts w:cs="Times New Roman"/>
          <w:b/>
          <w:noProof/>
          <w:color w:val="1F497D" w:themeColor="text2"/>
          <w:sz w:val="24"/>
          <w:lang w:eastAsia="en-GB"/>
        </w:rPr>
        <w:t>Developing a circular economy and improving resource efficiency</w:t>
      </w:r>
      <w:bookmarkEnd w:id="10"/>
      <w:bookmarkEnd w:id="11"/>
    </w:p>
    <w:p w:rsidR="004C5536" w:rsidRDefault="003D3C7F">
      <w:pPr>
        <w:widowControl w:val="0"/>
        <w:shd w:val="clear" w:color="auto" w:fill="4F81BD" w:themeFill="accent1"/>
        <w:spacing w:before="120" w:after="120" w:line="240" w:lineRule="auto"/>
        <w:jc w:val="both"/>
        <w:rPr>
          <w:rFonts w:cs="Times New Roman"/>
          <w:noProof/>
          <w:color w:val="FFFFFF" w:themeColor="background1"/>
          <w:sz w:val="20"/>
        </w:rPr>
      </w:pPr>
      <w:r>
        <w:rPr>
          <w:rFonts w:cs="Times New Roman"/>
          <w:noProof/>
          <w:color w:val="FFFFFF" w:themeColor="background1"/>
          <w:sz w:val="20"/>
        </w:rPr>
        <w:t xml:space="preserve">The 2015 Circular Economy Package emphasizes the need to move towards a lifecycle-driven ‘circular’ economy, with a cascading use of resources and residual </w:t>
      </w:r>
      <w:r>
        <w:rPr>
          <w:rFonts w:cs="Times New Roman"/>
          <w:noProof/>
          <w:color w:val="FFFFFF" w:themeColor="background1"/>
          <w:sz w:val="20"/>
        </w:rPr>
        <w:t>waste that is close to zero. This can be facilitated by the development of, and access to, innovative financial instruments and funding for eco-innovation.</w:t>
      </w:r>
    </w:p>
    <w:p w:rsidR="004C5536" w:rsidRDefault="003D3C7F">
      <w:pPr>
        <w:widowControl w:val="0"/>
        <w:shd w:val="clear" w:color="auto" w:fill="4F81BD" w:themeFill="accent1"/>
        <w:spacing w:after="120" w:line="240" w:lineRule="auto"/>
        <w:jc w:val="both"/>
        <w:rPr>
          <w:rFonts w:cs="Times New Roman"/>
          <w:bCs/>
          <w:noProof/>
          <w:color w:val="FFFFFF" w:themeColor="background1"/>
          <w:sz w:val="20"/>
        </w:rPr>
      </w:pPr>
      <w:r>
        <w:rPr>
          <w:rFonts w:cs="Times New Roman"/>
          <w:bCs/>
          <w:noProof/>
          <w:color w:val="FFFFFF" w:themeColor="background1"/>
          <w:sz w:val="20"/>
        </w:rPr>
        <w:t>SDG 8 invites countries to promote sustained, inclusive and sustainable economic growth, full and pr</w:t>
      </w:r>
      <w:r>
        <w:rPr>
          <w:rFonts w:cs="Times New Roman"/>
          <w:bCs/>
          <w:noProof/>
          <w:color w:val="FFFFFF" w:themeColor="background1"/>
          <w:sz w:val="20"/>
        </w:rPr>
        <w:t>oductive employment and decent work for all. SDG 9 highlights the need to build resilient infrastructure, promote inclusive and sustainable industrialization and foster innovation. SDG 12 encourages countries to achieve the sustainable management and effic</w:t>
      </w:r>
      <w:r>
        <w:rPr>
          <w:rFonts w:cs="Times New Roman"/>
          <w:bCs/>
          <w:noProof/>
          <w:color w:val="FFFFFF" w:themeColor="background1"/>
          <w:sz w:val="20"/>
        </w:rPr>
        <w:t>ient use of natural resources by 2030.</w:t>
      </w:r>
    </w:p>
    <w:p w:rsidR="004C5536" w:rsidRDefault="003D3C7F">
      <w:pPr>
        <w:widowControl w:val="0"/>
        <w:spacing w:before="360" w:after="120" w:line="240" w:lineRule="auto"/>
        <w:jc w:val="both"/>
        <w:outlineLvl w:val="2"/>
        <w:rPr>
          <w:rFonts w:cs="Times New Roman"/>
          <w:b/>
          <w:noProof/>
          <w:color w:val="1F497D" w:themeColor="text2"/>
        </w:rPr>
      </w:pPr>
      <w:r>
        <w:rPr>
          <w:rFonts w:cs="Times New Roman"/>
          <w:b/>
          <w:noProof/>
          <w:color w:val="1F497D" w:themeColor="text2"/>
        </w:rPr>
        <w:t>Measures towards a circular economy</w:t>
      </w:r>
    </w:p>
    <w:p w:rsidR="004C5536" w:rsidRDefault="003D3C7F">
      <w:pPr>
        <w:widowControl w:val="0"/>
        <w:spacing w:before="120" w:after="120" w:line="240" w:lineRule="auto"/>
        <w:jc w:val="both"/>
        <w:rPr>
          <w:rFonts w:cs="Times New Roman"/>
          <w:noProof/>
          <w:sz w:val="20"/>
        </w:rPr>
      </w:pPr>
      <w:r>
        <w:rPr>
          <w:rFonts w:cs="Times New Roman"/>
          <w:noProof/>
          <w:sz w:val="20"/>
        </w:rPr>
        <w:t xml:space="preserve">Transforming our economies from linear to circular offers an opportunity to reinvent them and make them more sustainable and competitive. This will stimulate investments and bring </w:t>
      </w:r>
      <w:r>
        <w:rPr>
          <w:rFonts w:cs="Times New Roman"/>
          <w:noProof/>
          <w:sz w:val="20"/>
        </w:rPr>
        <w:t>both short and long-term benefits for the economy, environment and citizens alike</w:t>
      </w:r>
      <w:r>
        <w:rPr>
          <w:rFonts w:cs="Times New Roman"/>
          <w:noProof/>
          <w:sz w:val="20"/>
          <w:vertAlign w:val="superscript"/>
        </w:rPr>
        <w:footnoteReference w:id="5"/>
      </w:r>
      <w:r>
        <w:rPr>
          <w:rFonts w:cs="Times New Roman"/>
          <w:noProof/>
          <w:sz w:val="20"/>
        </w:rPr>
        <w:t>.</w:t>
      </w:r>
    </w:p>
    <w:p w:rsidR="004C5536" w:rsidRDefault="003D3C7F">
      <w:pPr>
        <w:widowControl w:val="0"/>
        <w:spacing w:before="120" w:after="120" w:line="240" w:lineRule="auto"/>
        <w:jc w:val="both"/>
        <w:rPr>
          <w:rFonts w:cs="Times New Roman"/>
          <w:noProof/>
          <w:sz w:val="20"/>
        </w:rPr>
      </w:pPr>
      <w:r>
        <w:rPr>
          <w:rFonts w:cs="Times New Roman"/>
          <w:noProof/>
          <w:sz w:val="20"/>
        </w:rPr>
        <w:t>A number of studies have shown at European level the positive link between environmental performance and job creation</w:t>
      </w:r>
      <w:r>
        <w:rPr>
          <w:rFonts w:cs="Times New Roman"/>
          <w:noProof/>
          <w:sz w:val="20"/>
          <w:vertAlign w:val="superscript"/>
        </w:rPr>
        <w:footnoteReference w:id="6"/>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Pressure on material resources is one of the long-te</w:t>
      </w:r>
      <w:r>
        <w:rPr>
          <w:rFonts w:cs="Times New Roman"/>
          <w:noProof/>
          <w:sz w:val="20"/>
        </w:rPr>
        <w:t>rm trends affecting job creation and growth in the EU.</w:t>
      </w:r>
    </w:p>
    <w:p w:rsidR="004C5536" w:rsidRDefault="003D3C7F">
      <w:pPr>
        <w:widowControl w:val="0"/>
        <w:spacing w:after="120" w:line="240" w:lineRule="auto"/>
        <w:jc w:val="both"/>
        <w:rPr>
          <w:rFonts w:cs="Times New Roman"/>
          <w:noProof/>
          <w:sz w:val="20"/>
        </w:rPr>
      </w:pPr>
      <w:r>
        <w:rPr>
          <w:rFonts w:cs="Times New Roman"/>
          <w:noProof/>
          <w:sz w:val="20"/>
        </w:rPr>
        <w:t>In terms of resource productivity (how efficiently the economy uses material resources to produce wealth), Portugal has the 17</w:t>
      </w:r>
      <w:r>
        <w:rPr>
          <w:rFonts w:cs="Times New Roman"/>
          <w:noProof/>
          <w:sz w:val="20"/>
          <w:vertAlign w:val="superscript"/>
        </w:rPr>
        <w:t>th</w:t>
      </w:r>
      <w:r>
        <w:rPr>
          <w:rFonts w:cs="Times New Roman"/>
          <w:noProof/>
          <w:sz w:val="20"/>
        </w:rPr>
        <w:t xml:space="preserve"> place in the EU (according to the resource productivity indicator) with </w:t>
      </w:r>
      <w:r>
        <w:rPr>
          <w:rFonts w:cs="Times New Roman"/>
          <w:noProof/>
          <w:sz w:val="20"/>
        </w:rPr>
        <w:t>1.10 EUR/kg (EU average is 2.0 EUR/kg) in 2015</w:t>
      </w:r>
      <w:r>
        <w:rPr>
          <w:rFonts w:cs="Times New Roman"/>
          <w:noProof/>
          <w:sz w:val="20"/>
          <w:vertAlign w:val="superscript"/>
        </w:rPr>
        <w:footnoteReference w:id="7"/>
      </w:r>
      <w:r>
        <w:rPr>
          <w:rFonts w:cs="Times New Roman"/>
          <w:noProof/>
          <w:sz w:val="20"/>
        </w:rPr>
        <w:t>.</w:t>
      </w:r>
    </w:p>
    <w:p w:rsidR="004C5536" w:rsidRDefault="003D3C7F">
      <w:pPr>
        <w:widowControl w:val="0"/>
        <w:spacing w:after="240" w:line="240" w:lineRule="auto"/>
        <w:jc w:val="both"/>
        <w:rPr>
          <w:rFonts w:cs="Times New Roman"/>
          <w:noProof/>
          <w:sz w:val="20"/>
        </w:rPr>
      </w:pPr>
      <w:r>
        <w:rPr>
          <w:rFonts w:cs="Times New Roman"/>
          <w:noProof/>
          <w:sz w:val="20"/>
        </w:rPr>
        <w:t>Figure 1 shows that while the resource productivity has increased overall since 2007, it is slightly decreasing in 2015 compared to 2014. Therefore, there is clear room for improvement in this field.</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c>
          <w:tcPr>
            <w:tcW w:w="4909" w:type="dxa"/>
          </w:tcPr>
          <w:p w:rsidR="004C5536" w:rsidRDefault="003D3C7F">
            <w:pPr>
              <w:widowControl w:val="0"/>
              <w:jc w:val="both"/>
              <w:rPr>
                <w:rFonts w:cs="Times New Roman"/>
                <w:noProof/>
                <w:color w:val="1F497D" w:themeColor="text2"/>
                <w:sz w:val="20"/>
              </w:rPr>
            </w:pPr>
            <w:r>
              <w:rPr>
                <w:b/>
                <w:bCs/>
                <w:noProof/>
                <w:color w:val="1F497D" w:themeColor="text2"/>
                <w:sz w:val="20"/>
              </w:rPr>
              <w:t xml:space="preserve">Figure </w:t>
            </w:r>
            <w:r>
              <w:rPr>
                <w:b/>
                <w:bCs/>
                <w:noProof/>
                <w:color w:val="1F497D" w:themeColor="text2"/>
                <w:sz w:val="20"/>
              </w:rPr>
              <w:t>1: Resource productivity 2003-15</w:t>
            </w:r>
            <w:r>
              <w:rPr>
                <w:b/>
                <w:bCs/>
                <w:noProof/>
                <w:color w:val="1F497D" w:themeColor="text2"/>
                <w:sz w:val="20"/>
                <w:vertAlign w:val="superscript"/>
              </w:rPr>
              <w:footnoteReference w:id="8"/>
            </w:r>
          </w:p>
        </w:tc>
      </w:tr>
      <w:tr w:rsidR="004C5536">
        <w:tc>
          <w:tcPr>
            <w:tcW w:w="4909" w:type="dxa"/>
          </w:tcPr>
          <w:p w:rsidR="004C5536" w:rsidRDefault="003D3C7F">
            <w:pPr>
              <w:spacing w:after="120"/>
              <w:jc w:val="both"/>
              <w:rPr>
                <w:rFonts w:cs="Times New Roman"/>
                <w:noProof/>
                <w:sz w:val="20"/>
              </w:rPr>
            </w:pPr>
            <w:r>
              <w:rPr>
                <w:rFonts w:cs="Times New Roman"/>
                <w:noProof/>
                <w:sz w:val="20"/>
                <w:lang w:eastAsia="en-GB"/>
              </w:rPr>
              <w:drawing>
                <wp:inline distT="0" distB="0" distL="0" distR="0" wp14:anchorId="61950082" wp14:editId="2C4167E0">
                  <wp:extent cx="3019425" cy="20044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2866" cy="2006743"/>
                          </a:xfrm>
                          <a:prstGeom prst="rect">
                            <a:avLst/>
                          </a:prstGeom>
                          <a:noFill/>
                        </pic:spPr>
                      </pic:pic>
                    </a:graphicData>
                  </a:graphic>
                </wp:inline>
              </w:drawing>
            </w:r>
          </w:p>
        </w:tc>
      </w:tr>
    </w:tbl>
    <w:p w:rsidR="004C5536" w:rsidRDefault="003D3C7F">
      <w:pPr>
        <w:spacing w:before="120" w:after="360" w:line="240" w:lineRule="auto"/>
        <w:jc w:val="both"/>
        <w:rPr>
          <w:rFonts w:cs="Times New Roman"/>
          <w:noProof/>
          <w:sz w:val="20"/>
        </w:rPr>
      </w:pPr>
      <w:r>
        <w:rPr>
          <w:rFonts w:cs="Times New Roman"/>
          <w:noProof/>
          <w:sz w:val="20"/>
        </w:rPr>
        <w:t xml:space="preserve">From 2013 to 2015 several national plans were revised (waste, water), placing strong emphasis on efficiency and meeting EU targets in the most cost-effective way, and new types of policies were introduced (e.g. Green </w:t>
      </w:r>
      <w:r>
        <w:rPr>
          <w:rFonts w:cs="Times New Roman"/>
          <w:noProof/>
          <w:sz w:val="20"/>
        </w:rPr>
        <w:t>Taxation Reform). It can be specially highlighted the Green Growth Commitment, a national strategy adopted with the purpose of reorienting the country's economic development which is now focusing on the circular economy. These initiatives will be developed</w:t>
      </w:r>
      <w:r>
        <w:rPr>
          <w:rFonts w:cs="Times New Roman"/>
          <w:noProof/>
          <w:sz w:val="20"/>
        </w:rPr>
        <w:t xml:space="preserve"> in next sections of this EIR country report.</w:t>
      </w:r>
    </w:p>
    <w:p w:rsidR="004C5536" w:rsidRDefault="003D3C7F">
      <w:pPr>
        <w:widowControl w:val="0"/>
        <w:spacing w:after="120" w:line="240" w:lineRule="auto"/>
        <w:jc w:val="both"/>
        <w:outlineLvl w:val="2"/>
        <w:rPr>
          <w:rFonts w:cs="Times New Roman"/>
          <w:b/>
          <w:noProof/>
          <w:color w:val="1F497D" w:themeColor="text2"/>
        </w:rPr>
      </w:pPr>
      <w:r>
        <w:rPr>
          <w:rFonts w:cs="Times New Roman"/>
          <w:b/>
          <w:noProof/>
          <w:color w:val="1F497D" w:themeColor="text2"/>
        </w:rPr>
        <w:t>SMEs and resource efficiency</w:t>
      </w:r>
    </w:p>
    <w:p w:rsidR="004C5536" w:rsidRDefault="003D3C7F">
      <w:pPr>
        <w:suppressAutoHyphens/>
        <w:spacing w:after="120" w:line="240" w:lineRule="auto"/>
        <w:jc w:val="both"/>
        <w:rPr>
          <w:rFonts w:cs="Times New Roman"/>
          <w:noProof/>
          <w:sz w:val="20"/>
        </w:rPr>
      </w:pPr>
      <w:r>
        <w:rPr>
          <w:rFonts w:cs="Times New Roman"/>
          <w:noProof/>
          <w:sz w:val="20"/>
        </w:rPr>
        <w:t>Portuguese SMEs account for more than two thirds of total value added (compared with an average of 57 % in the EU) and nearly four out of five jobs (against two out of three jobs in</w:t>
      </w:r>
      <w:r>
        <w:rPr>
          <w:rFonts w:cs="Times New Roman"/>
          <w:noProof/>
          <w:sz w:val="20"/>
        </w:rPr>
        <w:t xml:space="preserve"> the EU on average). Despite a more positive outlook since 2013, the recession period of 2008 continues to have an impact</w:t>
      </w:r>
      <w:r>
        <w:rPr>
          <w:rStyle w:val="FootnoteReference"/>
          <w:rFonts w:cs="Times New Roman"/>
          <w:noProof/>
          <w:sz w:val="20"/>
        </w:rPr>
        <w:footnoteReference w:id="9"/>
      </w:r>
      <w:r>
        <w:rPr>
          <w:rFonts w:cs="Times New Roman"/>
          <w:noProof/>
          <w:sz w:val="20"/>
        </w:rPr>
        <w:t>.</w:t>
      </w:r>
    </w:p>
    <w:p w:rsidR="004C5536" w:rsidRDefault="003D3C7F">
      <w:pPr>
        <w:suppressAutoHyphens/>
        <w:spacing w:after="120" w:line="240" w:lineRule="auto"/>
        <w:jc w:val="both"/>
        <w:rPr>
          <w:rFonts w:ascii="Calibri" w:eastAsia="Calibri" w:hAnsi="Calibri" w:cs="Times New Roman"/>
          <w:noProof/>
          <w:sz w:val="20"/>
          <w:lang w:eastAsia="ar-SA"/>
        </w:rPr>
      </w:pPr>
      <w:r>
        <w:rPr>
          <w:rFonts w:cs="Times New Roman"/>
          <w:noProof/>
          <w:sz w:val="20"/>
        </w:rPr>
        <w:t>The performance of Portuguese SMEs is above EU average on several indicators on resource efficiency and green markets. 58% of Portug</w:t>
      </w:r>
      <w:r>
        <w:rPr>
          <w:rFonts w:cs="Times New Roman"/>
          <w:noProof/>
          <w:sz w:val="20"/>
        </w:rPr>
        <w:t>al's SMEs have invested up to 5% of their annual turnover in their resource efficiency actions (EU28 average 50%), 26 % of them are currently offering green products and services, 74% took measures to save energy (EU28 average 59%), 62% to minimise waste (</w:t>
      </w:r>
      <w:r>
        <w:rPr>
          <w:rFonts w:cs="Times New Roman"/>
          <w:noProof/>
          <w:sz w:val="20"/>
        </w:rPr>
        <w:t>EU28 average 60%), 66% to save water (EU28 average 44%), and 74% to save materials (EU28 average 54%). From a circular economy perspective, 63% took measures to recycle by reusing material or waste within the company, 51% to design products that are easier</w:t>
      </w:r>
      <w:r>
        <w:rPr>
          <w:rFonts w:cs="Times New Roman"/>
          <w:noProof/>
          <w:sz w:val="20"/>
        </w:rPr>
        <w:t xml:space="preserve"> to maintain, repair or reuse and 30% were able to sell their scrap material to another company</w:t>
      </w:r>
      <w:r>
        <w:rPr>
          <w:rStyle w:val="FootnoteReference"/>
          <w:rFonts w:cs="Times New Roman"/>
          <w:noProof/>
          <w:sz w:val="20"/>
        </w:rPr>
        <w:footnoteReference w:id="10"/>
      </w:r>
      <w:r>
        <w:rPr>
          <w:rFonts w:ascii="Calibri" w:eastAsia="Calibri" w:hAnsi="Calibri" w:cs="Times New Roman"/>
          <w:noProof/>
          <w:sz w:val="20"/>
          <w:lang w:eastAsia="ar-SA"/>
        </w:rPr>
        <w:t>.</w:t>
      </w:r>
    </w:p>
    <w:p w:rsidR="004C5536" w:rsidRDefault="003D3C7F">
      <w:pPr>
        <w:widowControl w:val="0"/>
        <w:spacing w:after="120" w:line="240" w:lineRule="auto"/>
        <w:jc w:val="both"/>
        <w:rPr>
          <w:rFonts w:cs="Times New Roman"/>
          <w:noProof/>
          <w:sz w:val="20"/>
        </w:rPr>
      </w:pPr>
      <w:r>
        <w:rPr>
          <w:rFonts w:cs="Times New Roman"/>
          <w:noProof/>
          <w:sz w:val="20"/>
        </w:rPr>
        <w:t>The EU Roadmap on Resource Efficiency outlines how we can transform Europe's economy into a sustainable one by 2050</w:t>
      </w:r>
      <w:r>
        <w:rPr>
          <w:rFonts w:cs="Times New Roman"/>
          <w:noProof/>
          <w:sz w:val="20"/>
          <w:vertAlign w:val="superscript"/>
        </w:rPr>
        <w:footnoteReference w:id="11"/>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 xml:space="preserve">Investments in innovative, cost-saving </w:t>
      </w:r>
      <w:r>
        <w:rPr>
          <w:rFonts w:cs="Times New Roman"/>
          <w:noProof/>
          <w:sz w:val="20"/>
        </w:rPr>
        <w:t>measures by SMEs to reduce resource- and energy use have the potential to result in high cost savings. Thus, according to a study, for only four SME sectors (food &amp; beverages; energy, power &amp; utilities; environmental technologies; construction) the savings</w:t>
      </w:r>
      <w:r>
        <w:rPr>
          <w:rFonts w:cs="Times New Roman"/>
          <w:noProof/>
          <w:sz w:val="20"/>
        </w:rPr>
        <w:t xml:space="preserve"> that would strengthen their competitiveness could already amount to EUR 882 million in Portugal</w:t>
      </w:r>
      <w:r>
        <w:rPr>
          <w:rFonts w:cs="Times New Roman"/>
          <w:noProof/>
          <w:sz w:val="20"/>
          <w:vertAlign w:val="superscript"/>
        </w:rPr>
        <w:footnoteReference w:id="12"/>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Another recent study offers a detailed analysis of the level of application of business support measures to improve resource efficiency applied in the EU Mem</w:t>
      </w:r>
      <w:r>
        <w:rPr>
          <w:rFonts w:cs="Times New Roman"/>
          <w:noProof/>
          <w:sz w:val="20"/>
        </w:rPr>
        <w:t>ber States</w:t>
      </w:r>
      <w:r>
        <w:rPr>
          <w:rFonts w:cs="Times New Roman"/>
          <w:noProof/>
          <w:sz w:val="20"/>
          <w:vertAlign w:val="superscript"/>
        </w:rPr>
        <w:footnoteReference w:id="13"/>
      </w:r>
      <w:r>
        <w:rPr>
          <w:rFonts w:cs="Times New Roman"/>
          <w:noProof/>
          <w:sz w:val="20"/>
        </w:rPr>
        <w:t xml:space="preserve">. This study shows that Portugal has implemented a few resource efficiency measures for businesses. In this sense, it appears that measures supporting Industrial Symbiosis have been more successful as there is an electronic negotiation platform </w:t>
      </w:r>
      <w:r>
        <w:rPr>
          <w:rFonts w:cs="Times New Roman"/>
          <w:noProof/>
          <w:sz w:val="20"/>
        </w:rPr>
        <w:t>promoting the interaction between supply and demand of waste. Further measures identified, reflect the concentrated efforts in supporting voluntary agreements, providing targeted resource efficiency information and building resource efficiency skills withi</w:t>
      </w:r>
      <w:r>
        <w:rPr>
          <w:rFonts w:cs="Times New Roman"/>
          <w:noProof/>
          <w:sz w:val="20"/>
        </w:rPr>
        <w:t>n business.</w:t>
      </w:r>
    </w:p>
    <w:p w:rsidR="004C5536" w:rsidRDefault="003D3C7F">
      <w:pPr>
        <w:widowControl w:val="0"/>
        <w:spacing w:after="120" w:line="240" w:lineRule="auto"/>
        <w:jc w:val="both"/>
        <w:rPr>
          <w:rFonts w:cs="Times New Roman"/>
          <w:noProof/>
          <w:sz w:val="20"/>
        </w:rPr>
      </w:pPr>
      <w:r>
        <w:rPr>
          <w:rFonts w:cs="Times New Roman"/>
          <w:noProof/>
          <w:sz w:val="20"/>
        </w:rPr>
        <w:t>Initiatives such as the Ecopol project are fundamental to kick start the necessary network and interaction among different stakeholders to identify the eco-innovation champions, initiatives, products and services, and to demonstrate the benefit</w:t>
      </w:r>
      <w:r>
        <w:rPr>
          <w:rFonts w:cs="Times New Roman"/>
          <w:noProof/>
          <w:sz w:val="20"/>
        </w:rPr>
        <w:t>s for business and the society. This 2014 project brought together public institutions and the private sector in the sustainable habitat cluster, to propose policy instruments and tools specifically aimed at improving the use of sustainable construction ma</w:t>
      </w:r>
      <w:r>
        <w:rPr>
          <w:rFonts w:cs="Times New Roman"/>
          <w:noProof/>
          <w:sz w:val="20"/>
        </w:rPr>
        <w:t>terials by public institutions and the community.</w:t>
      </w:r>
    </w:p>
    <w:p w:rsidR="004C5536" w:rsidRDefault="003D3C7F">
      <w:pPr>
        <w:widowControl w:val="0"/>
        <w:spacing w:after="360" w:line="240" w:lineRule="auto"/>
        <w:jc w:val="both"/>
        <w:rPr>
          <w:rFonts w:cs="Times New Roman"/>
          <w:noProof/>
          <w:sz w:val="20"/>
        </w:rPr>
      </w:pPr>
      <w:r>
        <w:rPr>
          <w:rFonts w:cs="Times New Roman"/>
          <w:noProof/>
          <w:sz w:val="20"/>
        </w:rPr>
        <w:t>At the industry level, several initiatives were launched in 2015 specifically targeting resource efficiency through eco-innovation in industry, serving as “living labs” to pilot technologies, sharing of bes</w:t>
      </w:r>
      <w:r>
        <w:rPr>
          <w:rFonts w:cs="Times New Roman"/>
          <w:noProof/>
          <w:sz w:val="20"/>
        </w:rPr>
        <w:t>t practices and providing a platform to raise awareness on circular economy and the future of the industry. Three such initiatives were streamlined by the Portuguese Companies Association</w:t>
      </w:r>
      <w:r>
        <w:rPr>
          <w:rFonts w:cs="Times New Roman"/>
          <w:noProof/>
          <w:sz w:val="20"/>
          <w:vertAlign w:val="superscript"/>
        </w:rPr>
        <w:footnoteReference w:id="14"/>
      </w:r>
      <w:r>
        <w:rPr>
          <w:rFonts w:cs="Times New Roman"/>
          <w:noProof/>
          <w:sz w:val="20"/>
        </w:rPr>
        <w:t>: the Efinerg</w:t>
      </w:r>
      <w:r>
        <w:rPr>
          <w:rFonts w:cs="Times New Roman"/>
          <w:noProof/>
          <w:sz w:val="20"/>
          <w:vertAlign w:val="superscript"/>
        </w:rPr>
        <w:footnoteReference w:id="15"/>
      </w:r>
      <w:r>
        <w:rPr>
          <w:rFonts w:cs="Times New Roman"/>
          <w:noProof/>
          <w:sz w:val="20"/>
        </w:rPr>
        <w:t xml:space="preserve"> project, aimed at energy efficiency practices and tec</w:t>
      </w:r>
      <w:r>
        <w:rPr>
          <w:rFonts w:cs="Times New Roman"/>
          <w:noProof/>
          <w:sz w:val="20"/>
        </w:rPr>
        <w:t>hnologies in industry; Ecoprodutin</w:t>
      </w:r>
      <w:r>
        <w:rPr>
          <w:rFonts w:cs="Times New Roman"/>
          <w:noProof/>
          <w:sz w:val="20"/>
          <w:vertAlign w:val="superscript"/>
        </w:rPr>
        <w:footnoteReference w:id="16"/>
      </w:r>
      <w:r>
        <w:rPr>
          <w:rFonts w:cs="Times New Roman"/>
          <w:noProof/>
          <w:sz w:val="20"/>
        </w:rPr>
        <w:t>, aimed at material and water efficiency; and Interambinerg</w:t>
      </w:r>
      <w:r>
        <w:rPr>
          <w:rFonts w:cs="Times New Roman"/>
          <w:noProof/>
          <w:sz w:val="20"/>
          <w:vertAlign w:val="superscript"/>
        </w:rPr>
        <w:footnoteReference w:id="17"/>
      </w:r>
      <w:r>
        <w:rPr>
          <w:rFonts w:cs="Times New Roman"/>
          <w:noProof/>
          <w:sz w:val="20"/>
        </w:rPr>
        <w:t>, aiming to support the internationalisation of the Portuguese sector for environmental and energy goods and services.</w:t>
      </w:r>
    </w:p>
    <w:p w:rsidR="004C5536" w:rsidRDefault="003D3C7F">
      <w:pPr>
        <w:widowControl w:val="0"/>
        <w:spacing w:after="120" w:line="240" w:lineRule="auto"/>
        <w:jc w:val="both"/>
        <w:outlineLvl w:val="2"/>
        <w:rPr>
          <w:rFonts w:cs="Times New Roman"/>
          <w:b/>
          <w:noProof/>
          <w:color w:val="1F497D" w:themeColor="text2"/>
        </w:rPr>
      </w:pPr>
      <w:r>
        <w:rPr>
          <w:rFonts w:cs="Times New Roman"/>
          <w:b/>
          <w:noProof/>
          <w:color w:val="1F497D" w:themeColor="text2"/>
        </w:rPr>
        <w:t>Eco-innovation</w:t>
      </w:r>
    </w:p>
    <w:p w:rsidR="004C5536" w:rsidRDefault="003D3C7F">
      <w:pPr>
        <w:widowControl w:val="0"/>
        <w:spacing w:after="240" w:line="240" w:lineRule="auto"/>
        <w:jc w:val="both"/>
        <w:rPr>
          <w:rFonts w:cs="Times New Roman"/>
          <w:noProof/>
          <w:sz w:val="20"/>
        </w:rPr>
      </w:pPr>
      <w:r>
        <w:rPr>
          <w:rFonts w:cs="Times New Roman"/>
          <w:noProof/>
          <w:sz w:val="20"/>
        </w:rPr>
        <w:t xml:space="preserve">In a 2013 eco-innovation </w:t>
      </w:r>
      <w:r>
        <w:rPr>
          <w:rFonts w:cs="Times New Roman"/>
          <w:noProof/>
          <w:sz w:val="20"/>
        </w:rPr>
        <w:t>scoreboard, Portugal ranked below the EU-28 average (14</w:t>
      </w:r>
      <w:r>
        <w:rPr>
          <w:rFonts w:cs="Times New Roman"/>
          <w:noProof/>
          <w:sz w:val="20"/>
          <w:vertAlign w:val="superscript"/>
        </w:rPr>
        <w:t>th</w:t>
      </w:r>
      <w:r>
        <w:rPr>
          <w:rFonts w:cs="Times New Roman"/>
          <w:noProof/>
          <w:sz w:val="20"/>
        </w:rPr>
        <w:t xml:space="preserve"> place) with an overall score of 79 (EU-28 average is 100) as shown in Figure 2.</w:t>
      </w:r>
      <w:r>
        <w:rPr>
          <w:rFonts w:cs="Times New Roman"/>
          <w:noProof/>
          <w:sz w:val="20"/>
          <w:vertAlign w:val="superscript"/>
        </w:rPr>
        <w:footnoteReference w:id="18"/>
      </w:r>
      <w:r>
        <w:rPr>
          <w:rFonts w:cs="Times New Roman"/>
          <w:noProof/>
          <w:sz w:val="20"/>
        </w:rPr>
        <w:t xml:space="preserve"> The following two years saw Portugal strengthening its position in the compound EIO score in comparison to previous y</w:t>
      </w:r>
      <w:r>
        <w:rPr>
          <w:rFonts w:cs="Times New Roman"/>
          <w:noProof/>
          <w:sz w:val="20"/>
        </w:rPr>
        <w:t>ears, improving to 101.6 and the 12</w:t>
      </w:r>
      <w:r>
        <w:rPr>
          <w:rFonts w:cs="Times New Roman"/>
          <w:noProof/>
          <w:sz w:val="20"/>
          <w:vertAlign w:val="superscript"/>
        </w:rPr>
        <w:t>th</w:t>
      </w:r>
      <w:r>
        <w:rPr>
          <w:rFonts w:cs="Times New Roman"/>
          <w:noProof/>
          <w:sz w:val="20"/>
        </w:rPr>
        <w:t xml:space="preserve"> place in the EU ranking. These results are supported by other indicators and reports, such as the Innovation Scoreboard (EC, 2015) index, which shows an improvement from 0.396 in 2013 to 0.4 in 2014 and 0.403 in 2015.</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rsidRPr="003D3C7F">
        <w:tc>
          <w:tcPr>
            <w:tcW w:w="4909" w:type="dxa"/>
          </w:tcPr>
          <w:p w:rsidR="004C5536" w:rsidRDefault="003D3C7F">
            <w:pPr>
              <w:widowControl w:val="0"/>
              <w:spacing w:after="120"/>
              <w:jc w:val="both"/>
              <w:rPr>
                <w:rFonts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en-AU"/>
              </w:rPr>
              <w:footnoteReference w:id="19"/>
            </w:r>
          </w:p>
        </w:tc>
      </w:tr>
      <w:tr w:rsidR="004C5536">
        <w:tc>
          <w:tcPr>
            <w:tcW w:w="4909" w:type="dxa"/>
          </w:tcPr>
          <w:p w:rsidR="004C5536" w:rsidRDefault="003D3C7F">
            <w:pPr>
              <w:widowControl w:val="0"/>
              <w:spacing w:after="120"/>
              <w:jc w:val="both"/>
              <w:rPr>
                <w:rFonts w:cs="Times New Roman"/>
                <w:noProof/>
                <w:sz w:val="20"/>
                <w:lang w:val="it-IT"/>
              </w:rPr>
            </w:pPr>
            <w:r>
              <w:rPr>
                <w:rFonts w:cs="Times New Roman"/>
                <w:noProof/>
                <w:sz w:val="20"/>
                <w:lang w:eastAsia="en-GB"/>
              </w:rPr>
              <w:drawing>
                <wp:inline distT="0" distB="0" distL="0" distR="0" wp14:anchorId="643ABE63" wp14:editId="3CA6B6C7">
                  <wp:extent cx="2963156" cy="40386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65011" cy="4041128"/>
                          </a:xfrm>
                          <a:prstGeom prst="rect">
                            <a:avLst/>
                          </a:prstGeom>
                          <a:noFill/>
                        </pic:spPr>
                      </pic:pic>
                    </a:graphicData>
                  </a:graphic>
                </wp:inline>
              </w:drawing>
            </w:r>
          </w:p>
        </w:tc>
      </w:tr>
    </w:tbl>
    <w:p w:rsidR="004C5536" w:rsidRDefault="003D3C7F">
      <w:pPr>
        <w:widowControl w:val="0"/>
        <w:spacing w:before="120" w:after="120" w:line="240" w:lineRule="auto"/>
        <w:jc w:val="both"/>
        <w:rPr>
          <w:rFonts w:cs="Times New Roman"/>
          <w:noProof/>
          <w:sz w:val="20"/>
        </w:rPr>
      </w:pPr>
      <w:r>
        <w:rPr>
          <w:rFonts w:cs="Times New Roman"/>
          <w:noProof/>
          <w:sz w:val="20"/>
        </w:rPr>
        <w:t xml:space="preserve">Portugal has a number of clusters in which strategies are being developed and that are very committed to eco-innovation as a differentiation factor: “HABITAT”: the Portuguese Sustainable Habitat Cluster, </w:t>
      </w:r>
      <w:r>
        <w:rPr>
          <w:rFonts w:cs="Times New Roman"/>
          <w:noProof/>
          <w:sz w:val="20"/>
        </w:rPr>
        <w:t>“Energy IN”: the Portuguese Energy Cluster and “PRODUTECH”: the Portuguese Production Technologies Cluster.</w:t>
      </w:r>
    </w:p>
    <w:p w:rsidR="004C5536" w:rsidRDefault="003D3C7F">
      <w:pPr>
        <w:widowControl w:val="0"/>
        <w:spacing w:after="120" w:line="240" w:lineRule="auto"/>
        <w:jc w:val="both"/>
        <w:rPr>
          <w:rFonts w:cs="Times New Roman"/>
          <w:noProof/>
          <w:sz w:val="20"/>
        </w:rPr>
      </w:pPr>
      <w:r>
        <w:rPr>
          <w:rFonts w:cs="Times New Roman"/>
          <w:noProof/>
          <w:sz w:val="20"/>
        </w:rPr>
        <w:t xml:space="preserve">Nevertheless, resource efficiency targets and innovation policies in Portugal have not been well connected, missing a cross-cutting integration and </w:t>
      </w:r>
      <w:r>
        <w:rPr>
          <w:rFonts w:cs="Times New Roman"/>
          <w:noProof/>
          <w:sz w:val="20"/>
        </w:rPr>
        <w:t>incentives for synergies. To remediate this, the Portuguese Government adopted in June 2016 the "Commitment to Knowledge and Science: Commitment with the Future". This is a new Agenda for the period 2016-2020, calling for coherence and coordination between</w:t>
      </w:r>
      <w:r>
        <w:rPr>
          <w:rFonts w:cs="Times New Roman"/>
          <w:noProof/>
          <w:sz w:val="20"/>
        </w:rPr>
        <w:t xml:space="preserve"> different policy areas, promoting a new policy framework for the role of knowledge in the development of the country, based on different strategic dimensions, namely in the promotion of thematic research and innovation agendas and of territorial dimension</w:t>
      </w:r>
      <w:r>
        <w:rPr>
          <w:rFonts w:cs="Times New Roman"/>
          <w:noProof/>
          <w:sz w:val="20"/>
        </w:rPr>
        <w:t xml:space="preserve"> stimulating the development of cities/regions.</w:t>
      </w:r>
    </w:p>
    <w:p w:rsidR="004C5536" w:rsidRDefault="003D3C7F">
      <w:pPr>
        <w:widowControl w:val="0"/>
        <w:spacing w:after="240" w:line="240" w:lineRule="auto"/>
        <w:jc w:val="both"/>
        <w:rPr>
          <w:rFonts w:cs="Times New Roman"/>
          <w:noProof/>
          <w:sz w:val="20"/>
        </w:rPr>
      </w:pPr>
      <w:r>
        <w:rPr>
          <w:rFonts w:cs="Times New Roman"/>
          <w:noProof/>
          <w:sz w:val="20"/>
        </w:rPr>
        <w:t xml:space="preserve">As of May 2016, Portugal has 56 EMAS registered organisations, which is a low compared to the total of 4034 organisations that hold a registration in the EU. The number of EU Ecolabel licenses in Portugal is </w:t>
      </w:r>
      <w:r>
        <w:rPr>
          <w:rFonts w:cs="Times New Roman"/>
          <w:noProof/>
          <w:sz w:val="20"/>
        </w:rPr>
        <w:t>also low.</w:t>
      </w:r>
    </w:p>
    <w:p w:rsidR="004C5536" w:rsidRDefault="003D3C7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bookmarkStart w:id="12" w:name="_Toc433296157"/>
      <w:r>
        <w:rPr>
          <w:rFonts w:cstheme="minorHAnsi"/>
          <w:noProof/>
          <w:color w:val="1F497D" w:themeColor="text2"/>
          <w:szCs w:val="26"/>
        </w:rPr>
        <w:t>s</w:t>
      </w:r>
    </w:p>
    <w:p w:rsidR="004C5536" w:rsidRDefault="003D3C7F">
      <w:pPr>
        <w:pStyle w:val="NoSpacing"/>
        <w:spacing w:after="480"/>
        <w:rPr>
          <w:noProof/>
        </w:rPr>
      </w:pPr>
      <w:r>
        <w:rPr>
          <w:noProof/>
        </w:rPr>
        <w:t>Implement a better monitoring of the circular economy policy tools in order to assess their effectiveness and be able to revise them.</w:t>
      </w:r>
    </w:p>
    <w:p w:rsidR="004C5536" w:rsidRDefault="003D3C7F">
      <w:pPr>
        <w:widowControl w:val="0"/>
        <w:spacing w:after="240" w:line="240" w:lineRule="auto"/>
        <w:jc w:val="both"/>
        <w:outlineLvl w:val="1"/>
        <w:rPr>
          <w:rFonts w:cs="Times New Roman"/>
          <w:b/>
          <w:noProof/>
          <w:color w:val="1F497D" w:themeColor="text2"/>
          <w:sz w:val="24"/>
        </w:rPr>
      </w:pPr>
      <w:bookmarkStart w:id="13" w:name="_Toc469492748"/>
      <w:r>
        <w:rPr>
          <w:rFonts w:cs="Times New Roman"/>
          <w:b/>
          <w:noProof/>
          <w:color w:val="1F497D" w:themeColor="text2"/>
          <w:sz w:val="24"/>
        </w:rPr>
        <w:t>Waste management</w:t>
      </w:r>
      <w:bookmarkEnd w:id="12"/>
      <w:bookmarkEnd w:id="13"/>
    </w:p>
    <w:p w:rsidR="004C5536" w:rsidRDefault="003D3C7F">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4C5536" w:rsidRDefault="003D3C7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w:t>
      </w:r>
      <w:r>
        <w:rPr>
          <w:noProof/>
          <w:color w:val="FFFFFF" w:themeColor="background1"/>
          <w:sz w:val="20"/>
        </w:rPr>
        <w:t>legislation, which includes the waste hierarchy; the need to ensure separate collection of waste; the landfill diversion targets etc.</w:t>
      </w:r>
    </w:p>
    <w:p w:rsidR="004C5536" w:rsidRDefault="003D3C7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4C5536" w:rsidRDefault="003D3C7F">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w:t>
      </w:r>
      <w:r>
        <w:rPr>
          <w:noProof/>
          <w:color w:val="FFFFFF" w:themeColor="background1"/>
          <w:sz w:val="20"/>
        </w:rPr>
        <w:t>terials and phasing out landfilling of recyclable or recoverable waste.</w:t>
      </w:r>
    </w:p>
    <w:p w:rsidR="004C5536" w:rsidRDefault="003D3C7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12 invites countries to substantially reduce waste generation through prevention, reduction, recycling and reuse by 2030.</w:t>
      </w:r>
    </w:p>
    <w:p w:rsidR="004C5536" w:rsidRDefault="003D3C7F">
      <w:pPr>
        <w:widowControl w:val="0"/>
        <w:spacing w:before="240" w:after="120" w:line="240" w:lineRule="auto"/>
        <w:jc w:val="both"/>
        <w:rPr>
          <w:rFonts w:cs="Times New Roman"/>
          <w:noProof/>
          <w:sz w:val="20"/>
        </w:rPr>
      </w:pPr>
      <w:r>
        <w:rPr>
          <w:rFonts w:cs="Times New Roman"/>
          <w:noProof/>
          <w:sz w:val="20"/>
        </w:rPr>
        <w:t>The EU's approach to waste management is based on the "was</w:t>
      </w:r>
      <w:r>
        <w:rPr>
          <w:rFonts w:cs="Times New Roman"/>
          <w:noProof/>
          <w:sz w:val="20"/>
        </w:rPr>
        <w:t>te hierarchy" which sets out an order of priority when shaping waste policy and managing waste at the operational level: prevention, (preparing for) reuse, recycling, recovery and, as the least preferred option, disposal (which includes landfilling and inc</w:t>
      </w:r>
      <w:r>
        <w:rPr>
          <w:rFonts w:cs="Times New Roman"/>
          <w:noProof/>
          <w:sz w:val="20"/>
        </w:rPr>
        <w:t>ineration without energy recovery).</w:t>
      </w:r>
    </w:p>
    <w:p w:rsidR="004C5536" w:rsidRDefault="003D3C7F">
      <w:pPr>
        <w:widowControl w:val="0"/>
        <w:spacing w:after="120" w:line="240" w:lineRule="auto"/>
        <w:jc w:val="both"/>
        <w:rPr>
          <w:rFonts w:cs="Times New Roman"/>
          <w:noProof/>
          <w:sz w:val="20"/>
        </w:rPr>
      </w:pPr>
      <w:r>
        <w:rPr>
          <w:rFonts w:cs="Times New Roman"/>
          <w:noProof/>
          <w:sz w:val="20"/>
        </w:rPr>
        <w:t>The progress towards reaching recycling targets and the adoption of adequate WMP/WPP</w:t>
      </w:r>
      <w:r>
        <w:rPr>
          <w:rFonts w:cs="Times New Roman"/>
          <w:noProof/>
          <w:sz w:val="20"/>
          <w:vertAlign w:val="superscript"/>
        </w:rPr>
        <w:footnoteReference w:id="20"/>
      </w:r>
      <w:r>
        <w:rPr>
          <w:rFonts w:cs="Times New Roman"/>
          <w:noProof/>
          <w:sz w:val="20"/>
        </w:rPr>
        <w:t xml:space="preserve"> are key tools to assess the performance of Member States. This section focuses on management of municipal waste for which EU law sets </w:t>
      </w:r>
      <w:r>
        <w:rPr>
          <w:rFonts w:cs="Times New Roman"/>
          <w:noProof/>
          <w:sz w:val="20"/>
        </w:rPr>
        <w:t>mandatory recycling targets.</w:t>
      </w:r>
    </w:p>
    <w:p w:rsidR="004C5536" w:rsidRDefault="003D3C7F">
      <w:pPr>
        <w:widowControl w:val="0"/>
        <w:spacing w:after="120" w:line="240" w:lineRule="auto"/>
        <w:jc w:val="both"/>
        <w:rPr>
          <w:rFonts w:eastAsia="Calibri" w:cs="Times New Roman"/>
          <w:noProof/>
          <w:sz w:val="20"/>
        </w:rPr>
      </w:pPr>
      <w:r>
        <w:rPr>
          <w:rFonts w:cs="Times New Roman"/>
          <w:noProof/>
          <w:sz w:val="20"/>
        </w:rPr>
        <w:t>The generation of municipal waste</w:t>
      </w:r>
      <w:r>
        <w:rPr>
          <w:rFonts w:cs="Times New Roman"/>
          <w:noProof/>
          <w:sz w:val="20"/>
          <w:vertAlign w:val="superscript"/>
        </w:rPr>
        <w:footnoteReference w:id="21"/>
      </w:r>
      <w:r>
        <w:rPr>
          <w:rFonts w:cs="Times New Roman"/>
          <w:noProof/>
          <w:sz w:val="20"/>
        </w:rPr>
        <w:t xml:space="preserve"> in Portugal has decreased in the recent years to 453 kg/year/inhabitant and is below the EU average (475 kg/year/inhabitant) as shown in Figure 3.</w:t>
      </w:r>
    </w:p>
    <w:p w:rsidR="004C5536" w:rsidRDefault="003D3C7F">
      <w:pPr>
        <w:widowControl w:val="0"/>
        <w:spacing w:after="360" w:line="240" w:lineRule="auto"/>
        <w:jc w:val="both"/>
        <w:rPr>
          <w:rFonts w:cs="Times New Roman"/>
          <w:noProof/>
          <w:sz w:val="20"/>
        </w:rPr>
      </w:pPr>
      <w:r>
        <w:rPr>
          <w:rFonts w:eastAsia="Calibri" w:cs="Times New Roman"/>
          <w:noProof/>
          <w:sz w:val="20"/>
        </w:rPr>
        <w:t xml:space="preserve">Figure 3 depicts the municipal waste by treatment in Portugal in terms of kg per capita, which shows a slight increase in recycling and composting and a small shift away from incineration and landfilling. </w:t>
      </w:r>
      <w:r>
        <w:rPr>
          <w:rFonts w:cs="Times New Roman"/>
          <w:noProof/>
          <w:sz w:val="20"/>
        </w:rPr>
        <w:t>Incineration (with energy recovery) represents 21%;</w:t>
      </w:r>
      <w:r>
        <w:rPr>
          <w:rFonts w:cs="Times New Roman"/>
          <w:noProof/>
          <w:sz w:val="20"/>
        </w:rPr>
        <w:t xml:space="preserve"> while landfilling represents 49% (much higher than the EU average of 28%). In this context, managing waste efficiently remains a challenge in Portugal.</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c>
          <w:tcPr>
            <w:tcW w:w="4909" w:type="dxa"/>
          </w:tcPr>
          <w:p w:rsidR="004C5536" w:rsidRDefault="003D3C7F">
            <w:pPr>
              <w:widowControl w:val="0"/>
              <w:spacing w:after="120"/>
              <w:jc w:val="both"/>
              <w:rPr>
                <w:rFonts w:cs="Times New Roman"/>
                <w:noProof/>
                <w:color w:val="1F497D" w:themeColor="text2"/>
                <w:sz w:val="20"/>
              </w:rPr>
            </w:pPr>
            <w:r>
              <w:rPr>
                <w:rFonts w:cs="Times New Roman"/>
                <w:b/>
                <w:bCs/>
                <w:noProof/>
                <w:color w:val="1F497D" w:themeColor="text2"/>
                <w:sz w:val="20"/>
              </w:rPr>
              <w:t>Figure 3: Municipal waste by treatment in Portugal 2007-14</w:t>
            </w:r>
            <w:r>
              <w:rPr>
                <w:b/>
                <w:bCs/>
                <w:noProof/>
                <w:color w:val="1F497D" w:themeColor="text2"/>
                <w:sz w:val="20"/>
                <w:vertAlign w:val="superscript"/>
              </w:rPr>
              <w:footnoteReference w:id="22"/>
            </w:r>
          </w:p>
        </w:tc>
      </w:tr>
      <w:tr w:rsidR="004C5536">
        <w:tc>
          <w:tcPr>
            <w:tcW w:w="4909" w:type="dxa"/>
          </w:tcPr>
          <w:p w:rsidR="004C5536" w:rsidRDefault="003D3C7F">
            <w:pPr>
              <w:widowControl w:val="0"/>
              <w:spacing w:after="120"/>
              <w:jc w:val="both"/>
              <w:rPr>
                <w:rFonts w:cs="Times New Roman"/>
                <w:noProof/>
                <w:sz w:val="20"/>
              </w:rPr>
            </w:pPr>
            <w:r>
              <w:rPr>
                <w:noProof/>
                <w:lang w:eastAsia="en-GB"/>
              </w:rPr>
              <w:drawing>
                <wp:inline distT="0" distB="0" distL="0" distR="0" wp14:anchorId="62BECFD3" wp14:editId="4D37C232">
                  <wp:extent cx="2878372" cy="266368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77987" cy="2663331"/>
                          </a:xfrm>
                          <a:prstGeom prst="rect">
                            <a:avLst/>
                          </a:prstGeom>
                        </pic:spPr>
                      </pic:pic>
                    </a:graphicData>
                  </a:graphic>
                </wp:inline>
              </w:drawing>
            </w:r>
          </w:p>
        </w:tc>
      </w:tr>
    </w:tbl>
    <w:p w:rsidR="004C5536" w:rsidRDefault="003D3C7F">
      <w:pPr>
        <w:widowControl w:val="0"/>
        <w:spacing w:before="240" w:after="120" w:line="240" w:lineRule="auto"/>
        <w:jc w:val="both"/>
        <w:rPr>
          <w:rFonts w:cs="Times New Roman"/>
          <w:noProof/>
          <w:sz w:val="20"/>
          <w:lang w:val="en-US"/>
        </w:rPr>
      </w:pPr>
      <w:r>
        <w:rPr>
          <w:rFonts w:cs="Times New Roman"/>
          <w:noProof/>
          <w:sz w:val="20"/>
        </w:rPr>
        <w:t>Portugal achieved the 2006 target for diversion of biodegradable waste from landfill (75%). However, the biodegradable municipal waste landfilled has increased since then. Portugal has benefited from a four year derogation targets for 2009 (50%) and 2016 (</w:t>
      </w:r>
      <w:r>
        <w:rPr>
          <w:rFonts w:cs="Times New Roman"/>
          <w:noProof/>
          <w:sz w:val="20"/>
        </w:rPr>
        <w:t xml:space="preserve">35%), deferring these to 2013 and 2020 respectively. </w:t>
      </w:r>
      <w:r>
        <w:rPr>
          <w:rFonts w:cs="Times New Roman"/>
          <w:noProof/>
          <w:sz w:val="20"/>
          <w:lang w:val="en-US"/>
        </w:rPr>
        <w:t>Portugal reported meeting the deferred 50% landfill target in 2015.</w:t>
      </w:r>
    </w:p>
    <w:p w:rsidR="004C5536" w:rsidRDefault="004C5536">
      <w:pPr>
        <w:widowControl w:val="0"/>
        <w:spacing w:before="120" w:after="120" w:line="240" w:lineRule="auto"/>
        <w:jc w:val="both"/>
        <w:rPr>
          <w:rFonts w:cs="Times New Roman"/>
          <w:noProof/>
          <w:sz w:val="20"/>
          <w:lang w:val="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c>
          <w:tcPr>
            <w:tcW w:w="4909" w:type="dxa"/>
          </w:tcPr>
          <w:p w:rsidR="004C5536" w:rsidRDefault="003D3C7F">
            <w:pPr>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2007-14</w:t>
            </w:r>
            <w:r>
              <w:rPr>
                <w:b/>
                <w:bCs/>
                <w:noProof/>
                <w:color w:val="1F497D" w:themeColor="text2"/>
                <w:sz w:val="20"/>
                <w:vertAlign w:val="superscript"/>
              </w:rPr>
              <w:footnoteReference w:id="23"/>
            </w:r>
          </w:p>
        </w:tc>
      </w:tr>
      <w:tr w:rsidR="004C5536">
        <w:tc>
          <w:tcPr>
            <w:tcW w:w="4909" w:type="dxa"/>
          </w:tcPr>
          <w:p w:rsidR="004C5536" w:rsidRDefault="003D3C7F">
            <w:pPr>
              <w:widowControl w:val="0"/>
              <w:spacing w:after="120"/>
              <w:jc w:val="both"/>
              <w:rPr>
                <w:rFonts w:cs="Times New Roman"/>
                <w:noProof/>
                <w:sz w:val="20"/>
              </w:rPr>
            </w:pPr>
            <w:r>
              <w:rPr>
                <w:rFonts w:cs="Times New Roman"/>
                <w:noProof/>
                <w:sz w:val="20"/>
                <w:lang w:eastAsia="en-GB"/>
              </w:rPr>
              <w:drawing>
                <wp:inline distT="0" distB="0" distL="0" distR="0" wp14:anchorId="6F21CB42" wp14:editId="7E7F8DAC">
                  <wp:extent cx="2985045" cy="2476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89571" cy="2480255"/>
                          </a:xfrm>
                          <a:prstGeom prst="rect">
                            <a:avLst/>
                          </a:prstGeom>
                          <a:noFill/>
                        </pic:spPr>
                      </pic:pic>
                    </a:graphicData>
                  </a:graphic>
                </wp:inline>
              </w:drawing>
            </w:r>
          </w:p>
        </w:tc>
      </w:tr>
    </w:tbl>
    <w:p w:rsidR="004C5536" w:rsidRDefault="003D3C7F">
      <w:pPr>
        <w:widowControl w:val="0"/>
        <w:spacing w:before="120" w:after="120" w:line="240" w:lineRule="auto"/>
        <w:jc w:val="both"/>
        <w:rPr>
          <w:rFonts w:cs="Times New Roman"/>
          <w:noProof/>
          <w:sz w:val="20"/>
        </w:rPr>
      </w:pPr>
      <w:r>
        <w:rPr>
          <w:rFonts w:cs="Times New Roman"/>
          <w:noProof/>
          <w:sz w:val="20"/>
        </w:rPr>
        <w:t>Portugal has made progress in terms of increases of recycling rate and divers</w:t>
      </w:r>
      <w:r>
        <w:rPr>
          <w:rFonts w:cs="Times New Roman"/>
          <w:noProof/>
          <w:sz w:val="20"/>
        </w:rPr>
        <w:t>ion of municipal waste from landfilling in the course of the past decade. However, the recycling rate for municipal waste in 2014 was at 30% (of which 16% recycling and 14% composting), markedly below the EU average of 44%. Figure 4 shows that Portugal mus</w:t>
      </w:r>
      <w:r>
        <w:rPr>
          <w:rFonts w:cs="Times New Roman"/>
          <w:noProof/>
          <w:sz w:val="20"/>
        </w:rPr>
        <w:t>t further invest in recycling in the coming years in order to reach the EU 2020 recycling target</w:t>
      </w:r>
      <w:r>
        <w:rPr>
          <w:rFonts w:cs="Times New Roman"/>
          <w:noProof/>
          <w:sz w:val="20"/>
          <w:vertAlign w:val="superscript"/>
        </w:rPr>
        <w:footnoteReference w:id="24"/>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 xml:space="preserve">Portugal approved in 2014 </w:t>
      </w:r>
      <w:r>
        <w:rPr>
          <w:rFonts w:cs="Times New Roman"/>
          <w:noProof/>
          <w:sz w:val="20"/>
          <w:szCs w:val="24"/>
        </w:rPr>
        <w:t>the National Waste Management Plan 2014-2020</w:t>
      </w:r>
      <w:r>
        <w:rPr>
          <w:rFonts w:cs="Times New Roman"/>
          <w:noProof/>
          <w:sz w:val="20"/>
          <w:szCs w:val="24"/>
          <w:vertAlign w:val="superscript"/>
        </w:rPr>
        <w:footnoteReference w:id="25"/>
      </w:r>
      <w:r>
        <w:rPr>
          <w:rFonts w:cs="Times New Roman"/>
          <w:noProof/>
          <w:sz w:val="20"/>
          <w:szCs w:val="24"/>
        </w:rPr>
        <w:t xml:space="preserve">, as well as the Strategic Plan for Municipal Solid Waste for the mainland (PERSU </w:t>
      </w:r>
      <w:r>
        <w:rPr>
          <w:rFonts w:cs="Times New Roman"/>
          <w:noProof/>
          <w:sz w:val="20"/>
          <w:szCs w:val="24"/>
        </w:rPr>
        <w:t>2020)</w:t>
      </w:r>
      <w:r>
        <w:rPr>
          <w:rFonts w:cs="Times New Roman"/>
          <w:noProof/>
          <w:sz w:val="20"/>
          <w:szCs w:val="24"/>
          <w:vertAlign w:val="superscript"/>
        </w:rPr>
        <w:footnoteReference w:id="26"/>
      </w:r>
      <w:r>
        <w:rPr>
          <w:rFonts w:cs="Times New Roman"/>
          <w:noProof/>
          <w:sz w:val="20"/>
          <w:szCs w:val="24"/>
        </w:rPr>
        <w:t xml:space="preserve">  The main objective of the PERSU 2020 </w:t>
      </w:r>
      <w:r>
        <w:rPr>
          <w:rFonts w:cs="Times New Roman"/>
          <w:noProof/>
          <w:sz w:val="20"/>
        </w:rPr>
        <w:t>is to set the roadmap to meet the 2020 EU targets for municipal waste, namely the 50% objective for preparation for reuse and recycling. To help meet the targets, PERSU 2020 proposes a large set of measures alig</w:t>
      </w:r>
      <w:r>
        <w:rPr>
          <w:rFonts w:cs="Times New Roman"/>
          <w:noProof/>
          <w:sz w:val="20"/>
        </w:rPr>
        <w:t>ned with eight strategic objectives.</w:t>
      </w:r>
    </w:p>
    <w:p w:rsidR="004C5536" w:rsidRDefault="003D3C7F">
      <w:pPr>
        <w:widowControl w:val="0"/>
        <w:spacing w:after="120" w:line="240" w:lineRule="auto"/>
        <w:jc w:val="both"/>
        <w:rPr>
          <w:rFonts w:eastAsia="Calibri" w:cs="Times New Roman"/>
          <w:noProof/>
          <w:sz w:val="20"/>
        </w:rPr>
      </w:pPr>
      <w:r>
        <w:rPr>
          <w:rFonts w:cs="Times New Roman"/>
          <w:noProof/>
          <w:sz w:val="20"/>
        </w:rPr>
        <w:t xml:space="preserve">At present, the opportunities for waste prevention and recycling are not yet fully developed in Portugal, and a still high proportion of incinerated and landfilled municipal waste is preventing transition to a circular </w:t>
      </w:r>
      <w:r>
        <w:rPr>
          <w:rFonts w:cs="Times New Roman"/>
          <w:noProof/>
          <w:sz w:val="20"/>
        </w:rPr>
        <w:t xml:space="preserve">economy. </w:t>
      </w:r>
      <w:r>
        <w:rPr>
          <w:rFonts w:eastAsia="Calibri" w:cs="Times New Roman"/>
          <w:noProof/>
          <w:sz w:val="20"/>
        </w:rPr>
        <w:t>In order to help bridge the implementation gap in Portugal, the Commission has delivered a roadmap with recommendations for compliance</w:t>
      </w:r>
      <w:r>
        <w:rPr>
          <w:rFonts w:eastAsia="Calibri" w:cs="Times New Roman"/>
          <w:noProof/>
          <w:sz w:val="20"/>
          <w:vertAlign w:val="superscript"/>
        </w:rPr>
        <w:footnoteReference w:id="27"/>
      </w:r>
      <w:r>
        <w:rPr>
          <w:rFonts w:eastAsia="Calibri" w:cs="Times New Roman"/>
          <w:noProof/>
          <w:sz w:val="20"/>
        </w:rPr>
        <w:t>.</w:t>
      </w:r>
    </w:p>
    <w:p w:rsidR="004C5536" w:rsidRDefault="003D3C7F">
      <w:pPr>
        <w:widowControl w:val="0"/>
        <w:spacing w:after="120" w:line="240" w:lineRule="auto"/>
        <w:jc w:val="both"/>
        <w:rPr>
          <w:rFonts w:eastAsia="Calibri" w:cs="Times New Roman"/>
          <w:noProof/>
          <w:sz w:val="20"/>
        </w:rPr>
      </w:pPr>
      <w:r>
        <w:rPr>
          <w:rFonts w:cs="Times New Roman"/>
          <w:noProof/>
          <w:sz w:val="20"/>
        </w:rPr>
        <w:t xml:space="preserve">The underlying causes for the current distance to EU waste targets are: </w:t>
      </w:r>
    </w:p>
    <w:p w:rsidR="004C5536" w:rsidRDefault="003D3C7F">
      <w:pPr>
        <w:widowControl w:val="0"/>
        <w:numPr>
          <w:ilvl w:val="0"/>
          <w:numId w:val="25"/>
        </w:numPr>
        <w:spacing w:after="0" w:line="240" w:lineRule="auto"/>
        <w:contextualSpacing/>
        <w:jc w:val="both"/>
        <w:rPr>
          <w:rFonts w:cs="Times New Roman"/>
          <w:noProof/>
          <w:sz w:val="20"/>
        </w:rPr>
      </w:pPr>
      <w:r>
        <w:rPr>
          <w:rFonts w:cs="Times New Roman"/>
          <w:noProof/>
          <w:sz w:val="20"/>
        </w:rPr>
        <w:t>Lack of incentives to manage waste ac</w:t>
      </w:r>
      <w:r>
        <w:rPr>
          <w:rFonts w:cs="Times New Roman"/>
          <w:noProof/>
          <w:sz w:val="20"/>
        </w:rPr>
        <w:t>cording to the waste hierarchy;</w:t>
      </w:r>
    </w:p>
    <w:p w:rsidR="004C5536" w:rsidRDefault="003D3C7F">
      <w:pPr>
        <w:widowControl w:val="0"/>
        <w:numPr>
          <w:ilvl w:val="0"/>
          <w:numId w:val="25"/>
        </w:numPr>
        <w:spacing w:after="0" w:line="240" w:lineRule="auto"/>
        <w:contextualSpacing/>
        <w:jc w:val="both"/>
        <w:rPr>
          <w:rFonts w:cs="Times New Roman"/>
          <w:noProof/>
          <w:sz w:val="20"/>
        </w:rPr>
      </w:pPr>
      <w:r>
        <w:rPr>
          <w:rFonts w:cs="Times New Roman"/>
          <w:noProof/>
          <w:sz w:val="20"/>
        </w:rPr>
        <w:t>Lack of co-ordination between the different administrative levels;</w:t>
      </w:r>
    </w:p>
    <w:p w:rsidR="004C5536" w:rsidRDefault="003D3C7F">
      <w:pPr>
        <w:widowControl w:val="0"/>
        <w:numPr>
          <w:ilvl w:val="0"/>
          <w:numId w:val="25"/>
        </w:numPr>
        <w:spacing w:after="0" w:line="240" w:lineRule="auto"/>
        <w:contextualSpacing/>
        <w:jc w:val="both"/>
        <w:rPr>
          <w:rFonts w:cs="Times New Roman"/>
          <w:noProof/>
          <w:sz w:val="20"/>
        </w:rPr>
      </w:pPr>
      <w:r>
        <w:rPr>
          <w:rFonts w:cs="Times New Roman"/>
          <w:noProof/>
          <w:sz w:val="20"/>
        </w:rPr>
        <w:t>Insufficient (door-to-door) separate collection of waste;</w:t>
      </w:r>
    </w:p>
    <w:p w:rsidR="004C5536" w:rsidRDefault="003D3C7F">
      <w:pPr>
        <w:widowControl w:val="0"/>
        <w:numPr>
          <w:ilvl w:val="0"/>
          <w:numId w:val="25"/>
        </w:numPr>
        <w:spacing w:after="120" w:line="240" w:lineRule="auto"/>
        <w:contextualSpacing/>
        <w:jc w:val="both"/>
        <w:rPr>
          <w:rFonts w:cs="Times New Roman"/>
          <w:noProof/>
          <w:sz w:val="20"/>
        </w:rPr>
      </w:pPr>
      <w:r>
        <w:rPr>
          <w:rFonts w:cs="Times New Roman"/>
          <w:noProof/>
          <w:sz w:val="20"/>
        </w:rPr>
        <w:t>Insufficient extended producer responsibility (EPR) systems.</w:t>
      </w:r>
    </w:p>
    <w:p w:rsidR="004C5536" w:rsidRDefault="003D3C7F">
      <w:pPr>
        <w:widowControl w:val="0"/>
        <w:spacing w:before="240" w:after="120" w:line="240" w:lineRule="auto"/>
        <w:jc w:val="both"/>
        <w:rPr>
          <w:rFonts w:cs="Times New Roman"/>
          <w:noProof/>
          <w:sz w:val="20"/>
        </w:rPr>
      </w:pPr>
      <w:r>
        <w:rPr>
          <w:rFonts w:cs="Times New Roman"/>
          <w:noProof/>
          <w:sz w:val="20"/>
        </w:rPr>
        <w:t xml:space="preserve">In order to face these gaps, Portugal </w:t>
      </w:r>
      <w:r>
        <w:rPr>
          <w:rFonts w:cs="Times New Roman"/>
          <w:noProof/>
          <w:sz w:val="20"/>
        </w:rPr>
        <w:t>has been actively developing the following initiatives:</w:t>
      </w:r>
    </w:p>
    <w:p w:rsidR="004C5536" w:rsidRDefault="003D3C7F">
      <w:pPr>
        <w:widowControl w:val="0"/>
        <w:numPr>
          <w:ilvl w:val="0"/>
          <w:numId w:val="25"/>
        </w:numPr>
        <w:spacing w:after="120" w:line="240" w:lineRule="auto"/>
        <w:contextualSpacing/>
        <w:jc w:val="both"/>
        <w:rPr>
          <w:rFonts w:cs="Times New Roman"/>
          <w:noProof/>
          <w:sz w:val="20"/>
        </w:rPr>
      </w:pPr>
      <w:r>
        <w:rPr>
          <w:rFonts w:cs="Times New Roman"/>
          <w:noProof/>
          <w:sz w:val="20"/>
        </w:rPr>
        <w:t>has recently reviewed its landfill tax establishing a gradual increase untill 2020;</w:t>
      </w:r>
    </w:p>
    <w:p w:rsidR="004C5536" w:rsidRDefault="003D3C7F">
      <w:pPr>
        <w:widowControl w:val="0"/>
        <w:numPr>
          <w:ilvl w:val="0"/>
          <w:numId w:val="25"/>
        </w:numPr>
        <w:spacing w:after="120" w:line="240" w:lineRule="auto"/>
        <w:contextualSpacing/>
        <w:jc w:val="both"/>
        <w:rPr>
          <w:rFonts w:cs="Times New Roman"/>
          <w:noProof/>
          <w:sz w:val="20"/>
        </w:rPr>
      </w:pPr>
      <w:r>
        <w:rPr>
          <w:rFonts w:cs="Times New Roman"/>
          <w:noProof/>
          <w:sz w:val="20"/>
        </w:rPr>
        <w:t>is channelling EU funds from operational programs to coordinate efforts between agents in the waste management chain</w:t>
      </w:r>
      <w:r>
        <w:rPr>
          <w:rFonts w:cs="Times New Roman"/>
          <w:noProof/>
          <w:sz w:val="20"/>
        </w:rPr>
        <w:t xml:space="preserve">. Projects are positively valued if they integrate measures and organisations aiming at the compliance of targets. </w:t>
      </w:r>
    </w:p>
    <w:p w:rsidR="004C5536" w:rsidRDefault="003D3C7F">
      <w:pPr>
        <w:widowControl w:val="0"/>
        <w:numPr>
          <w:ilvl w:val="0"/>
          <w:numId w:val="25"/>
        </w:numPr>
        <w:spacing w:after="120" w:line="240" w:lineRule="auto"/>
        <w:contextualSpacing/>
        <w:jc w:val="both"/>
        <w:rPr>
          <w:rFonts w:cs="Times New Roman"/>
          <w:noProof/>
          <w:sz w:val="20"/>
        </w:rPr>
      </w:pPr>
      <w:r>
        <w:rPr>
          <w:rFonts w:cs="Times New Roman"/>
          <w:noProof/>
          <w:sz w:val="20"/>
        </w:rPr>
        <w:t>is enhancing all efforts aiming at the separate collection of waste. Also operational programs are financing dedicated projects on door to d</w:t>
      </w:r>
      <w:r>
        <w:rPr>
          <w:rFonts w:cs="Times New Roman"/>
          <w:noProof/>
          <w:sz w:val="20"/>
        </w:rPr>
        <w:t>oor and PAYT collection.</w:t>
      </w:r>
    </w:p>
    <w:p w:rsidR="004C5536" w:rsidRDefault="003D3C7F">
      <w:pPr>
        <w:widowControl w:val="0"/>
        <w:numPr>
          <w:ilvl w:val="0"/>
          <w:numId w:val="25"/>
        </w:numPr>
        <w:spacing w:after="120" w:line="240" w:lineRule="auto"/>
        <w:contextualSpacing/>
        <w:jc w:val="both"/>
        <w:rPr>
          <w:rFonts w:cs="Times New Roman"/>
          <w:noProof/>
          <w:sz w:val="20"/>
        </w:rPr>
      </w:pPr>
      <w:r>
        <w:rPr>
          <w:rFonts w:cs="Times New Roman"/>
          <w:noProof/>
          <w:sz w:val="20"/>
        </w:rPr>
        <w:t>has 12 EPR systems and as of September 2016 will soon licence one more on packaging waste. All country is covered by these schemes in ELV, packaging waste, WEEE, batteries and accumulators, mineral oils and tyres. Portugal is compl</w:t>
      </w:r>
      <w:r>
        <w:rPr>
          <w:rFonts w:cs="Times New Roman"/>
          <w:noProof/>
          <w:sz w:val="20"/>
        </w:rPr>
        <w:t>ying with the targets established for these waste streams. A new set of EPR licences are now being established already having in mind new challenges arising as well as the increase of transparency in the management of these schemes.</w:t>
      </w:r>
    </w:p>
    <w:p w:rsidR="004C5536" w:rsidRDefault="003D3C7F">
      <w:pPr>
        <w:widowControl w:val="0"/>
        <w:spacing w:before="360" w:after="360" w:line="240" w:lineRule="auto"/>
        <w:jc w:val="both"/>
        <w:rPr>
          <w:rFonts w:cs="Times New Roman"/>
          <w:noProof/>
          <w:sz w:val="20"/>
        </w:rPr>
      </w:pPr>
      <w:r>
        <w:rPr>
          <w:rFonts w:cs="Times New Roman"/>
          <w:noProof/>
          <w:sz w:val="20"/>
        </w:rPr>
        <w:t>Still, there is clear s</w:t>
      </w:r>
      <w:r>
        <w:rPr>
          <w:rFonts w:cs="Times New Roman"/>
          <w:noProof/>
          <w:sz w:val="20"/>
        </w:rPr>
        <w:t>cope to develop specific policy instruments that support the transition to a more circular economic model, which would improve resilience and competitiveness of the Portuguese economy, based in resource efficiency and productivity.</w:t>
      </w:r>
    </w:p>
    <w:p w:rsidR="004C5536" w:rsidRDefault="003D3C7F">
      <w:pPr>
        <w:widowControl w:val="0"/>
        <w:spacing w:after="120" w:line="240" w:lineRule="auto"/>
        <w:jc w:val="both"/>
        <w:rPr>
          <w:rFonts w:cs="Times New Roman"/>
          <w:noProof/>
          <w:sz w:val="20"/>
        </w:rPr>
      </w:pPr>
      <w:r>
        <w:rPr>
          <w:rFonts w:eastAsia="Calibri" w:cs="Times New Roman"/>
          <w:noProof/>
          <w:sz w:val="20"/>
          <w:lang w:eastAsia="en-GB"/>
        </w:rPr>
        <w:drawing>
          <wp:inline distT="0" distB="0" distL="0" distR="0" wp14:anchorId="7E6AF27F" wp14:editId="67E5EB72">
            <wp:extent cx="2976866" cy="2329732"/>
            <wp:effectExtent l="0" t="0" r="0" b="0"/>
            <wp:docPr id="13" name="Picture 13" descr="P:\ENV-E2\1. ENV IMPLEMENTATION REVIEW\EIR Data management\Pictures\LIFE pictures\Pictures_by_Country2\Portugal\LIFE05_ENV_P_000369_Collected used cooking 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2\Portugal\LIFE05_ENV_P_000369_Collected used cooking oil.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0055" cy="2332228"/>
                    </a:xfrm>
                    <a:prstGeom prst="rect">
                      <a:avLst/>
                    </a:prstGeom>
                    <a:noFill/>
                    <a:ln>
                      <a:noFill/>
                    </a:ln>
                  </pic:spPr>
                </pic:pic>
              </a:graphicData>
            </a:graphic>
          </wp:inline>
        </w:drawing>
      </w:r>
    </w:p>
    <w:p w:rsidR="004C5536" w:rsidRDefault="003D3C7F">
      <w:pPr>
        <w:widowControl w:val="0"/>
        <w:spacing w:before="360" w:after="120" w:line="240" w:lineRule="auto"/>
        <w:jc w:val="both"/>
        <w:rPr>
          <w:rFonts w:cs="Times New Roman"/>
          <w:noProof/>
          <w:sz w:val="20"/>
        </w:rPr>
      </w:pPr>
      <w:r>
        <w:rPr>
          <w:rFonts w:cs="Times New Roman"/>
          <w:noProof/>
          <w:sz w:val="20"/>
        </w:rPr>
        <w:t>As a consequence of th</w:t>
      </w:r>
      <w:r>
        <w:rPr>
          <w:rFonts w:cs="Times New Roman"/>
          <w:noProof/>
          <w:sz w:val="20"/>
        </w:rPr>
        <w:t>e green taxation reform, a tax on plastic bags has been approved in Portugal, in force from January 2015.</w:t>
      </w:r>
    </w:p>
    <w:p w:rsidR="004C5536" w:rsidRDefault="003D3C7F">
      <w:pPr>
        <w:widowControl w:val="0"/>
        <w:spacing w:after="120" w:line="240" w:lineRule="auto"/>
        <w:jc w:val="both"/>
        <w:rPr>
          <w:rFonts w:cs="Times New Roman"/>
          <w:noProof/>
          <w:sz w:val="20"/>
        </w:rPr>
      </w:pPr>
      <w:r>
        <w:rPr>
          <w:rFonts w:cs="Times New Roman"/>
          <w:noProof/>
          <w:sz w:val="20"/>
        </w:rPr>
        <w:t>The implementation of the measures foreseen in the PERSU 2020 is crucial to improve the current situation on waste management.</w:t>
      </w:r>
    </w:p>
    <w:p w:rsidR="004C5536" w:rsidRDefault="003D3C7F">
      <w:pPr>
        <w:widowControl w:val="0"/>
        <w:spacing w:after="240" w:line="240" w:lineRule="auto"/>
        <w:jc w:val="both"/>
        <w:rPr>
          <w:rFonts w:cs="Times New Roman"/>
          <w:noProof/>
          <w:sz w:val="20"/>
        </w:rPr>
      </w:pPr>
      <w:r>
        <w:rPr>
          <w:rFonts w:cs="Times New Roman"/>
          <w:noProof/>
          <w:sz w:val="20"/>
        </w:rPr>
        <w:t xml:space="preserve">Full implementation of </w:t>
      </w:r>
      <w:r>
        <w:rPr>
          <w:rFonts w:cs="Times New Roman"/>
          <w:noProof/>
          <w:sz w:val="20"/>
        </w:rPr>
        <w:t>EU waste legislation could create more than 14,900 jobs in Portugal and increase annual turnover of the waste sector by over EUR 1,560 million. Moving towards the targets of the Roadmap on resource efficiency could create over 18,200 additional jobs and in</w:t>
      </w:r>
      <w:r>
        <w:rPr>
          <w:rFonts w:cs="Times New Roman"/>
          <w:noProof/>
          <w:sz w:val="20"/>
        </w:rPr>
        <w:t>crease the annual turnover of the waste sector by over EUR 1,910 million</w:t>
      </w:r>
      <w:r>
        <w:rPr>
          <w:rFonts w:eastAsia="Calibri" w:cs="Times New Roman"/>
          <w:noProof/>
          <w:sz w:val="20"/>
          <w:vertAlign w:val="superscript"/>
        </w:rPr>
        <w:footnoteReference w:id="28"/>
      </w:r>
      <w:r>
        <w:rPr>
          <w:rFonts w:cs="Times New Roman"/>
          <w:noProof/>
          <w:sz w:val="20"/>
        </w:rPr>
        <w:t>.</w:t>
      </w:r>
    </w:p>
    <w:p w:rsidR="004C5536" w:rsidRDefault="003D3C7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4C5536" w:rsidRDefault="003D3C7F">
      <w:pPr>
        <w:pStyle w:val="NoSpacing"/>
        <w:rPr>
          <w:noProof/>
        </w:rPr>
      </w:pPr>
      <w:r>
        <w:rPr>
          <w:noProof/>
        </w:rPr>
        <w:t xml:space="preserve">Provide the right economic incentives to implement further the waste hierarchy: i.e. promote prevention, make reuse and recycling more economically attractive, and </w:t>
      </w:r>
      <w:r>
        <w:rPr>
          <w:noProof/>
        </w:rPr>
        <w:t>shift reusable and recyclable waste away from incineration (e.g. increasing landfill and incineration charges, consider introduction of a residual waste tax).</w:t>
      </w:r>
    </w:p>
    <w:p w:rsidR="004C5536" w:rsidRDefault="003D3C7F">
      <w:pPr>
        <w:pStyle w:val="NoSpacing"/>
        <w:rPr>
          <w:noProof/>
        </w:rPr>
      </w:pPr>
      <w:r>
        <w:rPr>
          <w:noProof/>
        </w:rPr>
        <w:t>Focus on implementation of the separate collection obligation to increase recycling rates (e.g. e</w:t>
      </w:r>
      <w:r>
        <w:rPr>
          <w:noProof/>
        </w:rPr>
        <w:t>xpand door-to-door collection systems, through PAYT systems).</w:t>
      </w:r>
    </w:p>
    <w:p w:rsidR="004C5536" w:rsidRDefault="003D3C7F">
      <w:pPr>
        <w:pStyle w:val="NoSpacing"/>
        <w:rPr>
          <w:noProof/>
        </w:rPr>
      </w:pPr>
      <w:r>
        <w:rPr>
          <w:noProof/>
        </w:rPr>
        <w:t>Undertake a review of treatment infrastructure requirements, taking into account the changes in waste collection.</w:t>
      </w:r>
    </w:p>
    <w:p w:rsidR="004C5536" w:rsidRDefault="003D3C7F">
      <w:pPr>
        <w:pStyle w:val="NoSpacing"/>
        <w:spacing w:after="120"/>
        <w:rPr>
          <w:noProof/>
        </w:rPr>
      </w:pPr>
      <w:r>
        <w:rPr>
          <w:noProof/>
        </w:rPr>
        <w:t xml:space="preserve">Extend and improve the cost-effectiveness, monitoring and transparency of </w:t>
      </w:r>
      <w:r>
        <w:rPr>
          <w:noProof/>
        </w:rPr>
        <w:t>existing EPR schemes, eliminate free-riding and promote competition in order to increase efficiency of national waste management systems.</w:t>
      </w: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3D3C7F">
      <w:pPr>
        <w:widowControl w:val="0"/>
        <w:spacing w:after="120"/>
        <w:rPr>
          <w:rFonts w:cs="Times New Roman"/>
          <w:noProof/>
          <w:color w:val="1F497D" w:themeColor="text2"/>
          <w:sz w:val="20"/>
        </w:rPr>
      </w:pPr>
      <w:r>
        <w:rPr>
          <w:rFonts w:cs="Times New Roman"/>
          <w:noProof/>
          <w:color w:val="1F497D" w:themeColor="text2"/>
          <w:sz w:val="20"/>
        </w:rPr>
        <w:br w:type="page"/>
      </w:r>
    </w:p>
    <w:p w:rsidR="004C5536" w:rsidRDefault="004C5536">
      <w:pPr>
        <w:widowControl w:val="0"/>
        <w:spacing w:after="120" w:line="240" w:lineRule="auto"/>
        <w:jc w:val="both"/>
        <w:rPr>
          <w:rFonts w:cs="Times New Roman"/>
          <w:noProof/>
          <w:sz w:val="20"/>
        </w:rPr>
      </w:pPr>
    </w:p>
    <w:p w:rsidR="004C5536" w:rsidRDefault="003D3C7F">
      <w:pPr>
        <w:widowControl w:val="0"/>
        <w:spacing w:after="120" w:line="240" w:lineRule="auto"/>
        <w:contextualSpacing/>
        <w:jc w:val="both"/>
        <w:rPr>
          <w:rFonts w:cs="Times New Roman"/>
          <w:noProof/>
          <w:sz w:val="20"/>
        </w:rPr>
      </w:pPr>
      <w:r>
        <w:rPr>
          <w:rFonts w:cstheme="minorHAnsi"/>
          <w:noProof/>
          <w:color w:val="1F497D" w:themeColor="text2"/>
          <w:szCs w:val="26"/>
        </w:rPr>
        <w:t xml:space="preserve"> </w:t>
      </w:r>
    </w:p>
    <w:p w:rsidR="004C5536" w:rsidRDefault="004C5536">
      <w:pPr>
        <w:keepLines/>
        <w:widowControl w:val="0"/>
        <w:spacing w:after="0" w:line="240" w:lineRule="auto"/>
        <w:jc w:val="both"/>
        <w:outlineLvl w:val="0"/>
        <w:rPr>
          <w:rFonts w:cstheme="majorBidi"/>
          <w:b/>
          <w:bCs/>
          <w:noProof/>
          <w:color w:val="1F497D" w:themeColor="text2"/>
          <w:sz w:val="32"/>
          <w:szCs w:val="28"/>
        </w:rPr>
        <w:sectPr w:rsidR="004C5536">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40" w:right="1080" w:bottom="1440" w:left="1080" w:header="708" w:footer="708" w:gutter="0"/>
          <w:pgNumType w:start="6"/>
          <w:cols w:num="2" w:space="360"/>
          <w:docGrid w:linePitch="360"/>
        </w:sectPr>
      </w:pPr>
    </w:p>
    <w:p w:rsidR="004C5536" w:rsidRDefault="003D3C7F">
      <w:pPr>
        <w:keepLines/>
        <w:widowControl w:val="0"/>
        <w:numPr>
          <w:ilvl w:val="0"/>
          <w:numId w:val="24"/>
        </w:numPr>
        <w:spacing w:after="0" w:line="240" w:lineRule="auto"/>
        <w:jc w:val="center"/>
        <w:outlineLvl w:val="0"/>
        <w:rPr>
          <w:rFonts w:cstheme="majorBidi"/>
          <w:b/>
          <w:bCs/>
          <w:noProof/>
          <w:color w:val="1F497D" w:themeColor="text2"/>
          <w:sz w:val="32"/>
          <w:szCs w:val="28"/>
        </w:rPr>
      </w:pPr>
      <w:bookmarkStart w:id="14" w:name="_Toc433296159"/>
      <w:bookmarkStart w:id="15" w:name="_Toc469492749"/>
      <w:r>
        <w:rPr>
          <w:rFonts w:cstheme="majorBidi"/>
          <w:b/>
          <w:bCs/>
          <w:noProof/>
          <w:color w:val="1F497D" w:themeColor="text2"/>
          <w:sz w:val="32"/>
          <w:szCs w:val="28"/>
        </w:rPr>
        <w:t>Protecting, conserving and enhancing natural capital</w:t>
      </w:r>
      <w:bookmarkStart w:id="16" w:name="_Toc432413878"/>
      <w:bookmarkEnd w:id="14"/>
      <w:bookmarkEnd w:id="15"/>
      <w:bookmarkEnd w:id="16"/>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sectPr w:rsidR="004C5536">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440" w:right="1080" w:bottom="1440" w:left="1080" w:header="708" w:footer="708" w:gutter="0"/>
          <w:cols w:space="566"/>
          <w:docGrid w:linePitch="360"/>
        </w:sectPr>
      </w:pPr>
    </w:p>
    <w:p w:rsidR="004C5536" w:rsidRDefault="003D3C7F">
      <w:pPr>
        <w:widowControl w:val="0"/>
        <w:spacing w:after="240" w:line="240" w:lineRule="auto"/>
        <w:jc w:val="both"/>
        <w:outlineLvl w:val="1"/>
        <w:rPr>
          <w:rFonts w:cs="Times New Roman"/>
          <w:b/>
          <w:noProof/>
          <w:color w:val="1F497D" w:themeColor="text2"/>
          <w:sz w:val="24"/>
        </w:rPr>
      </w:pPr>
      <w:bookmarkStart w:id="17" w:name="_Toc433296160"/>
      <w:bookmarkStart w:id="18" w:name="_Toc469492750"/>
      <w:r>
        <w:rPr>
          <w:rFonts w:cs="Times New Roman"/>
          <w:b/>
          <w:noProof/>
          <w:color w:val="1F497D" w:themeColor="text2"/>
          <w:sz w:val="24"/>
        </w:rPr>
        <w:t>Nature and Biodiversity</w:t>
      </w:r>
      <w:bookmarkEnd w:id="17"/>
      <w:bookmarkEnd w:id="18"/>
      <w:r>
        <w:rPr>
          <w:rFonts w:cs="Times New Roman"/>
          <w:b/>
          <w:noProof/>
          <w:color w:val="1F497D" w:themeColor="text2"/>
          <w:sz w:val="24"/>
        </w:rPr>
        <w:t xml:space="preserve"> </w:t>
      </w:r>
    </w:p>
    <w:p w:rsidR="004C5536" w:rsidRDefault="003D3C7F">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4C5536" w:rsidRDefault="003D3C7F">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4C5536" w:rsidRDefault="003D3C7F">
      <w:pPr>
        <w:widowControl w:val="0"/>
        <w:spacing w:before="240"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w:t>
      </w:r>
      <w:r>
        <w:rPr>
          <w:rFonts w:cs="Times New Roman"/>
          <w:bCs/>
          <w:noProof/>
          <w:sz w:val="20"/>
          <w:lang w:val="en"/>
        </w:rPr>
        <w:t>, conservation and survival of Europe's most valuable and threatened species and habitats</w:t>
      </w:r>
      <w:r>
        <w:rPr>
          <w:rFonts w:cs="Times New Roman"/>
          <w:bCs/>
          <w:noProof/>
          <w:sz w:val="20"/>
          <w:szCs w:val="20"/>
          <w:lang w:val="en"/>
        </w:rPr>
        <w:t xml:space="preserve"> and the ecosystems they underpin.</w:t>
      </w:r>
    </w:p>
    <w:p w:rsidR="004C5536" w:rsidRDefault="003D3C7F">
      <w:pPr>
        <w:widowControl w:val="0"/>
        <w:spacing w:after="120" w:line="240" w:lineRule="auto"/>
        <w:jc w:val="both"/>
        <w:rPr>
          <w:rFonts w:cs="Times New Roman"/>
          <w:noProof/>
          <w:sz w:val="20"/>
        </w:rPr>
      </w:pPr>
      <w:r>
        <w:rPr>
          <w:rFonts w:cs="Times New Roman"/>
          <w:noProof/>
          <w:sz w:val="20"/>
          <w:lang w:val="en"/>
        </w:rPr>
        <w:t>The adequate designation of protected sites as Special Ares of Conservation (SAC) under the Habitats Directive and as Special Protec</w:t>
      </w:r>
      <w:r>
        <w:rPr>
          <w:rFonts w:cs="Times New Roman"/>
          <w:noProof/>
          <w:sz w:val="20"/>
          <w:lang w:val="en"/>
        </w:rPr>
        <w:t xml:space="preserve">tion Areas (SPA) under the Birds 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w:t>
      </w:r>
      <w:r>
        <w:rPr>
          <w:rFonts w:cs="Times New Roman"/>
          <w:noProof/>
          <w:sz w:val="20"/>
        </w:rPr>
        <w:t>nce (SCI)-SPA and SAC designation</w:t>
      </w:r>
      <w:r>
        <w:rPr>
          <w:rFonts w:cs="Times New Roman"/>
          <w:noProof/>
          <w:sz w:val="20"/>
          <w:vertAlign w:val="superscript"/>
        </w:rPr>
        <w:footnoteReference w:id="29"/>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4C5536" w:rsidRDefault="003D3C7F">
      <w:pPr>
        <w:widowControl w:val="0"/>
        <w:spacing w:after="120" w:line="240" w:lineRule="auto"/>
        <w:jc w:val="both"/>
        <w:rPr>
          <w:rFonts w:cs="Times New Roman"/>
          <w:noProof/>
          <w:sz w:val="20"/>
        </w:rPr>
      </w:pPr>
      <w:r>
        <w:rPr>
          <w:rFonts w:cs="Times New Roman"/>
          <w:noProof/>
          <w:sz w:val="20"/>
        </w:rPr>
        <w:t>Portugal hosts 99 habitat types and 325 species covered by the Habitats Directive. The country also hosts populations of 80 bir</w:t>
      </w:r>
      <w:r>
        <w:rPr>
          <w:rFonts w:cs="Times New Roman"/>
          <w:noProof/>
          <w:sz w:val="20"/>
        </w:rPr>
        <w:t>d species listed in the Birds Directive Annex I.</w:t>
      </w:r>
    </w:p>
    <w:p w:rsidR="004C5536" w:rsidRDefault="003D3C7F">
      <w:pPr>
        <w:widowControl w:val="0"/>
        <w:spacing w:after="120" w:line="240" w:lineRule="auto"/>
        <w:jc w:val="both"/>
        <w:rPr>
          <w:rFonts w:cs="Times New Roman"/>
          <w:noProof/>
          <w:sz w:val="20"/>
        </w:rPr>
      </w:pPr>
      <w:r>
        <w:rPr>
          <w:rFonts w:cs="Times New Roman"/>
          <w:noProof/>
          <w:sz w:val="20"/>
        </w:rPr>
        <w:t>By early 2016, 20.6% of the national land area of Portugal was covered by Natura 2000 (EU average 18.1%), with Birds Directive SPAs covering 10% (EU average 12.3%) and Habitats Directive SCIs covering 17 % (</w:t>
      </w:r>
      <w:r>
        <w:rPr>
          <w:rFonts w:cs="Times New Roman"/>
          <w:noProof/>
          <w:sz w:val="20"/>
        </w:rPr>
        <w:t>EU average 13.8%). The latest assessment of the SCI part of the Natura 2000 network shows that there are insufficiencies in designation, especially for the marine components of the network</w:t>
      </w:r>
      <w:r>
        <w:rPr>
          <w:rFonts w:cs="Times New Roman"/>
          <w:noProof/>
          <w:sz w:val="20"/>
          <w:szCs w:val="20"/>
          <w:vertAlign w:val="superscript"/>
          <w:lang w:val="en"/>
        </w:rPr>
        <w:footnoteReference w:id="30"/>
      </w:r>
      <w:r>
        <w:rPr>
          <w:rFonts w:cs="Times New Roman"/>
          <w:noProof/>
          <w:sz w:val="20"/>
        </w:rPr>
        <w:t>, as shown in Figure 5</w:t>
      </w:r>
      <w:r>
        <w:rPr>
          <w:rStyle w:val="FootnoteReference"/>
          <w:rFonts w:cs="Times New Roman"/>
          <w:noProof/>
          <w:sz w:val="20"/>
        </w:rPr>
        <w:footnoteReference w:id="31"/>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c>
          <w:tcPr>
            <w:tcW w:w="4909" w:type="dxa"/>
          </w:tcPr>
          <w:p w:rsidR="004C5536" w:rsidRDefault="003D3C7F">
            <w:pPr>
              <w:widowControl w:val="0"/>
              <w:spacing w:before="120" w:after="120"/>
              <w:jc w:val="both"/>
              <w:rPr>
                <w:rFonts w:cs="Times New Roman"/>
                <w:b/>
                <w:bCs/>
                <w:noProof/>
                <w:color w:val="1F497D" w:themeColor="text2"/>
                <w:sz w:val="20"/>
              </w:rPr>
            </w:pPr>
            <w:r>
              <w:rPr>
                <w:rFonts w:cs="Times New Roman"/>
                <w:b/>
                <w:bCs/>
                <w:noProof/>
                <w:color w:val="1F497D" w:themeColor="text2"/>
                <w:sz w:val="20"/>
              </w:rPr>
              <w:t>Figure 5: Sufficiency assessment of SCI ne</w:t>
            </w:r>
            <w:r>
              <w:rPr>
                <w:rFonts w:cs="Times New Roman"/>
                <w:b/>
                <w:bCs/>
                <w:noProof/>
                <w:color w:val="1F497D" w:themeColor="text2"/>
                <w:sz w:val="20"/>
              </w:rPr>
              <w:t xml:space="preserve">tworks in Portugal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32"/>
            </w:r>
            <w:r>
              <w:rPr>
                <w:rFonts w:cs="Times New Roman"/>
                <w:b/>
                <w:bCs/>
                <w:noProof/>
                <w:color w:val="1F497D" w:themeColor="text2"/>
                <w:sz w:val="20"/>
              </w:rPr>
              <w:t xml:space="preserve"> </w:t>
            </w:r>
          </w:p>
        </w:tc>
      </w:tr>
      <w:tr w:rsidR="004C5536">
        <w:tc>
          <w:tcPr>
            <w:tcW w:w="4909" w:type="dxa"/>
          </w:tcPr>
          <w:p w:rsidR="004C5536" w:rsidRDefault="003D3C7F">
            <w:pPr>
              <w:widowControl w:val="0"/>
              <w:jc w:val="both"/>
              <w:rPr>
                <w:rFonts w:cs="Times New Roman"/>
                <w:noProof/>
                <w:sz w:val="20"/>
              </w:rPr>
            </w:pPr>
            <w:r>
              <w:rPr>
                <w:rFonts w:cs="Times New Roman"/>
                <w:noProof/>
                <w:sz w:val="20"/>
                <w:lang w:eastAsia="en-GB"/>
              </w:rPr>
              <w:drawing>
                <wp:anchor distT="0" distB="0" distL="114300" distR="114300" simplePos="0" relativeHeight="251659264" behindDoc="0" locked="0" layoutInCell="1" allowOverlap="1" wp14:anchorId="7A86513F" wp14:editId="0DE7E01E">
                  <wp:simplePos x="3891280" y="2009140"/>
                  <wp:positionH relativeFrom="margin">
                    <wp:align>center</wp:align>
                  </wp:positionH>
                  <wp:positionV relativeFrom="margin">
                    <wp:align>center</wp:align>
                  </wp:positionV>
                  <wp:extent cx="2647315" cy="2472690"/>
                  <wp:effectExtent l="0" t="0" r="63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47315" cy="2472557"/>
                          </a:xfrm>
                          <a:prstGeom prst="rect">
                            <a:avLst/>
                          </a:prstGeom>
                          <a:noFill/>
                        </pic:spPr>
                      </pic:pic>
                    </a:graphicData>
                  </a:graphic>
                  <wp14:sizeRelV relativeFrom="margin">
                    <wp14:pctHeight>0</wp14:pctHeight>
                  </wp14:sizeRelV>
                </wp:anchor>
              </w:drawing>
            </w:r>
          </w:p>
        </w:tc>
      </w:tr>
    </w:tbl>
    <w:p w:rsidR="004C5536" w:rsidRDefault="003D3C7F">
      <w:pPr>
        <w:widowControl w:val="0"/>
        <w:spacing w:after="120" w:line="240" w:lineRule="auto"/>
        <w:jc w:val="both"/>
        <w:rPr>
          <w:rFonts w:cs="Times New Roman"/>
          <w:noProof/>
          <w:sz w:val="20"/>
        </w:rPr>
      </w:pPr>
      <w:r>
        <w:rPr>
          <w:rFonts w:cs="Times New Roman"/>
          <w:noProof/>
          <w:sz w:val="20"/>
        </w:rPr>
        <w:t xml:space="preserve">The 6-year deadline set by the Habitats Directive to designate SAC and establish appropriate conservation objectives and measures has expired. Portugal has already designated the </w:t>
      </w:r>
      <w:r>
        <w:rPr>
          <w:rFonts w:cs="Times New Roman"/>
          <w:noProof/>
          <w:sz w:val="20"/>
        </w:rPr>
        <w:t>Macaronesian Biogeographical region SCIs as SACs. Nevertheless, no SACs have yet been designated for the SCIs of the Atlantic and Mediterranean Biogeographical regions, and it has defined management plans only for 3 SCIs.</w:t>
      </w:r>
    </w:p>
    <w:p w:rsidR="004C5536" w:rsidRDefault="003D3C7F">
      <w:pPr>
        <w:widowControl w:val="0"/>
        <w:spacing w:after="240" w:line="240" w:lineRule="auto"/>
        <w:jc w:val="both"/>
        <w:rPr>
          <w:rFonts w:cs="Times New Roman"/>
          <w:noProof/>
          <w:sz w:val="20"/>
          <w:szCs w:val="20"/>
        </w:rPr>
      </w:pPr>
      <w:r>
        <w:rPr>
          <w:rFonts w:eastAsia="Calibri" w:cs="Times New Roman"/>
          <w:noProof/>
          <w:sz w:val="20"/>
        </w:rPr>
        <w:t xml:space="preserve">According to the latest report on </w:t>
      </w:r>
      <w:r>
        <w:rPr>
          <w:rFonts w:eastAsia="Calibri" w:cs="Times New Roman"/>
          <w:noProof/>
          <w:sz w:val="20"/>
        </w:rPr>
        <w:t>the conservation status</w:t>
      </w:r>
      <w:r>
        <w:rPr>
          <w:rFonts w:cs="Times New Roman"/>
          <w:noProof/>
          <w:sz w:val="20"/>
          <w:szCs w:val="20"/>
          <w:vertAlign w:val="superscript"/>
        </w:rPr>
        <w:footnoteReference w:id="33"/>
      </w:r>
      <w:r>
        <w:rPr>
          <w:rFonts w:eastAsia="Calibri" w:cs="Times New Roman"/>
          <w:noProof/>
          <w:sz w:val="20"/>
        </w:rPr>
        <w:t xml:space="preserve"> of habitats and species covered by the Habitats Directive</w:t>
      </w:r>
      <w:r>
        <w:rPr>
          <w:rFonts w:eastAsia="Calibri" w:cs="Times New Roman"/>
          <w:noProof/>
          <w:sz w:val="20"/>
          <w:szCs w:val="20"/>
          <w:vertAlign w:val="superscript"/>
        </w:rPr>
        <w:footnoteReference w:id="34"/>
      </w:r>
      <w:r>
        <w:rPr>
          <w:rFonts w:eastAsia="Calibri" w:cs="Times New Roman"/>
          <w:noProof/>
          <w:sz w:val="20"/>
        </w:rPr>
        <w:t xml:space="preserve">, </w:t>
      </w:r>
      <w:r>
        <w:rPr>
          <w:rFonts w:cs="Times New Roman"/>
          <w:noProof/>
          <w:sz w:val="20"/>
          <w:szCs w:val="20"/>
        </w:rPr>
        <w:t>29% of the habitats biogeographic assessments were favourable in 2013 (EU 27: 16%). Furthermore, 58% are considered to be unfavourable–inadequate (EU27: 47%) and 8% are un</w:t>
      </w:r>
      <w:r>
        <w:rPr>
          <w:rFonts w:cs="Times New Roman"/>
          <w:noProof/>
          <w:sz w:val="20"/>
          <w:szCs w:val="20"/>
        </w:rPr>
        <w:t>favourable – bad (EU27: 30%).</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rPr>
          <w:trHeight w:val="563"/>
        </w:trPr>
        <w:tc>
          <w:tcPr>
            <w:tcW w:w="4909" w:type="dxa"/>
          </w:tcPr>
          <w:p w:rsidR="004C5536" w:rsidRDefault="003D3C7F">
            <w:pPr>
              <w:widowControl w:val="0"/>
              <w:spacing w:after="120"/>
              <w:jc w:val="both"/>
              <w:rPr>
                <w:rFonts w:cs="Times New Roman"/>
                <w:noProof/>
                <w:sz w:val="20"/>
                <w:szCs w:val="20"/>
              </w:rPr>
            </w:pPr>
            <w:r>
              <w:rPr>
                <w:rFonts w:cs="Times New Roman"/>
                <w:b/>
                <w:bCs/>
                <w:noProof/>
                <w:color w:val="1F497D" w:themeColor="text2"/>
                <w:sz w:val="20"/>
              </w:rPr>
              <w:t>Figure 6: Conservation status of habitats and species in Portugal in 2007/2013 (%)</w:t>
            </w:r>
            <w:r>
              <w:rPr>
                <w:rFonts w:cs="Times New Roman"/>
                <w:b/>
                <w:bCs/>
                <w:noProof/>
                <w:color w:val="1F497D" w:themeColor="text2"/>
                <w:sz w:val="20"/>
                <w:vertAlign w:val="superscript"/>
              </w:rPr>
              <w:footnoteReference w:id="35"/>
            </w:r>
          </w:p>
        </w:tc>
      </w:tr>
      <w:tr w:rsidR="004C5536">
        <w:trPr>
          <w:trHeight w:val="5022"/>
        </w:trPr>
        <w:tc>
          <w:tcPr>
            <w:tcW w:w="4909" w:type="dxa"/>
          </w:tcPr>
          <w:p w:rsidR="004C5536" w:rsidRDefault="003D3C7F">
            <w:pPr>
              <w:widowControl w:val="0"/>
              <w:spacing w:after="120"/>
              <w:jc w:val="both"/>
              <w:rPr>
                <w:rFonts w:cs="Times New Roman"/>
                <w:noProof/>
                <w:sz w:val="20"/>
                <w:szCs w:val="20"/>
              </w:rPr>
            </w:pPr>
            <w:r>
              <w:rPr>
                <w:rFonts w:cs="Times New Roman"/>
                <w:noProof/>
                <w:sz w:val="20"/>
                <w:szCs w:val="20"/>
                <w:lang w:eastAsia="en-GB"/>
              </w:rPr>
              <w:drawing>
                <wp:anchor distT="0" distB="0" distL="114300" distR="114300" simplePos="0" relativeHeight="251660288" behindDoc="0" locked="0" layoutInCell="1" allowOverlap="1" wp14:anchorId="138D868A" wp14:editId="376F12FB">
                  <wp:simplePos x="3895725" y="923925"/>
                  <wp:positionH relativeFrom="margin">
                    <wp:align>center</wp:align>
                  </wp:positionH>
                  <wp:positionV relativeFrom="margin">
                    <wp:align>center</wp:align>
                  </wp:positionV>
                  <wp:extent cx="2771775" cy="309181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1775" cy="3091815"/>
                          </a:xfrm>
                          <a:prstGeom prst="rect">
                            <a:avLst/>
                          </a:prstGeom>
                          <a:noFill/>
                        </pic:spPr>
                      </pic:pic>
                    </a:graphicData>
                  </a:graphic>
                </wp:anchor>
              </w:drawing>
            </w:r>
          </w:p>
        </w:tc>
      </w:tr>
    </w:tbl>
    <w:p w:rsidR="004C5536" w:rsidRDefault="003D3C7F">
      <w:pPr>
        <w:widowControl w:val="0"/>
        <w:spacing w:after="120" w:line="240" w:lineRule="auto"/>
        <w:jc w:val="both"/>
        <w:rPr>
          <w:rFonts w:cs="Times New Roman"/>
          <w:noProof/>
          <w:sz w:val="20"/>
        </w:rPr>
      </w:pPr>
      <w:r>
        <w:rPr>
          <w:rFonts w:cs="Times New Roman"/>
          <w:noProof/>
          <w:sz w:val="20"/>
          <w:szCs w:val="20"/>
        </w:rPr>
        <w:t xml:space="preserve">As for the species, 19% of the assessments were favourable in 2013 (EU 27: 23%), 31% at unfavourable-inadequate (EU27: 42%) and 10% </w:t>
      </w:r>
      <w:r>
        <w:rPr>
          <w:rFonts w:cs="Times New Roman"/>
          <w:noProof/>
          <w:sz w:val="20"/>
          <w:szCs w:val="20"/>
        </w:rPr>
        <w:t>unfavourable-bad status (EU27: 18%). This is depicted in Figure 6</w:t>
      </w:r>
      <w:r>
        <w:rPr>
          <w:rFonts w:cs="Times New Roman"/>
          <w:noProof/>
          <w:sz w:val="20"/>
          <w:vertAlign w:val="superscript"/>
        </w:rPr>
        <w:footnoteReference w:id="36"/>
      </w:r>
      <w:r>
        <w:rPr>
          <w:rFonts w:cs="Times New Roman"/>
          <w:noProof/>
          <w:sz w:val="20"/>
          <w:szCs w:val="20"/>
        </w:rPr>
        <w:t>. 8% and 5.7% of the unfavourable assessments respectively for species and habitats were showing a positive trend in 2013. However, the conservation status between 2007 and 2013 does not see</w:t>
      </w:r>
      <w:r>
        <w:rPr>
          <w:rFonts w:cs="Times New Roman"/>
          <w:noProof/>
          <w:sz w:val="20"/>
          <w:szCs w:val="20"/>
        </w:rPr>
        <w:t>m to be on a positive trend.</w:t>
      </w:r>
      <w:r>
        <w:rPr>
          <w:rFonts w:cs="Times New Roman"/>
          <w:noProof/>
          <w:sz w:val="20"/>
        </w:rPr>
        <w:t xml:space="preserve"> </w:t>
      </w:r>
    </w:p>
    <w:p w:rsidR="004C5536" w:rsidRDefault="003D3C7F">
      <w:pPr>
        <w:widowControl w:val="0"/>
        <w:spacing w:after="120" w:line="240" w:lineRule="auto"/>
        <w:jc w:val="both"/>
        <w:rPr>
          <w:rFonts w:cs="Times New Roman"/>
          <w:noProof/>
          <w:sz w:val="20"/>
        </w:rPr>
      </w:pPr>
      <w:r>
        <w:rPr>
          <w:rFonts w:cs="Times New Roman"/>
          <w:noProof/>
          <w:sz w:val="20"/>
        </w:rPr>
        <w:t>Figure 7 shows that as far as birds are concerned, 43% of the breeding species showed short-term increasing or stable population trends (for wintering species this figure was 57%).</w:t>
      </w:r>
    </w:p>
    <w:p w:rsidR="004C5536" w:rsidRDefault="003D3C7F">
      <w:pPr>
        <w:widowControl w:val="0"/>
        <w:spacing w:after="120" w:line="240" w:lineRule="auto"/>
        <w:jc w:val="both"/>
        <w:rPr>
          <w:rFonts w:cs="Times New Roman"/>
          <w:noProof/>
          <w:sz w:val="20"/>
          <w:szCs w:val="20"/>
        </w:rPr>
      </w:pPr>
      <w:r>
        <w:rPr>
          <w:rFonts w:cs="Times New Roman"/>
          <w:noProof/>
          <w:color w:val="2E2F2D"/>
          <w:sz w:val="20"/>
          <w:szCs w:val="20"/>
        </w:rPr>
        <w:t>As regards forests, Portugal faces challenges</w:t>
      </w:r>
      <w:r>
        <w:rPr>
          <w:rFonts w:cs="Times New Roman"/>
          <w:noProof/>
          <w:color w:val="2E2F2D"/>
          <w:sz w:val="20"/>
          <w:szCs w:val="20"/>
        </w:rPr>
        <w:t xml:space="preserve"> related to the fact that most </w:t>
      </w:r>
      <w:r>
        <w:rPr>
          <w:rFonts w:cs="Times New Roman"/>
          <w:noProof/>
          <w:sz w:val="20"/>
          <w:szCs w:val="20"/>
        </w:rPr>
        <w:t>of the forest land is privately owned, the intensive agriculture, the spreading of the pine wood nematode, the intensive and the forest fire risk.</w:t>
      </w:r>
    </w:p>
    <w:p w:rsidR="004C5536" w:rsidRDefault="003D3C7F">
      <w:pPr>
        <w:widowControl w:val="0"/>
        <w:spacing w:after="240" w:line="240" w:lineRule="auto"/>
        <w:jc w:val="both"/>
        <w:rPr>
          <w:rFonts w:cs="Times New Roman"/>
          <w:noProof/>
          <w:sz w:val="20"/>
          <w:szCs w:val="20"/>
        </w:rPr>
      </w:pPr>
      <w:r>
        <w:rPr>
          <w:rFonts w:cs="Times New Roman"/>
          <w:noProof/>
          <w:sz w:val="20"/>
          <w:szCs w:val="20"/>
        </w:rPr>
        <w:t>During the last years, CAP and particularly the Rural Development pillar has b</w:t>
      </w:r>
      <w:r>
        <w:rPr>
          <w:rFonts w:cs="Times New Roman"/>
          <w:noProof/>
          <w:sz w:val="20"/>
          <w:szCs w:val="20"/>
        </w:rPr>
        <w:t>een the most important financial instrument available for managing nature and biodiversity farmland and forest areas.</w:t>
      </w:r>
    </w:p>
    <w:tbl>
      <w:tblPr>
        <w:tblStyle w:val="TableGrid2"/>
        <w:tblpPr w:leftFromText="180" w:rightFromText="180" w:vertAnchor="text" w:horzAnchor="margin" w:tblpXSpec="right"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c>
          <w:tcPr>
            <w:tcW w:w="4909" w:type="dxa"/>
          </w:tcPr>
          <w:p w:rsidR="004C5536" w:rsidRDefault="003D3C7F">
            <w:pPr>
              <w:widowControl w:val="0"/>
              <w:spacing w:after="120"/>
              <w:jc w:val="both"/>
              <w:rPr>
                <w:rFonts w:cs="Times New Roman"/>
                <w:noProof/>
                <w:color w:val="2E2F2D"/>
                <w:sz w:val="20"/>
                <w:szCs w:val="20"/>
              </w:rPr>
            </w:pPr>
            <w:r>
              <w:rPr>
                <w:rFonts w:cs="Times New Roman"/>
                <w:b/>
                <w:bCs/>
                <w:noProof/>
                <w:color w:val="1F497D" w:themeColor="text2"/>
                <w:sz w:val="20"/>
              </w:rPr>
              <w:t>Figure 7: Short-term population trend of breeding and wintering bird species in Portugal in 2012 (%)</w:t>
            </w:r>
            <w:r>
              <w:rPr>
                <w:rFonts w:cs="Times New Roman"/>
                <w:b/>
                <w:bCs/>
                <w:noProof/>
                <w:color w:val="1F497D" w:themeColor="text2"/>
                <w:sz w:val="20"/>
                <w:vertAlign w:val="superscript"/>
              </w:rPr>
              <w:footnoteReference w:id="37"/>
            </w:r>
          </w:p>
        </w:tc>
      </w:tr>
      <w:tr w:rsidR="004C5536">
        <w:tc>
          <w:tcPr>
            <w:tcW w:w="4909" w:type="dxa"/>
          </w:tcPr>
          <w:p w:rsidR="004C5536" w:rsidRDefault="003D3C7F">
            <w:pPr>
              <w:widowControl w:val="0"/>
              <w:spacing w:after="120"/>
              <w:jc w:val="both"/>
              <w:rPr>
                <w:rFonts w:cs="Times New Roman"/>
                <w:noProof/>
                <w:color w:val="2E2F2D"/>
                <w:sz w:val="20"/>
                <w:szCs w:val="20"/>
              </w:rPr>
            </w:pPr>
            <w:r>
              <w:rPr>
                <w:rFonts w:cs="Times New Roman"/>
                <w:noProof/>
                <w:color w:val="2E2F2D"/>
                <w:sz w:val="20"/>
                <w:szCs w:val="20"/>
                <w:lang w:eastAsia="en-GB"/>
              </w:rPr>
              <w:drawing>
                <wp:anchor distT="0" distB="0" distL="114300" distR="114300" simplePos="0" relativeHeight="251661312" behindDoc="0" locked="0" layoutInCell="1" allowOverlap="1" wp14:anchorId="3B37FF86" wp14:editId="6E52976F">
                  <wp:simplePos x="3895725" y="1352550"/>
                  <wp:positionH relativeFrom="margin">
                    <wp:align>center</wp:align>
                  </wp:positionH>
                  <wp:positionV relativeFrom="margin">
                    <wp:align>top</wp:align>
                  </wp:positionV>
                  <wp:extent cx="2592705" cy="18573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88302" cy="1854367"/>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4C5536" w:rsidRDefault="003D3C7F">
      <w:pPr>
        <w:widowControl w:val="0"/>
        <w:spacing w:after="240" w:line="240" w:lineRule="auto"/>
        <w:jc w:val="both"/>
        <w:rPr>
          <w:rFonts w:cs="Times New Roman"/>
          <w:noProof/>
          <w:sz w:val="20"/>
          <w:szCs w:val="20"/>
        </w:rPr>
      </w:pPr>
      <w:r>
        <w:rPr>
          <w:rFonts w:cs="Times New Roman"/>
          <w:noProof/>
          <w:sz w:val="20"/>
          <w:szCs w:val="20"/>
        </w:rPr>
        <w:t xml:space="preserve">At the same time, consistent </w:t>
      </w:r>
      <w:r>
        <w:rPr>
          <w:rFonts w:cs="Times New Roman"/>
          <w:noProof/>
          <w:sz w:val="20"/>
          <w:szCs w:val="20"/>
        </w:rPr>
        <w:t>policies were adopted to promote sustainable forest management to face small scale land property and the abandonment of rural communities, namely in Northern and Central Portugal. It has also aimed at providing a better response to the need for ongoing and</w:t>
      </w:r>
      <w:r>
        <w:rPr>
          <w:rFonts w:cs="Times New Roman"/>
          <w:noProof/>
          <w:sz w:val="20"/>
          <w:szCs w:val="20"/>
        </w:rPr>
        <w:t xml:space="preserve"> active forest (and environmental) management, which is also essential for preventing the high pressure posed by forest fires risk and the establishment and spread of harmful biotic agents.</w:t>
      </w:r>
    </w:p>
    <w:p w:rsidR="004C5536" w:rsidRDefault="003D3C7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4C5536" w:rsidRDefault="003D3C7F">
      <w:pPr>
        <w:pStyle w:val="NoSpacing"/>
        <w:rPr>
          <w:noProof/>
        </w:rPr>
      </w:pPr>
      <w:r>
        <w:rPr>
          <w:noProof/>
        </w:rPr>
        <w:t xml:space="preserve">Complete the Natura 2000 designation process, in </w:t>
      </w:r>
      <w:r>
        <w:rPr>
          <w:noProof/>
        </w:rPr>
        <w:t xml:space="preserve">land and at sea, and put in place clearly defined conservation objectives and the necessary conservation measures for the sites and provide adequate resources for their implementation in order to maintain/restore species and habitats of community interest </w:t>
      </w:r>
      <w:r>
        <w:rPr>
          <w:noProof/>
        </w:rPr>
        <w:t>to a favourable conservation status across their natural range.</w:t>
      </w:r>
    </w:p>
    <w:p w:rsidR="004C5536" w:rsidRDefault="003D3C7F">
      <w:pPr>
        <w:pStyle w:val="NoSpacing"/>
        <w:rPr>
          <w:noProof/>
        </w:rPr>
      </w:pPr>
      <w:r>
        <w:rPr>
          <w:noProof/>
        </w:rPr>
        <w:t>Continue to develop and promote smart and streamlined implementation approaches, in particular as regards site and species permitting procedures, ensuring the necessary knowledge and data avai</w:t>
      </w:r>
      <w:r>
        <w:rPr>
          <w:noProof/>
        </w:rPr>
        <w:t>lability. Strengthen communication with stakeholders.</w:t>
      </w:r>
    </w:p>
    <w:p w:rsidR="004C5536" w:rsidRDefault="003D3C7F">
      <w:pPr>
        <w:pStyle w:val="NoSpacing"/>
        <w:rPr>
          <w:noProof/>
        </w:rPr>
      </w:pPr>
      <w:r>
        <w:rPr>
          <w:noProof/>
        </w:rPr>
        <w:t>Strengthen capacity building in order to improve management of Natura 2000 sites and species protection regimes and to ensure full integration with other policies and their associated funds.</w:t>
      </w:r>
    </w:p>
    <w:p w:rsidR="004C5536" w:rsidRDefault="003D3C7F">
      <w:pPr>
        <w:pStyle w:val="NoSpacing"/>
        <w:spacing w:after="360"/>
        <w:rPr>
          <w:noProof/>
        </w:rPr>
      </w:pPr>
      <w:r>
        <w:rPr>
          <w:noProof/>
        </w:rPr>
        <w:t>Continue th</w:t>
      </w:r>
      <w:r>
        <w:rPr>
          <w:noProof/>
        </w:rPr>
        <w:t xml:space="preserve">e efforts to improve the mainstreaming of nature targets, namely Natura 2000 implementation, in cross-cutting and sectoral policies, programmes and strategies, particularly in the areas of agriculture, forestry, fisheries, energy, climate, land and marine </w:t>
      </w:r>
      <w:r>
        <w:rPr>
          <w:noProof/>
        </w:rPr>
        <w:t>spatial planning.</w:t>
      </w:r>
    </w:p>
    <w:p w:rsidR="004C5536" w:rsidRDefault="003D3C7F">
      <w:pPr>
        <w:widowControl w:val="0"/>
        <w:spacing w:after="240" w:line="240" w:lineRule="auto"/>
        <w:jc w:val="both"/>
        <w:rPr>
          <w:rFonts w:cs="Times New Roman"/>
          <w:b/>
          <w:noProof/>
          <w:color w:val="1F497D" w:themeColor="text2"/>
        </w:rPr>
      </w:pPr>
      <w:r>
        <w:rPr>
          <w:rFonts w:cs="Times New Roman"/>
          <w:b/>
          <w:noProof/>
          <w:color w:val="1F497D" w:themeColor="text2"/>
        </w:rPr>
        <w:t>Estimating Natural Capital</w:t>
      </w:r>
    </w:p>
    <w:p w:rsidR="004C5536" w:rsidRDefault="003D3C7F">
      <w:pPr>
        <w:widowControl w:val="0"/>
        <w:spacing w:after="120" w:line="240" w:lineRule="auto"/>
        <w:jc w:val="both"/>
        <w:rPr>
          <w:rFonts w:cs="Arial"/>
          <w:noProof/>
          <w:sz w:val="20"/>
        </w:rPr>
      </w:pPr>
      <w:r>
        <w:rPr>
          <w:rFonts w:cs="Arial"/>
          <w:noProof/>
          <w:sz w:val="20"/>
        </w:rPr>
        <w:t>The EU Biodiversity Strategy to 2020 calls on the Member States to map and asses the state of ecosystems and their services in their national territory by 2014, assess the economic value of such services, and pr</w:t>
      </w:r>
      <w:r>
        <w:rPr>
          <w:rFonts w:cs="Arial"/>
          <w:noProof/>
          <w:sz w:val="20"/>
        </w:rPr>
        <w:t>omote the integration of these values into accounting and reporting systems at EU and national level by 2020.</w:t>
      </w:r>
    </w:p>
    <w:p w:rsidR="004C5536" w:rsidRDefault="003D3C7F">
      <w:pPr>
        <w:widowControl w:val="0"/>
        <w:spacing w:after="360" w:line="240" w:lineRule="auto"/>
        <w:jc w:val="both"/>
        <w:rPr>
          <w:rFonts w:cs="Times New Roman"/>
          <w:noProof/>
          <w:sz w:val="20"/>
          <w:lang w:eastAsia="en-GB"/>
        </w:rPr>
      </w:pPr>
      <w:r>
        <w:rPr>
          <w:rFonts w:cs="Times New Roman"/>
          <w:noProof/>
          <w:sz w:val="20"/>
          <w:lang w:eastAsia="en-GB"/>
        </w:rPr>
        <w:t xml:space="preserve">Portugal completed in 2009 a national ecosystem assessment following the conceptual framework of the Millennium Ecosystem Assessment. Several </w:t>
      </w:r>
      <w:r>
        <w:rPr>
          <w:rFonts w:cs="Times New Roman"/>
          <w:noProof/>
          <w:sz w:val="20"/>
          <w:lang w:eastAsia="en-GB"/>
        </w:rPr>
        <w:t>local scale and thematic (montado ecosystems) assessments have been developed in last years. In 2014 a short term pilot MAES</w:t>
      </w:r>
      <w:r>
        <w:rPr>
          <w:rFonts w:cs="Times New Roman"/>
          <w:noProof/>
          <w:sz w:val="20"/>
          <w:vertAlign w:val="superscript"/>
          <w:lang w:eastAsia="en-GB"/>
        </w:rPr>
        <w:footnoteReference w:id="38"/>
      </w:r>
      <w:r>
        <w:rPr>
          <w:rFonts w:cs="Times New Roman"/>
          <w:noProof/>
          <w:sz w:val="20"/>
          <w:lang w:eastAsia="en-GB"/>
        </w:rPr>
        <w:t xml:space="preserve"> was carried out in the south of Portugal which tested, at a regional level (NUTS II Alentejo), methodologies and indicators for ma</w:t>
      </w:r>
      <w:r>
        <w:rPr>
          <w:rFonts w:cs="Times New Roman"/>
          <w:noProof/>
          <w:sz w:val="20"/>
          <w:lang w:eastAsia="en-GB"/>
        </w:rPr>
        <w:t>pping ecosystems, assessing their condition and mapping ecosystem services</w:t>
      </w:r>
      <w:r>
        <w:rPr>
          <w:rFonts w:cs="Times New Roman"/>
          <w:noProof/>
          <w:sz w:val="20"/>
          <w:vertAlign w:val="superscript"/>
          <w:lang w:eastAsia="en-GB"/>
        </w:rPr>
        <w:footnoteReference w:id="39"/>
      </w:r>
      <w:r>
        <w:rPr>
          <w:rFonts w:cs="Times New Roman"/>
          <w:noProof/>
          <w:sz w:val="20"/>
          <w:lang w:eastAsia="en-GB"/>
        </w:rPr>
        <w:t>, particularly those connected to agriculture and forest ecosystems. The project provided highlights on the added value of the ecosystem services within the broader economy of the r</w:t>
      </w:r>
      <w:r>
        <w:rPr>
          <w:rFonts w:cs="Times New Roman"/>
          <w:noProof/>
          <w:sz w:val="20"/>
          <w:lang w:eastAsia="en-GB"/>
        </w:rPr>
        <w:t>egion.</w:t>
      </w:r>
    </w:p>
    <w:p w:rsidR="004C5536" w:rsidRDefault="003D3C7F">
      <w:pPr>
        <w:widowControl w:val="0"/>
        <w:spacing w:after="240" w:line="240" w:lineRule="auto"/>
        <w:jc w:val="both"/>
        <w:rPr>
          <w:rFonts w:cs="Times New Roman"/>
          <w:noProof/>
          <w:sz w:val="20"/>
          <w:lang w:eastAsia="en-GB"/>
        </w:rPr>
      </w:pPr>
      <w:r>
        <w:rPr>
          <w:rFonts w:cs="Times New Roman"/>
          <w:noProof/>
          <w:sz w:val="20"/>
          <w:lang w:eastAsia="en-GB"/>
        </w:rPr>
        <w:drawing>
          <wp:inline distT="0" distB="0" distL="0" distR="0" wp14:anchorId="718882C5" wp14:editId="1D0DACBD">
            <wp:extent cx="2974954" cy="2043486"/>
            <wp:effectExtent l="0" t="0" r="0" b="0"/>
            <wp:docPr id="20" name="Picture 20" descr="C:\Users\schwemi\AppData\Local\Microsoft\Windows\Temporary Internet Files\Content.Word\iStock_88614773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wemi\AppData\Local\Microsoft\Windows\Temporary Internet Files\Content.Word\iStock_88614773_LARG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80055" cy="2046990"/>
                    </a:xfrm>
                    <a:prstGeom prst="rect">
                      <a:avLst/>
                    </a:prstGeom>
                    <a:noFill/>
                    <a:ln>
                      <a:noFill/>
                    </a:ln>
                  </pic:spPr>
                </pic:pic>
              </a:graphicData>
            </a:graphic>
          </wp:inline>
        </w:drawing>
      </w:r>
    </w:p>
    <w:p w:rsidR="004C5536" w:rsidRDefault="003D3C7F">
      <w:pPr>
        <w:widowControl w:val="0"/>
        <w:spacing w:before="360" w:after="240" w:line="240" w:lineRule="auto"/>
        <w:jc w:val="both"/>
        <w:rPr>
          <w:rFonts w:cs="Times New Roman"/>
          <w:noProof/>
          <w:sz w:val="20"/>
          <w:lang w:eastAsia="en-GB"/>
        </w:rPr>
      </w:pPr>
      <w:r>
        <w:rPr>
          <w:rFonts w:cs="Times New Roman"/>
          <w:noProof/>
          <w:sz w:val="20"/>
          <w:lang w:eastAsia="en-GB"/>
        </w:rPr>
        <w:t>A process is planned for the development of a MAES networking platform for relevant scientific projects, data and information sources and for engaging other relevant stakeholders and public authorities. Portuguese research teams are involved in va</w:t>
      </w:r>
      <w:r>
        <w:rPr>
          <w:rFonts w:cs="Times New Roman"/>
          <w:noProof/>
          <w:sz w:val="20"/>
          <w:lang w:eastAsia="en-GB"/>
        </w:rPr>
        <w:t>rious research projects OpenNESS, OPERA, ESMERALDA and within IPBES global and regional assessments.</w:t>
      </w:r>
    </w:p>
    <w:p w:rsidR="004C5536" w:rsidRDefault="003D3C7F">
      <w:pPr>
        <w:widowControl w:val="0"/>
        <w:spacing w:after="120" w:line="240" w:lineRule="auto"/>
        <w:jc w:val="both"/>
        <w:rPr>
          <w:rFonts w:cs="Times New Roman"/>
          <w:noProof/>
          <w:sz w:val="20"/>
          <w:lang w:eastAsia="en-GB"/>
        </w:rPr>
      </w:pPr>
      <w:r>
        <w:rPr>
          <w:rFonts w:cs="Times New Roman"/>
          <w:noProof/>
          <w:sz w:val="20"/>
          <w:lang w:eastAsia="en-GB"/>
        </w:rPr>
        <w:t>The importance of ecosystem services and natural capital for growth and jobs has been addressed in government initiatives on the green economy, green tax r</w:t>
      </w:r>
      <w:r>
        <w:rPr>
          <w:rFonts w:cs="Times New Roman"/>
          <w:noProof/>
          <w:sz w:val="20"/>
          <w:lang w:eastAsia="en-GB"/>
        </w:rPr>
        <w:t>eforms, TEEB approaches and ecosystem services assessments, and included in the programming of ESIF 2014-2020.</w:t>
      </w:r>
    </w:p>
    <w:p w:rsidR="004C5536" w:rsidRDefault="003D3C7F">
      <w:pPr>
        <w:widowControl w:val="0"/>
        <w:spacing w:after="120" w:line="240" w:lineRule="auto"/>
        <w:jc w:val="both"/>
        <w:rPr>
          <w:rFonts w:cs="Times New Roman"/>
          <w:noProof/>
          <w:sz w:val="20"/>
          <w:lang w:val="en" w:eastAsia="en-GB"/>
        </w:rPr>
      </w:pPr>
      <w:r>
        <w:rPr>
          <w:rFonts w:cs="Times New Roman"/>
          <w:noProof/>
          <w:sz w:val="20"/>
          <w:lang w:eastAsia="en-GB"/>
        </w:rPr>
        <w:t>A kick-off MAES conference was held in Portugal in December 2015 to debate with the scientific community, decision-makers and private stakeholder</w:t>
      </w:r>
      <w:r>
        <w:rPr>
          <w:rFonts w:cs="Times New Roman"/>
          <w:noProof/>
          <w:sz w:val="20"/>
          <w:lang w:eastAsia="en-GB"/>
        </w:rPr>
        <w:t xml:space="preserve">s on the views and perspectives of a national MAES Portugal and the foreseen outcomes for policy making up to 2020. </w:t>
      </w:r>
      <w:r>
        <w:rPr>
          <w:rFonts w:cs="Times New Roman"/>
          <w:noProof/>
          <w:sz w:val="20"/>
          <w:lang w:val="en" w:eastAsia="en-GB"/>
        </w:rPr>
        <w:t>Portugal is now preparing a long term process, aiming at covering the mainland Portugal territory.</w:t>
      </w:r>
    </w:p>
    <w:p w:rsidR="004C5536" w:rsidRDefault="003D3C7F">
      <w:pPr>
        <w:widowControl w:val="0"/>
        <w:spacing w:after="240" w:line="240" w:lineRule="auto"/>
        <w:jc w:val="both"/>
        <w:rPr>
          <w:rFonts w:cs="Times New Roman"/>
          <w:noProof/>
          <w:sz w:val="20"/>
          <w:lang w:val="en" w:eastAsia="en-GB"/>
        </w:rPr>
      </w:pPr>
      <w:r>
        <w:rPr>
          <w:rFonts w:cs="Times New Roman"/>
          <w:noProof/>
          <w:sz w:val="20"/>
          <w:lang w:val="en" w:eastAsia="en-GB"/>
        </w:rPr>
        <w:t>Portugal co-led the MAES EU pilot study o</w:t>
      </w:r>
      <w:r>
        <w:rPr>
          <w:rFonts w:cs="Times New Roman"/>
          <w:noProof/>
          <w:sz w:val="20"/>
          <w:lang w:val="en" w:eastAsia="en-GB"/>
        </w:rPr>
        <w:t>n forest ecosystems in 2014 and participates in the MAES EU pilot study on marine ecosystems. It has also taken part in the EU MAES pilot study on urban ecosystem services (involving the municipalities of Lisbon, Oeiras and Cascais) launched in 2015.</w:t>
      </w:r>
    </w:p>
    <w:p w:rsidR="004C5536" w:rsidRDefault="003D3C7F">
      <w:pPr>
        <w:widowControl w:val="0"/>
        <w:spacing w:after="120" w:line="240" w:lineRule="auto"/>
        <w:jc w:val="both"/>
        <w:rPr>
          <w:rFonts w:cs="Times New Roman"/>
          <w:bCs/>
          <w:noProof/>
          <w:color w:val="1F497D" w:themeColor="text2"/>
        </w:rPr>
      </w:pPr>
      <w:r>
        <w:rPr>
          <w:rFonts w:cs="Times New Roman"/>
          <w:bCs/>
          <w:noProof/>
          <w:color w:val="1F497D" w:themeColor="text2"/>
        </w:rPr>
        <w:t>Sugge</w:t>
      </w:r>
      <w:r>
        <w:rPr>
          <w:rFonts w:cs="Times New Roman"/>
          <w:bCs/>
          <w:noProof/>
          <w:color w:val="1F497D" w:themeColor="text2"/>
        </w:rPr>
        <w:t>sted action</w:t>
      </w:r>
    </w:p>
    <w:p w:rsidR="004C5536" w:rsidRDefault="003D3C7F">
      <w:pPr>
        <w:pStyle w:val="NoSpacing"/>
        <w:spacing w:after="360"/>
        <w:rPr>
          <w:noProof/>
        </w:rPr>
      </w:pPr>
      <w:r>
        <w:rPr>
          <w:noProof/>
        </w:rPr>
        <w:t>Continue supporting the mapping and assessment of ecosystems and their services, and the valuation and development of natural capital accounting systems, through appropriate indicators for monitoring economic progress and further developing eco</w:t>
      </w:r>
      <w:r>
        <w:rPr>
          <w:noProof/>
        </w:rPr>
        <w:t>system accounts.</w:t>
      </w:r>
    </w:p>
    <w:p w:rsidR="004C5536" w:rsidRDefault="003D3C7F">
      <w:pPr>
        <w:widowControl w:val="0"/>
        <w:spacing w:after="240" w:line="240" w:lineRule="auto"/>
        <w:jc w:val="both"/>
        <w:outlineLvl w:val="1"/>
        <w:rPr>
          <w:rFonts w:cs="Times New Roman"/>
          <w:b/>
          <w:noProof/>
          <w:color w:val="1F497D" w:themeColor="text2"/>
          <w:sz w:val="24"/>
        </w:rPr>
      </w:pPr>
      <w:bookmarkStart w:id="19" w:name="_Toc469492751"/>
      <w:r>
        <w:rPr>
          <w:rFonts w:cs="Times New Roman"/>
          <w:b/>
          <w:noProof/>
          <w:color w:val="1F497D" w:themeColor="text2"/>
          <w:sz w:val="24"/>
        </w:rPr>
        <w:t>Green Infrastructure</w:t>
      </w:r>
      <w:bookmarkEnd w:id="19"/>
    </w:p>
    <w:p w:rsidR="004C5536" w:rsidRDefault="003D3C7F">
      <w:pPr>
        <w:widowControl w:val="0"/>
        <w:shd w:val="clear" w:color="auto" w:fill="4F81BD" w:themeFill="accent1"/>
        <w:spacing w:before="240"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40"/>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 xml:space="preserve">incorporation of green infrastructure into related plans and programmes to help overcome fragmentation of habitats and preserve or restore ecological connectivity, </w:t>
      </w:r>
      <w:r>
        <w:rPr>
          <w:rFonts w:ascii="Calibri" w:eastAsia="Calibri" w:hAnsi="Calibri" w:cs="Times New Roman"/>
          <w:noProof/>
          <w:color w:val="FFFFFF" w:themeColor="background1"/>
          <w:sz w:val="20"/>
          <w:lang w:eastAsia="ar-SA"/>
        </w:rPr>
        <w:t>enhance ecosystem resilience and thereby ensure the continued provision of ecosystem services.</w:t>
      </w:r>
    </w:p>
    <w:p w:rsidR="004C5536" w:rsidRDefault="003D3C7F">
      <w:pPr>
        <w:widowControl w:val="0"/>
        <w:spacing w:before="240" w:after="120" w:line="240" w:lineRule="auto"/>
        <w:jc w:val="both"/>
        <w:rPr>
          <w:rFonts w:cs="Times New Roman"/>
          <w:noProof/>
          <w:sz w:val="20"/>
        </w:rPr>
      </w:pPr>
      <w:r>
        <w:rPr>
          <w:rFonts w:cs="Times New Roman"/>
          <w:noProof/>
          <w:sz w:val="20"/>
        </w:rPr>
        <w:t>Green Infrastructure provides ecological, economic and social benefits through natural solutions. It helps to understand the value of the benefits that nature pr</w:t>
      </w:r>
      <w:r>
        <w:rPr>
          <w:rFonts w:cs="Times New Roman"/>
          <w:noProof/>
          <w:sz w:val="20"/>
        </w:rPr>
        <w:t>ovides to human society and to mobilise investments to sustain and enhance them.</w:t>
      </w:r>
    </w:p>
    <w:p w:rsidR="004C5536" w:rsidRDefault="003D3C7F">
      <w:pPr>
        <w:widowControl w:val="0"/>
        <w:spacing w:after="120" w:line="240" w:lineRule="auto"/>
        <w:jc w:val="both"/>
        <w:rPr>
          <w:rFonts w:cs="Times New Roman"/>
          <w:noProof/>
          <w:sz w:val="20"/>
        </w:rPr>
      </w:pPr>
      <w:r>
        <w:rPr>
          <w:rFonts w:cs="Times New Roman"/>
          <w:noProof/>
          <w:sz w:val="20"/>
        </w:rPr>
        <w:t>Portugal has incorporated ecological systems in spatial land planning since 1999, namely at municipality (Master Plans) and regional scales, and also at sector scale (forest management plans). An inter-ministerial coordination mechanism is in charge of pro</w:t>
      </w:r>
      <w:r>
        <w:rPr>
          <w:rFonts w:cs="Times New Roman"/>
          <w:noProof/>
          <w:sz w:val="20"/>
        </w:rPr>
        <w:t xml:space="preserve">moting the integration of conservation and sustainable use of biodiversity into various sectoral </w:t>
      </w:r>
      <w:r>
        <w:rPr>
          <w:rFonts w:cs="Times New Roman"/>
          <w:noProof/>
          <w:sz w:val="20"/>
          <w:lang w:eastAsia="en-GB"/>
        </w:rPr>
        <w:t>policies</w:t>
      </w:r>
      <w:r>
        <w:rPr>
          <w:rFonts w:cs="Times New Roman"/>
          <w:noProof/>
          <w:sz w:val="20"/>
          <w:vertAlign w:val="superscript"/>
          <w:lang w:eastAsia="en-GB"/>
        </w:rPr>
        <w:footnoteReference w:id="41"/>
      </w:r>
      <w:r>
        <w:rPr>
          <w:rFonts w:cs="Times New Roman"/>
          <w:noProof/>
          <w:sz w:val="20"/>
          <w:lang w:eastAsia="en-GB"/>
        </w:rPr>
        <w:t xml:space="preserve">, </w:t>
      </w:r>
      <w:r>
        <w:rPr>
          <w:rFonts w:cs="Times New Roman"/>
          <w:noProof/>
          <w:sz w:val="20"/>
        </w:rPr>
        <w:t>including considerations in ecological network planning.</w:t>
      </w:r>
    </w:p>
    <w:p w:rsidR="004C5536" w:rsidRDefault="003D3C7F">
      <w:pPr>
        <w:widowControl w:val="0"/>
        <w:spacing w:after="120" w:line="240" w:lineRule="auto"/>
        <w:jc w:val="both"/>
        <w:rPr>
          <w:rFonts w:cs="Times New Roman"/>
          <w:noProof/>
          <w:sz w:val="20"/>
        </w:rPr>
      </w:pPr>
      <w:r>
        <w:rPr>
          <w:rFonts w:cs="Times New Roman"/>
          <w:noProof/>
          <w:sz w:val="20"/>
        </w:rPr>
        <w:t>Since 1983, the most sensitive biophysical areas across the country's territory have been i</w:t>
      </w:r>
      <w:r>
        <w:rPr>
          <w:rFonts w:cs="Times New Roman"/>
          <w:noProof/>
          <w:sz w:val="20"/>
        </w:rPr>
        <w:t>dentified and mapped according to structural and functional criteria defined by the National Ecological Reserve Act (REN) integrated into the national network for the conservation of nature in 2008.</w:t>
      </w:r>
    </w:p>
    <w:p w:rsidR="004C5536" w:rsidRDefault="003D3C7F">
      <w:pPr>
        <w:widowControl w:val="0"/>
        <w:spacing w:after="120" w:line="240" w:lineRule="auto"/>
        <w:jc w:val="both"/>
        <w:rPr>
          <w:rFonts w:cs="Times New Roman"/>
          <w:noProof/>
          <w:sz w:val="20"/>
        </w:rPr>
      </w:pPr>
      <w:r>
        <w:rPr>
          <w:rFonts w:cs="Times New Roman"/>
          <w:noProof/>
          <w:sz w:val="20"/>
        </w:rPr>
        <w:t>The REN supports inter alia biodiversity objectives at la</w:t>
      </w:r>
      <w:r>
        <w:rPr>
          <w:rFonts w:cs="Times New Roman"/>
          <w:noProof/>
          <w:sz w:val="20"/>
        </w:rPr>
        <w:t>ndscape level and the establishment of a functional network of core areas for nature conservation and biodiversity.</w:t>
      </w:r>
    </w:p>
    <w:p w:rsidR="004C5536" w:rsidRDefault="003D3C7F">
      <w:pPr>
        <w:widowControl w:val="0"/>
        <w:spacing w:after="120" w:line="240" w:lineRule="auto"/>
        <w:jc w:val="both"/>
        <w:rPr>
          <w:rFonts w:cs="Times New Roman"/>
          <w:noProof/>
          <w:sz w:val="20"/>
        </w:rPr>
      </w:pPr>
      <w:r>
        <w:rPr>
          <w:rFonts w:cs="Times New Roman"/>
          <w:noProof/>
          <w:sz w:val="20"/>
        </w:rPr>
        <w:t>A review of this regime is ongoing in order to further develop the services pillar of REN (e.g. risk management, soil erosion, landslides, c</w:t>
      </w:r>
      <w:r>
        <w:rPr>
          <w:rFonts w:cs="Times New Roman"/>
          <w:noProof/>
          <w:sz w:val="20"/>
        </w:rPr>
        <w:t>oastal erosion, climate adaptation).</w:t>
      </w:r>
    </w:p>
    <w:p w:rsidR="004C5536" w:rsidRDefault="003D3C7F">
      <w:pPr>
        <w:widowControl w:val="0"/>
        <w:spacing w:after="120" w:line="240" w:lineRule="auto"/>
        <w:jc w:val="both"/>
        <w:rPr>
          <w:rFonts w:cs="Times New Roman"/>
          <w:noProof/>
          <w:sz w:val="20"/>
        </w:rPr>
      </w:pPr>
      <w:r>
        <w:rPr>
          <w:rFonts w:cs="Times New Roman"/>
          <w:noProof/>
          <w:sz w:val="20"/>
        </w:rPr>
        <w:t>In the REN, various Green Infrastructure elements are planned, including protected areas, sustainable use areas and natural connectivity features, risk mitigation and management areas. The Portuguese land use planning p</w:t>
      </w:r>
      <w:r>
        <w:rPr>
          <w:rFonts w:cs="Times New Roman"/>
          <w:noProof/>
          <w:sz w:val="20"/>
        </w:rPr>
        <w:t>olicy is based on a hierarchical system of territorial management, which operates at national, regional and municipal level. At the national level, the REN aims to: 1) Protect water and soil resources and ensure environmental goods and services essential t</w:t>
      </w:r>
      <w:r>
        <w:rPr>
          <w:rFonts w:cs="Times New Roman"/>
          <w:noProof/>
          <w:sz w:val="20"/>
        </w:rPr>
        <w:t>o the development of human activities; 2) Prevent and reduce the effects of degradation of groundwater recharge, flood risk maritime, drought, soil erosion and mass movements on slopes contributing to the adaptation of the effects of climate changes ensuri</w:t>
      </w:r>
      <w:r>
        <w:rPr>
          <w:rFonts w:cs="Times New Roman"/>
          <w:noProof/>
          <w:sz w:val="20"/>
        </w:rPr>
        <w:t>ng environmental sustainability; and 3) Contribute to the connectivity and ecological coherence of areas and natural connectivity features. The REN thereby also relates to policies on water (including the EU Water Framework Directive), agriculture and adap</w:t>
      </w:r>
      <w:r>
        <w:rPr>
          <w:rFonts w:cs="Times New Roman"/>
          <w:noProof/>
          <w:sz w:val="20"/>
        </w:rPr>
        <w:t>tation to climate change.</w:t>
      </w:r>
    </w:p>
    <w:p w:rsidR="004C5536" w:rsidRDefault="003D3C7F">
      <w:pPr>
        <w:widowControl w:val="0"/>
        <w:spacing w:after="120" w:line="240" w:lineRule="auto"/>
        <w:jc w:val="both"/>
        <w:rPr>
          <w:rFonts w:cs="Times New Roman"/>
          <w:noProof/>
          <w:sz w:val="20"/>
          <w:lang w:eastAsia="en-GB"/>
        </w:rPr>
      </w:pPr>
      <w:r>
        <w:rPr>
          <w:rFonts w:cs="Times New Roman"/>
          <w:noProof/>
          <w:sz w:val="20"/>
          <w:lang w:eastAsia="en-GB"/>
        </w:rPr>
        <w:t>Examples of good operational approaches to Green Infrastructure in Portugal include the Green Corridor in Lisbon</w:t>
      </w:r>
      <w:r>
        <w:rPr>
          <w:rFonts w:cs="Times New Roman"/>
          <w:noProof/>
          <w:sz w:val="20"/>
          <w:vertAlign w:val="superscript"/>
          <w:lang w:eastAsia="en-GB"/>
        </w:rPr>
        <w:footnoteReference w:id="42"/>
      </w:r>
      <w:r>
        <w:rPr>
          <w:rFonts w:cs="Times New Roman"/>
          <w:noProof/>
          <w:sz w:val="20"/>
          <w:lang w:eastAsia="en-GB"/>
        </w:rPr>
        <w:t>; the green roof of the waste water treatment plant in Alcântara, Lisbon</w:t>
      </w:r>
      <w:r>
        <w:rPr>
          <w:rFonts w:cs="Times New Roman"/>
          <w:noProof/>
          <w:sz w:val="20"/>
          <w:vertAlign w:val="superscript"/>
          <w:lang w:eastAsia="en-GB"/>
        </w:rPr>
        <w:footnoteReference w:id="43"/>
      </w:r>
      <w:r>
        <w:rPr>
          <w:rFonts w:cs="Times New Roman"/>
          <w:noProof/>
          <w:sz w:val="20"/>
          <w:lang w:eastAsia="en-GB"/>
        </w:rPr>
        <w:t>; or the Ecological Restoration and Conserva</w:t>
      </w:r>
      <w:r>
        <w:rPr>
          <w:rFonts w:cs="Times New Roman"/>
          <w:noProof/>
          <w:sz w:val="20"/>
          <w:lang w:eastAsia="en-GB"/>
        </w:rPr>
        <w:t>tion of Praia da Vitória Coastal Wetland Green Infrastructure (Azores)</w:t>
      </w:r>
      <w:r>
        <w:rPr>
          <w:rFonts w:cs="Times New Roman"/>
          <w:noProof/>
          <w:sz w:val="20"/>
          <w:vertAlign w:val="superscript"/>
          <w:lang w:eastAsia="en-GB"/>
        </w:rPr>
        <w:footnoteReference w:id="44"/>
      </w:r>
      <w:r>
        <w:rPr>
          <w:rFonts w:cs="Times New Roman"/>
          <w:noProof/>
          <w:sz w:val="20"/>
          <w:lang w:eastAsia="en-GB"/>
        </w:rPr>
        <w:t>.</w:t>
      </w:r>
      <w:bookmarkStart w:id="20" w:name="_Toc454450191"/>
      <w:bookmarkStart w:id="21" w:name="_Toc469492752"/>
    </w:p>
    <w:p w:rsidR="004C5536" w:rsidRDefault="003D3C7F">
      <w:pPr>
        <w:widowControl w:val="0"/>
        <w:spacing w:after="120" w:line="240" w:lineRule="auto"/>
        <w:jc w:val="both"/>
        <w:rPr>
          <w:rFonts w:cs="Times New Roman"/>
          <w:noProof/>
          <w:sz w:val="20"/>
          <w:lang w:eastAsia="en-GB"/>
        </w:rPr>
      </w:pPr>
      <w:r>
        <w:rPr>
          <w:rFonts w:cs="Times New Roman"/>
          <w:noProof/>
          <w:sz w:val="20"/>
          <w:lang w:eastAsia="en-GB"/>
        </w:rPr>
        <w:t>There is scope for demonstrating the socio-economic growth benefits of GI, in urban, peri-urban, coastal and rural context while promoting territorial cohesion.</w:t>
      </w:r>
    </w:p>
    <w:p w:rsidR="004C5536" w:rsidRDefault="003D3C7F">
      <w:pPr>
        <w:widowControl w:val="0"/>
        <w:spacing w:after="480" w:line="240" w:lineRule="auto"/>
        <w:jc w:val="both"/>
        <w:rPr>
          <w:rFonts w:cs="Times New Roman"/>
          <w:noProof/>
          <w:sz w:val="20"/>
          <w:lang w:eastAsia="en-GB"/>
        </w:rPr>
      </w:pPr>
      <w:r>
        <w:rPr>
          <w:rFonts w:cs="Times New Roman"/>
          <w:noProof/>
          <w:sz w:val="20"/>
          <w:lang w:eastAsia="en-GB"/>
        </w:rPr>
        <w:t xml:space="preserve">A good focus would be </w:t>
      </w:r>
      <w:r>
        <w:rPr>
          <w:rFonts w:cs="Times New Roman"/>
          <w:noProof/>
          <w:sz w:val="20"/>
          <w:lang w:eastAsia="en-GB"/>
        </w:rPr>
        <w:t>to develop a Green Infrastructure approach at national, regional and local level (including in urban areas), coordinated with ecosystem and ecosystem services assessments and ecosystem restoration planning, taking into account the elements already availabl</w:t>
      </w:r>
      <w:r>
        <w:rPr>
          <w:rFonts w:cs="Times New Roman"/>
          <w:noProof/>
          <w:sz w:val="20"/>
          <w:lang w:eastAsia="en-GB"/>
        </w:rPr>
        <w:t>e (e.g. REN, spatial plans, assessments) and new and innovative solutions on nature-based approaches.</w:t>
      </w:r>
    </w:p>
    <w:p w:rsidR="004C5536" w:rsidRDefault="003D3C7F">
      <w:pPr>
        <w:widowControl w:val="0"/>
        <w:spacing w:after="240" w:line="240" w:lineRule="auto"/>
        <w:jc w:val="both"/>
        <w:outlineLvl w:val="1"/>
        <w:rPr>
          <w:rFonts w:cs="Times New Roman"/>
          <w:b/>
          <w:noProof/>
          <w:color w:val="1F497D" w:themeColor="text2"/>
          <w:sz w:val="24"/>
        </w:rPr>
      </w:pPr>
      <w:r>
        <w:rPr>
          <w:rFonts w:cs="Times New Roman"/>
          <w:b/>
          <w:noProof/>
          <w:color w:val="1F497D" w:themeColor="text2"/>
          <w:sz w:val="24"/>
        </w:rPr>
        <w:t>Soil protection</w:t>
      </w:r>
      <w:bookmarkEnd w:id="20"/>
      <w:bookmarkEnd w:id="21"/>
    </w:p>
    <w:p w:rsidR="004C5536" w:rsidRDefault="003D3C7F">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Soil Thematic Strategy highlights the need to ensure a sustainable use of soils. This requires the prevention of further soil degra</w:t>
      </w:r>
      <w:r>
        <w:rPr>
          <w:rFonts w:cs="Times New Roman"/>
          <w:noProof/>
          <w:color w:val="FFFFFF" w:themeColor="background1"/>
          <w:sz w:val="20"/>
        </w:rPr>
        <w:t xml:space="preserve">dation and the preservation of its functions, as well as the restoration of degraded soils. The 2011 Road Map for Resource-Efficient Europe, part of Europe 2020 Strategy provides that by 2020, EU policies take into account their direct and indirect impact </w:t>
      </w:r>
      <w:r>
        <w:rPr>
          <w:rFonts w:cs="Times New Roman"/>
          <w:noProof/>
          <w:color w:val="FFFFFF" w:themeColor="background1"/>
          <w:sz w:val="20"/>
        </w:rPr>
        <w:t>on land use in the EU and globally, and the rate of land take is on track with an aim to achieve no net land take by 2050.</w:t>
      </w:r>
    </w:p>
    <w:p w:rsidR="004C5536" w:rsidRDefault="003D3C7F">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 xml:space="preserve">SDG 15 requires countries to combat desertification, restore degraded land and soil, including land affected by desertification, </w:t>
      </w:r>
      <w:r>
        <w:rPr>
          <w:rFonts w:ascii="Calibri" w:eastAsia="Calibri" w:hAnsi="Calibri" w:cs="Times New Roman"/>
          <w:noProof/>
          <w:color w:val="FFFFFF"/>
          <w:sz w:val="20"/>
          <w:lang w:eastAsia="ar-SA"/>
        </w:rPr>
        <w:t>drought and floods, and strive to achieve a land-degradation-neutral world by 2030.</w:t>
      </w:r>
    </w:p>
    <w:p w:rsidR="004C5536" w:rsidRDefault="003D3C7F">
      <w:pPr>
        <w:widowControl w:val="0"/>
        <w:spacing w:before="240" w:after="120" w:line="240" w:lineRule="auto"/>
        <w:jc w:val="both"/>
        <w:rPr>
          <w:noProof/>
          <w:sz w:val="20"/>
          <w:lang w:eastAsia="en-GB"/>
        </w:rPr>
      </w:pPr>
      <w:r>
        <w:rPr>
          <w:noProof/>
          <w:sz w:val="20"/>
          <w:lang w:eastAsia="en-GB"/>
        </w:rPr>
        <w:t>Soil is an important resource for life and the economy. It provides key ecosystem services including the provision of food, fibre and biomass for renewable energy, carbon s</w:t>
      </w:r>
      <w:r>
        <w:rPr>
          <w:noProof/>
          <w:sz w:val="20"/>
          <w:lang w:eastAsia="en-GB"/>
        </w:rPr>
        <w:t>equestration, water purification and flood regulation, the provision of raw and building material. Soil is a finite and extremely fragile resource and increasingly degrading in the EU. Land taken by urban development and infrastructure is highly unlikely t</w:t>
      </w:r>
      <w:r>
        <w:rPr>
          <w:noProof/>
          <w:sz w:val="20"/>
          <w:lang w:eastAsia="en-GB"/>
        </w:rPr>
        <w:t>o be reverted to its natural state; it consumes mostly agricultural land and increases fragmentation of habitats. Soil protection is indirectly addressed in existing EU policies in areas such as agriculture, water, waste, chemicals, and prevention of indus</w:t>
      </w:r>
      <w:r>
        <w:rPr>
          <w:noProof/>
          <w:sz w:val="20"/>
          <w:lang w:eastAsia="en-GB"/>
        </w:rPr>
        <w:t>trial pollution.</w:t>
      </w:r>
    </w:p>
    <w:p w:rsidR="004C5536" w:rsidRDefault="003D3C7F">
      <w:pPr>
        <w:widowControl w:val="0"/>
        <w:spacing w:before="120" w:after="120" w:line="240" w:lineRule="auto"/>
        <w:jc w:val="both"/>
        <w:rPr>
          <w:rFonts w:cs="Times New Roman"/>
          <w:noProof/>
          <w:sz w:val="20"/>
        </w:rPr>
      </w:pPr>
      <w:r>
        <w:rPr>
          <w:rFonts w:cs="Times New Roman"/>
          <w:noProof/>
          <w:sz w:val="20"/>
        </w:rPr>
        <w:t>Artificial land cover is used for settlements, production systems and infrastructure. It may itself be split between built-up areas (buildings) and non-built-up areas (such as linear transport networks and associated areas).</w:t>
      </w:r>
    </w:p>
    <w:p w:rsidR="004C5536" w:rsidRDefault="003D3C7F">
      <w:pPr>
        <w:widowControl w:val="0"/>
        <w:spacing w:before="120" w:after="120" w:line="240" w:lineRule="auto"/>
        <w:jc w:val="both"/>
        <w:rPr>
          <w:rFonts w:cs="Times New Roman"/>
          <w:noProof/>
          <w:sz w:val="20"/>
          <w:szCs w:val="20"/>
        </w:rPr>
      </w:pPr>
      <w:r>
        <w:rPr>
          <w:rFonts w:cs="Times New Roman"/>
          <w:noProof/>
          <w:sz w:val="20"/>
          <w:szCs w:val="20"/>
        </w:rPr>
        <w:t>The annual lan</w:t>
      </w:r>
      <w:r>
        <w:rPr>
          <w:rFonts w:cs="Times New Roman"/>
          <w:noProof/>
          <w:sz w:val="20"/>
          <w:szCs w:val="20"/>
        </w:rPr>
        <w:t xml:space="preserve">d take rate (growth of artificial areas) as provided by CORINE Land Cover was 0.52% in Portugal over the period 2006-12, just above the EU average (0.41%). It represented 1853 hectares per year and mainly driven by housing, services and recreation as well </w:t>
      </w:r>
      <w:r>
        <w:rPr>
          <w:rFonts w:cs="Times New Roman"/>
          <w:noProof/>
          <w:sz w:val="20"/>
          <w:szCs w:val="20"/>
        </w:rPr>
        <w:t>as transport and infrastructures</w:t>
      </w:r>
      <w:r>
        <w:rPr>
          <w:rFonts w:cs="Times New Roman"/>
          <w:noProof/>
          <w:sz w:val="20"/>
          <w:szCs w:val="20"/>
          <w:vertAlign w:val="superscript"/>
        </w:rPr>
        <w:footnoteReference w:id="45"/>
      </w:r>
      <w:r>
        <w:rPr>
          <w:rFonts w:cs="Times New Roman"/>
          <w:noProof/>
          <w:sz w:val="20"/>
          <w:szCs w:val="20"/>
        </w:rPr>
        <w:t>.</w:t>
      </w:r>
    </w:p>
    <w:p w:rsidR="004C5536" w:rsidRDefault="003D3C7F">
      <w:pPr>
        <w:widowControl w:val="0"/>
        <w:spacing w:after="120" w:line="240" w:lineRule="auto"/>
        <w:jc w:val="both"/>
        <w:rPr>
          <w:rFonts w:cs="Times New Roman"/>
          <w:noProof/>
          <w:sz w:val="20"/>
          <w:szCs w:val="20"/>
        </w:rPr>
      </w:pPr>
      <w:r>
        <w:rPr>
          <w:rFonts w:cs="Times New Roman"/>
          <w:noProof/>
          <w:sz w:val="20"/>
          <w:szCs w:val="20"/>
        </w:rPr>
        <w:t xml:space="preserve">The percentage of built up land in 2009 was </w:t>
      </w:r>
      <w:r>
        <w:rPr>
          <w:rFonts w:cs="Times New Roman"/>
          <w:noProof/>
          <w:sz w:val="20"/>
        </w:rPr>
        <w:t>2.83</w:t>
      </w:r>
      <w:r>
        <w:rPr>
          <w:rFonts w:cs="Times New Roman"/>
          <w:noProof/>
          <w:sz w:val="20"/>
          <w:szCs w:val="20"/>
        </w:rPr>
        <w:t xml:space="preserve">%, </w:t>
      </w:r>
      <w:r>
        <w:rPr>
          <w:rFonts w:cs="Times New Roman"/>
          <w:noProof/>
          <w:sz w:val="20"/>
        </w:rPr>
        <w:t>below</w:t>
      </w:r>
      <w:r>
        <w:rPr>
          <w:rFonts w:cs="Times New Roman"/>
          <w:noProof/>
          <w:sz w:val="20"/>
          <w:szCs w:val="20"/>
        </w:rPr>
        <w:t xml:space="preserve"> the EU average (3.23%)</w:t>
      </w:r>
      <w:r>
        <w:rPr>
          <w:rFonts w:cs="Times New Roman"/>
          <w:noProof/>
          <w:sz w:val="20"/>
          <w:szCs w:val="20"/>
          <w:vertAlign w:val="superscript"/>
        </w:rPr>
        <w:footnoteReference w:id="46"/>
      </w:r>
      <w:r>
        <w:rPr>
          <w:rFonts w:cs="Times New Roman"/>
          <w:noProof/>
          <w:sz w:val="20"/>
          <w:szCs w:val="20"/>
        </w:rPr>
        <w:t>.</w:t>
      </w:r>
    </w:p>
    <w:p w:rsidR="004C5536" w:rsidRDefault="003D3C7F">
      <w:pPr>
        <w:widowControl w:val="0"/>
        <w:spacing w:after="120" w:line="240" w:lineRule="auto"/>
        <w:jc w:val="both"/>
        <w:rPr>
          <w:rFonts w:cs="Times New Roman"/>
          <w:noProof/>
          <w:sz w:val="20"/>
          <w:szCs w:val="20"/>
        </w:rPr>
      </w:pPr>
      <w:r>
        <w:rPr>
          <w:rFonts w:cs="Times New Roman"/>
          <w:noProof/>
          <w:sz w:val="20"/>
          <w:szCs w:val="20"/>
        </w:rPr>
        <w:t xml:space="preserve">The soil water erosion rate in 2010 was </w:t>
      </w:r>
      <w:r>
        <w:rPr>
          <w:rFonts w:cs="Times New Roman"/>
          <w:noProof/>
          <w:sz w:val="20"/>
        </w:rPr>
        <w:t>2.31</w:t>
      </w:r>
      <w:r>
        <w:rPr>
          <w:rFonts w:cs="Times New Roman"/>
          <w:noProof/>
          <w:sz w:val="20"/>
          <w:szCs w:val="20"/>
        </w:rPr>
        <w:t xml:space="preserve"> tonnes per ha per year, </w:t>
      </w:r>
      <w:r>
        <w:rPr>
          <w:rFonts w:cs="Times New Roman"/>
          <w:noProof/>
          <w:sz w:val="20"/>
        </w:rPr>
        <w:t>close to</w:t>
      </w:r>
      <w:r>
        <w:rPr>
          <w:rFonts w:cs="Times New Roman"/>
          <w:noProof/>
          <w:sz w:val="20"/>
          <w:szCs w:val="20"/>
        </w:rPr>
        <w:t xml:space="preserve"> EU-28 average (2.46 tonnes)</w:t>
      </w:r>
      <w:r>
        <w:rPr>
          <w:rFonts w:cs="Times New Roman"/>
          <w:noProof/>
          <w:sz w:val="20"/>
          <w:szCs w:val="20"/>
          <w:vertAlign w:val="superscript"/>
        </w:rPr>
        <w:footnoteReference w:id="47"/>
      </w:r>
      <w:r>
        <w:rPr>
          <w:rFonts w:cs="Times New Roman"/>
          <w:noProof/>
          <w:sz w:val="20"/>
          <w:szCs w:val="20"/>
        </w:rPr>
        <w:t>.</w:t>
      </w:r>
    </w:p>
    <w:p w:rsidR="004C5536" w:rsidRDefault="003D3C7F">
      <w:pPr>
        <w:widowControl w:val="0"/>
        <w:spacing w:after="240" w:line="240" w:lineRule="auto"/>
        <w:jc w:val="both"/>
        <w:rPr>
          <w:rFonts w:cs="Times New Roman"/>
          <w:noProof/>
          <w:sz w:val="20"/>
        </w:rPr>
      </w:pPr>
      <w:r>
        <w:rPr>
          <w:rFonts w:cs="Times New Roman"/>
          <w:noProof/>
          <w:sz w:val="20"/>
        </w:rPr>
        <w:t xml:space="preserve">Figure 8 shows the different </w:t>
      </w:r>
      <w:r>
        <w:rPr>
          <w:rFonts w:cs="Times New Roman"/>
          <w:noProof/>
          <w:sz w:val="20"/>
        </w:rPr>
        <w:t>land cover types in Portugal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c>
          <w:tcPr>
            <w:tcW w:w="4909" w:type="dxa"/>
          </w:tcPr>
          <w:p w:rsidR="004C5536" w:rsidRDefault="003D3C7F">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Land Cover types in Portugal 2012</w:t>
            </w:r>
            <w:r>
              <w:rPr>
                <w:rFonts w:cs="Times New Roman"/>
                <w:b/>
                <w:bCs/>
                <w:noProof/>
                <w:color w:val="1F497D" w:themeColor="text2"/>
                <w:sz w:val="20"/>
                <w:vertAlign w:val="superscript"/>
              </w:rPr>
              <w:footnoteReference w:id="48"/>
            </w:r>
          </w:p>
        </w:tc>
      </w:tr>
      <w:tr w:rsidR="004C5536">
        <w:tc>
          <w:tcPr>
            <w:tcW w:w="4909" w:type="dxa"/>
          </w:tcPr>
          <w:p w:rsidR="004C5536" w:rsidRDefault="003D3C7F">
            <w:pPr>
              <w:widowControl w:val="0"/>
              <w:spacing w:after="120"/>
              <w:jc w:val="both"/>
              <w:rPr>
                <w:rFonts w:cs="Times New Roman"/>
                <w:noProof/>
                <w:sz w:val="20"/>
              </w:rPr>
            </w:pPr>
            <w:r>
              <w:rPr>
                <w:rFonts w:ascii="Arial" w:hAnsi="Arial" w:cs="Arial"/>
                <w:noProof/>
                <w:sz w:val="20"/>
                <w:szCs w:val="20"/>
                <w:lang w:eastAsia="en-GB"/>
              </w:rPr>
              <w:drawing>
                <wp:inline distT="0" distB="0" distL="0" distR="0" wp14:anchorId="30A89B2A" wp14:editId="4F555F31">
                  <wp:extent cx="3067050" cy="3648075"/>
                  <wp:effectExtent l="0" t="0" r="0" b="9525"/>
                  <wp:docPr id="21" name="Picture 21" descr="PT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_CS_CLC_typ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7050" cy="3648075"/>
                          </a:xfrm>
                          <a:prstGeom prst="rect">
                            <a:avLst/>
                          </a:prstGeom>
                          <a:noFill/>
                          <a:ln>
                            <a:noFill/>
                          </a:ln>
                        </pic:spPr>
                      </pic:pic>
                    </a:graphicData>
                  </a:graphic>
                </wp:inline>
              </w:drawing>
            </w:r>
          </w:p>
        </w:tc>
      </w:tr>
    </w:tbl>
    <w:p w:rsidR="004C5536" w:rsidRDefault="003D3C7F">
      <w:pPr>
        <w:widowControl w:val="0"/>
        <w:spacing w:before="240" w:after="120" w:line="240" w:lineRule="auto"/>
        <w:jc w:val="both"/>
        <w:rPr>
          <w:rFonts w:cs="Times New Roman"/>
          <w:noProof/>
          <w:sz w:val="20"/>
          <w:szCs w:val="20"/>
        </w:rPr>
      </w:pPr>
      <w:bookmarkStart w:id="22" w:name="_Toc454450192"/>
      <w:r>
        <w:rPr>
          <w:rFonts w:cs="Times New Roman"/>
          <w:noProof/>
          <w:sz w:val="20"/>
          <w:szCs w:val="20"/>
        </w:rPr>
        <w:t>In 2014, the National Action Program to Combat Desertification (PANCD)</w:t>
      </w:r>
      <w:r>
        <w:rPr>
          <w:rFonts w:cs="Times New Roman"/>
          <w:noProof/>
          <w:sz w:val="20"/>
          <w:szCs w:val="20"/>
          <w:vertAlign w:val="superscript"/>
        </w:rPr>
        <w:footnoteReference w:id="49"/>
      </w:r>
      <w:r>
        <w:rPr>
          <w:rFonts w:cs="Times New Roman"/>
          <w:noProof/>
          <w:sz w:val="20"/>
          <w:szCs w:val="20"/>
        </w:rPr>
        <w:t xml:space="preserve"> was updated (building on a previous version of 1999). PANCD is fully aligned with the vision, the mission, and the strategic and operational objectives and goals of the 10 Year Strategy of the UnitedNations Convention to Combat Desertification. </w:t>
      </w:r>
    </w:p>
    <w:p w:rsidR="004C5536" w:rsidRDefault="003D3C7F">
      <w:pPr>
        <w:widowControl w:val="0"/>
        <w:spacing w:after="120" w:line="240" w:lineRule="auto"/>
        <w:jc w:val="both"/>
        <w:rPr>
          <w:rFonts w:cs="Times New Roman"/>
          <w:noProof/>
          <w:sz w:val="20"/>
          <w:szCs w:val="20"/>
        </w:rPr>
      </w:pPr>
      <w:r>
        <w:rPr>
          <w:rFonts w:cs="Times New Roman"/>
          <w:noProof/>
          <w:sz w:val="20"/>
          <w:szCs w:val="20"/>
        </w:rPr>
        <w:t xml:space="preserve">PANCD is </w:t>
      </w:r>
      <w:r>
        <w:rPr>
          <w:rFonts w:cs="Times New Roman"/>
          <w:noProof/>
          <w:sz w:val="20"/>
          <w:szCs w:val="20"/>
        </w:rPr>
        <w:t>a cornerstone Strategy for the protection and recovery of affected soil in Portugal defining the institutional framework responsible for ensuring implementation and establishing a desertification monitoring system to assess its effects and trends. It defin</w:t>
      </w:r>
      <w:r>
        <w:rPr>
          <w:rFonts w:cs="Times New Roman"/>
          <w:noProof/>
          <w:sz w:val="20"/>
          <w:szCs w:val="20"/>
        </w:rPr>
        <w:t>es a strategic vision, setting four strategic objectives: 1) To promote the improvement of living conditions of the populations of susceptible areas; 2) To promote the sustainable management of ecosystems of susceptible areas and the recovery of affected a</w:t>
      </w:r>
      <w:r>
        <w:rPr>
          <w:rFonts w:cs="Times New Roman"/>
          <w:noProof/>
          <w:sz w:val="20"/>
          <w:szCs w:val="20"/>
        </w:rPr>
        <w:t>reas; 3) Generate global benefits and potential synergies with the processes of climate change and biodiversity in sensitive areas; 4) To promote and mobilize resources to implement the UNCCD and PANCD) and associated specific objectives, lines of action a</w:t>
      </w:r>
      <w:r>
        <w:rPr>
          <w:rFonts w:cs="Times New Roman"/>
          <w:noProof/>
          <w:sz w:val="20"/>
          <w:szCs w:val="20"/>
        </w:rPr>
        <w:t>nd indicators.</w:t>
      </w:r>
    </w:p>
    <w:p w:rsidR="004C5536" w:rsidRDefault="003D3C7F">
      <w:pPr>
        <w:widowControl w:val="0"/>
        <w:spacing w:after="360" w:line="240" w:lineRule="auto"/>
        <w:jc w:val="both"/>
        <w:rPr>
          <w:rFonts w:cs="Times New Roman"/>
          <w:noProof/>
          <w:sz w:val="20"/>
          <w:lang w:eastAsia="en-GB"/>
        </w:rPr>
      </w:pPr>
      <w:r>
        <w:rPr>
          <w:rFonts w:cs="Times New Roman"/>
          <w:noProof/>
          <w:sz w:val="20"/>
          <w:szCs w:val="20"/>
        </w:rPr>
        <w:t>There are still not EU-wide datasets enabling the provision of benchmark indicators for soil organic matter decline, contaminated sites, pressures on soil biology and diffuse pollution. An updated inventory</w:t>
      </w:r>
      <w:r>
        <w:rPr>
          <w:rFonts w:cs="Times New Roman"/>
          <w:noProof/>
          <w:sz w:val="20"/>
        </w:rPr>
        <w:t xml:space="preserve"> and assessment of soil protection </w:t>
      </w:r>
      <w:r>
        <w:rPr>
          <w:rFonts w:cs="Times New Roman"/>
          <w:noProof/>
          <w:sz w:val="20"/>
        </w:rPr>
        <w:t>policy instruments in Portugal and other EU Member States is being performed by the EU Expert Group on Soil Protection.</w:t>
      </w:r>
    </w:p>
    <w:p w:rsidR="004C5536" w:rsidRDefault="003D3C7F">
      <w:pPr>
        <w:widowControl w:val="0"/>
        <w:spacing w:after="240" w:line="240" w:lineRule="auto"/>
        <w:jc w:val="both"/>
        <w:outlineLvl w:val="1"/>
        <w:rPr>
          <w:rFonts w:cs="Times New Roman"/>
          <w:b/>
          <w:noProof/>
          <w:color w:val="1F497D" w:themeColor="text2"/>
          <w:sz w:val="24"/>
        </w:rPr>
      </w:pPr>
      <w:bookmarkStart w:id="23" w:name="_Toc469492753"/>
      <w:r>
        <w:rPr>
          <w:rFonts w:cs="Times New Roman"/>
          <w:b/>
          <w:noProof/>
          <w:color w:val="1F497D" w:themeColor="text2"/>
          <w:sz w:val="24"/>
        </w:rPr>
        <w:t>Marine protection</w:t>
      </w:r>
      <w:bookmarkEnd w:id="22"/>
      <w:bookmarkEnd w:id="23"/>
    </w:p>
    <w:p w:rsidR="004C5536" w:rsidRDefault="003D3C7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Coastal and Marine Policy and legislation require that by 2020 the impact of pressures on marine waters is redu</w:t>
      </w:r>
      <w:r>
        <w:rPr>
          <w:rFonts w:cs="Times New Roman"/>
          <w:noProof/>
          <w:color w:val="FFFFFF" w:themeColor="background1"/>
          <w:sz w:val="20"/>
        </w:rPr>
        <w:t>ced to achieve or maintain good environmental status and coastal zones are managed sustainably.</w:t>
      </w:r>
    </w:p>
    <w:p w:rsidR="004C5536" w:rsidRDefault="003D3C7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4C5536" w:rsidRDefault="003D3C7F">
      <w:pPr>
        <w:widowControl w:val="0"/>
        <w:spacing w:before="240" w:after="120" w:line="240" w:lineRule="auto"/>
        <w:jc w:val="both"/>
        <w:rPr>
          <w:noProof/>
          <w:sz w:val="20"/>
        </w:rPr>
      </w:pPr>
      <w:r>
        <w:rPr>
          <w:noProof/>
          <w:sz w:val="20"/>
        </w:rPr>
        <w:t xml:space="preserve">The Marine Strategy Framework </w:t>
      </w:r>
      <w:r>
        <w:rPr>
          <w:noProof/>
          <w:sz w:val="20"/>
        </w:rPr>
        <w:t>Directive (MSFD)</w:t>
      </w:r>
      <w:r>
        <w:rPr>
          <w:rFonts w:cs="Times New Roman"/>
          <w:noProof/>
          <w:sz w:val="20"/>
          <w:vertAlign w:val="superscript"/>
        </w:rPr>
        <w:footnoteReference w:id="50"/>
      </w:r>
      <w:r>
        <w:rPr>
          <w:noProof/>
          <w:sz w:val="20"/>
        </w:rPr>
        <w:t xml:space="preserve"> aims to achieve Good Environmental Status (GES) of the EU's marine waters by 2020 by</w:t>
      </w:r>
      <w:r>
        <w:rPr>
          <w:noProof/>
          <w:sz w:val="20"/>
          <w:lang w:val="en"/>
        </w:rPr>
        <w:t xml:space="preserve"> providing an ecosystem approach to the management of human activities with impact on the marine environment</w:t>
      </w:r>
      <w:r>
        <w:rPr>
          <w:noProof/>
          <w:sz w:val="20"/>
        </w:rPr>
        <w:t>. The Directive requires Member States to deve</w:t>
      </w:r>
      <w:r>
        <w:rPr>
          <w:noProof/>
          <w:sz w:val="20"/>
        </w:rPr>
        <w:t>lop and implement a marine strategy for their marine waters, and cooperate with Member States sharing the same marine region or subregion.</w:t>
      </w:r>
    </w:p>
    <w:p w:rsidR="004C5536" w:rsidRDefault="003D3C7F">
      <w:pPr>
        <w:widowControl w:val="0"/>
        <w:spacing w:after="120" w:line="240" w:lineRule="auto"/>
        <w:jc w:val="both"/>
        <w:rPr>
          <w:noProof/>
          <w:sz w:val="20"/>
        </w:rPr>
      </w:pPr>
      <w:r>
        <w:rPr>
          <w:noProof/>
          <w:sz w:val="20"/>
        </w:rPr>
        <w:t>As part of their marine strategies, Member States had to make an initial assessment of their marine waters, determine</w:t>
      </w:r>
      <w:r>
        <w:rPr>
          <w:noProof/>
          <w:sz w:val="20"/>
        </w:rPr>
        <w:t xml:space="preserve"> GES</w:t>
      </w:r>
      <w:r>
        <w:rPr>
          <w:noProof/>
          <w:sz w:val="20"/>
          <w:vertAlign w:val="superscript"/>
        </w:rPr>
        <w:footnoteReference w:id="51"/>
      </w:r>
      <w:r>
        <w:rPr>
          <w:noProof/>
          <w:sz w:val="20"/>
        </w:rPr>
        <w:t xml:space="preserve"> and establish environmental targets by July 2012. They also had to establish monitoring programmes for the on-going assessment of their marine waters by July 2014. The next element of their marine strategy is to establish a Programme of Measures (2016). T</w:t>
      </w:r>
      <w:r>
        <w:rPr>
          <w:noProof/>
          <w:sz w:val="20"/>
        </w:rPr>
        <w:t>he Commission assesses whether these elements constitute an appropriate framework to meet the requirements of the MSFD.</w:t>
      </w:r>
    </w:p>
    <w:p w:rsidR="004C5536" w:rsidRDefault="003D3C7F">
      <w:pPr>
        <w:widowControl w:val="0"/>
        <w:spacing w:after="120" w:line="240" w:lineRule="auto"/>
        <w:jc w:val="both"/>
        <w:rPr>
          <w:rFonts w:cs="Times New Roman"/>
          <w:noProof/>
          <w:sz w:val="20"/>
        </w:rPr>
      </w:pPr>
      <w:r>
        <w:rPr>
          <w:rFonts w:cs="Times New Roman"/>
          <w:noProof/>
          <w:sz w:val="20"/>
        </w:rPr>
        <w:t>Portuguese marine waters are part of the North-East Atlantic Ocean marine region and are divided into four subdivisions: the continental</w:t>
      </w:r>
      <w:r>
        <w:rPr>
          <w:rFonts w:cs="Times New Roman"/>
          <w:noProof/>
          <w:sz w:val="20"/>
        </w:rPr>
        <w:t xml:space="preserve"> subdivision, the Acores and Madeira subdivisions and the 'extended continental shelf'. Portugal is party to the Convention for the protection of the marine environment of the North-East Atlantic (OSPAR Convention). In the open ocean areas of the Atlantic </w:t>
      </w:r>
      <w:r>
        <w:rPr>
          <w:rFonts w:cs="Times New Roman"/>
          <w:noProof/>
          <w:sz w:val="20"/>
        </w:rPr>
        <w:t xml:space="preserve">the main threats to biodiversity are potentially: overfishing, bottom-trawling (note that Portugal decided to ban bottom-trawling for its national fleet and is seeking to ban it for all EU fleet), discards, and pollution resulting from accidents (e.g. oil </w:t>
      </w:r>
      <w:r>
        <w:rPr>
          <w:rFonts w:cs="Times New Roman"/>
          <w:noProof/>
          <w:sz w:val="20"/>
        </w:rPr>
        <w:t>spills).</w:t>
      </w:r>
    </w:p>
    <w:p w:rsidR="004C5536" w:rsidRDefault="003D3C7F">
      <w:pPr>
        <w:widowControl w:val="0"/>
        <w:spacing w:after="120" w:line="240" w:lineRule="auto"/>
        <w:jc w:val="both"/>
        <w:rPr>
          <w:rFonts w:cs="Times New Roman"/>
          <w:noProof/>
          <w:sz w:val="20"/>
        </w:rPr>
      </w:pPr>
      <w:r>
        <w:rPr>
          <w:rFonts w:cs="Times New Roman"/>
          <w:noProof/>
          <w:sz w:val="20"/>
        </w:rPr>
        <w:t>In 2014 Portugal reported only for its continental sub-division (mainland waters) and partially for its extended continental shelf area beyond 200 nm and completed the reporting exercise in 2015 for Macaronesia</w:t>
      </w:r>
      <w:r>
        <w:rPr>
          <w:rFonts w:cs="Times New Roman"/>
          <w:noProof/>
          <w:sz w:val="20"/>
          <w:lang w:val="en-US"/>
        </w:rPr>
        <w:t>.</w:t>
      </w:r>
      <w:r>
        <w:rPr>
          <w:rFonts w:cs="Times New Roman"/>
          <w:noProof/>
          <w:sz w:val="20"/>
        </w:rPr>
        <w:t xml:space="preserve"> Portugal did not provide a clear de</w:t>
      </w:r>
      <w:r>
        <w:rPr>
          <w:rFonts w:cs="Times New Roman"/>
          <w:noProof/>
          <w:sz w:val="20"/>
        </w:rPr>
        <w:t>termination of GES. Portugal also provided insufficient details to evaluate if and when GES was achieved</w:t>
      </w:r>
      <w:r>
        <w:rPr>
          <w:rFonts w:cs="Times New Roman"/>
          <w:noProof/>
          <w:sz w:val="20"/>
          <w:vertAlign w:val="superscript"/>
        </w:rPr>
        <w:footnoteReference w:id="52"/>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It is therefore too early to say whether Portugal's waters are in good status as there were weaknesses in determining what GES is the in first place.</w:t>
      </w:r>
    </w:p>
    <w:p w:rsidR="004C5536" w:rsidRDefault="003D3C7F">
      <w:pPr>
        <w:widowControl w:val="0"/>
        <w:spacing w:after="120" w:line="240" w:lineRule="auto"/>
        <w:jc w:val="both"/>
        <w:rPr>
          <w:rFonts w:cs="Times New Roman"/>
          <w:noProof/>
          <w:sz w:val="20"/>
        </w:rPr>
      </w:pPr>
      <w:r>
        <w:rPr>
          <w:rFonts w:cs="Times New Roman"/>
          <w:noProof/>
          <w:sz w:val="20"/>
        </w:rPr>
        <w:t xml:space="preserve">Portugal also established a monitoring programme of its marine waters in 2014 for all </w:t>
      </w:r>
      <w:r>
        <w:rPr>
          <w:rFonts w:cs="Times New Roman"/>
          <w:noProof/>
          <w:sz w:val="20"/>
          <w:lang w:val="en-US"/>
        </w:rPr>
        <w:t xml:space="preserve">descriptors, </w:t>
      </w:r>
      <w:r>
        <w:rPr>
          <w:rFonts w:cs="Times New Roman"/>
          <w:noProof/>
          <w:sz w:val="20"/>
        </w:rPr>
        <w:t>except for eutrophication and hydrographic changes. It seems that its monitoring programmes for all descriptors except commercial fisheries need further ref</w:t>
      </w:r>
      <w:r>
        <w:rPr>
          <w:rFonts w:cs="Times New Roman"/>
          <w:noProof/>
          <w:sz w:val="20"/>
        </w:rPr>
        <w:t>inement and development to constitute an appropriate framework to monitor progress towards GES. It is also not clear from Portugal's reporting whether its monitoring programme is already being implemented or whether it will come into force at a later date</w:t>
      </w:r>
      <w:r>
        <w:rPr>
          <w:rFonts w:cs="Times New Roman"/>
          <w:noProof/>
          <w:sz w:val="20"/>
          <w:vertAlign w:val="superscript"/>
          <w:lang w:val="en-US"/>
        </w:rPr>
        <w:footnoteReference w:id="53"/>
      </w:r>
      <w:r>
        <w:rPr>
          <w:rFonts w:cs="Times New Roman"/>
          <w:noProof/>
          <w:sz w:val="20"/>
        </w:rPr>
        <w:t>.</w:t>
      </w:r>
    </w:p>
    <w:p w:rsidR="004C5536" w:rsidRDefault="003D3C7F">
      <w:pPr>
        <w:widowControl w:val="0"/>
        <w:spacing w:after="120" w:line="240" w:lineRule="auto"/>
        <w:jc w:val="both"/>
        <w:rPr>
          <w:rFonts w:cs="Times New Roman"/>
          <w:noProof/>
          <w:sz w:val="20"/>
          <w:lang w:val="en-US"/>
        </w:rPr>
      </w:pPr>
      <w:r>
        <w:rPr>
          <w:rFonts w:cs="Times New Roman"/>
          <w:noProof/>
          <w:sz w:val="20"/>
          <w:lang w:val="en-US"/>
        </w:rPr>
        <w:t>In 2016 Portuguese marine protected areas (both Natura 2000 sites and national designations) covered 113 107 km² of which 536 km² were designated in the continental subdivision, 112 334 km² were designated around the Azores and 237 km² around Madeira.</w:t>
      </w:r>
    </w:p>
    <w:p w:rsidR="004C5536" w:rsidRDefault="003D3C7F">
      <w:pPr>
        <w:widowControl w:val="0"/>
        <w:spacing w:after="240" w:line="240" w:lineRule="auto"/>
        <w:jc w:val="both"/>
        <w:rPr>
          <w:rFonts w:cs="Times New Roman"/>
          <w:noProof/>
          <w:sz w:val="20"/>
        </w:rPr>
      </w:pPr>
      <w:r>
        <w:rPr>
          <w:rFonts w:cs="Times New Roman"/>
          <w:noProof/>
          <w:sz w:val="20"/>
        </w:rPr>
        <w:t>Th</w:t>
      </w:r>
      <w:r>
        <w:rPr>
          <w:rFonts w:cs="Times New Roman"/>
          <w:noProof/>
          <w:sz w:val="20"/>
        </w:rPr>
        <w:t>e Commission's reports on the implementation of the MSFD</w:t>
      </w:r>
      <w:r>
        <w:rPr>
          <w:rFonts w:cs="Times New Roman"/>
          <w:noProof/>
          <w:sz w:val="20"/>
          <w:vertAlign w:val="superscript"/>
        </w:rPr>
        <w:footnoteReference w:id="54"/>
      </w:r>
      <w:r>
        <w:rPr>
          <w:rFonts w:cs="Times New Roman"/>
          <w:noProof/>
          <w:sz w:val="20"/>
        </w:rPr>
        <w:t xml:space="preserve"> provide guidance to assist Portugal in its implementation of the MSFD.</w:t>
      </w:r>
    </w:p>
    <w:p w:rsidR="004C5536" w:rsidRDefault="003D3C7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bookmarkStart w:id="24" w:name="_Toc433296162"/>
    </w:p>
    <w:p w:rsidR="004C5536" w:rsidRDefault="003D3C7F">
      <w:pPr>
        <w:pStyle w:val="NoSpacing"/>
        <w:widowControl w:val="0"/>
        <w:rPr>
          <w:noProof/>
        </w:rPr>
      </w:pPr>
      <w:r>
        <w:rPr>
          <w:noProof/>
        </w:rPr>
        <w:t>Continue work to improve the definitions of Good Environmental Status (GES) in particular for biodiversity des</w:t>
      </w:r>
      <w:r>
        <w:rPr>
          <w:noProof/>
        </w:rPr>
        <w:t>criptors, including through regional cooperation by using the work of the relevant Regional Sea Convention.</w:t>
      </w:r>
    </w:p>
    <w:p w:rsidR="004C5536" w:rsidRDefault="003D3C7F">
      <w:pPr>
        <w:pStyle w:val="NoSpacing"/>
        <w:widowControl w:val="0"/>
        <w:rPr>
          <w:noProof/>
          <w:lang w:val="en-US"/>
        </w:rPr>
      </w:pPr>
      <w:r>
        <w:rPr>
          <w:noProof/>
          <w:lang w:val="en-US"/>
        </w:rPr>
        <w:t>Address knowledge gaps.</w:t>
      </w:r>
    </w:p>
    <w:p w:rsidR="004C5536" w:rsidRDefault="003D3C7F">
      <w:pPr>
        <w:pStyle w:val="NoSpacing"/>
        <w:widowControl w:val="0"/>
        <w:rPr>
          <w:noProof/>
          <w:lang w:val="en-US"/>
        </w:rPr>
      </w:pPr>
      <w:r>
        <w:rPr>
          <w:noProof/>
          <w:lang w:val="en-US"/>
        </w:rPr>
        <w:t>Continue to integrate existing monitoring programmes required under other EU legislation and to implement joint monitoring p</w:t>
      </w:r>
      <w:r>
        <w:rPr>
          <w:noProof/>
          <w:lang w:val="en-US"/>
        </w:rPr>
        <w:t>rogrammes, where they exist, developed at (sub) regional level.</w:t>
      </w:r>
    </w:p>
    <w:p w:rsidR="004C5536" w:rsidRDefault="003D3C7F">
      <w:pPr>
        <w:pStyle w:val="NoSpacing"/>
        <w:widowControl w:val="0"/>
        <w:rPr>
          <w:noProof/>
          <w:lang w:val="en-US"/>
        </w:rPr>
      </w:pPr>
      <w:r>
        <w:rPr>
          <w:noProof/>
          <w:lang w:val="en-US"/>
        </w:rPr>
        <w:t>Enhance comparability and consistency of monitoring methods within the Portuguese marine region.</w:t>
      </w:r>
    </w:p>
    <w:p w:rsidR="004C5536" w:rsidRDefault="003D3C7F">
      <w:pPr>
        <w:pStyle w:val="NoSpacing"/>
        <w:widowControl w:val="0"/>
        <w:rPr>
          <w:noProof/>
          <w:lang w:val="en-US"/>
        </w:rPr>
      </w:pPr>
      <w:r>
        <w:rPr>
          <w:noProof/>
          <w:lang w:val="en-US"/>
        </w:rPr>
        <w:t>Ensure that its monitoring programme is implemented without delay, addresses all descriptors an</w:t>
      </w:r>
      <w:r>
        <w:rPr>
          <w:noProof/>
          <w:lang w:val="en-US"/>
        </w:rPr>
        <w:t>d is appropriate to monitor progress towards its GES.</w:t>
      </w:r>
    </w:p>
    <w:p w:rsidR="004C5536" w:rsidRDefault="004C5536">
      <w:pPr>
        <w:widowControl w:val="0"/>
        <w:spacing w:after="120" w:line="240" w:lineRule="auto"/>
        <w:jc w:val="both"/>
        <w:rPr>
          <w:noProof/>
          <w:sz w:val="20"/>
        </w:rPr>
      </w:pPr>
    </w:p>
    <w:p w:rsidR="004C5536" w:rsidRDefault="004C5536">
      <w:pPr>
        <w:widowControl w:val="0"/>
        <w:spacing w:after="120" w:line="240" w:lineRule="auto"/>
        <w:jc w:val="both"/>
        <w:rPr>
          <w:noProof/>
          <w:sz w:val="20"/>
        </w:rPr>
      </w:pPr>
    </w:p>
    <w:p w:rsidR="004C5536" w:rsidRDefault="004C5536">
      <w:pPr>
        <w:widowControl w:val="0"/>
        <w:spacing w:after="120" w:line="240" w:lineRule="auto"/>
        <w:jc w:val="both"/>
        <w:rPr>
          <w:rFonts w:cs="Times New Roman"/>
          <w:noProof/>
          <w:sz w:val="20"/>
          <w:lang w:val="en-US"/>
        </w:rPr>
      </w:pPr>
    </w:p>
    <w:bookmarkEnd w:id="24"/>
    <w:p w:rsidR="004C5536" w:rsidRDefault="003D3C7F">
      <w:pPr>
        <w:widowControl w:val="0"/>
        <w:spacing w:after="120"/>
        <w:rPr>
          <w:rFonts w:cs="Times New Roman"/>
          <w:noProof/>
          <w:sz w:val="20"/>
        </w:rPr>
      </w:pPr>
      <w:r>
        <w:rPr>
          <w:rFonts w:cs="Times New Roman"/>
          <w:noProof/>
          <w:sz w:val="20"/>
        </w:rPr>
        <w:br w:type="page"/>
      </w: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sectPr w:rsidR="004C5536">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440" w:right="1080" w:bottom="1440" w:left="1080" w:header="708" w:footer="708" w:gutter="0"/>
          <w:cols w:num="2" w:space="360"/>
          <w:docGrid w:linePitch="360"/>
        </w:sectPr>
      </w:pPr>
    </w:p>
    <w:p w:rsidR="004C5536" w:rsidRDefault="003D3C7F">
      <w:pPr>
        <w:pStyle w:val="Heading1"/>
        <w:rPr>
          <w:rFonts w:eastAsiaTheme="majorEastAsia"/>
          <w:noProof/>
        </w:rPr>
      </w:pPr>
      <w:bookmarkStart w:id="25" w:name="_Toc469492754"/>
      <w:r>
        <w:rPr>
          <w:rFonts w:eastAsiaTheme="majorEastAsia"/>
          <w:noProof/>
        </w:rPr>
        <w:t>Ensuring citizens' health and quality of life</w:t>
      </w:r>
      <w:bookmarkEnd w:id="25"/>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sectPr w:rsidR="004C5536">
          <w:headerReference w:type="even" r:id="rId82"/>
          <w:headerReference w:type="default" r:id="rId83"/>
          <w:footerReference w:type="even" r:id="rId84"/>
          <w:footerReference w:type="default" r:id="rId85"/>
          <w:headerReference w:type="first" r:id="rId86"/>
          <w:footerReference w:type="first" r:id="rId87"/>
          <w:type w:val="continuous"/>
          <w:pgSz w:w="11906" w:h="16838"/>
          <w:pgMar w:top="1440" w:right="1080" w:bottom="1440" w:left="1080" w:header="708" w:footer="708" w:gutter="0"/>
          <w:cols w:space="566"/>
          <w:docGrid w:linePitch="360"/>
        </w:sectPr>
      </w:pPr>
    </w:p>
    <w:p w:rsidR="004C5536" w:rsidRDefault="003D3C7F">
      <w:pPr>
        <w:widowControl w:val="0"/>
        <w:spacing w:after="0" w:line="240" w:lineRule="auto"/>
        <w:jc w:val="both"/>
        <w:outlineLvl w:val="1"/>
        <w:rPr>
          <w:rFonts w:cs="Times New Roman"/>
          <w:b/>
          <w:noProof/>
          <w:color w:val="1F497D" w:themeColor="text2"/>
          <w:sz w:val="24"/>
        </w:rPr>
      </w:pPr>
      <w:bookmarkStart w:id="26" w:name="_Toc433296166"/>
      <w:bookmarkStart w:id="27" w:name="_Toc469492755"/>
      <w:r>
        <w:rPr>
          <w:rFonts w:cs="Times New Roman"/>
          <w:b/>
          <w:noProof/>
          <w:color w:val="1F497D" w:themeColor="text2"/>
          <w:sz w:val="24"/>
        </w:rPr>
        <w:t>Air quality</w:t>
      </w:r>
      <w:bookmarkEnd w:id="26"/>
      <w:bookmarkEnd w:id="27"/>
    </w:p>
    <w:p w:rsidR="004C5536" w:rsidRDefault="003D3C7F">
      <w:pPr>
        <w:widowControl w:val="0"/>
        <w:shd w:val="clear" w:color="auto" w:fill="4F81BD" w:themeFill="accent1"/>
        <w:spacing w:before="240" w:after="120" w:line="240" w:lineRule="auto"/>
        <w:jc w:val="both"/>
        <w:rPr>
          <w:rFonts w:cs="Times New Roman"/>
          <w:noProof/>
          <w:color w:val="FFFFFF" w:themeColor="background1"/>
          <w:sz w:val="20"/>
          <w:szCs w:val="20"/>
        </w:rPr>
      </w:pPr>
      <w:r>
        <w:rPr>
          <w:rFonts w:cs="Times New Roman"/>
          <w:noProof/>
          <w:color w:val="FFFFFF" w:themeColor="background1"/>
          <w:sz w:val="20"/>
          <w:szCs w:val="20"/>
        </w:rPr>
        <w:t xml:space="preserve">EU Clean Air Policy and legislation require that air quality in the Union is significantly improved, moving closer to the WHO </w:t>
      </w:r>
      <w:r>
        <w:rPr>
          <w:rFonts w:cs="Times New Roman"/>
          <w:noProof/>
          <w:color w:val="FFFFFF" w:themeColor="background1"/>
          <w:sz w:val="20"/>
          <w:szCs w:val="20"/>
        </w:rPr>
        <w:t>recommended levels. Air pollution and its impacts on ecosystems and biodiversity should be further reduced with the long-term aim of not exceeding critical loads and levels. This requires strengthening efforts to reach full compliance with Union air qualit</w:t>
      </w:r>
      <w:r>
        <w:rPr>
          <w:rFonts w:cs="Times New Roman"/>
          <w:noProof/>
          <w:color w:val="FFFFFF" w:themeColor="background1"/>
          <w:sz w:val="20"/>
          <w:szCs w:val="20"/>
        </w:rPr>
        <w:t>y legislation and defining strategic targets and actions beyond 2020.</w:t>
      </w:r>
    </w:p>
    <w:tbl>
      <w:tblPr>
        <w:tblStyle w:val="TableGrid2"/>
        <w:tblpPr w:leftFromText="180" w:rightFromText="180" w:vertAnchor="text" w:horzAnchor="margin" w:tblpY="592"/>
        <w:tblW w:w="996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6"/>
      </w:tblGrid>
      <w:tr w:rsidR="004C5536">
        <w:trPr>
          <w:trHeight w:val="328"/>
        </w:trPr>
        <w:tc>
          <w:tcPr>
            <w:tcW w:w="9966" w:type="dxa"/>
          </w:tcPr>
          <w:p w:rsidR="004C5536" w:rsidRDefault="003D3C7F">
            <w:pPr>
              <w:widowControl w:val="0"/>
              <w:spacing w:after="120"/>
              <w:jc w:val="both"/>
              <w:rPr>
                <w:rFonts w:cs="Times New Roman"/>
                <w:b/>
                <w:bCs/>
                <w:noProof/>
                <w:color w:val="1F497D" w:themeColor="text2"/>
                <w:sz w:val="20"/>
              </w:rPr>
            </w:pPr>
            <w:r>
              <w:rPr>
                <w:rFonts w:cs="Times New Roman"/>
                <w:b/>
                <w:bCs/>
                <w:noProof/>
                <w:color w:val="1F497D" w:themeColor="text2"/>
                <w:sz w:val="20"/>
              </w:rPr>
              <w:t>Figure 9: Attainment situation for PM10, NO2 and O3 in 2014</w:t>
            </w:r>
          </w:p>
        </w:tc>
      </w:tr>
      <w:tr w:rsidR="004C5536">
        <w:trPr>
          <w:trHeight w:val="4030"/>
        </w:trPr>
        <w:tc>
          <w:tcPr>
            <w:tcW w:w="9966" w:type="dxa"/>
          </w:tcPr>
          <w:p w:rsidR="004C5536" w:rsidRDefault="003D3C7F">
            <w:pPr>
              <w:widowControl w:val="0"/>
              <w:spacing w:after="120"/>
              <w:jc w:val="both"/>
              <w:rPr>
                <w:rFonts w:cs="Times New Roman"/>
                <w:noProof/>
                <w:sz w:val="20"/>
              </w:rPr>
            </w:pPr>
            <w:r>
              <w:rPr>
                <w:rFonts w:cs="Times New Roman"/>
                <w:noProof/>
                <w:sz w:val="20"/>
                <w:lang w:eastAsia="en-GB"/>
              </w:rPr>
              <w:drawing>
                <wp:inline distT="0" distB="0" distL="0" distR="0" wp14:anchorId="1931B8D7" wp14:editId="238CC203">
                  <wp:extent cx="6143625" cy="3036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51987" cy="3040372"/>
                          </a:xfrm>
                          <a:prstGeom prst="rect">
                            <a:avLst/>
                          </a:prstGeom>
                          <a:noFill/>
                        </pic:spPr>
                      </pic:pic>
                    </a:graphicData>
                  </a:graphic>
                </wp:inline>
              </w:drawing>
            </w:r>
          </w:p>
        </w:tc>
      </w:tr>
    </w:tbl>
    <w:p w:rsidR="004C5536" w:rsidRDefault="003D3C7F">
      <w:pPr>
        <w:widowControl w:val="0"/>
        <w:spacing w:after="120" w:line="240" w:lineRule="auto"/>
        <w:jc w:val="both"/>
        <w:rPr>
          <w:rFonts w:cs="Times New Roman"/>
          <w:noProof/>
          <w:sz w:val="20"/>
          <w:szCs w:val="20"/>
        </w:rPr>
      </w:pPr>
      <w:r>
        <w:rPr>
          <w:rFonts w:cs="Times New Roman"/>
          <w:noProof/>
          <w:sz w:val="20"/>
          <w:szCs w:val="20"/>
        </w:rPr>
        <w:t>T</w:t>
      </w:r>
      <w:r>
        <w:rPr>
          <w:rFonts w:cs="Times New Roman"/>
          <w:noProof/>
          <w:sz w:val="20"/>
          <w:szCs w:val="20"/>
          <w:lang w:val="en"/>
        </w:rPr>
        <w:t>he</w:t>
      </w:r>
      <w:r>
        <w:rPr>
          <w:rFonts w:cs="Times New Roman"/>
          <w:noProof/>
          <w:sz w:val="20"/>
          <w:szCs w:val="20"/>
        </w:rPr>
        <w:t xml:space="preserve"> </w:t>
      </w:r>
      <w:r>
        <w:rPr>
          <w:rFonts w:cs="Times New Roman"/>
          <w:noProof/>
          <w:sz w:val="20"/>
          <w:szCs w:val="20"/>
          <w:lang w:val="en"/>
        </w:rPr>
        <w:t>EU has developed an extensive body of legislation</w:t>
      </w:r>
      <w:r>
        <w:rPr>
          <w:rFonts w:cs="Times New Roman"/>
          <w:noProof/>
          <w:sz w:val="20"/>
          <w:szCs w:val="20"/>
          <w:vertAlign w:val="superscript"/>
        </w:rPr>
        <w:footnoteReference w:id="55"/>
      </w:r>
      <w:r>
        <w:rPr>
          <w:rFonts w:cs="Times New Roman"/>
          <w:noProof/>
          <w:sz w:val="20"/>
          <w:szCs w:val="20"/>
          <w:lang w:val="en"/>
        </w:rPr>
        <w:t xml:space="preserve">, which establishes health based standards and objectives for a </w:t>
      </w:r>
      <w:r>
        <w:rPr>
          <w:rFonts w:cs="Times New Roman"/>
          <w:noProof/>
          <w:sz w:val="20"/>
          <w:szCs w:val="20"/>
          <w:lang w:val="en"/>
        </w:rPr>
        <w:t>number of pollutants in air.</w:t>
      </w:r>
      <w:r>
        <w:rPr>
          <w:rFonts w:cs="Times New Roman"/>
          <w:noProof/>
          <w:sz w:val="20"/>
          <w:szCs w:val="20"/>
        </w:rPr>
        <w:t xml:space="preserve"> Member States are required to ensure that up-to-date information on ambient concentrations of the different pollutants is routinely made available to the public. The National Emission Ceilings Directive provides for emission re</w:t>
      </w:r>
      <w:r>
        <w:rPr>
          <w:rFonts w:cs="Times New Roman"/>
          <w:noProof/>
          <w:sz w:val="20"/>
          <w:szCs w:val="20"/>
        </w:rPr>
        <w:t>ductions at national level that should be achieved for six main pollutants.</w:t>
      </w:r>
    </w:p>
    <w:p w:rsidR="004C5536" w:rsidRDefault="003D3C7F">
      <w:pPr>
        <w:widowControl w:val="0"/>
        <w:spacing w:after="120" w:line="240" w:lineRule="auto"/>
        <w:jc w:val="both"/>
        <w:rPr>
          <w:rFonts w:cs="Times New Roman"/>
          <w:noProof/>
          <w:sz w:val="20"/>
          <w:szCs w:val="20"/>
        </w:rPr>
      </w:pPr>
      <w:r>
        <w:rPr>
          <w:rFonts w:cs="Times New Roman"/>
          <w:noProof/>
          <w:sz w:val="20"/>
          <w:szCs w:val="20"/>
        </w:rPr>
        <w:t>The emission of several air pollutants has decreased significantly in Portugal</w:t>
      </w:r>
      <w:r>
        <w:rPr>
          <w:rFonts w:cs="Times New Roman"/>
          <w:noProof/>
          <w:sz w:val="20"/>
          <w:szCs w:val="20"/>
          <w:vertAlign w:val="superscript"/>
        </w:rPr>
        <w:footnoteReference w:id="56"/>
      </w:r>
      <w:r>
        <w:rPr>
          <w:rFonts w:cs="Times New Roman"/>
          <w:noProof/>
          <w:sz w:val="20"/>
          <w:szCs w:val="20"/>
        </w:rPr>
        <w:t>. Reductions between 1990 and 2014 for sulphur oxides (</w:t>
      </w:r>
      <w:r>
        <w:rPr>
          <w:rFonts w:cs="Times New Roman"/>
          <w:noProof/>
          <w:sz w:val="20"/>
          <w:szCs w:val="20"/>
        </w:rPr>
        <w:noBreakHyphen/>
        <w:t xml:space="preserve">89%), nitrogen oxides (-33%), ammonia (-31%) </w:t>
      </w:r>
      <w:r>
        <w:rPr>
          <w:rFonts w:cs="Times New Roman"/>
          <w:noProof/>
          <w:sz w:val="20"/>
          <w:szCs w:val="20"/>
        </w:rPr>
        <w:t>as well as volatile organic compounds (</w:t>
      </w:r>
      <w:r>
        <w:rPr>
          <w:rFonts w:cs="Times New Roman"/>
          <w:noProof/>
          <w:sz w:val="20"/>
          <w:szCs w:val="20"/>
        </w:rPr>
        <w:noBreakHyphen/>
        <w:t>37%) ensure air emissions for these pollutants are within the currently applicable national emission ceilings</w:t>
      </w:r>
      <w:r>
        <w:rPr>
          <w:rFonts w:cs="Times New Roman"/>
          <w:noProof/>
          <w:sz w:val="20"/>
          <w:szCs w:val="20"/>
          <w:vertAlign w:val="superscript"/>
        </w:rPr>
        <w:footnoteReference w:id="57"/>
      </w:r>
      <w:r>
        <w:rPr>
          <w:rFonts w:cs="Times New Roman"/>
          <w:noProof/>
          <w:sz w:val="20"/>
          <w:szCs w:val="20"/>
        </w:rPr>
        <w:t>.</w:t>
      </w:r>
    </w:p>
    <w:p w:rsidR="004C5536" w:rsidRDefault="003D3C7F">
      <w:pPr>
        <w:widowControl w:val="0"/>
        <w:spacing w:after="120" w:line="240" w:lineRule="auto"/>
        <w:jc w:val="both"/>
        <w:rPr>
          <w:rFonts w:cs="Times New Roman"/>
          <w:noProof/>
          <w:sz w:val="20"/>
          <w:szCs w:val="20"/>
        </w:rPr>
      </w:pPr>
      <w:r>
        <w:rPr>
          <w:rFonts w:cs="Times New Roman"/>
          <w:noProof/>
          <w:sz w:val="20"/>
          <w:szCs w:val="20"/>
        </w:rPr>
        <w:t>At the same time, air quality in Portugal continues to give cause for concern. For the year 2013, the Eu</w:t>
      </w:r>
      <w:r>
        <w:rPr>
          <w:rFonts w:cs="Times New Roman"/>
          <w:noProof/>
          <w:sz w:val="20"/>
          <w:szCs w:val="20"/>
        </w:rPr>
        <w:t xml:space="preserve">ropean Environment Agency estimated that about </w:t>
      </w:r>
      <w:r>
        <w:rPr>
          <w:noProof/>
          <w:color w:val="1F497D"/>
          <w:sz w:val="20"/>
          <w:szCs w:val="20"/>
        </w:rPr>
        <w:t>6 070</w:t>
      </w:r>
      <w:r>
        <w:rPr>
          <w:rFonts w:cs="Times New Roman"/>
          <w:noProof/>
          <w:sz w:val="20"/>
          <w:szCs w:val="20"/>
        </w:rPr>
        <w:t xml:space="preserve"> premature deaths were attributable to fine particulate matter concentrations</w:t>
      </w:r>
      <w:r>
        <w:rPr>
          <w:rFonts w:cs="Times New Roman"/>
          <w:noProof/>
          <w:sz w:val="20"/>
          <w:szCs w:val="20"/>
          <w:vertAlign w:val="superscript"/>
        </w:rPr>
        <w:footnoteReference w:id="58"/>
      </w:r>
      <w:r>
        <w:rPr>
          <w:rFonts w:cs="Times New Roman"/>
          <w:noProof/>
          <w:sz w:val="20"/>
          <w:szCs w:val="20"/>
        </w:rPr>
        <w:t>, 420 to ozone concentration and 150 to nitrogen dioxide</w:t>
      </w:r>
      <w:r>
        <w:rPr>
          <w:rFonts w:cs="Times New Roman"/>
          <w:noProof/>
          <w:sz w:val="20"/>
          <w:szCs w:val="20"/>
          <w:vertAlign w:val="superscript"/>
          <w:lang w:eastAsia="en-GB"/>
        </w:rPr>
        <w:footnoteReference w:id="59"/>
      </w:r>
      <w:r>
        <w:rPr>
          <w:rFonts w:cs="Times New Roman"/>
          <w:noProof/>
          <w:sz w:val="20"/>
          <w:szCs w:val="20"/>
        </w:rPr>
        <w:t xml:space="preserve"> concentrations</w:t>
      </w:r>
      <w:r>
        <w:rPr>
          <w:rFonts w:cs="Times New Roman"/>
          <w:noProof/>
          <w:sz w:val="20"/>
          <w:szCs w:val="20"/>
          <w:vertAlign w:val="superscript"/>
        </w:rPr>
        <w:footnoteReference w:id="60"/>
      </w:r>
      <w:r>
        <w:rPr>
          <w:rFonts w:cs="Times New Roman"/>
          <w:noProof/>
          <w:sz w:val="20"/>
          <w:szCs w:val="20"/>
        </w:rPr>
        <w:t>. This is due also to exceedances above the EU air qu</w:t>
      </w:r>
      <w:r>
        <w:rPr>
          <w:rFonts w:cs="Times New Roman"/>
          <w:noProof/>
          <w:sz w:val="20"/>
          <w:szCs w:val="20"/>
        </w:rPr>
        <w:t>ality standards such as shown in Figure 9</w:t>
      </w:r>
      <w:r>
        <w:rPr>
          <w:rFonts w:cs="Times New Roman"/>
          <w:noProof/>
          <w:sz w:val="20"/>
          <w:szCs w:val="20"/>
          <w:vertAlign w:val="superscript"/>
        </w:rPr>
        <w:footnoteReference w:id="61"/>
      </w:r>
      <w:r>
        <w:rPr>
          <w:rFonts w:cs="Times New Roman"/>
          <w:noProof/>
          <w:sz w:val="20"/>
          <w:szCs w:val="20"/>
        </w:rPr>
        <w:t>.</w:t>
      </w:r>
    </w:p>
    <w:p w:rsidR="004C5536" w:rsidRDefault="003D3C7F">
      <w:pPr>
        <w:widowControl w:val="0"/>
        <w:spacing w:after="120" w:line="240" w:lineRule="auto"/>
        <w:jc w:val="both"/>
        <w:rPr>
          <w:rFonts w:cs="Times New Roman"/>
          <w:noProof/>
          <w:sz w:val="20"/>
          <w:szCs w:val="20"/>
        </w:rPr>
      </w:pPr>
      <w:r>
        <w:rPr>
          <w:rFonts w:cs="Times New Roman"/>
          <w:noProof/>
          <w:sz w:val="20"/>
          <w:szCs w:val="20"/>
        </w:rPr>
        <w:t xml:space="preserve">For 2014, exceedances above the EU air quality standards have been registered for nitrogen dioxide </w:t>
      </w:r>
      <w:r>
        <w:rPr>
          <w:rFonts w:cs="Times New Roman"/>
          <w:noProof/>
          <w:sz w:val="20"/>
          <w:szCs w:val="20"/>
          <w:lang w:eastAsia="en-GB"/>
        </w:rPr>
        <w:t>(NO</w:t>
      </w:r>
      <w:r>
        <w:rPr>
          <w:rFonts w:cs="Times New Roman"/>
          <w:noProof/>
          <w:sz w:val="20"/>
          <w:szCs w:val="20"/>
          <w:vertAlign w:val="subscript"/>
          <w:lang w:eastAsia="en-GB"/>
        </w:rPr>
        <w:t>2</w:t>
      </w:r>
      <w:r>
        <w:rPr>
          <w:rFonts w:cs="Times New Roman"/>
          <w:noProof/>
          <w:sz w:val="20"/>
          <w:szCs w:val="20"/>
          <w:lang w:eastAsia="en-GB"/>
        </w:rPr>
        <w:t xml:space="preserve">) </w:t>
      </w:r>
      <w:r>
        <w:rPr>
          <w:rFonts w:cs="Times New Roman"/>
          <w:noProof/>
          <w:sz w:val="20"/>
          <w:szCs w:val="20"/>
        </w:rPr>
        <w:t xml:space="preserve">in three air quality zones (Porto, Braga and Lisbon). Furthermore, for several air quality zones the target values and long-term objectives regarding </w:t>
      </w:r>
      <w:r>
        <w:rPr>
          <w:rFonts w:cs="Times New Roman"/>
          <w:noProof/>
          <w:sz w:val="20"/>
          <w:szCs w:val="20"/>
          <w:lang w:eastAsia="en-GB"/>
        </w:rPr>
        <w:t>ozone</w:t>
      </w:r>
      <w:r>
        <w:rPr>
          <w:rFonts w:cs="Times New Roman"/>
          <w:noProof/>
          <w:sz w:val="20"/>
          <w:szCs w:val="20"/>
          <w:vertAlign w:val="superscript"/>
          <w:lang w:eastAsia="en-GB"/>
        </w:rPr>
        <w:footnoteReference w:id="62"/>
      </w:r>
      <w:r>
        <w:rPr>
          <w:rFonts w:cs="Times New Roman"/>
          <w:noProof/>
          <w:sz w:val="20"/>
          <w:szCs w:val="20"/>
          <w:lang w:eastAsia="en-GB"/>
        </w:rPr>
        <w:t xml:space="preserve"> </w:t>
      </w:r>
      <w:r>
        <w:rPr>
          <w:rFonts w:cs="Times New Roman"/>
          <w:noProof/>
          <w:sz w:val="20"/>
          <w:szCs w:val="20"/>
        </w:rPr>
        <w:t>concentration are not being met.</w:t>
      </w:r>
      <w:r>
        <w:rPr>
          <w:rFonts w:cs="Times New Roman"/>
          <w:noProof/>
          <w:sz w:val="20"/>
          <w:szCs w:val="20"/>
          <w:vertAlign w:val="superscript"/>
        </w:rPr>
        <w:footnoteReference w:id="63"/>
      </w:r>
      <w:r>
        <w:rPr>
          <w:rFonts w:cs="Times New Roman"/>
          <w:noProof/>
          <w:sz w:val="20"/>
          <w:szCs w:val="20"/>
        </w:rPr>
        <w:t xml:space="preserve"> </w:t>
      </w:r>
    </w:p>
    <w:p w:rsidR="004C5536" w:rsidRDefault="003D3C7F">
      <w:pPr>
        <w:widowControl w:val="0"/>
        <w:spacing w:after="120" w:line="240" w:lineRule="auto"/>
        <w:jc w:val="both"/>
        <w:rPr>
          <w:rFonts w:cs="Times New Roman"/>
          <w:noProof/>
          <w:sz w:val="20"/>
          <w:szCs w:val="20"/>
        </w:rPr>
      </w:pPr>
      <w:r>
        <w:rPr>
          <w:rFonts w:cs="Times New Roman"/>
          <w:noProof/>
          <w:sz w:val="20"/>
          <w:szCs w:val="20"/>
        </w:rPr>
        <w:t>The persistent breaches of air quality requirements (for PM</w:t>
      </w:r>
      <w:r>
        <w:rPr>
          <w:rFonts w:cs="Times New Roman"/>
          <w:noProof/>
          <w:sz w:val="20"/>
          <w:szCs w:val="20"/>
          <w:vertAlign w:val="subscript"/>
        </w:rPr>
        <w:t>10</w:t>
      </w:r>
      <w:r>
        <w:rPr>
          <w:rFonts w:cs="Times New Roman"/>
          <w:noProof/>
          <w:sz w:val="20"/>
          <w:szCs w:val="20"/>
        </w:rPr>
        <w:t xml:space="preserve"> an</w:t>
      </w:r>
      <w:r>
        <w:rPr>
          <w:rFonts w:cs="Times New Roman"/>
          <w:noProof/>
          <w:sz w:val="20"/>
          <w:szCs w:val="20"/>
        </w:rPr>
        <w:t>d NO</w:t>
      </w:r>
      <w:r>
        <w:rPr>
          <w:rFonts w:cs="Times New Roman"/>
          <w:noProof/>
          <w:sz w:val="20"/>
          <w:szCs w:val="20"/>
          <w:vertAlign w:val="subscript"/>
        </w:rPr>
        <w:t>2</w:t>
      </w:r>
      <w:r>
        <w:rPr>
          <w:rFonts w:cs="Times New Roman"/>
          <w:noProof/>
          <w:sz w:val="20"/>
          <w:szCs w:val="20"/>
        </w:rPr>
        <w:t>), which have severe negative effects on health and environment, are being followed up by the European Commission through infringement procedures covering all the Member States concerned, including Portugal. The aim is that adequate measures are put i</w:t>
      </w:r>
      <w:r>
        <w:rPr>
          <w:rFonts w:cs="Times New Roman"/>
          <w:noProof/>
          <w:sz w:val="20"/>
          <w:szCs w:val="20"/>
        </w:rPr>
        <w:t>n place to bring all zones into compliance.</w:t>
      </w:r>
    </w:p>
    <w:p w:rsidR="004C5536" w:rsidRDefault="003D3C7F">
      <w:pPr>
        <w:widowControl w:val="0"/>
        <w:spacing w:after="120" w:line="240" w:lineRule="auto"/>
        <w:jc w:val="both"/>
        <w:rPr>
          <w:rFonts w:cs="Times New Roman"/>
          <w:noProof/>
          <w:sz w:val="20"/>
          <w:szCs w:val="20"/>
        </w:rPr>
      </w:pPr>
      <w:r>
        <w:rPr>
          <w:rFonts w:cs="Times New Roman"/>
          <w:noProof/>
          <w:sz w:val="20"/>
          <w:szCs w:val="20"/>
          <w:lang w:val="en-US"/>
        </w:rPr>
        <w:t>To address the air quality problems Portugal has recently approved the National Strategy for Air (ENAR 2020</w:t>
      </w:r>
      <w:r>
        <w:rPr>
          <w:rFonts w:cs="Times New Roman"/>
          <w:noProof/>
          <w:sz w:val="20"/>
          <w:szCs w:val="20"/>
          <w:vertAlign w:val="superscript"/>
          <w:lang w:val="en-US"/>
        </w:rPr>
        <w:footnoteReference w:id="64"/>
      </w:r>
      <w:r>
        <w:rPr>
          <w:rFonts w:cs="Times New Roman"/>
          <w:noProof/>
          <w:sz w:val="20"/>
          <w:szCs w:val="20"/>
          <w:lang w:val="en-US"/>
        </w:rPr>
        <w:t xml:space="preserve">), which proposes </w:t>
      </w:r>
      <w:r>
        <w:rPr>
          <w:rFonts w:cs="Times New Roman"/>
          <w:noProof/>
          <w:sz w:val="20"/>
          <w:szCs w:val="20"/>
          <w:lang w:val="en-US" w:eastAsia="en-GB"/>
        </w:rPr>
        <w:t xml:space="preserve">actions concerning transport, industrial, agricultural and domestic heating to reduce </w:t>
      </w:r>
      <w:r>
        <w:rPr>
          <w:rFonts w:cs="Times New Roman"/>
          <w:noProof/>
          <w:sz w:val="20"/>
          <w:szCs w:val="20"/>
          <w:lang w:val="en-US" w:eastAsia="en-GB"/>
        </w:rPr>
        <w:t>air emissions and should be applied at local, regional and national level. It remains to be seen how these actions will be implemented in practice.</w:t>
      </w:r>
    </w:p>
    <w:p w:rsidR="004C5536" w:rsidRDefault="003D3C7F">
      <w:pPr>
        <w:widowControl w:val="0"/>
        <w:spacing w:after="240" w:line="240" w:lineRule="auto"/>
        <w:jc w:val="both"/>
        <w:rPr>
          <w:rFonts w:cs="Times New Roman"/>
          <w:noProof/>
          <w:sz w:val="20"/>
          <w:szCs w:val="20"/>
          <w:lang w:eastAsia="en-GB"/>
        </w:rPr>
      </w:pPr>
      <w:r>
        <w:rPr>
          <w:rFonts w:cs="Times New Roman"/>
          <w:noProof/>
          <w:sz w:val="20"/>
          <w:szCs w:val="20"/>
          <w:lang w:eastAsia="en-GB"/>
        </w:rPr>
        <w:t xml:space="preserve">It is estimated that the health-related external costs from air pollution in Portugal are above EUR 4 </w:t>
      </w:r>
      <w:r>
        <w:rPr>
          <w:rFonts w:cs="Times New Roman"/>
          <w:noProof/>
          <w:sz w:val="20"/>
          <w:szCs w:val="20"/>
          <w:lang w:eastAsia="en-GB"/>
        </w:rPr>
        <w:t>billion/year (income adjusted, 2010), which include not only the intrinsic value of living a full health life but also direct costs to the economy. These direct economic costs relate to 1.7 million workdays lost each year due to sickness related to air pol</w:t>
      </w:r>
      <w:r>
        <w:rPr>
          <w:rFonts w:cs="Times New Roman"/>
          <w:noProof/>
          <w:sz w:val="20"/>
          <w:szCs w:val="20"/>
          <w:lang w:eastAsia="en-GB"/>
        </w:rPr>
        <w:t>lution, with associated costs for employers of EUR 159 million/year (income adjusted, 2010), for healthcare of above EUR 14 million/year (income adjusted, 2010), and for agriculture (crop losses) of EUR 46 million/year (2010)</w:t>
      </w:r>
      <w:r>
        <w:rPr>
          <w:rFonts w:cs="Times New Roman"/>
          <w:noProof/>
          <w:sz w:val="20"/>
          <w:szCs w:val="20"/>
          <w:vertAlign w:val="superscript"/>
          <w:lang w:eastAsia="en-GB"/>
        </w:rPr>
        <w:footnoteReference w:id="65"/>
      </w:r>
      <w:r>
        <w:rPr>
          <w:rFonts w:cs="Times New Roman"/>
          <w:noProof/>
          <w:sz w:val="20"/>
          <w:szCs w:val="20"/>
          <w:lang w:eastAsia="en-GB"/>
        </w:rPr>
        <w:t>.</w:t>
      </w:r>
    </w:p>
    <w:p w:rsidR="004C5536" w:rsidRDefault="003D3C7F">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4C5536" w:rsidRDefault="003D3C7F">
      <w:pPr>
        <w:pStyle w:val="NoSpacing"/>
        <w:rPr>
          <w:noProof/>
        </w:rPr>
      </w:pPr>
      <w:r>
        <w:rPr>
          <w:noProof/>
        </w:rPr>
        <w:t>Maintain do</w:t>
      </w:r>
      <w:r>
        <w:rPr>
          <w:noProof/>
        </w:rPr>
        <w:t>wnward emissions trends of air pollutants in order to achieve full compliance with air quality limit values - and reduce adverse air pollution impacts on health, environment and economy.</w:t>
      </w:r>
    </w:p>
    <w:p w:rsidR="004C5536" w:rsidRDefault="003D3C7F">
      <w:pPr>
        <w:pStyle w:val="NoSpacing"/>
        <w:spacing w:after="120"/>
        <w:rPr>
          <w:noProof/>
        </w:rPr>
      </w:pPr>
      <w:r>
        <w:rPr>
          <w:noProof/>
        </w:rPr>
        <w:t>Reduce nitrogen oxide (NO</w:t>
      </w:r>
      <w:r>
        <w:rPr>
          <w:noProof/>
          <w:vertAlign w:val="subscript"/>
        </w:rPr>
        <w:t>x</w:t>
      </w:r>
      <w:r>
        <w:rPr>
          <w:noProof/>
        </w:rPr>
        <w:t xml:space="preserve">) emissions to comply with currently </w:t>
      </w:r>
      <w:r>
        <w:rPr>
          <w:noProof/>
        </w:rPr>
        <w:t>applicable national emission ceilings</w:t>
      </w:r>
      <w:r>
        <w:rPr>
          <w:noProof/>
          <w:vertAlign w:val="superscript"/>
        </w:rPr>
        <w:footnoteReference w:id="66"/>
      </w:r>
      <w:r>
        <w:rPr>
          <w:noProof/>
        </w:rPr>
        <w:t xml:space="preserve"> and/or to reduce nitrogen dioxide (NO</w:t>
      </w:r>
      <w:r>
        <w:rPr>
          <w:noProof/>
          <w:vertAlign w:val="subscript"/>
        </w:rPr>
        <w:t>2</w:t>
      </w:r>
      <w:r>
        <w:rPr>
          <w:noProof/>
        </w:rPr>
        <w:t>) (and ozone concentrations), inter alia, by reducing transport related emissions - in particular in urban areas.</w:t>
      </w:r>
    </w:p>
    <w:p w:rsidR="004C5536" w:rsidRDefault="004C5536">
      <w:pPr>
        <w:pStyle w:val="NoSpacing"/>
        <w:numPr>
          <w:ilvl w:val="0"/>
          <w:numId w:val="0"/>
        </w:numPr>
        <w:spacing w:after="240"/>
        <w:ind w:left="170" w:hanging="170"/>
        <w:rPr>
          <w:noProof/>
        </w:rPr>
      </w:pPr>
    </w:p>
    <w:p w:rsidR="004C5536" w:rsidRDefault="004C5536">
      <w:pPr>
        <w:pStyle w:val="NoSpacing"/>
        <w:numPr>
          <w:ilvl w:val="0"/>
          <w:numId w:val="0"/>
        </w:numPr>
        <w:spacing w:after="240"/>
        <w:ind w:left="170" w:hanging="170"/>
        <w:rPr>
          <w:noProof/>
        </w:rPr>
      </w:pPr>
    </w:p>
    <w:p w:rsidR="004C5536" w:rsidRDefault="003D3C7F">
      <w:pPr>
        <w:widowControl w:val="0"/>
        <w:spacing w:after="240" w:line="240" w:lineRule="auto"/>
        <w:jc w:val="both"/>
        <w:outlineLvl w:val="1"/>
        <w:rPr>
          <w:rFonts w:cs="Times New Roman"/>
          <w:b/>
          <w:noProof/>
          <w:color w:val="1F497D" w:themeColor="text2"/>
          <w:sz w:val="24"/>
        </w:rPr>
      </w:pPr>
      <w:bookmarkStart w:id="28" w:name="_Toc469492756"/>
      <w:bookmarkStart w:id="29" w:name="_Toc433296167"/>
      <w:r>
        <w:rPr>
          <w:rFonts w:cs="Times New Roman"/>
          <w:b/>
          <w:noProof/>
          <w:color w:val="1F497D" w:themeColor="text2"/>
          <w:sz w:val="24"/>
        </w:rPr>
        <w:t>Noise</w:t>
      </w:r>
      <w:bookmarkEnd w:id="28"/>
    </w:p>
    <w:p w:rsidR="004C5536" w:rsidRDefault="003D3C7F">
      <w:pPr>
        <w:widowControl w:val="0"/>
        <w:shd w:val="clear" w:color="auto" w:fill="4F81BD" w:themeFill="accent1"/>
        <w:spacing w:before="240" w:after="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 a common a</w:t>
      </w:r>
      <w:r>
        <w:rPr>
          <w:rFonts w:cs="Times New Roman"/>
          <w:noProof/>
          <w:color w:val="FFFFFF" w:themeColor="background1"/>
          <w:sz w:val="20"/>
        </w:rPr>
        <w:t>pproach for the avoidance, prevention and reduction of harmful effects due to exposure to environmental noise.</w:t>
      </w:r>
    </w:p>
    <w:p w:rsidR="004C5536" w:rsidRDefault="003D3C7F">
      <w:pPr>
        <w:widowControl w:val="0"/>
        <w:spacing w:before="240"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67"/>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 assessing </w:t>
      </w:r>
      <w:r>
        <w:rPr>
          <w:rFonts w:cs="Times New Roman"/>
          <w:noProof/>
          <w:sz w:val="20"/>
        </w:rPr>
        <w:t>the exposure to environmental noise through noise mapping, ensuring that information on environmental noise and its effects is made available to the public, and adopting action plans with a view to preventing and reducing environmental noise where necessar</w:t>
      </w:r>
      <w:r>
        <w:rPr>
          <w:rFonts w:cs="Times New Roman"/>
          <w:noProof/>
          <w:sz w:val="20"/>
        </w:rPr>
        <w:t>y and to preserving the acoustic environment quality where it is good.</w:t>
      </w:r>
    </w:p>
    <w:p w:rsidR="004C5536" w:rsidRDefault="003D3C7F">
      <w:pPr>
        <w:widowControl w:val="0"/>
        <w:spacing w:after="240" w:line="240" w:lineRule="auto"/>
        <w:jc w:val="both"/>
        <w:rPr>
          <w:rFonts w:cs="Times New Roman"/>
          <w:noProof/>
          <w:sz w:val="20"/>
        </w:rPr>
      </w:pPr>
      <w:r>
        <w:rPr>
          <w:rFonts w:cs="Times New Roman"/>
          <w:noProof/>
          <w:sz w:val="20"/>
        </w:rPr>
        <w:t>Portugal's implementation of the Environmental Noise Directive</w:t>
      </w:r>
      <w:r>
        <w:rPr>
          <w:rFonts w:cs="Times New Roman"/>
          <w:noProof/>
          <w:sz w:val="20"/>
          <w:vertAlign w:val="superscript"/>
        </w:rPr>
        <w:footnoteReference w:id="68"/>
      </w:r>
      <w:r>
        <w:rPr>
          <w:rFonts w:cs="Times New Roman"/>
          <w:noProof/>
          <w:sz w:val="20"/>
        </w:rPr>
        <w:t xml:space="preserve"> is significantly delayed. The noise mapping for the most recent reporting round, for the reference year 2011, is only 33%</w:t>
      </w:r>
      <w:r>
        <w:rPr>
          <w:rFonts w:cs="Times New Roman"/>
          <w:noProof/>
          <w:sz w:val="20"/>
        </w:rPr>
        <w:t xml:space="preserve"> complete for agglomerations, 68% for major roads and 47% for major railways. Noise mapping for major airports is 100% complete. Action plans for noise management in the current period have been adopted for only 17% of agglomerations, 5% of major roads and</w:t>
      </w:r>
      <w:r>
        <w:rPr>
          <w:rFonts w:cs="Times New Roman"/>
          <w:noProof/>
          <w:sz w:val="20"/>
        </w:rPr>
        <w:t xml:space="preserve"> 0% of major railways. For airports, the Portuguese authorities have fulfilled all their obligations. The European Commission has contacted the Portuguese authorities with regard to the missing noise maps and action plans, and continues to follow up on the</w:t>
      </w:r>
      <w:r>
        <w:rPr>
          <w:rFonts w:cs="Times New Roman"/>
          <w:noProof/>
          <w:sz w:val="20"/>
        </w:rPr>
        <w:t xml:space="preserve"> situation.</w:t>
      </w:r>
    </w:p>
    <w:p w:rsidR="004C5536" w:rsidRDefault="003D3C7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4C5536" w:rsidRDefault="003D3C7F">
      <w:pPr>
        <w:pStyle w:val="NoSpacing"/>
        <w:spacing w:after="480"/>
        <w:rPr>
          <w:noProof/>
        </w:rPr>
      </w:pPr>
      <w:r>
        <w:rPr>
          <w:noProof/>
        </w:rPr>
        <w:t>Complete noise mapping and action plans for noise management in urban areas.</w:t>
      </w:r>
    </w:p>
    <w:p w:rsidR="004C5536" w:rsidRDefault="003D3C7F">
      <w:pPr>
        <w:widowControl w:val="0"/>
        <w:spacing w:after="120" w:line="240" w:lineRule="auto"/>
        <w:jc w:val="both"/>
        <w:outlineLvl w:val="1"/>
        <w:rPr>
          <w:rFonts w:cs="Times New Roman"/>
          <w:b/>
          <w:noProof/>
          <w:color w:val="1F497D" w:themeColor="text2"/>
          <w:sz w:val="24"/>
        </w:rPr>
      </w:pPr>
      <w:bookmarkStart w:id="30" w:name="_Toc454450196"/>
      <w:bookmarkStart w:id="31" w:name="_Toc469492757"/>
      <w:r>
        <w:rPr>
          <w:rFonts w:cs="Times New Roman"/>
          <w:b/>
          <w:noProof/>
          <w:color w:val="1F497D" w:themeColor="text2"/>
          <w:sz w:val="24"/>
        </w:rPr>
        <w:t>Water quality and management</w:t>
      </w:r>
      <w:bookmarkEnd w:id="30"/>
      <w:bookmarkEnd w:id="31"/>
    </w:p>
    <w:p w:rsidR="004C5536" w:rsidRDefault="003D3C7F">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water policy and legislation require that the impact of pressures on transitional, coastal and fresh waters (inclu</w:t>
      </w:r>
      <w:r>
        <w:rPr>
          <w:rFonts w:cs="Times New Roman"/>
          <w:noProof/>
          <w:color w:val="FFFFFF" w:themeColor="background1"/>
          <w:sz w:val="20"/>
        </w:rPr>
        <w:t xml:space="preserve">ding surface and ground waters) is significantly reduced to achieve, maintain or enhance good status of water bodies, as defined by the Water Framework Directive; that citizens throughout the Union benefit from high standards for safe drinking and bathing </w:t>
      </w:r>
      <w:r>
        <w:rPr>
          <w:rFonts w:cs="Times New Roman"/>
          <w:noProof/>
          <w:color w:val="FFFFFF" w:themeColor="background1"/>
          <w:sz w:val="20"/>
        </w:rPr>
        <w:t>water; and that the nutrient cycle (nitrogen and phosphorus) is managed in a more sustainable and resource-efficient way.</w:t>
      </w:r>
    </w:p>
    <w:p w:rsidR="004C5536" w:rsidRDefault="003D3C7F">
      <w:pPr>
        <w:widowControl w:val="0"/>
        <w:shd w:val="clear" w:color="auto" w:fill="4F81BD" w:themeFill="accent1"/>
        <w:spacing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4C5536" w:rsidRDefault="003D3C7F">
      <w:pPr>
        <w:widowControl w:val="0"/>
        <w:autoSpaceDE w:val="0"/>
        <w:spacing w:before="240"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69"/>
      </w:r>
      <w:r>
        <w:rPr>
          <w:rFonts w:eastAsia="Times New Roman" w:cs="Times New Roman"/>
          <w:noProof/>
          <w:color w:val="000000"/>
          <w:sz w:val="20"/>
          <w:szCs w:val="20"/>
        </w:rPr>
        <w:t xml:space="preserve"> seeks to ensure good status of all water bodies across Europe by addressing pollution sou</w:t>
      </w:r>
      <w:r>
        <w:rPr>
          <w:rFonts w:eastAsia="Times New Roman" w:cs="Times New Roman"/>
          <w:noProof/>
          <w:color w:val="000000"/>
          <w:sz w:val="20"/>
          <w:szCs w:val="20"/>
        </w:rPr>
        <w:t xml:space="preserve">rces (from e.g. agriculture, urban areas and industrial activities), physical and hydrological modifications to water bodies) and the management of risks of flooding. </w:t>
      </w:r>
    </w:p>
    <w:p w:rsidR="004C5536" w:rsidRDefault="003D3C7F">
      <w:pPr>
        <w:widowControl w:val="0"/>
        <w:autoSpaceDE w:val="0"/>
        <w:spacing w:after="120" w:line="240" w:lineRule="auto"/>
        <w:jc w:val="both"/>
        <w:rPr>
          <w:rFonts w:cs="Times New Roman"/>
          <w:noProof/>
          <w:sz w:val="20"/>
        </w:rPr>
      </w:pPr>
      <w:r>
        <w:rPr>
          <w:rFonts w:cs="Times New Roman"/>
          <w:noProof/>
          <w:sz w:val="20"/>
        </w:rPr>
        <w:t xml:space="preserve">River Basin Management Plans (RBMPs) are a requirement of the Water Framework Directive </w:t>
      </w:r>
      <w:r>
        <w:rPr>
          <w:rFonts w:cs="Times New Roman"/>
          <w:noProof/>
          <w:sz w:val="20"/>
        </w:rPr>
        <w:t>and a means of achieving the protection, improvement and sustainable use of the water environment across Europe. This includes surface freshwaters such as lakes and rivers, groundwater, estuaries and coastal waters up to one nautical mile.</w:t>
      </w:r>
    </w:p>
    <w:p w:rsidR="004C5536" w:rsidRDefault="003D3C7F">
      <w:pPr>
        <w:widowControl w:val="0"/>
        <w:autoSpaceDE w:val="0"/>
        <w:spacing w:after="120" w:line="240" w:lineRule="auto"/>
        <w:jc w:val="both"/>
        <w:rPr>
          <w:rFonts w:cs="Times New Roman"/>
          <w:noProof/>
          <w:sz w:val="20"/>
        </w:rPr>
      </w:pPr>
      <w:r>
        <w:rPr>
          <w:rFonts w:cs="Times New Roman"/>
          <w:noProof/>
          <w:sz w:val="20"/>
        </w:rPr>
        <w:t>Portugal has pro</w:t>
      </w:r>
      <w:r>
        <w:rPr>
          <w:rFonts w:cs="Times New Roman"/>
          <w:noProof/>
          <w:sz w:val="20"/>
        </w:rPr>
        <w:t>vided information to the Commission from its second generation of RBMPs. However, as the Commission has not yet been able to validate this information for all Member States, it is not reported here.</w:t>
      </w:r>
    </w:p>
    <w:bookmarkEnd w:id="29"/>
    <w:p w:rsidR="004C5536" w:rsidRDefault="003D3C7F">
      <w:pPr>
        <w:widowControl w:val="0"/>
        <w:spacing w:after="120" w:line="240" w:lineRule="auto"/>
        <w:jc w:val="both"/>
        <w:rPr>
          <w:rFonts w:cs="Times New Roman"/>
          <w:noProof/>
          <w:sz w:val="20"/>
        </w:rPr>
      </w:pPr>
      <w:r>
        <w:rPr>
          <w:rFonts w:cs="Times New Roman"/>
          <w:noProof/>
          <w:sz w:val="20"/>
        </w:rPr>
        <w:t>In its first generation of RBMPs Portugal reported the st</w:t>
      </w:r>
      <w:r>
        <w:rPr>
          <w:rFonts w:cs="Times New Roman"/>
          <w:noProof/>
          <w:sz w:val="20"/>
        </w:rPr>
        <w:t>atus of 1705 rivers, 122 lakes (of which 97 are reservoirs), 53 transitional, 65 coastal and 149 groundwater bodies. 57% of natural surface water bodies achieve a good or high ecological status</w:t>
      </w:r>
      <w:r>
        <w:rPr>
          <w:rFonts w:cs="Times New Roman"/>
          <w:noProof/>
          <w:sz w:val="20"/>
          <w:vertAlign w:val="superscript"/>
        </w:rPr>
        <w:footnoteReference w:id="70"/>
      </w:r>
      <w:r>
        <w:rPr>
          <w:rFonts w:cs="Times New Roman"/>
          <w:noProof/>
          <w:sz w:val="20"/>
        </w:rPr>
        <w:t xml:space="preserve"> and only 28% of heavily modified or artificial water bodies a</w:t>
      </w:r>
      <w:r>
        <w:rPr>
          <w:rFonts w:cs="Times New Roman"/>
          <w:noProof/>
          <w:sz w:val="20"/>
        </w:rPr>
        <w:t>chieve a good or high ecological potential. Only 27% of surface water bodies (while the status of 72% is unknown), 30% of heavily modified and artificial water bodies (70% unknown) and 83% of groundwater bodies achieve good chemical status</w:t>
      </w:r>
      <w:r>
        <w:rPr>
          <w:rFonts w:cs="Times New Roman"/>
          <w:noProof/>
          <w:sz w:val="20"/>
          <w:vertAlign w:val="superscript"/>
        </w:rPr>
        <w:footnoteReference w:id="71"/>
      </w:r>
      <w:r>
        <w:rPr>
          <w:rFonts w:cs="Times New Roman"/>
          <w:noProof/>
          <w:sz w:val="20"/>
        </w:rPr>
        <w:t>. 98% of groundw</w:t>
      </w:r>
      <w:r>
        <w:rPr>
          <w:rFonts w:cs="Times New Roman"/>
          <w:noProof/>
          <w:sz w:val="20"/>
        </w:rPr>
        <w:t>ater bodies are in good quantitative status.</w:t>
      </w:r>
    </w:p>
    <w:p w:rsidR="004C5536" w:rsidRDefault="003D3C7F">
      <w:pPr>
        <w:widowControl w:val="0"/>
        <w:spacing w:after="120" w:line="240" w:lineRule="auto"/>
        <w:jc w:val="both"/>
        <w:rPr>
          <w:rFonts w:cs="Times New Roman"/>
          <w:noProof/>
          <w:sz w:val="20"/>
        </w:rPr>
      </w:pPr>
      <w:r>
        <w:rPr>
          <w:rFonts w:cs="Times New Roman"/>
          <w:noProof/>
          <w:sz w:val="20"/>
        </w:rPr>
        <w:t>The main pressure on the Portuguese surface waters is diffuse pollution</w:t>
      </w:r>
      <w:r>
        <w:rPr>
          <w:rFonts w:cs="Times New Roman"/>
          <w:noProof/>
          <w:sz w:val="20"/>
          <w:vertAlign w:val="superscript"/>
        </w:rPr>
        <w:footnoteReference w:id="72"/>
      </w:r>
      <w:r>
        <w:rPr>
          <w:rFonts w:cs="Times New Roman"/>
          <w:noProof/>
          <w:sz w:val="20"/>
        </w:rPr>
        <w:t xml:space="preserve"> that affects 46% of water bodies. Point sources of pollution affect 27% of water bodies followed by flow regulation and morphological alte</w:t>
      </w:r>
      <w:r>
        <w:rPr>
          <w:rFonts w:cs="Times New Roman"/>
          <w:noProof/>
          <w:sz w:val="20"/>
        </w:rPr>
        <w:t>rations that affect 26%. There are some regional differences, e.g. diffuse sources of pollution affect all water bodies in the Guadiana river basin district but only 27% in the Douro river basin district.</w:t>
      </w:r>
    </w:p>
    <w:p w:rsidR="004C5536" w:rsidRDefault="003D3C7F">
      <w:pPr>
        <w:widowControl w:val="0"/>
        <w:spacing w:after="120" w:line="240" w:lineRule="auto"/>
        <w:jc w:val="both"/>
        <w:rPr>
          <w:rFonts w:cs="Times New Roman"/>
          <w:noProof/>
          <w:sz w:val="20"/>
        </w:rPr>
      </w:pPr>
      <w:r>
        <w:rPr>
          <w:rFonts w:cs="Times New Roman"/>
          <w:noProof/>
          <w:sz w:val="20"/>
        </w:rPr>
        <w:t>The Portuguese RBMPs Plans have some deficiencies t</w:t>
      </w:r>
      <w:r>
        <w:rPr>
          <w:rFonts w:cs="Times New Roman"/>
          <w:noProof/>
          <w:sz w:val="20"/>
        </w:rPr>
        <w:t xml:space="preserve">hat result in uncertainties about the status and effectiveness of Programmes of Measures. In particular there are weaknesses in monitoring, methodologies for status assessment and the link between pressures and Programmes of Measures. The planned measures </w:t>
      </w:r>
      <w:r>
        <w:rPr>
          <w:rFonts w:cs="Times New Roman"/>
          <w:noProof/>
          <w:sz w:val="20"/>
        </w:rPr>
        <w:t>are expected to result in improvement of ecological and chemical status of surface water bodies by 7% and 31% respectively. The measures should also bring improvement of ecological potential of artificial and heavily modified water bodies</w:t>
      </w:r>
      <w:r>
        <w:rPr>
          <w:rFonts w:eastAsia="Times New Roman" w:cs="Times New Roman"/>
          <w:noProof/>
          <w:color w:val="000000"/>
          <w:sz w:val="20"/>
          <w:szCs w:val="20"/>
          <w:vertAlign w:val="superscript"/>
        </w:rPr>
        <w:footnoteReference w:id="73"/>
      </w:r>
      <w:r>
        <w:rPr>
          <w:rFonts w:cs="Times New Roman"/>
          <w:noProof/>
          <w:sz w:val="20"/>
        </w:rPr>
        <w:t xml:space="preserve"> by 14% and chemi</w:t>
      </w:r>
      <w:r>
        <w:rPr>
          <w:rFonts w:cs="Times New Roman"/>
          <w:noProof/>
          <w:sz w:val="20"/>
        </w:rPr>
        <w:t>cal status by 11%. The chemical status of groundwater should improve by 2%</w:t>
      </w:r>
      <w:r>
        <w:rPr>
          <w:rFonts w:cs="Times New Roman"/>
          <w:noProof/>
          <w:sz w:val="20"/>
          <w:vertAlign w:val="superscript"/>
        </w:rPr>
        <w:footnoteReference w:id="74"/>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The Commission is assessing on a regular basis the implementation of the Water Framework Directive by the Member States</w:t>
      </w:r>
      <w:r>
        <w:rPr>
          <w:rFonts w:cs="Times New Roman"/>
          <w:noProof/>
          <w:sz w:val="20"/>
          <w:vertAlign w:val="superscript"/>
        </w:rPr>
        <w:footnoteReference w:id="75"/>
      </w:r>
      <w:r>
        <w:rPr>
          <w:rFonts w:cs="Times New Roman"/>
          <w:noProof/>
          <w:sz w:val="20"/>
        </w:rPr>
        <w:t>.</w:t>
      </w:r>
    </w:p>
    <w:p w:rsidR="004C5536" w:rsidRDefault="003D3C7F">
      <w:pPr>
        <w:widowControl w:val="0"/>
        <w:spacing w:after="120" w:line="240" w:lineRule="auto"/>
        <w:jc w:val="both"/>
        <w:rPr>
          <w:rFonts w:cs="Times New Roman"/>
          <w:noProof/>
          <w:sz w:val="20"/>
          <w:szCs w:val="20"/>
        </w:rPr>
      </w:pPr>
      <w:r>
        <w:rPr>
          <w:rFonts w:cs="Times New Roman"/>
          <w:noProof/>
          <w:sz w:val="20"/>
        </w:rPr>
        <w:t>As regards drinking water, Portugal reaches now very high</w:t>
      </w:r>
      <w:r>
        <w:rPr>
          <w:rFonts w:cs="Times New Roman"/>
          <w:noProof/>
          <w:sz w:val="20"/>
        </w:rPr>
        <w:t xml:space="preserve"> compliance rates of 99-100% for microbiological, chemical and indicator parameters laid down in the Drinking Water Directive</w:t>
      </w:r>
      <w:r>
        <w:rPr>
          <w:rFonts w:cs="Times New Roman"/>
          <w:noProof/>
          <w:sz w:val="20"/>
          <w:vertAlign w:val="superscript"/>
          <w:lang w:val="en-US"/>
        </w:rPr>
        <w:footnoteReference w:id="76"/>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 xml:space="preserve">As shown in Figure 10, in 2015, in Portugal, out of 569 bathing waters, 84.5 % </w:t>
      </w:r>
      <w:r>
        <w:rPr>
          <w:rFonts w:cs="Times New Roman"/>
          <w:noProof/>
          <w:sz w:val="20"/>
          <w:lang w:val="en-US"/>
        </w:rPr>
        <w:t>were of excellent quality, 9.7 % of good quality,</w:t>
      </w:r>
      <w:r>
        <w:rPr>
          <w:rFonts w:cs="Times New Roman"/>
          <w:noProof/>
          <w:sz w:val="20"/>
          <w:lang w:val="en-US"/>
        </w:rPr>
        <w:t xml:space="preserve"> 2.1 % of sufficient quality</w:t>
      </w:r>
      <w:r>
        <w:rPr>
          <w:rFonts w:cs="Times New Roman"/>
          <w:noProof/>
          <w:sz w:val="20"/>
        </w:rPr>
        <w:t xml:space="preserve"> (548 in total, all coastal bathing waters). 3 bathing waters were of poor quality or non-compliant while it was not possible to assess the remaining 18 bathing waters. This was mainly due to the fact that the 2014-2015 season registered precipitation valu</w:t>
      </w:r>
      <w:r>
        <w:rPr>
          <w:rFonts w:cs="Times New Roman"/>
          <w:noProof/>
          <w:sz w:val="20"/>
        </w:rPr>
        <w:t>es below average, thereby causing dryness in some bathing sites (inland bathing waters).</w:t>
      </w:r>
    </w:p>
    <w:p w:rsidR="004C5536" w:rsidRDefault="003D3C7F">
      <w:pPr>
        <w:widowControl w:val="0"/>
        <w:spacing w:after="120" w:line="240" w:lineRule="auto"/>
        <w:jc w:val="both"/>
        <w:rPr>
          <w:rFonts w:cs="Times New Roman"/>
          <w:noProof/>
          <w:sz w:val="20"/>
          <w:lang w:val="en-US"/>
        </w:rPr>
      </w:pPr>
      <w:r>
        <w:rPr>
          <w:rFonts w:cs="Times New Roman"/>
          <w:noProof/>
          <w:sz w:val="20"/>
        </w:rPr>
        <w:t>Since 1993 the quality of bathing water has improved mainly due to the control of faecal pollution sources existing in the areas of influence, as a result of considera</w:t>
      </w:r>
      <w:r>
        <w:rPr>
          <w:rFonts w:cs="Times New Roman"/>
          <w:noProof/>
          <w:sz w:val="20"/>
        </w:rPr>
        <w:t>ble investments in the implementation of waste water treatment infrastructure and the approval of several instruments for territorial management. In inland waters the percentage rose from 69% in 2000 to 83% in 2015 and in coastal transition waters from 92%</w:t>
      </w:r>
      <w:r>
        <w:rPr>
          <w:rFonts w:cs="Times New Roman"/>
          <w:noProof/>
          <w:sz w:val="20"/>
        </w:rPr>
        <w:t xml:space="preserve"> to 97%. More concretely in 2015, the last available year, the rate of bathing waters with at least sufficient quality increased from 94.3 % to 96.3% since bathing season 2014</w:t>
      </w:r>
      <w:r>
        <w:rPr>
          <w:rFonts w:ascii="Calibri" w:eastAsia="Calibri" w:hAnsi="Calibri" w:cs="Times New Roman"/>
          <w:noProof/>
          <w:sz w:val="20"/>
          <w:vertAlign w:val="superscript"/>
          <w:lang w:val="en-US"/>
        </w:rPr>
        <w:footnoteReference w:id="77"/>
      </w:r>
      <w:r>
        <w:rPr>
          <w:rFonts w:cs="Times New Roman"/>
          <w:noProof/>
          <w:sz w:val="20"/>
          <w:lang w:val="en-US"/>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c>
          <w:tcPr>
            <w:tcW w:w="4909" w:type="dxa"/>
          </w:tcPr>
          <w:p w:rsidR="004C5536" w:rsidRDefault="003D3C7F">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78"/>
            </w:r>
          </w:p>
        </w:tc>
      </w:tr>
      <w:tr w:rsidR="004C5536">
        <w:tc>
          <w:tcPr>
            <w:tcW w:w="4909" w:type="dxa"/>
          </w:tcPr>
          <w:p w:rsidR="004C5536" w:rsidRDefault="003D3C7F">
            <w:pPr>
              <w:widowControl w:val="0"/>
              <w:spacing w:after="120"/>
              <w:jc w:val="both"/>
              <w:rPr>
                <w:rFonts w:cs="Times New Roman"/>
                <w:noProof/>
                <w:sz w:val="20"/>
              </w:rPr>
            </w:pPr>
            <w:r>
              <w:rPr>
                <w:rFonts w:cs="Times New Roman"/>
                <w:noProof/>
                <w:sz w:val="20"/>
                <w:lang w:eastAsia="en-GB"/>
              </w:rPr>
              <w:drawing>
                <wp:inline distT="0" distB="0" distL="0" distR="0" wp14:anchorId="69FB9F84" wp14:editId="75236E28">
                  <wp:extent cx="2838893" cy="243379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41744" cy="2436241"/>
                          </a:xfrm>
                          <a:prstGeom prst="rect">
                            <a:avLst/>
                          </a:prstGeom>
                          <a:noFill/>
                        </pic:spPr>
                      </pic:pic>
                    </a:graphicData>
                  </a:graphic>
                </wp:inline>
              </w:drawing>
            </w:r>
          </w:p>
        </w:tc>
      </w:tr>
    </w:tbl>
    <w:p w:rsidR="004C5536" w:rsidRDefault="003D3C7F">
      <w:pPr>
        <w:widowControl w:val="0"/>
        <w:spacing w:before="240" w:after="120" w:line="240" w:lineRule="auto"/>
        <w:jc w:val="both"/>
        <w:rPr>
          <w:rFonts w:cs="Times New Roman"/>
          <w:noProof/>
          <w:sz w:val="20"/>
        </w:rPr>
      </w:pPr>
      <w:r>
        <w:rPr>
          <w:rFonts w:cs="Times New Roman"/>
          <w:noProof/>
          <w:sz w:val="20"/>
        </w:rPr>
        <w:t xml:space="preserve">Nitrate pollution in Portugal is an issue especially in livestock intensive areas. According to the last report on the implementation of the Nitrates Directive, referring to the period 2008-2011, nitrate levels in groundwater have remained steady over the </w:t>
      </w:r>
      <w:r>
        <w:rPr>
          <w:rFonts w:cs="Times New Roman"/>
          <w:noProof/>
          <w:sz w:val="20"/>
        </w:rPr>
        <w:t xml:space="preserve">last years, with high levels in around 20% of monitoring stations. </w:t>
      </w:r>
    </w:p>
    <w:p w:rsidR="004C5536" w:rsidRDefault="003D3C7F">
      <w:pPr>
        <w:widowControl w:val="0"/>
        <w:spacing w:after="120" w:line="240" w:lineRule="auto"/>
        <w:jc w:val="both"/>
        <w:rPr>
          <w:rFonts w:cs="Times New Roman"/>
          <w:noProof/>
          <w:sz w:val="20"/>
        </w:rPr>
      </w:pPr>
      <w:r>
        <w:rPr>
          <w:rFonts w:cs="Times New Roman"/>
          <w:noProof/>
          <w:sz w:val="20"/>
        </w:rPr>
        <w:t>Several measures of the nitrates action programmes were reinforced through the different revisions in the past years. As regards controls, the most challenging measures in terms of complia</w:t>
      </w:r>
      <w:r>
        <w:rPr>
          <w:rFonts w:cs="Times New Roman"/>
          <w:noProof/>
          <w:sz w:val="20"/>
        </w:rPr>
        <w:t>nce related to storage capacity and balanced fertilisation, including the respect of 170 Kg/ha/year obligation.</w:t>
      </w:r>
    </w:p>
    <w:p w:rsidR="004C5536" w:rsidRDefault="003D3C7F">
      <w:pPr>
        <w:widowControl w:val="0"/>
        <w:spacing w:after="120" w:line="240" w:lineRule="auto"/>
        <w:jc w:val="both"/>
        <w:rPr>
          <w:rFonts w:cs="Times New Roman"/>
          <w:noProof/>
          <w:sz w:val="20"/>
        </w:rPr>
      </w:pPr>
      <w:r>
        <w:rPr>
          <w:rFonts w:cs="Times New Roman"/>
          <w:noProof/>
          <w:sz w:val="20"/>
        </w:rPr>
        <w:t xml:space="preserve">In Portugal, around 80% of the overall water consumption is used by agriculture and livestock farming. Although the amount of water used in the </w:t>
      </w:r>
      <w:r>
        <w:rPr>
          <w:rFonts w:cs="Times New Roman"/>
          <w:noProof/>
          <w:sz w:val="20"/>
        </w:rPr>
        <w:t>agricultural sector has been reduced in the last years, there is still an important water saving potential, related to a better water pricing policy. The potential for innovation leading to water savings is also big.</w:t>
      </w:r>
    </w:p>
    <w:p w:rsidR="004C5536" w:rsidRDefault="003D3C7F">
      <w:pPr>
        <w:widowControl w:val="0"/>
        <w:spacing w:after="120" w:line="240" w:lineRule="auto"/>
        <w:jc w:val="both"/>
        <w:rPr>
          <w:rFonts w:cs="Times New Roman"/>
          <w:noProof/>
          <w:sz w:val="20"/>
        </w:rPr>
      </w:pPr>
      <w:r>
        <w:rPr>
          <w:rFonts w:cs="Times New Roman"/>
          <w:noProof/>
          <w:sz w:val="20"/>
        </w:rPr>
        <w:t>Regarding the implementation of the Urb</w:t>
      </w:r>
      <w:r>
        <w:rPr>
          <w:rFonts w:cs="Times New Roman"/>
          <w:noProof/>
          <w:sz w:val="20"/>
        </w:rPr>
        <w:t>an Waste Water Treatment Directive (reported in 2014), in Portugal, 99.8% of the waste water load is collected, 88.6% is submitted to secondary treatment of which 77.3% is compliant with the requirements of the Directive (the target is 92.5%) and 73% of th</w:t>
      </w:r>
      <w:r>
        <w:rPr>
          <w:rFonts w:cs="Times New Roman"/>
          <w:noProof/>
          <w:sz w:val="20"/>
        </w:rPr>
        <w:t>e waste water load receives treatment more stringent than secondary. It must also be highlighted the difference in compliance rates at regional level, especially regarding treatment (e.g. "Norte", with higher values than "Alentejo" or "Madeira").</w:t>
      </w:r>
    </w:p>
    <w:p w:rsidR="004C5536" w:rsidRDefault="003D3C7F">
      <w:pPr>
        <w:widowControl w:val="0"/>
        <w:spacing w:after="120" w:line="240" w:lineRule="auto"/>
        <w:jc w:val="both"/>
        <w:rPr>
          <w:rFonts w:cs="Times New Roman"/>
          <w:noProof/>
          <w:sz w:val="20"/>
        </w:rPr>
      </w:pPr>
      <w:r>
        <w:rPr>
          <w:rFonts w:cs="Times New Roman"/>
          <w:noProof/>
          <w:sz w:val="20"/>
        </w:rPr>
        <w:t>Despite t</w:t>
      </w:r>
      <w:r>
        <w:rPr>
          <w:rFonts w:cs="Times New Roman"/>
          <w:noProof/>
          <w:sz w:val="20"/>
        </w:rPr>
        <w:t>he improvement in compliance throughout the years, for which the use of EU funding has been fundamental, the incomplete implementation of the Directive has led to several rulings of the Court of Justice of the EU against Portugal, including financial sanct</w:t>
      </w:r>
      <w:r>
        <w:rPr>
          <w:rFonts w:cs="Times New Roman"/>
          <w:noProof/>
          <w:sz w:val="20"/>
        </w:rPr>
        <w:t>ions, which execution is closely followed-up by the European Commission. Therefore, further efforts are needed.</w:t>
      </w:r>
    </w:p>
    <w:p w:rsidR="004C5536" w:rsidRDefault="003D3C7F">
      <w:pPr>
        <w:widowControl w:val="0"/>
        <w:spacing w:after="120" w:line="240" w:lineRule="auto"/>
        <w:jc w:val="both"/>
        <w:rPr>
          <w:rFonts w:ascii="Calibri" w:eastAsia="Calibri" w:hAnsi="Calibri" w:cs="Times New Roman"/>
          <w:noProof/>
          <w:sz w:val="20"/>
        </w:rPr>
      </w:pPr>
      <w:r>
        <w:rPr>
          <w:rFonts w:ascii="Calibri" w:eastAsia="Calibri" w:hAnsi="Calibri" w:cs="Times New Roman"/>
          <w:noProof/>
          <w:sz w:val="20"/>
        </w:rPr>
        <w:t>It should be noted that Portugal is the only EU Member State which has identified "less sensitive" areas</w:t>
      </w:r>
      <w:r>
        <w:rPr>
          <w:rFonts w:ascii="Calibri" w:eastAsia="Calibri" w:hAnsi="Calibri" w:cs="Times New Roman"/>
          <w:noProof/>
          <w:sz w:val="20"/>
          <w:vertAlign w:val="superscript"/>
        </w:rPr>
        <w:footnoteReference w:id="79"/>
      </w:r>
      <w:r>
        <w:rPr>
          <w:rFonts w:ascii="Calibri" w:eastAsia="Calibri" w:hAnsi="Calibri" w:cs="Times New Roman"/>
          <w:noProof/>
          <w:sz w:val="20"/>
        </w:rPr>
        <w:t>, or areas in principle not adversely a</w:t>
      </w:r>
      <w:r>
        <w:rPr>
          <w:rFonts w:ascii="Calibri" w:eastAsia="Calibri" w:hAnsi="Calibri" w:cs="Times New Roman"/>
          <w:noProof/>
          <w:sz w:val="20"/>
        </w:rPr>
        <w:t>ffected by waste water discharges due to their intrinsic features</w:t>
      </w:r>
      <w:r>
        <w:rPr>
          <w:rFonts w:ascii="Calibri" w:eastAsia="Calibri" w:hAnsi="Calibri" w:cs="Times New Roman"/>
          <w:noProof/>
          <w:sz w:val="20"/>
          <w:vertAlign w:val="superscript"/>
        </w:rPr>
        <w:footnoteReference w:id="80"/>
      </w:r>
      <w:r>
        <w:rPr>
          <w:rFonts w:ascii="Calibri" w:eastAsia="Calibri" w:hAnsi="Calibri"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The estimated investment needs (reported under article 17 of the Urban Waste Water Treatment Directive) to reach full compliance with the Directive in Portugal are of EUR 183 million</w:t>
      </w:r>
      <w:r>
        <w:rPr>
          <w:rFonts w:cs="Times New Roman"/>
          <w:noProof/>
          <w:sz w:val="20"/>
          <w:vertAlign w:val="superscript"/>
        </w:rPr>
        <w:footnoteReference w:id="81"/>
      </w:r>
      <w:r>
        <w:rPr>
          <w:rFonts w:cs="Times New Roman"/>
          <w:noProof/>
          <w:sz w:val="20"/>
        </w:rPr>
        <w:t>.</w:t>
      </w:r>
    </w:p>
    <w:p w:rsidR="004C5536" w:rsidRDefault="003D3C7F">
      <w:pPr>
        <w:widowControl w:val="0"/>
        <w:spacing w:after="240" w:line="240" w:lineRule="auto"/>
        <w:jc w:val="both"/>
        <w:rPr>
          <w:rFonts w:cs="Times New Roman"/>
          <w:noProof/>
          <w:sz w:val="20"/>
        </w:rPr>
      </w:pPr>
      <w:r>
        <w:rPr>
          <w:rFonts w:cs="Times New Roman"/>
          <w:noProof/>
          <w:sz w:val="20"/>
        </w:rPr>
        <w:t>Finally, natural water retention measures for flood prevention are often disregarded, despite being sometimes more cost-effective than hard infrastructure for flood prevention, as well as being cheaper than the costs of flood recovery</w:t>
      </w:r>
      <w:r>
        <w:rPr>
          <w:rFonts w:cs="Times New Roman"/>
          <w:noProof/>
          <w:sz w:val="20"/>
          <w:vertAlign w:val="superscript"/>
        </w:rPr>
        <w:footnoteReference w:id="82"/>
      </w:r>
      <w:r>
        <w:rPr>
          <w:rFonts w:cs="Times New Roman"/>
          <w:noProof/>
          <w:sz w:val="20"/>
        </w:rPr>
        <w:t>.</w:t>
      </w:r>
    </w:p>
    <w:p w:rsidR="004C5536" w:rsidRDefault="003D3C7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4C5536" w:rsidRDefault="003D3C7F">
      <w:pPr>
        <w:pStyle w:val="NoSpacing"/>
        <w:rPr>
          <w:noProof/>
        </w:rPr>
      </w:pPr>
      <w:bookmarkStart w:id="32" w:name="_Toc433296168"/>
      <w:r>
        <w:rPr>
          <w:noProof/>
        </w:rPr>
        <w:t>Po</w:t>
      </w:r>
      <w:r>
        <w:rPr>
          <w:noProof/>
        </w:rPr>
        <w:t>rtugal should improve its water policy in line with the intervention logic of the Water Framework Directive (WFD), i.e. a detailed assessment of pressures to design effective Programmes of Measures addressing these pressures and the implementation gaps. Th</w:t>
      </w:r>
      <w:r>
        <w:rPr>
          <w:noProof/>
        </w:rPr>
        <w:t>e assessment methods should improve to provide more certainty about the water status and the Programmes of Measures should be adequately funded.</w:t>
      </w:r>
    </w:p>
    <w:p w:rsidR="004C5536" w:rsidRDefault="003D3C7F">
      <w:pPr>
        <w:pStyle w:val="NoSpacing"/>
        <w:rPr>
          <w:noProof/>
        </w:rPr>
      </w:pPr>
      <w:r>
        <w:rPr>
          <w:noProof/>
        </w:rPr>
        <w:t>New physical modifications of water bodies should be assessed in line with Article 4(7) of the WFD. In these as</w:t>
      </w:r>
      <w:r>
        <w:rPr>
          <w:noProof/>
        </w:rPr>
        <w:t>sessments alternative options and adequate mitigation measures have to be considered.</w:t>
      </w:r>
    </w:p>
    <w:p w:rsidR="004C5536" w:rsidRDefault="003D3C7F">
      <w:pPr>
        <w:pStyle w:val="NoSpacing"/>
        <w:rPr>
          <w:noProof/>
        </w:rPr>
      </w:pPr>
      <w:r>
        <w:rPr>
          <w:noProof/>
        </w:rPr>
        <w:t>Agricultural developments should be duly taken into account in the implementation of the nitrates action programmes. Address the issues of compliance on the ground, espec</w:t>
      </w:r>
      <w:r>
        <w:rPr>
          <w:noProof/>
        </w:rPr>
        <w:t>ially with reference to the measures on balanced fertilisation and storage capacity.</w:t>
      </w:r>
    </w:p>
    <w:p w:rsidR="004C5536" w:rsidRDefault="003D3C7F">
      <w:pPr>
        <w:pStyle w:val="NoSpacing"/>
        <w:rPr>
          <w:noProof/>
        </w:rPr>
      </w:pPr>
      <w:r>
        <w:rPr>
          <w:noProof/>
        </w:rPr>
        <w:t>Efforts should be done to improve the coordinated implementation between water, marine and nature policies.</w:t>
      </w:r>
    </w:p>
    <w:p w:rsidR="004C5536" w:rsidRDefault="003D3C7F">
      <w:pPr>
        <w:pStyle w:val="NoSpacing"/>
        <w:rPr>
          <w:noProof/>
          <w:color w:val="000000"/>
        </w:rPr>
      </w:pPr>
      <w:r>
        <w:rPr>
          <w:noProof/>
        </w:rPr>
        <w:t>Complete implementation of the Urban Waste Water Treatment Dire</w:t>
      </w:r>
      <w:r>
        <w:rPr>
          <w:noProof/>
        </w:rPr>
        <w:t>ctive for all agglomerations, by building up the necessary infrastructure.</w:t>
      </w:r>
    </w:p>
    <w:p w:rsidR="004C5536" w:rsidRDefault="004C5536">
      <w:pPr>
        <w:pStyle w:val="NoSpacing"/>
        <w:numPr>
          <w:ilvl w:val="0"/>
          <w:numId w:val="0"/>
        </w:numPr>
        <w:rPr>
          <w:noProof/>
        </w:rPr>
      </w:pPr>
    </w:p>
    <w:p w:rsidR="004C5536" w:rsidRDefault="004C5536">
      <w:pPr>
        <w:pStyle w:val="NoSpacing"/>
        <w:numPr>
          <w:ilvl w:val="0"/>
          <w:numId w:val="0"/>
        </w:numPr>
        <w:spacing w:after="360"/>
        <w:rPr>
          <w:noProof/>
        </w:rPr>
      </w:pPr>
    </w:p>
    <w:p w:rsidR="004C5536" w:rsidRDefault="003D3C7F">
      <w:pPr>
        <w:widowControl w:val="0"/>
        <w:spacing w:after="240" w:line="240" w:lineRule="auto"/>
        <w:jc w:val="both"/>
        <w:outlineLvl w:val="1"/>
        <w:rPr>
          <w:rFonts w:cs="Times New Roman"/>
          <w:b/>
          <w:noProof/>
          <w:color w:val="1F497D" w:themeColor="text2"/>
          <w:sz w:val="24"/>
        </w:rPr>
      </w:pPr>
      <w:bookmarkStart w:id="33" w:name="_Toc436815691"/>
      <w:bookmarkStart w:id="34" w:name="_Toc454450197"/>
      <w:bookmarkStart w:id="35" w:name="_Toc469492758"/>
      <w:bookmarkEnd w:id="32"/>
      <w:r>
        <w:rPr>
          <w:rFonts w:cs="Times New Roman"/>
          <w:b/>
          <w:noProof/>
          <w:color w:val="1F497D" w:themeColor="text2"/>
          <w:sz w:val="24"/>
        </w:rPr>
        <w:t>Enhancing the sustainability of cities</w:t>
      </w:r>
      <w:bookmarkEnd w:id="33"/>
      <w:bookmarkEnd w:id="34"/>
      <w:bookmarkEnd w:id="35"/>
      <w:r>
        <w:rPr>
          <w:rFonts w:cs="Times New Roman"/>
          <w:b/>
          <w:noProof/>
          <w:color w:val="1F497D" w:themeColor="text2"/>
          <w:sz w:val="24"/>
        </w:rPr>
        <w:t xml:space="preserve"> </w:t>
      </w:r>
    </w:p>
    <w:p w:rsidR="004C5536" w:rsidRDefault="003D3C7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Policy on the urban environment encourages cities to implement policies for sustainable urban planning and design, including </w:t>
      </w:r>
      <w:r>
        <w:rPr>
          <w:rFonts w:cs="Times New Roman"/>
          <w:noProof/>
          <w:color w:val="FFFFFF" w:themeColor="background1"/>
          <w:sz w:val="20"/>
        </w:rPr>
        <w:t>innovative approaches for urban public transport and mobility, sustainable buildings, energy efficiency and urban biodiversity conservation.</w:t>
      </w:r>
    </w:p>
    <w:p w:rsidR="004C5536" w:rsidRDefault="003D3C7F">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4C5536" w:rsidRDefault="003D3C7F">
      <w:pPr>
        <w:widowControl w:val="0"/>
        <w:spacing w:before="240" w:after="120" w:line="240" w:lineRule="auto"/>
        <w:jc w:val="both"/>
        <w:rPr>
          <w:rFonts w:cs="Times New Roman"/>
          <w:noProof/>
          <w:sz w:val="20"/>
        </w:rPr>
      </w:pPr>
      <w:r>
        <w:rPr>
          <w:rFonts w:cs="Times New Roman"/>
          <w:noProof/>
          <w:sz w:val="20"/>
        </w:rPr>
        <w:t xml:space="preserve">Europe is a Union of </w:t>
      </w:r>
      <w:r>
        <w:rPr>
          <w:rFonts w:cs="Times New Roman"/>
          <w:noProof/>
          <w:sz w:val="20"/>
        </w:rPr>
        <w:t>cities and towns; around 75% of the EU population are living in urban areas.</w:t>
      </w:r>
      <w:r>
        <w:rPr>
          <w:rFonts w:cs="Times New Roman"/>
          <w:noProof/>
          <w:sz w:val="20"/>
          <w:vertAlign w:val="superscript"/>
        </w:rPr>
        <w:footnoteReference w:id="83"/>
      </w:r>
      <w:r>
        <w:rPr>
          <w:rFonts w:cs="Times New Roman"/>
          <w:noProof/>
          <w:sz w:val="20"/>
        </w:rPr>
        <w:t xml:space="preserve"> The urban environment poses particular challenges for the environment and human health, whilst also providing opportunities and efficiency gains in the use of resources. </w:t>
      </w:r>
    </w:p>
    <w:p w:rsidR="004C5536" w:rsidRDefault="003D3C7F">
      <w:pPr>
        <w:widowControl w:val="0"/>
        <w:spacing w:after="120" w:line="240" w:lineRule="auto"/>
        <w:jc w:val="both"/>
        <w:rPr>
          <w:rFonts w:cs="Times New Roman"/>
          <w:noProof/>
          <w:sz w:val="20"/>
        </w:rPr>
      </w:pPr>
      <w:r>
        <w:rPr>
          <w:rFonts w:cs="Times New Roman"/>
          <w:noProof/>
          <w:sz w:val="20"/>
        </w:rPr>
        <w:t>The Mem</w:t>
      </w:r>
      <w:r>
        <w:rPr>
          <w:rFonts w:cs="Times New Roman"/>
          <w:noProof/>
          <w:sz w:val="20"/>
        </w:rPr>
        <w:t>ber States, European institutions, cities and stakeholders have prepared a new Urban Agenda for the EU (incorporating the Smart Cities initiative) to tackle these issues in a comprehensive way, including their connections with social and economic challenge</w:t>
      </w:r>
      <w:r>
        <w:rPr>
          <w:rFonts w:cs="Times New Roman"/>
          <w:noProof/>
          <w:sz w:val="20"/>
        </w:rPr>
        <w:t>s. At the heart of this Urban Agenda will be the development of twelve partnerships on the identified urban challenges, including air quality and housing</w:t>
      </w:r>
      <w:r>
        <w:rPr>
          <w:rFonts w:cs="Times New Roman"/>
          <w:noProof/>
          <w:sz w:val="20"/>
          <w:vertAlign w:val="superscript"/>
        </w:rPr>
        <w:footnoteReference w:id="84"/>
      </w:r>
      <w:r>
        <w:rPr>
          <w:rFonts w:cs="Times New Roman"/>
          <w:noProof/>
          <w:sz w:val="20"/>
        </w:rPr>
        <w:t xml:space="preserve">. </w:t>
      </w:r>
    </w:p>
    <w:p w:rsidR="004C5536" w:rsidRDefault="003D3C7F">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85"/>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 xml:space="preserve">The EU stimulates green </w:t>
      </w:r>
      <w:r>
        <w:rPr>
          <w:rFonts w:cs="Times New Roman"/>
          <w:noProof/>
          <w:sz w:val="20"/>
        </w:rPr>
        <w:t>cities through awards and funding, such as the EU Green Capital Award aimed at cities with more than 100,000 inhabitants and the EU Green Leaf initiative aimed at cities and towns, with between 20,000 and 100,000 inhabitants.</w:t>
      </w:r>
    </w:p>
    <w:p w:rsidR="004C5536" w:rsidRDefault="003D3C7F">
      <w:pPr>
        <w:widowControl w:val="0"/>
        <w:spacing w:after="120" w:line="240" w:lineRule="auto"/>
        <w:jc w:val="both"/>
        <w:rPr>
          <w:rFonts w:cs="Times New Roman"/>
          <w:noProof/>
          <w:sz w:val="20"/>
        </w:rPr>
      </w:pPr>
      <w:r>
        <w:rPr>
          <w:rFonts w:cs="Times New Roman"/>
          <w:noProof/>
          <w:sz w:val="20"/>
        </w:rPr>
        <w:t>In the case of Portugal, it sh</w:t>
      </w:r>
      <w:r>
        <w:rPr>
          <w:rFonts w:cs="Times New Roman"/>
          <w:noProof/>
          <w:sz w:val="20"/>
        </w:rPr>
        <w:t>ould be highlighted that the city of Torres Vedras was one of the two cities winning the inaugural EU Green Leaf in 2015</w:t>
      </w:r>
      <w:r>
        <w:rPr>
          <w:rFonts w:cs="Times New Roman"/>
          <w:noProof/>
          <w:sz w:val="20"/>
          <w:vertAlign w:val="superscript"/>
        </w:rPr>
        <w:footnoteReference w:id="86"/>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Oriented towards the promotion of a sustainable urban development and in line with the European mainstream strategies and programmes</w:t>
      </w:r>
      <w:r>
        <w:rPr>
          <w:rFonts w:cs="Times New Roman"/>
          <w:noProof/>
          <w:sz w:val="20"/>
          <w:lang w:val="en-US"/>
        </w:rPr>
        <w:t>,</w:t>
      </w:r>
      <w:r>
        <w:rPr>
          <w:rFonts w:cs="Times New Roman"/>
          <w:noProof/>
          <w:sz w:val="20"/>
          <w:lang w:val="en-US"/>
        </w:rPr>
        <w:t xml:space="preserve"> Portugal approved in 2015 t</w:t>
      </w:r>
      <w:r>
        <w:rPr>
          <w:rFonts w:cs="Times New Roman"/>
          <w:noProof/>
          <w:sz w:val="20"/>
        </w:rPr>
        <w:t xml:space="preserve">he ‘Sustainable Cities 2020’ strategy, a guiding document offering the municipalities, the inter-municipal entities and other urban stakeholders a roadmap on urban sustainability for the next European funding cycle, until 2020. </w:t>
      </w:r>
      <w:r>
        <w:rPr>
          <w:rFonts w:cs="Times New Roman"/>
          <w:noProof/>
          <w:sz w:val="20"/>
        </w:rPr>
        <w:t>This document outlines a set of non-binding strategic guidelines to be adopted by the Portuguese cities, laying the foundations for its effective application, through the launch of a range of tools that promote its implementation</w:t>
      </w:r>
      <w:r>
        <w:rPr>
          <w:rFonts w:cs="Times New Roman"/>
          <w:noProof/>
          <w:sz w:val="20"/>
          <w:vertAlign w:val="superscript"/>
        </w:rPr>
        <w:footnoteReference w:id="87"/>
      </w:r>
      <w:r>
        <w:rPr>
          <w:rFonts w:cs="Times New Roman"/>
          <w:noProof/>
          <w:sz w:val="20"/>
        </w:rPr>
        <w:t>.</w:t>
      </w:r>
    </w:p>
    <w:p w:rsidR="004C5536" w:rsidRDefault="003D3C7F">
      <w:pPr>
        <w:widowControl w:val="0"/>
        <w:spacing w:after="360" w:line="240" w:lineRule="auto"/>
        <w:jc w:val="both"/>
        <w:rPr>
          <w:rFonts w:cs="Times New Roman"/>
          <w:noProof/>
          <w:sz w:val="20"/>
          <w:lang w:val="en-US"/>
        </w:rPr>
      </w:pPr>
      <w:r>
        <w:rPr>
          <w:rFonts w:cs="Times New Roman"/>
          <w:noProof/>
          <w:sz w:val="20"/>
          <w:lang w:val="en-US"/>
        </w:rPr>
        <w:t>This strategy seeks to r</w:t>
      </w:r>
      <w:r>
        <w:rPr>
          <w:rFonts w:cs="Times New Roman"/>
          <w:noProof/>
          <w:sz w:val="20"/>
          <w:lang w:val="en-US"/>
        </w:rPr>
        <w:t xml:space="preserve">einforce the strategic dimension of the role of cities in various areas, </w:t>
      </w:r>
      <w:r>
        <w:rPr>
          <w:rFonts w:cs="Times New Roman"/>
          <w:noProof/>
          <w:sz w:val="20"/>
        </w:rPr>
        <w:t>namely urban regeneration and restoration, urban environment, low carbon, climate change and risks</w:t>
      </w:r>
      <w:r>
        <w:rPr>
          <w:rFonts w:cs="Times New Roman"/>
          <w:noProof/>
          <w:sz w:val="20"/>
          <w:lang w:val="en-US"/>
        </w:rPr>
        <w:t>, anchored on the paradigm of sustainable urban development, for which the involvemen</w:t>
      </w:r>
      <w:r>
        <w:rPr>
          <w:rFonts w:cs="Times New Roman"/>
          <w:noProof/>
          <w:sz w:val="20"/>
          <w:lang w:val="en-US"/>
        </w:rPr>
        <w:t>t and commitment of a multiplicity of agents is a fundamental condition for the focus of interventions not to be limited to the physical dimension of the urban space, but rather, seek to achieve purposes such as economic development, social inclusion, educ</w:t>
      </w:r>
      <w:r>
        <w:rPr>
          <w:rFonts w:cs="Times New Roman"/>
          <w:noProof/>
          <w:sz w:val="20"/>
          <w:lang w:val="en-US"/>
        </w:rPr>
        <w:t>ation, participation and environmental protection.</w:t>
      </w:r>
    </w:p>
    <w:p w:rsidR="004C5536" w:rsidRDefault="003D3C7F">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6B45E140" wp14:editId="72DF43AA">
            <wp:extent cx="2981738" cy="4460681"/>
            <wp:effectExtent l="0" t="0" r="9525" b="0"/>
            <wp:docPr id="31" name="Picture 31" descr="C:\Users\schwemi\AppData\Local\Microsoft\Windows\Temporary Internet Files\Content.Word\iStock_2477715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wemi\AppData\Local\Microsoft\Windows\Temporary Internet Files\Content.Word\iStock_24777152_LARGE.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80055" cy="4458163"/>
                    </a:xfrm>
                    <a:prstGeom prst="rect">
                      <a:avLst/>
                    </a:prstGeom>
                    <a:noFill/>
                    <a:ln>
                      <a:noFill/>
                    </a:ln>
                  </pic:spPr>
                </pic:pic>
              </a:graphicData>
            </a:graphic>
          </wp:inline>
        </w:drawing>
      </w:r>
    </w:p>
    <w:p w:rsidR="004C5536" w:rsidRDefault="003D3C7F">
      <w:pPr>
        <w:widowControl w:val="0"/>
        <w:spacing w:before="360" w:after="120" w:line="240" w:lineRule="auto"/>
        <w:jc w:val="both"/>
        <w:rPr>
          <w:rFonts w:cs="Times New Roman"/>
          <w:noProof/>
          <w:sz w:val="20"/>
        </w:rPr>
      </w:pPr>
      <w:r>
        <w:rPr>
          <w:rFonts w:cs="Times New Roman"/>
          <w:noProof/>
          <w:sz w:val="20"/>
        </w:rPr>
        <w:t>Personal transport exacerbates seasonal problems with air quality and traffic congestion</w:t>
      </w:r>
      <w:r>
        <w:rPr>
          <w:rFonts w:cs="Times New Roman"/>
          <w:noProof/>
          <w:sz w:val="20"/>
          <w:vertAlign w:val="superscript"/>
        </w:rPr>
        <w:footnoteReference w:id="88"/>
      </w:r>
      <w:r>
        <w:rPr>
          <w:rFonts w:cs="Times New Roman"/>
          <w:noProof/>
          <w:sz w:val="20"/>
        </w:rPr>
        <w:t xml:space="preserve"> in the major metropolitan areas in Portugal, namely Lisbon and Porto, leading to health and economic costs.  A co</w:t>
      </w:r>
      <w:r>
        <w:rPr>
          <w:rFonts w:cs="Times New Roman"/>
          <w:noProof/>
          <w:sz w:val="20"/>
        </w:rPr>
        <w:t>mprehensive approach is needed to tackle this matter, bringing environmental as well as economic and social benefits.</w:t>
      </w:r>
    </w:p>
    <w:p w:rsidR="004C5536" w:rsidRDefault="003D3C7F">
      <w:pPr>
        <w:widowControl w:val="0"/>
        <w:spacing w:after="120" w:line="240" w:lineRule="auto"/>
        <w:jc w:val="both"/>
        <w:rPr>
          <w:rFonts w:cs="Times New Roman"/>
          <w:noProof/>
          <w:sz w:val="20"/>
          <w:lang w:val="en-US"/>
        </w:rPr>
      </w:pPr>
      <w:r>
        <w:rPr>
          <w:rFonts w:cs="Times New Roman"/>
          <w:noProof/>
          <w:sz w:val="20"/>
          <w:lang w:val="en-US"/>
        </w:rPr>
        <w:t>The "Green Growth Commitment" defines a target to increase the use of public transport and points out several paths to meet this target, s</w:t>
      </w:r>
      <w:r>
        <w:rPr>
          <w:rFonts w:cs="Times New Roman"/>
          <w:noProof/>
          <w:sz w:val="20"/>
          <w:lang w:val="en-US"/>
        </w:rPr>
        <w:t>uch as the modernization of public transport, including rail transport, the development of mobility plans for major large public and private employers, the promotion of less pollutant vehicles (including electric vehicles and the use of biofuels) and the p</w:t>
      </w:r>
      <w:r>
        <w:rPr>
          <w:rFonts w:cs="Times New Roman"/>
          <w:noProof/>
          <w:sz w:val="20"/>
          <w:lang w:val="en-US"/>
        </w:rPr>
        <w:t>romotion of soft transport modes.</w:t>
      </w:r>
    </w:p>
    <w:p w:rsidR="004C5536" w:rsidRDefault="003D3C7F">
      <w:pPr>
        <w:widowControl w:val="0"/>
        <w:spacing w:after="120" w:line="240" w:lineRule="auto"/>
        <w:jc w:val="both"/>
        <w:rPr>
          <w:rFonts w:cs="Times New Roman"/>
          <w:noProof/>
          <w:sz w:val="20"/>
          <w:lang w:val="en-US"/>
        </w:rPr>
      </w:pPr>
      <w:r>
        <w:rPr>
          <w:rFonts w:cs="Times New Roman"/>
          <w:noProof/>
          <w:sz w:val="20"/>
          <w:lang w:val="en-US"/>
        </w:rPr>
        <w:t>It is also important to consider the development of new solutions for urban logistics that have the potential to allow the reduction of the number of trucks in urban centers, and on this matter it is important to point out</w:t>
      </w:r>
      <w:r>
        <w:rPr>
          <w:rFonts w:cs="Times New Roman"/>
          <w:noProof/>
          <w:sz w:val="20"/>
          <w:lang w:val="en-US"/>
        </w:rPr>
        <w:t xml:space="preserve"> the participation of the Lisbon &amp; Tagus Valley region on Project </w:t>
      </w:r>
      <w:r>
        <w:rPr>
          <w:rFonts w:cs="Times New Roman"/>
          <w:i/>
          <w:noProof/>
          <w:sz w:val="20"/>
          <w:lang w:val="en-US"/>
        </w:rPr>
        <w:t>Dorothy</w:t>
      </w:r>
      <w:r>
        <w:rPr>
          <w:rFonts w:cs="Times New Roman"/>
          <w:noProof/>
          <w:sz w:val="20"/>
          <w:vertAlign w:val="superscript"/>
          <w:lang w:val="en-US"/>
        </w:rPr>
        <w:footnoteReference w:id="89"/>
      </w:r>
      <w:r>
        <w:rPr>
          <w:rFonts w:cs="Times New Roman"/>
          <w:noProof/>
          <w:sz w:val="20"/>
          <w:lang w:val="en-US"/>
        </w:rPr>
        <w:t xml:space="preserve"> that aims “to enhance the distribution process of urban goods by reducing the number of vehicles and enhancing environmental</w:t>
      </w:r>
      <w:r>
        <w:rPr>
          <w:rFonts w:cs="Times New Roman"/>
          <w:i/>
          <w:noProof/>
          <w:sz w:val="20"/>
          <w:lang w:val="en-US"/>
        </w:rPr>
        <w:t xml:space="preserve"> </w:t>
      </w:r>
      <w:r>
        <w:rPr>
          <w:rFonts w:cs="Times New Roman"/>
          <w:noProof/>
          <w:sz w:val="20"/>
          <w:lang w:val="en-US"/>
        </w:rPr>
        <w:t>standards”.</w:t>
      </w:r>
    </w:p>
    <w:p w:rsidR="004C5536" w:rsidRDefault="003D3C7F">
      <w:pPr>
        <w:widowControl w:val="0"/>
        <w:spacing w:after="120" w:line="240" w:lineRule="auto"/>
        <w:jc w:val="both"/>
        <w:rPr>
          <w:rFonts w:cs="Times New Roman"/>
          <w:noProof/>
          <w:sz w:val="20"/>
          <w:lang w:val="en-US"/>
        </w:rPr>
      </w:pPr>
      <w:r>
        <w:rPr>
          <w:rFonts w:cs="Times New Roman"/>
          <w:noProof/>
          <w:sz w:val="20"/>
          <w:lang w:val="en-US"/>
        </w:rPr>
        <w:t>Another relevant issue is the decentralizati</w:t>
      </w:r>
      <w:r>
        <w:rPr>
          <w:rFonts w:cs="Times New Roman"/>
          <w:noProof/>
          <w:sz w:val="20"/>
          <w:lang w:val="en-US"/>
        </w:rPr>
        <w:t>on implemented by the new legal framework for public transport services</w:t>
      </w:r>
      <w:r>
        <w:rPr>
          <w:rFonts w:cs="Times New Roman"/>
          <w:noProof/>
          <w:sz w:val="20"/>
          <w:vertAlign w:val="superscript"/>
          <w:lang w:val="en-US"/>
        </w:rPr>
        <w:footnoteReference w:id="90"/>
      </w:r>
      <w:r>
        <w:rPr>
          <w:rFonts w:cs="Times New Roman"/>
          <w:noProof/>
          <w:sz w:val="20"/>
          <w:lang w:val="en-US"/>
        </w:rPr>
        <w:t xml:space="preserve"> which has the potential to promote a better planning and management of these services, at regional and local level, allowing higher efficiency levels that are expected to reduce the e</w:t>
      </w:r>
      <w:r>
        <w:rPr>
          <w:rFonts w:cs="Times New Roman"/>
          <w:noProof/>
          <w:sz w:val="20"/>
          <w:lang w:val="en-US"/>
        </w:rPr>
        <w:t>nvironmental impacts of public transport.</w:t>
      </w:r>
    </w:p>
    <w:p w:rsidR="004C5536" w:rsidRDefault="003D3C7F">
      <w:pPr>
        <w:widowControl w:val="0"/>
        <w:spacing w:after="120" w:line="240" w:lineRule="auto"/>
        <w:jc w:val="both"/>
        <w:rPr>
          <w:rFonts w:cs="Times New Roman"/>
          <w:noProof/>
          <w:sz w:val="20"/>
          <w:lang w:eastAsia="en-GB"/>
        </w:rPr>
      </w:pPr>
      <w:r>
        <w:rPr>
          <w:rFonts w:cs="Times New Roman"/>
          <w:noProof/>
          <w:sz w:val="20"/>
          <w:lang w:eastAsia="en-GB"/>
        </w:rPr>
        <w:t>The '</w:t>
      </w:r>
      <w:r>
        <w:rPr>
          <w:rFonts w:cs="Times New Roman"/>
          <w:bCs/>
          <w:noProof/>
          <w:sz w:val="20"/>
          <w:lang w:eastAsia="en-GB"/>
        </w:rPr>
        <w:t xml:space="preserve">Green corridor Lisbon' initiative should be commended in this context as an example of </w:t>
      </w:r>
      <w:r>
        <w:rPr>
          <w:rFonts w:cs="Times New Roman"/>
          <w:noProof/>
          <w:sz w:val="20"/>
          <w:lang w:eastAsia="en-GB"/>
        </w:rPr>
        <w:t>green infrastructure benefitting a metropolitan area</w:t>
      </w:r>
      <w:r>
        <w:rPr>
          <w:rFonts w:cs="Times New Roman"/>
          <w:bCs/>
          <w:noProof/>
          <w:sz w:val="20"/>
          <w:lang w:eastAsia="en-GB"/>
        </w:rPr>
        <w:t>.</w:t>
      </w:r>
      <w:r>
        <w:rPr>
          <w:rFonts w:cs="Times New Roman"/>
          <w:b/>
          <w:bCs/>
          <w:noProof/>
          <w:sz w:val="20"/>
          <w:lang w:eastAsia="en-GB"/>
        </w:rPr>
        <w:t xml:space="preserve"> </w:t>
      </w:r>
      <w:r>
        <w:rPr>
          <w:rFonts w:cs="Times New Roman"/>
          <w:noProof/>
          <w:sz w:val="20"/>
          <w:lang w:eastAsia="en-GB"/>
        </w:rPr>
        <w:t>The Lisbon Strategy for 2010-2024 identified three main objectives f</w:t>
      </w:r>
      <w:r>
        <w:rPr>
          <w:rFonts w:cs="Times New Roman"/>
          <w:noProof/>
          <w:sz w:val="20"/>
          <w:lang w:eastAsia="en-GB"/>
        </w:rPr>
        <w:t xml:space="preserve">or the city: (1) City regeneration – rehabilitation of vacant buildings and degraded city districts and green spaces, to reverse the depopulation process; (2) Climate change adaptation – focus on the challenges of climate change and the consequent natural </w:t>
      </w:r>
      <w:r>
        <w:rPr>
          <w:rFonts w:cs="Times New Roman"/>
          <w:noProof/>
          <w:sz w:val="20"/>
          <w:lang w:eastAsia="en-GB"/>
        </w:rPr>
        <w:t>vulnerabilities (such as flooding), as well as on energy efficiency, reducing the number of vehicles in circulation and increasing the area of green spaces; and (3) Connectivity of green spaces – implementation of a network of green spaces and corridors fo</w:t>
      </w:r>
      <w:r>
        <w:rPr>
          <w:rFonts w:cs="Times New Roman"/>
          <w:noProof/>
          <w:sz w:val="20"/>
          <w:lang w:eastAsia="en-GB"/>
        </w:rPr>
        <w:t>r recreational activities and protection, appreciation and promotion of biodiversity and of natural and cultural landscapes. As a result of the strategy, the size, quality and connectivity of green spaces in Lisbon increased. Elements include bicycle lanes</w:t>
      </w:r>
      <w:r>
        <w:rPr>
          <w:rFonts w:cs="Times New Roman"/>
          <w:noProof/>
          <w:sz w:val="20"/>
          <w:lang w:eastAsia="en-GB"/>
        </w:rPr>
        <w:t>, bicycle-friendly streets, ecological corridors and allotment gardens. The Green corridor networks and informal open spaces such as allotment gardens provide wider accessibility to urban residents, workers and tourists. Other benefits are a positive impac</w:t>
      </w:r>
      <w:r>
        <w:rPr>
          <w:rFonts w:cs="Times New Roman"/>
          <w:noProof/>
          <w:sz w:val="20"/>
          <w:lang w:eastAsia="en-GB"/>
        </w:rPr>
        <w:t>t on health by promoting active transport (walking/cycling), environmental impact gains and additional income (and jobs) from an increased number of visitors.</w:t>
      </w:r>
    </w:p>
    <w:p w:rsidR="004C5536" w:rsidRDefault="003D3C7F">
      <w:pPr>
        <w:widowControl w:val="0"/>
        <w:spacing w:after="240" w:line="240" w:lineRule="auto"/>
        <w:jc w:val="both"/>
        <w:rPr>
          <w:rFonts w:cs="Times New Roman"/>
          <w:noProof/>
          <w:sz w:val="20"/>
          <w:lang w:eastAsia="en-GB"/>
        </w:rPr>
      </w:pPr>
      <w:r>
        <w:rPr>
          <w:rFonts w:cs="Times New Roman"/>
          <w:noProof/>
          <w:sz w:val="20"/>
          <w:lang w:eastAsia="en-GB"/>
        </w:rPr>
        <w:t>The good practices of sustainable urban development could be spread across the country.</w:t>
      </w:r>
    </w:p>
    <w:p w:rsidR="004C5536" w:rsidRDefault="004C5536">
      <w:pPr>
        <w:widowControl w:val="0"/>
        <w:spacing w:after="240" w:line="240" w:lineRule="auto"/>
        <w:jc w:val="both"/>
        <w:rPr>
          <w:rFonts w:cs="Times New Roman"/>
          <w:noProof/>
          <w:sz w:val="20"/>
          <w:lang w:eastAsia="en-GB"/>
        </w:rPr>
      </w:pPr>
    </w:p>
    <w:p w:rsidR="004C5536" w:rsidRDefault="003D3C7F">
      <w:pPr>
        <w:widowControl w:val="0"/>
        <w:spacing w:after="240" w:line="240" w:lineRule="auto"/>
        <w:jc w:val="both"/>
        <w:outlineLvl w:val="1"/>
        <w:rPr>
          <w:rFonts w:cs="Times New Roman"/>
          <w:b/>
          <w:noProof/>
          <w:color w:val="1F497D" w:themeColor="text2"/>
          <w:sz w:val="24"/>
        </w:rPr>
      </w:pPr>
      <w:bookmarkStart w:id="36" w:name="_Toc453686116"/>
      <w:bookmarkStart w:id="37" w:name="_Toc469492759"/>
      <w:r>
        <w:rPr>
          <w:rFonts w:cs="Times New Roman"/>
          <w:b/>
          <w:noProof/>
          <w:color w:val="1F497D" w:themeColor="text2"/>
          <w:sz w:val="24"/>
        </w:rPr>
        <w:t>International agreements</w:t>
      </w:r>
      <w:bookmarkEnd w:id="36"/>
      <w:bookmarkEnd w:id="37"/>
      <w:r>
        <w:rPr>
          <w:rFonts w:cs="Times New Roman"/>
          <w:b/>
          <w:noProof/>
          <w:color w:val="1F497D" w:themeColor="text2"/>
          <w:sz w:val="24"/>
        </w:rPr>
        <w:t xml:space="preserve"> </w:t>
      </w:r>
    </w:p>
    <w:p w:rsidR="004C5536" w:rsidRDefault="003D3C7F">
      <w:pPr>
        <w:widowControl w:val="0"/>
        <w:shd w:val="clear" w:color="auto" w:fill="4F81BD" w:themeFill="accent1"/>
        <w:spacing w:after="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regional or worldwide environmental problems.</w:t>
      </w:r>
    </w:p>
    <w:p w:rsidR="004C5536" w:rsidRDefault="003D3C7F">
      <w:pPr>
        <w:spacing w:before="240" w:after="120" w:line="240" w:lineRule="auto"/>
        <w:jc w:val="both"/>
        <w:rPr>
          <w:rFonts w:ascii="Calibri" w:hAnsi="Calibri" w:cs="Times New Roman"/>
          <w:noProof/>
          <w:sz w:val="20"/>
          <w:szCs w:val="20"/>
        </w:rPr>
      </w:pPr>
      <w:r>
        <w:rPr>
          <w:rFonts w:ascii="Calibri" w:hAnsi="Calibri" w:cs="Times New Roman"/>
          <w:noProof/>
          <w:sz w:val="20"/>
          <w:szCs w:val="20"/>
        </w:rPr>
        <w:t>Most environmental problems have a transboundary nature and o</w:t>
      </w:r>
      <w:r>
        <w:rPr>
          <w:rFonts w:ascii="Calibri" w:hAnsi="Calibri" w:cs="Times New Roman"/>
          <w:noProof/>
          <w:sz w:val="20"/>
          <w:szCs w:val="20"/>
        </w:rPr>
        <w:t>ften a global scope and they can only be addressed effectively through international co-operation. International environmental agreements concluded by the Union are binding upon the institutions of the Union and on its Member States. This requires the EU a</w:t>
      </w:r>
      <w:r>
        <w:rPr>
          <w:rFonts w:ascii="Calibri" w:hAnsi="Calibri" w:cs="Times New Roman"/>
          <w:noProof/>
          <w:sz w:val="20"/>
          <w:szCs w:val="20"/>
        </w:rPr>
        <w:t>nd the Member States to sign, ratify and effectively implement all relevant multilateral environmental agreements (MEAs) in a timely manner. This will also be an important contribution towards the achievement of the SDGs, which Member States committed to i</w:t>
      </w:r>
      <w:r>
        <w:rPr>
          <w:rFonts w:ascii="Calibri" w:hAnsi="Calibri" w:cs="Times New Roman"/>
          <w:noProof/>
          <w:sz w:val="20"/>
          <w:szCs w:val="20"/>
        </w:rPr>
        <w:t>n 2015 and include many commitments contained already in legally binding agreements.</w:t>
      </w:r>
    </w:p>
    <w:p w:rsidR="004C5536" w:rsidRDefault="003D3C7F">
      <w:pPr>
        <w:widowControl w:val="0"/>
        <w:spacing w:after="120" w:line="240" w:lineRule="auto"/>
        <w:jc w:val="both"/>
        <w:rPr>
          <w:rFonts w:cs="Times New Roman"/>
          <w:noProof/>
          <w:sz w:val="20"/>
        </w:rPr>
      </w:pPr>
      <w:r>
        <w:rPr>
          <w:rFonts w:ascii="Calibri" w:hAnsi="Calibri" w:cs="Times New Roman"/>
          <w:noProof/>
          <w:sz w:val="20"/>
          <w:szCs w:val="20"/>
        </w:rPr>
        <w:t>The fact that some Member States did not sign and/or ratify a number of MEAs compromises environmental implementation, including within the Union, as well as the Union’s c</w:t>
      </w:r>
      <w:r>
        <w:rPr>
          <w:rFonts w:ascii="Calibri" w:hAnsi="Calibri" w:cs="Times New Roman"/>
          <w:noProof/>
          <w:sz w:val="20"/>
          <w:szCs w:val="20"/>
        </w:rPr>
        <w:t>redibility in related negotiations and international meetings where supporting the participation of third countries to such agreements is an established EU policy objective. In agreements where voting takes place it has a direct impact on the number of vot</w:t>
      </w:r>
      <w:r>
        <w:rPr>
          <w:rFonts w:ascii="Calibri" w:hAnsi="Calibri" w:cs="Times New Roman"/>
          <w:noProof/>
          <w:sz w:val="20"/>
          <w:szCs w:val="20"/>
        </w:rPr>
        <w:t>es to be cast by the EU.</w:t>
      </w:r>
    </w:p>
    <w:p w:rsidR="004C5536" w:rsidRDefault="003D3C7F">
      <w:pPr>
        <w:widowControl w:val="0"/>
        <w:spacing w:after="120" w:line="240" w:lineRule="auto"/>
        <w:jc w:val="both"/>
        <w:rPr>
          <w:rFonts w:cs="Times New Roman"/>
          <w:noProof/>
          <w:sz w:val="20"/>
        </w:rPr>
      </w:pPr>
      <w:r>
        <w:rPr>
          <w:rFonts w:cs="Times New Roman"/>
          <w:noProof/>
          <w:sz w:val="20"/>
        </w:rPr>
        <w:t>Currently, Portugal has signed but not yet ratified two agreements under the Convention on Long-range Transboundary Air Pollution: the Persistent Organic Pollutions Protocol and the Heavy Metals Protocol. The same applies to the Na</w:t>
      </w:r>
      <w:r>
        <w:rPr>
          <w:rFonts w:cs="Times New Roman"/>
          <w:noProof/>
          <w:sz w:val="20"/>
        </w:rPr>
        <w:t>goya Protocol</w:t>
      </w:r>
      <w:r>
        <w:rPr>
          <w:rFonts w:cs="Times New Roman"/>
          <w:noProof/>
          <w:sz w:val="20"/>
          <w:vertAlign w:val="superscript"/>
        </w:rPr>
        <w:footnoteReference w:id="91"/>
      </w:r>
      <w:r>
        <w:rPr>
          <w:rFonts w:cs="Times New Roman"/>
          <w:noProof/>
          <w:sz w:val="20"/>
        </w:rPr>
        <w:t>.</w:t>
      </w:r>
    </w:p>
    <w:p w:rsidR="004C5536" w:rsidRDefault="004C5536">
      <w:pPr>
        <w:widowControl w:val="0"/>
        <w:spacing w:after="120" w:line="240" w:lineRule="auto"/>
        <w:jc w:val="both"/>
        <w:rPr>
          <w:rFonts w:cs="Times New Roman"/>
          <w:noProof/>
          <w:sz w:val="20"/>
        </w:rPr>
      </w:pPr>
    </w:p>
    <w:p w:rsidR="004C5536" w:rsidRDefault="003D3C7F">
      <w:pPr>
        <w:rPr>
          <w:rFonts w:cs="Times New Roman"/>
          <w:noProof/>
          <w:sz w:val="20"/>
        </w:rPr>
      </w:pPr>
      <w:r>
        <w:rPr>
          <w:rFonts w:cs="Times New Roman"/>
          <w:noProof/>
          <w:sz w:val="20"/>
        </w:rPr>
        <w:br w:type="page"/>
      </w:r>
    </w:p>
    <w:p w:rsidR="004C5536" w:rsidRDefault="004C5536">
      <w:pPr>
        <w:widowControl w:val="0"/>
        <w:spacing w:after="120"/>
        <w:rPr>
          <w:rFonts w:cs="Times New Roman"/>
          <w:noProof/>
          <w:sz w:val="20"/>
        </w:rPr>
        <w:sectPr w:rsidR="004C5536">
          <w:headerReference w:type="even" r:id="rId91"/>
          <w:headerReference w:type="default" r:id="rId92"/>
          <w:footerReference w:type="even" r:id="rId93"/>
          <w:footerReference w:type="default" r:id="rId94"/>
          <w:headerReference w:type="first" r:id="rId95"/>
          <w:footerReference w:type="first" r:id="rId96"/>
          <w:type w:val="continuous"/>
          <w:pgSz w:w="11906" w:h="16838"/>
          <w:pgMar w:top="1440" w:right="1080" w:bottom="1440" w:left="1080" w:header="708" w:footer="708" w:gutter="0"/>
          <w:cols w:num="2" w:space="360"/>
          <w:docGrid w:linePitch="360"/>
        </w:sectPr>
      </w:pPr>
    </w:p>
    <w:p w:rsidR="004C5536" w:rsidRDefault="003D3C7F">
      <w:pPr>
        <w:keepLines/>
        <w:widowControl w:val="0"/>
        <w:spacing w:line="240" w:lineRule="auto"/>
        <w:jc w:val="center"/>
        <w:outlineLvl w:val="0"/>
        <w:rPr>
          <w:rFonts w:eastAsiaTheme="majorEastAsia" w:cstheme="majorBidi"/>
          <w:b/>
          <w:bCs/>
          <w:noProof/>
          <w:color w:val="1F497D" w:themeColor="text2"/>
          <w:sz w:val="32"/>
          <w:szCs w:val="28"/>
        </w:rPr>
      </w:pPr>
      <w:bookmarkStart w:id="38" w:name="_Toc433296176"/>
      <w:bookmarkStart w:id="39" w:name="_Toc469492760"/>
      <w:r>
        <w:rPr>
          <w:rFonts w:eastAsiaTheme="majorEastAsia" w:cstheme="majorBidi"/>
          <w:b/>
          <w:bCs/>
          <w:noProof/>
          <w:color w:val="1F497D" w:themeColor="text2"/>
          <w:sz w:val="32"/>
          <w:szCs w:val="28"/>
        </w:rPr>
        <w:t xml:space="preserve">Part II: </w:t>
      </w:r>
      <w:bookmarkEnd w:id="38"/>
      <w:r>
        <w:rPr>
          <w:rFonts w:eastAsiaTheme="majorEastAsia" w:cstheme="majorBidi"/>
          <w:b/>
          <w:bCs/>
          <w:noProof/>
          <w:color w:val="1F497D" w:themeColor="text2"/>
          <w:sz w:val="32"/>
          <w:szCs w:val="28"/>
        </w:rPr>
        <w:t>Enabling Framework: Implementation Tools</w:t>
      </w:r>
      <w:bookmarkEnd w:id="39"/>
    </w:p>
    <w:p w:rsidR="004C5536" w:rsidRDefault="004C5536">
      <w:pPr>
        <w:widowControl w:val="0"/>
        <w:spacing w:after="120"/>
        <w:rPr>
          <w:rFonts w:cs="Times New Roman"/>
          <w:noProof/>
          <w:sz w:val="20"/>
        </w:rPr>
        <w:sectPr w:rsidR="004C5536">
          <w:headerReference w:type="even" r:id="rId97"/>
          <w:headerReference w:type="default" r:id="rId98"/>
          <w:footerReference w:type="even" r:id="rId99"/>
          <w:footerReference w:type="default" r:id="rId100"/>
          <w:headerReference w:type="first" r:id="rId101"/>
          <w:footerReference w:type="first" r:id="rId102"/>
          <w:pgSz w:w="11906" w:h="16838" w:code="9"/>
          <w:pgMar w:top="1080" w:right="1440" w:bottom="1080" w:left="1440" w:header="709" w:footer="709" w:gutter="0"/>
          <w:cols w:space="566"/>
          <w:docGrid w:linePitch="360"/>
        </w:sectPr>
      </w:pPr>
    </w:p>
    <w:p w:rsidR="004C5536" w:rsidRDefault="003D3C7F">
      <w:pPr>
        <w:keepLines/>
        <w:widowControl w:val="0"/>
        <w:numPr>
          <w:ilvl w:val="0"/>
          <w:numId w:val="24"/>
        </w:numPr>
        <w:spacing w:after="0" w:line="240" w:lineRule="auto"/>
        <w:jc w:val="center"/>
        <w:outlineLvl w:val="0"/>
        <w:rPr>
          <w:rFonts w:eastAsiaTheme="majorEastAsia" w:cstheme="majorBidi"/>
          <w:b/>
          <w:bCs/>
          <w:noProof/>
          <w:color w:val="1F497D" w:themeColor="text2"/>
          <w:sz w:val="32"/>
          <w:szCs w:val="28"/>
        </w:rPr>
      </w:pPr>
      <w:bookmarkStart w:id="40" w:name="_Toc469492761"/>
      <w:r>
        <w:rPr>
          <w:rFonts w:eastAsiaTheme="majorEastAsia" w:cstheme="majorBidi"/>
          <w:b/>
          <w:bCs/>
          <w:noProof/>
          <w:color w:val="1F497D" w:themeColor="text2"/>
          <w:sz w:val="32"/>
          <w:szCs w:val="28"/>
        </w:rPr>
        <w:t>Market based instruments and investment</w:t>
      </w:r>
      <w:bookmarkStart w:id="41" w:name="_Toc433296178"/>
      <w:bookmarkStart w:id="42" w:name="_Toc433296181"/>
      <w:bookmarkEnd w:id="40"/>
      <w:r>
        <w:rPr>
          <w:rFonts w:eastAsiaTheme="majorEastAsia" w:cstheme="majorBidi"/>
          <w:b/>
          <w:bCs/>
          <w:noProof/>
          <w:color w:val="1F497D" w:themeColor="text2"/>
          <w:sz w:val="32"/>
          <w:szCs w:val="28"/>
        </w:rPr>
        <w:t xml:space="preserve"> </w:t>
      </w:r>
    </w:p>
    <w:p w:rsidR="004C5536" w:rsidRDefault="004C5536">
      <w:pPr>
        <w:widowControl w:val="0"/>
        <w:spacing w:after="120"/>
        <w:rPr>
          <w:rFonts w:cs="Times New Roman"/>
          <w:noProof/>
          <w:sz w:val="20"/>
        </w:rPr>
      </w:pPr>
    </w:p>
    <w:p w:rsidR="004C5536" w:rsidRDefault="004C5536">
      <w:pPr>
        <w:widowControl w:val="0"/>
        <w:spacing w:after="120"/>
        <w:rPr>
          <w:rFonts w:cs="Times New Roman"/>
          <w:noProof/>
          <w:sz w:val="20"/>
        </w:rPr>
        <w:sectPr w:rsidR="004C5536">
          <w:headerReference w:type="even" r:id="rId103"/>
          <w:headerReference w:type="default" r:id="rId104"/>
          <w:footerReference w:type="even" r:id="rId105"/>
          <w:footerReference w:type="default" r:id="rId106"/>
          <w:headerReference w:type="first" r:id="rId107"/>
          <w:footerReference w:type="first" r:id="rId108"/>
          <w:type w:val="continuous"/>
          <w:pgSz w:w="11906" w:h="16838" w:code="9"/>
          <w:pgMar w:top="1080" w:right="1440" w:bottom="1080" w:left="1440" w:header="709" w:footer="709" w:gutter="0"/>
          <w:cols w:space="566"/>
          <w:docGrid w:linePitch="360"/>
        </w:sectPr>
      </w:pPr>
    </w:p>
    <w:p w:rsidR="004C5536" w:rsidRDefault="003D3C7F">
      <w:pPr>
        <w:widowControl w:val="0"/>
        <w:spacing w:after="240" w:line="240" w:lineRule="auto"/>
        <w:outlineLvl w:val="1"/>
        <w:rPr>
          <w:rFonts w:cs="Times New Roman"/>
          <w:b/>
          <w:noProof/>
          <w:color w:val="1F497D" w:themeColor="text2"/>
          <w:sz w:val="24"/>
          <w:szCs w:val="24"/>
        </w:rPr>
      </w:pPr>
      <w:bookmarkStart w:id="43" w:name="_Toc469336235"/>
      <w:bookmarkStart w:id="44" w:name="_Toc469492762"/>
      <w:bookmarkEnd w:id="41"/>
      <w:r>
        <w:rPr>
          <w:rFonts w:cs="Times New Roman"/>
          <w:b/>
          <w:noProof/>
          <w:color w:val="1F497D" w:themeColor="text2"/>
          <w:sz w:val="24"/>
          <w:szCs w:val="24"/>
        </w:rPr>
        <w:t xml:space="preserve">Green taxation and </w:t>
      </w:r>
      <w:r>
        <w:rPr>
          <w:rFonts w:cs="Times New Roman"/>
          <w:b/>
          <w:noProof/>
          <w:color w:val="1F497D" w:themeColor="text2"/>
          <w:sz w:val="24"/>
          <w:szCs w:val="24"/>
        </w:rPr>
        <w:t>environmentally harmful subsidies</w:t>
      </w:r>
      <w:bookmarkEnd w:id="43"/>
      <w:bookmarkEnd w:id="44"/>
    </w:p>
    <w:p w:rsidR="004C5536" w:rsidRDefault="003D3C7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Circular Economy Action Plan encourages the use of financial incentives and economic instruments, such as taxation to ensure that product prices better reflect environmental costs. The phasing out of environmentally ha</w:t>
      </w:r>
      <w:r>
        <w:rPr>
          <w:rFonts w:cs="Times New Roman"/>
          <w:noProof/>
          <w:color w:val="FFFFFF" w:themeColor="background1"/>
          <w:sz w:val="20"/>
        </w:rPr>
        <w:t>rmful subsidies is monitored in the context of the European Semester and in national reform programmes submitted by Member States.</w:t>
      </w:r>
    </w:p>
    <w:p w:rsidR="004C5536" w:rsidRDefault="003D3C7F">
      <w:pPr>
        <w:widowControl w:val="0"/>
        <w:spacing w:before="240" w:after="120" w:line="240" w:lineRule="auto"/>
        <w:jc w:val="both"/>
        <w:rPr>
          <w:rFonts w:cs="Times New Roman"/>
          <w:noProof/>
          <w:sz w:val="20"/>
        </w:rPr>
      </w:pPr>
      <w:r>
        <w:rPr>
          <w:rFonts w:cs="Times New Roman"/>
          <w:noProof/>
          <w:sz w:val="20"/>
        </w:rPr>
        <w:t>Taxing pollution and resource use can generate increased revenue and brings important social and environmental benefits. More</w:t>
      </w:r>
      <w:r>
        <w:rPr>
          <w:rFonts w:cs="Times New Roman"/>
          <w:noProof/>
          <w:sz w:val="20"/>
        </w:rPr>
        <w:t>over, environmentally-related taxation is one of the few taxes that are generally not detrimental to growth.</w:t>
      </w:r>
    </w:p>
    <w:p w:rsidR="004C5536" w:rsidRDefault="003D3C7F">
      <w:pPr>
        <w:widowControl w:val="0"/>
        <w:spacing w:after="120" w:line="240" w:lineRule="auto"/>
        <w:jc w:val="both"/>
        <w:rPr>
          <w:rFonts w:cs="Times New Roman"/>
          <w:noProof/>
          <w:sz w:val="20"/>
        </w:rPr>
      </w:pPr>
      <w:r>
        <w:rPr>
          <w:rFonts w:cs="Times New Roman"/>
          <w:noProof/>
          <w:sz w:val="20"/>
        </w:rPr>
        <w:t>Shifting taxation away from labour towards taxes less harmful to growth remains a key challenge in Portugal.  Following the work carried-out during</w:t>
      </w:r>
      <w:r>
        <w:rPr>
          <w:rFonts w:cs="Times New Roman"/>
          <w:noProof/>
          <w:sz w:val="20"/>
        </w:rPr>
        <w:t xml:space="preserve"> 2014 by the "Commission for Green Tax Reform" and some of its recommendations, Portugal adopted in 2015 a green taxation reform, aiming to promote a more sustainable economic development model, which is a positive step. The additional revenue raised by th</w:t>
      </w:r>
      <w:r>
        <w:rPr>
          <w:rFonts w:cs="Times New Roman"/>
          <w:noProof/>
          <w:sz w:val="20"/>
        </w:rPr>
        <w:t>is green taxation reform is to be allocated to reduce the tax burden on labour, assuming a revenue-neutrality. The effects of this reform have still to be assessed.</w:t>
      </w:r>
    </w:p>
    <w:p w:rsidR="004C5536" w:rsidRDefault="003D3C7F">
      <w:pPr>
        <w:widowControl w:val="0"/>
        <w:spacing w:after="120" w:line="240" w:lineRule="auto"/>
        <w:jc w:val="both"/>
        <w:rPr>
          <w:rFonts w:cs="Times New Roman"/>
          <w:noProof/>
          <w:sz w:val="20"/>
        </w:rPr>
      </w:pPr>
      <w:r>
        <w:rPr>
          <w:rFonts w:cs="Times New Roman"/>
          <w:noProof/>
          <w:sz w:val="20"/>
        </w:rPr>
        <w:t>There is still scope for considering further measures that were not assumed in this green t</w:t>
      </w:r>
      <w:r>
        <w:rPr>
          <w:rFonts w:cs="Times New Roman"/>
          <w:noProof/>
          <w:sz w:val="20"/>
        </w:rPr>
        <w:t>axation reform. A more stable and growth-friendly tax system would help foster confidence and encourage private investment.</w:t>
      </w:r>
    </w:p>
    <w:p w:rsidR="004C5536" w:rsidRDefault="003D3C7F">
      <w:pPr>
        <w:widowControl w:val="0"/>
        <w:spacing w:after="120" w:line="240" w:lineRule="auto"/>
        <w:jc w:val="both"/>
        <w:rPr>
          <w:rFonts w:cs="Times New Roman"/>
          <w:noProof/>
          <w:sz w:val="20"/>
        </w:rPr>
      </w:pPr>
      <w:r>
        <w:rPr>
          <w:rFonts w:cs="Times New Roman"/>
          <w:noProof/>
          <w:sz w:val="20"/>
        </w:rPr>
        <w:t>The 2016 Annual Growth Survey highlights the need to shift taxes away from labour to create efficient and growth-friendly tax system</w:t>
      </w:r>
      <w:r>
        <w:rPr>
          <w:rFonts w:cs="Times New Roman"/>
          <w:noProof/>
          <w:sz w:val="20"/>
        </w:rPr>
        <w:t>s contributing significantly to increasing employment and adaptability of the labour market</w:t>
      </w:r>
      <w:r>
        <w:rPr>
          <w:rFonts w:cs="Times New Roman"/>
          <w:noProof/>
          <w:sz w:val="20"/>
          <w:vertAlign w:val="superscript"/>
        </w:rPr>
        <w:footnoteReference w:id="92"/>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Environmental tax reform can play an important part in sustaining economic growth. Taxing pollution and resource use would bring in additional revenues, and at th</w:t>
      </w:r>
      <w:r>
        <w:rPr>
          <w:rFonts w:cs="Times New Roman"/>
          <w:noProof/>
          <w:sz w:val="20"/>
        </w:rPr>
        <w:t>e same time it would help discouraging activities that will bring additional cost in the future in terms of clean up, health costs, etc. This additional revenue could also substitute for cuts in spending, therefore help achieving a similar net budgetary ou</w:t>
      </w:r>
      <w:r>
        <w:rPr>
          <w:rFonts w:cs="Times New Roman"/>
          <w:noProof/>
          <w:sz w:val="20"/>
        </w:rPr>
        <w:t>tcome.</w:t>
      </w:r>
    </w:p>
    <w:p w:rsidR="004C5536" w:rsidRDefault="003D3C7F">
      <w:pPr>
        <w:widowControl w:val="0"/>
        <w:spacing w:after="120" w:line="240" w:lineRule="auto"/>
        <w:jc w:val="both"/>
        <w:rPr>
          <w:rFonts w:cs="Times New Roman"/>
          <w:noProof/>
          <w:sz w:val="20"/>
        </w:rPr>
      </w:pPr>
      <w:r>
        <w:rPr>
          <w:rFonts w:cs="Times New Roman"/>
          <w:noProof/>
          <w:sz w:val="20"/>
        </w:rPr>
        <w:t>At 2.25% of GDP in 2014, Portugal's level of environmental taxes is below the EU-28 average of 2.46%</w:t>
      </w:r>
      <w:r>
        <w:rPr>
          <w:rFonts w:cs="Times New Roman"/>
          <w:noProof/>
          <w:sz w:val="20"/>
          <w:vertAlign w:val="superscript"/>
        </w:rPr>
        <w:footnoteReference w:id="93"/>
      </w:r>
      <w:r>
        <w:rPr>
          <w:rFonts w:cs="Times New Roman"/>
          <w:noProof/>
          <w:sz w:val="20"/>
        </w:rPr>
        <w:t>. This rate has slightly increased from 2.19% in 2013 and 2.14% in 2012. However, the 2012–2014 levels are below the 2002–2005 values (2.9% of GDP).</w:t>
      </w:r>
      <w:r>
        <w:rPr>
          <w:rFonts w:cs="Times New Roman"/>
          <w:noProof/>
          <w:sz w:val="20"/>
        </w:rPr>
        <w:t xml:space="preserve"> In fact, revenues from environmental taxes have significantly decreased in Portugal during the last decade.  Although the effects of the recent green taxation reform have still to be perceived, there is still clear scope to increase environmental taxes an</w:t>
      </w:r>
      <w:r>
        <w:rPr>
          <w:rFonts w:cs="Times New Roman"/>
          <w:noProof/>
          <w:sz w:val="20"/>
        </w:rPr>
        <w:t>d alleviate the burden on labour.</w:t>
      </w:r>
    </w:p>
    <w:p w:rsidR="004C5536" w:rsidRDefault="003D3C7F">
      <w:pPr>
        <w:widowControl w:val="0"/>
        <w:spacing w:after="120" w:line="240" w:lineRule="auto"/>
        <w:jc w:val="both"/>
        <w:rPr>
          <w:rFonts w:cs="Times New Roman"/>
          <w:noProof/>
          <w:sz w:val="20"/>
        </w:rPr>
      </w:pPr>
      <w:r>
        <w:rPr>
          <w:rFonts w:cs="Times New Roman"/>
          <w:noProof/>
          <w:sz w:val="20"/>
        </w:rPr>
        <w:t>Portugal with 6.59% of GDP is around the EU average (6.35%) regarding the share of environmental taxation in revenues from taxes and social contributions, as shown below.</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c>
          <w:tcPr>
            <w:tcW w:w="4909" w:type="dxa"/>
          </w:tcPr>
          <w:p w:rsidR="004C5536" w:rsidRDefault="003D3C7F">
            <w:pPr>
              <w:widowControl w:val="0"/>
              <w:spacing w:after="120"/>
              <w:jc w:val="both"/>
              <w:rPr>
                <w:rFonts w:cs="Times New Roman"/>
                <w:b/>
                <w:bCs/>
                <w:noProof/>
                <w:color w:val="1F497D" w:themeColor="text2"/>
                <w:sz w:val="20"/>
                <w:szCs w:val="20"/>
              </w:rPr>
            </w:pPr>
            <w:r>
              <w:rPr>
                <w:rFonts w:cs="Times New Roman"/>
                <w:b/>
                <w:bCs/>
                <w:noProof/>
                <w:color w:val="1F497D" w:themeColor="text2"/>
                <w:sz w:val="20"/>
                <w:szCs w:val="20"/>
              </w:rPr>
              <w:t xml:space="preserve">Figure 11: </w:t>
            </w:r>
            <w:r>
              <w:rPr>
                <w:b/>
                <w:bCs/>
                <w:noProof/>
                <w:color w:val="1F497D" w:themeColor="text2"/>
                <w:sz w:val="20"/>
              </w:rPr>
              <w:t>Environmental tax revenues as a share of</w:t>
            </w:r>
            <w:r>
              <w:rPr>
                <w:b/>
                <w:bCs/>
                <w:noProof/>
                <w:color w:val="1F497D" w:themeColor="text2"/>
                <w:sz w:val="20"/>
              </w:rPr>
              <w:t xml:space="preserve"> total revenues from taxes and social contributions (excluding imputed social contributions) in 2014</w:t>
            </w:r>
            <w:r>
              <w:rPr>
                <w:b/>
                <w:bCs/>
                <w:noProof/>
                <w:color w:val="1F497D" w:themeColor="text2"/>
                <w:sz w:val="20"/>
                <w:vertAlign w:val="superscript"/>
              </w:rPr>
              <w:footnoteReference w:id="94"/>
            </w:r>
          </w:p>
        </w:tc>
      </w:tr>
      <w:tr w:rsidR="004C5536">
        <w:tc>
          <w:tcPr>
            <w:tcW w:w="4909" w:type="dxa"/>
          </w:tcPr>
          <w:p w:rsidR="004C5536" w:rsidRDefault="003D3C7F">
            <w:pPr>
              <w:widowControl w:val="0"/>
              <w:spacing w:after="120"/>
              <w:jc w:val="both"/>
              <w:rPr>
                <w:rFonts w:cs="Times New Roman"/>
                <w:noProof/>
                <w:sz w:val="20"/>
              </w:rPr>
            </w:pPr>
            <w:r>
              <w:rPr>
                <w:rFonts w:cs="Times New Roman"/>
                <w:noProof/>
                <w:sz w:val="20"/>
                <w:lang w:eastAsia="en-GB"/>
              </w:rPr>
              <w:drawing>
                <wp:inline distT="0" distB="0" distL="0" distR="0" wp14:anchorId="7A33D4DA" wp14:editId="3179B864">
                  <wp:extent cx="3057525" cy="43484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59760" cy="4351609"/>
                          </a:xfrm>
                          <a:prstGeom prst="rect">
                            <a:avLst/>
                          </a:prstGeom>
                          <a:noFill/>
                        </pic:spPr>
                      </pic:pic>
                    </a:graphicData>
                  </a:graphic>
                </wp:inline>
              </w:drawing>
            </w:r>
          </w:p>
        </w:tc>
      </w:tr>
    </w:tbl>
    <w:p w:rsidR="004C5536" w:rsidRDefault="003D3C7F">
      <w:pPr>
        <w:widowControl w:val="0"/>
        <w:spacing w:before="120" w:after="120" w:line="240" w:lineRule="auto"/>
        <w:jc w:val="both"/>
        <w:rPr>
          <w:rFonts w:cs="Times New Roman"/>
          <w:noProof/>
          <w:sz w:val="20"/>
        </w:rPr>
      </w:pPr>
      <w:r>
        <w:rPr>
          <w:rFonts w:cs="Times New Roman"/>
          <w:noProof/>
          <w:sz w:val="20"/>
        </w:rPr>
        <w:t>As recognized in 2014</w:t>
      </w:r>
      <w:r>
        <w:rPr>
          <w:rFonts w:cs="Times New Roman"/>
          <w:noProof/>
          <w:sz w:val="20"/>
          <w:vertAlign w:val="superscript"/>
        </w:rPr>
        <w:footnoteReference w:id="95"/>
      </w:r>
      <w:r>
        <w:rPr>
          <w:rFonts w:cs="Times New Roman"/>
          <w:noProof/>
          <w:sz w:val="20"/>
        </w:rPr>
        <w:t xml:space="preserve">, the Commission for Green Tax Reform created by the Portuguese Government has been a positive initiative in order to improve </w:t>
      </w:r>
      <w:r>
        <w:rPr>
          <w:rFonts w:cs="Times New Roman"/>
          <w:noProof/>
          <w:sz w:val="20"/>
        </w:rPr>
        <w:t>environmental taxation in Portugal and the work of this committee of independent experts should be commended. Its objective was to review environmental and energy taxation regimes with a view to promoting a new green fiscal framework which incentivises eco</w:t>
      </w:r>
      <w:r>
        <w:rPr>
          <w:rFonts w:cs="Times New Roman"/>
          <w:noProof/>
          <w:sz w:val="20"/>
        </w:rPr>
        <w:t xml:space="preserve">-innovation and the efficient use of resources, as well as mechanism for the internalisation of environmental externalities. It also included the potential contribution to reducing external energy dependence and to inducing more sustainable production and </w:t>
      </w:r>
      <w:r>
        <w:rPr>
          <w:rFonts w:cs="Times New Roman"/>
          <w:noProof/>
          <w:sz w:val="20"/>
        </w:rPr>
        <w:t>consumption patterns.</w:t>
      </w:r>
    </w:p>
    <w:p w:rsidR="004C5536" w:rsidRDefault="003D3C7F">
      <w:pPr>
        <w:widowControl w:val="0"/>
        <w:spacing w:after="120" w:line="240" w:lineRule="auto"/>
        <w:jc w:val="both"/>
        <w:rPr>
          <w:rFonts w:cs="Times New Roman"/>
          <w:noProof/>
          <w:sz w:val="20"/>
        </w:rPr>
      </w:pPr>
      <w:r>
        <w:rPr>
          <w:rFonts w:cs="Times New Roman"/>
          <w:noProof/>
          <w:sz w:val="20"/>
        </w:rPr>
        <w:t>The final report of this Commission, issued in September 2014, includes an in-depth analysis on this matter, with interesting findings and a series of recommendations on different sectors: energy, transport, water, waste, land plannin</w:t>
      </w:r>
      <w:r>
        <w:rPr>
          <w:rFonts w:cs="Times New Roman"/>
          <w:noProof/>
          <w:sz w:val="20"/>
        </w:rPr>
        <w:t xml:space="preserve">g, forests, biodiversity, etc. It also proposes global tax neutrality, aiming at ensuring tax progressivity, developing green accounting, boosting environmental information, developing helpful tools for the decision making process, enhancing environmental </w:t>
      </w:r>
      <w:r>
        <w:rPr>
          <w:rFonts w:cs="Times New Roman"/>
          <w:noProof/>
          <w:sz w:val="20"/>
        </w:rPr>
        <w:t>policies and streamlining environmental funding</w:t>
      </w:r>
      <w:r>
        <w:rPr>
          <w:rFonts w:cs="Times New Roman"/>
          <w:noProof/>
          <w:sz w:val="20"/>
          <w:vertAlign w:val="superscript"/>
        </w:rPr>
        <w:footnoteReference w:id="96"/>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A limited number of these recommendations were taken on board by the Portuguese Government in its subsequent legislative proposal to the Portuguese Parliament.</w:t>
      </w:r>
    </w:p>
    <w:p w:rsidR="004C5536" w:rsidRDefault="003D3C7F">
      <w:pPr>
        <w:widowControl w:val="0"/>
        <w:spacing w:after="120" w:line="240" w:lineRule="auto"/>
        <w:jc w:val="both"/>
        <w:rPr>
          <w:rFonts w:cs="Times New Roman"/>
          <w:noProof/>
          <w:sz w:val="20"/>
        </w:rPr>
      </w:pPr>
      <w:r>
        <w:rPr>
          <w:rFonts w:cs="Times New Roman"/>
          <w:iCs/>
          <w:noProof/>
          <w:sz w:val="20"/>
        </w:rPr>
        <w:t>In this respect, a 2016 study suggests that th</w:t>
      </w:r>
      <w:r>
        <w:rPr>
          <w:rFonts w:cs="Times New Roman"/>
          <w:iCs/>
          <w:noProof/>
          <w:sz w:val="20"/>
        </w:rPr>
        <w:t>ere is considerable potential for additional revenue from environmental taxes in Portugal</w:t>
      </w:r>
      <w:r>
        <w:rPr>
          <w:rStyle w:val="FootnoteReference"/>
          <w:rFonts w:cs="Times New Roman"/>
          <w:iCs/>
          <w:noProof/>
          <w:sz w:val="20"/>
        </w:rPr>
        <w:footnoteReference w:id="97"/>
      </w:r>
      <w:r>
        <w:rPr>
          <w:rFonts w:cs="Times New Roman"/>
          <w:iCs/>
          <w:noProof/>
          <w:sz w:val="20"/>
        </w:rPr>
        <w:t>. Under a good practice scenario</w:t>
      </w:r>
      <w:r>
        <w:rPr>
          <w:rStyle w:val="FootnoteReference"/>
          <w:rFonts w:cs="Times New Roman"/>
          <w:iCs/>
          <w:noProof/>
          <w:sz w:val="20"/>
        </w:rPr>
        <w:footnoteReference w:id="98"/>
      </w:r>
      <w:r>
        <w:rPr>
          <w:rFonts w:cs="Times New Roman"/>
          <w:iCs/>
          <w:noProof/>
          <w:sz w:val="20"/>
        </w:rPr>
        <w:t xml:space="preserve"> these taxes could generate an additional EUR </w:t>
      </w:r>
      <w:r>
        <w:rPr>
          <w:rFonts w:cs="Times New Roman"/>
          <w:noProof/>
          <w:sz w:val="20"/>
        </w:rPr>
        <w:t>1.39 billion in 2018, rising to EUR 2.24 billion in 2030 (both in real 2015 terms). Thi</w:t>
      </w:r>
      <w:r>
        <w:rPr>
          <w:rFonts w:cs="Times New Roman"/>
          <w:noProof/>
          <w:sz w:val="20"/>
        </w:rPr>
        <w:t>s is equivalent to 0.73% and 0.96% of GDP in 2018 and 2030, respectively.</w:t>
      </w:r>
    </w:p>
    <w:p w:rsidR="004C5536" w:rsidRDefault="003D3C7F">
      <w:pPr>
        <w:widowControl w:val="0"/>
        <w:spacing w:after="120" w:line="240" w:lineRule="auto"/>
        <w:jc w:val="both"/>
        <w:rPr>
          <w:rFonts w:cs="Times New Roman"/>
          <w:noProof/>
          <w:sz w:val="20"/>
        </w:rPr>
      </w:pPr>
      <w:r>
        <w:rPr>
          <w:rFonts w:cs="Times New Roman"/>
          <w:noProof/>
          <w:sz w:val="20"/>
        </w:rPr>
        <w:t>The reduction of environmentally harmful subsidies (EHS) is another key challenge. Portugal is still subsidising fossil fuels, company cars, or diesel compared to petrol when the pol</w:t>
      </w:r>
      <w:r>
        <w:rPr>
          <w:rFonts w:cs="Times New Roman"/>
          <w:noProof/>
          <w:sz w:val="20"/>
        </w:rPr>
        <w:t>icy objectives could be achieved in a less environmentally harmful way.</w:t>
      </w:r>
    </w:p>
    <w:p w:rsidR="004C5536" w:rsidRDefault="003D3C7F">
      <w:pPr>
        <w:widowControl w:val="0"/>
        <w:spacing w:after="120" w:line="240" w:lineRule="auto"/>
        <w:jc w:val="both"/>
        <w:rPr>
          <w:rFonts w:cs="Times New Roman"/>
          <w:noProof/>
          <w:sz w:val="20"/>
        </w:rPr>
      </w:pPr>
      <w:r>
        <w:rPr>
          <w:rFonts w:cs="Times New Roman"/>
          <w:noProof/>
          <w:sz w:val="20"/>
        </w:rPr>
        <w:t>The European Commission has highlighted the different challenges that Member States, including Portugal, face in relation to environmentally-related taxation</w:t>
      </w:r>
      <w:r>
        <w:rPr>
          <w:rFonts w:cs="Times New Roman"/>
          <w:noProof/>
          <w:sz w:val="20"/>
          <w:vertAlign w:val="superscript"/>
        </w:rPr>
        <w:footnoteReference w:id="99"/>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In 2013 all Member State</w:t>
      </w:r>
      <w:r>
        <w:rPr>
          <w:rFonts w:cs="Times New Roman"/>
          <w:noProof/>
          <w:sz w:val="20"/>
        </w:rPr>
        <w:t>s agreed to phase out EHS 'without delay'</w:t>
      </w:r>
      <w:r>
        <w:rPr>
          <w:rFonts w:cs="Times New Roman"/>
          <w:noProof/>
          <w:sz w:val="20"/>
          <w:vertAlign w:val="superscript"/>
        </w:rPr>
        <w:footnoteReference w:id="100"/>
      </w:r>
      <w:r>
        <w:rPr>
          <w:rFonts w:cs="Times New Roman"/>
          <w:noProof/>
          <w:sz w:val="20"/>
        </w:rPr>
        <w:t>. Moving away from EHS can deliver economic, social and environmental benefits, allow for improved competitiveness and support budget consolidation</w:t>
      </w:r>
      <w:r>
        <w:rPr>
          <w:rFonts w:cs="Times New Roman"/>
          <w:noProof/>
          <w:sz w:val="20"/>
          <w:vertAlign w:val="superscript"/>
        </w:rPr>
        <w:footnoteReference w:id="101"/>
      </w:r>
      <w:r>
        <w:rPr>
          <w:rFonts w:cs="Times New Roman"/>
          <w:noProof/>
          <w:sz w:val="20"/>
        </w:rPr>
        <w:t>. It is important to ensure that energy tax rates become more cons</w:t>
      </w:r>
      <w:r>
        <w:rPr>
          <w:rFonts w:cs="Times New Roman"/>
          <w:noProof/>
          <w:sz w:val="20"/>
        </w:rPr>
        <w:t>istent across fuels and uses, and that the tax system does not unduly favour fossil-based solutions.</w:t>
      </w:r>
    </w:p>
    <w:p w:rsidR="004C5536" w:rsidRDefault="003D3C7F">
      <w:pPr>
        <w:widowControl w:val="0"/>
        <w:spacing w:after="120" w:line="240" w:lineRule="auto"/>
        <w:jc w:val="both"/>
        <w:rPr>
          <w:rFonts w:cs="Times New Roman"/>
          <w:noProof/>
          <w:sz w:val="20"/>
          <w:szCs w:val="20"/>
        </w:rPr>
      </w:pPr>
      <w:r>
        <w:rPr>
          <w:rFonts w:cs="Times New Roman"/>
          <w:noProof/>
          <w:sz w:val="20"/>
          <w:szCs w:val="20"/>
        </w:rPr>
        <w:t>Furthermore, according to OECD, Portugal has a considerable potential for reducing a wide range of tax exemptions and reductions and phasing out EHS</w:t>
      </w:r>
      <w:r>
        <w:rPr>
          <w:rFonts w:cs="Times New Roman"/>
          <w:noProof/>
          <w:sz w:val="20"/>
          <w:szCs w:val="20"/>
          <w:vertAlign w:val="superscript"/>
        </w:rPr>
        <w:footnoteReference w:id="102"/>
      </w:r>
      <w:r>
        <w:rPr>
          <w:rFonts w:cs="Times New Roman"/>
          <w:noProof/>
          <w:sz w:val="20"/>
          <w:szCs w:val="20"/>
        </w:rPr>
        <w:t>.</w:t>
      </w:r>
    </w:p>
    <w:p w:rsidR="004C5536" w:rsidRDefault="003D3C7F">
      <w:pPr>
        <w:widowControl w:val="0"/>
        <w:spacing w:after="120" w:line="240" w:lineRule="auto"/>
        <w:jc w:val="both"/>
        <w:rPr>
          <w:rFonts w:cs="Times New Roman"/>
          <w:noProof/>
          <w:sz w:val="20"/>
          <w:szCs w:val="20"/>
        </w:rPr>
      </w:pPr>
      <w:r>
        <w:rPr>
          <w:rFonts w:eastAsia="Calibri" w:cs="Times New Roman"/>
          <w:noProof/>
          <w:sz w:val="20"/>
          <w:szCs w:val="20"/>
          <w:lang w:eastAsia="en-GB"/>
        </w:rPr>
        <w:t>Ther</w:t>
      </w:r>
      <w:r>
        <w:rPr>
          <w:rFonts w:eastAsia="Calibri" w:cs="Times New Roman"/>
          <w:noProof/>
          <w:sz w:val="20"/>
          <w:szCs w:val="20"/>
          <w:lang w:eastAsia="en-GB"/>
        </w:rPr>
        <w:t xml:space="preserve">e is scope to address the preferential treatment of diesel compared with petrol. </w:t>
      </w:r>
      <w:r>
        <w:rPr>
          <w:rFonts w:cs="Times New Roman"/>
          <w:noProof/>
          <w:sz w:val="20"/>
          <w:szCs w:val="20"/>
        </w:rPr>
        <w:t xml:space="preserve">The diesel-petrol differential is not justified from an environmental perspective: diesel emits higher levels of a number of air pollutants and should be taxed higher. </w:t>
      </w:r>
      <w:r>
        <w:rPr>
          <w:rFonts w:eastAsia="Calibri" w:cs="Times New Roman"/>
          <w:noProof/>
          <w:sz w:val="20"/>
          <w:szCs w:val="20"/>
          <w:lang w:eastAsia="en-GB"/>
        </w:rPr>
        <w:t>The die</w:t>
      </w:r>
      <w:r>
        <w:rPr>
          <w:rFonts w:eastAsia="Calibri" w:cs="Times New Roman"/>
          <w:noProof/>
          <w:sz w:val="20"/>
          <w:szCs w:val="20"/>
          <w:lang w:eastAsia="en-GB"/>
        </w:rPr>
        <w:t>sel differential in Portugal is 53% (a figure of 0% means the same level of taxation for petrol and diesel cars, i.e. no diesel differential)</w:t>
      </w:r>
      <w:r>
        <w:rPr>
          <w:rFonts w:eastAsia="Calibri" w:cs="Times New Roman"/>
          <w:noProof/>
          <w:sz w:val="20"/>
          <w:szCs w:val="20"/>
          <w:vertAlign w:val="superscript"/>
          <w:lang w:eastAsia="en-GB"/>
        </w:rPr>
        <w:footnoteReference w:id="103"/>
      </w:r>
      <w:r>
        <w:rPr>
          <w:rFonts w:eastAsia="Calibri" w:cs="Times New Roman"/>
          <w:noProof/>
          <w:sz w:val="20"/>
          <w:szCs w:val="20"/>
          <w:lang w:eastAsia="en-GB"/>
        </w:rPr>
        <w:t xml:space="preserve">. </w:t>
      </w:r>
      <w:r>
        <w:rPr>
          <w:rFonts w:cs="Times New Roman"/>
          <w:noProof/>
          <w:sz w:val="20"/>
          <w:szCs w:val="20"/>
        </w:rPr>
        <w:t>Lower diesel tax led to "dieselisation" of the fleet in Europe.</w:t>
      </w:r>
    </w:p>
    <w:p w:rsidR="004C5536" w:rsidRDefault="003D3C7F">
      <w:pPr>
        <w:widowControl w:val="0"/>
        <w:spacing w:after="120" w:line="240" w:lineRule="auto"/>
        <w:jc w:val="both"/>
        <w:rPr>
          <w:rFonts w:cs="Times New Roman"/>
          <w:noProof/>
          <w:sz w:val="20"/>
        </w:rPr>
      </w:pPr>
      <w:r>
        <w:rPr>
          <w:rFonts w:cs="Times New Roman"/>
          <w:noProof/>
          <w:sz w:val="20"/>
        </w:rPr>
        <w:t>The Report of the Commission for Green Tax Refor</w:t>
      </w:r>
      <w:r>
        <w:rPr>
          <w:rFonts w:cs="Times New Roman"/>
          <w:noProof/>
          <w:sz w:val="20"/>
        </w:rPr>
        <w:t>m also identifies many EHS that need to be phased out. However, the pressure from the different interest groups benefiting from these EHS makes more difficult taking effective measures in this regard, and therefore the effects of such a reform need to be d</w:t>
      </w:r>
      <w:r>
        <w:rPr>
          <w:rFonts w:cs="Times New Roman"/>
          <w:noProof/>
          <w:sz w:val="20"/>
        </w:rPr>
        <w:t>uly considered together with suitable alternatives for the disadvantaged categories.</w:t>
      </w:r>
    </w:p>
    <w:p w:rsidR="004C5536" w:rsidRDefault="003D3C7F">
      <w:pPr>
        <w:widowControl w:val="0"/>
        <w:spacing w:after="120" w:line="240" w:lineRule="auto"/>
        <w:jc w:val="both"/>
        <w:rPr>
          <w:rFonts w:cs="Times New Roman"/>
          <w:noProof/>
          <w:sz w:val="20"/>
        </w:rPr>
      </w:pPr>
      <w:r>
        <w:rPr>
          <w:rFonts w:cs="Times New Roman"/>
          <w:noProof/>
          <w:sz w:val="20"/>
        </w:rPr>
        <w:t>In 2016, the Ministry of the Environment has created a working group to further develop the green taxation reform approved in 2014. This work should aim to deliver more in</w:t>
      </w:r>
      <w:r>
        <w:rPr>
          <w:rFonts w:cs="Times New Roman"/>
          <w:noProof/>
          <w:sz w:val="20"/>
        </w:rPr>
        <w:t>centives to green behaviour from 2017 onwards as well as to increase the share of environmental taxes, namely in fossil fuels.</w:t>
      </w:r>
    </w:p>
    <w:p w:rsidR="004C5536" w:rsidRDefault="003D3C7F">
      <w:pPr>
        <w:widowControl w:val="0"/>
        <w:spacing w:after="360" w:line="240" w:lineRule="auto"/>
        <w:jc w:val="both"/>
        <w:rPr>
          <w:rFonts w:cs="Times New Roman"/>
          <w:noProof/>
          <w:sz w:val="20"/>
        </w:rPr>
      </w:pPr>
      <w:r>
        <w:rPr>
          <w:rFonts w:cs="Times New Roman"/>
          <w:noProof/>
          <w:sz w:val="20"/>
        </w:rPr>
        <w:t>Therefore, there is scope to continue the implementation of the "Green Tax Reform" and further develop the potential for environm</w:t>
      </w:r>
      <w:r>
        <w:rPr>
          <w:rFonts w:cs="Times New Roman"/>
          <w:noProof/>
          <w:sz w:val="20"/>
        </w:rPr>
        <w:t>ental taxation and the reduction of EHS in Portugal.</w:t>
      </w:r>
    </w:p>
    <w:p w:rsidR="004C5536" w:rsidRDefault="003D3C7F">
      <w:pPr>
        <w:widowControl w:val="0"/>
        <w:spacing w:after="240" w:line="240" w:lineRule="auto"/>
        <w:jc w:val="both"/>
        <w:outlineLvl w:val="1"/>
        <w:rPr>
          <w:rFonts w:cs="Times New Roman"/>
          <w:b/>
          <w:noProof/>
          <w:color w:val="1F497D" w:themeColor="text2"/>
          <w:sz w:val="24"/>
        </w:rPr>
      </w:pPr>
      <w:bookmarkStart w:id="45" w:name="_Toc454457662"/>
      <w:bookmarkStart w:id="46" w:name="_Toc469492763"/>
      <w:bookmarkStart w:id="47" w:name="_Toc433296179"/>
      <w:r>
        <w:rPr>
          <w:rFonts w:cs="Times New Roman"/>
          <w:b/>
          <w:noProof/>
          <w:color w:val="1F497D" w:themeColor="text2"/>
          <w:sz w:val="24"/>
        </w:rPr>
        <w:t>Green Public Procurement</w:t>
      </w:r>
      <w:bookmarkEnd w:id="45"/>
      <w:bookmarkEnd w:id="46"/>
      <w:r>
        <w:rPr>
          <w:rFonts w:cs="Times New Roman"/>
          <w:b/>
          <w:noProof/>
          <w:color w:val="1F497D" w:themeColor="text2"/>
          <w:sz w:val="24"/>
        </w:rPr>
        <w:t xml:space="preserve"> </w:t>
      </w:r>
    </w:p>
    <w:p w:rsidR="004C5536" w:rsidRDefault="003D3C7F">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 xml:space="preserve">The EU green public procurement policies encourage Member States to take further steps to reach the target of applying green procurement criteria to at least 50% of public </w:t>
      </w:r>
      <w:r>
        <w:rPr>
          <w:rFonts w:cs="Times New Roman"/>
          <w:noProof/>
          <w:color w:val="FFFFFF" w:themeColor="background1"/>
          <w:sz w:val="20"/>
        </w:rPr>
        <w:t>tenders.</w:t>
      </w:r>
    </w:p>
    <w:p w:rsidR="004C5536" w:rsidRDefault="003D3C7F">
      <w:pPr>
        <w:widowControl w:val="0"/>
        <w:spacing w:before="240" w:after="120" w:line="240" w:lineRule="auto"/>
        <w:jc w:val="both"/>
        <w:rPr>
          <w:rFonts w:cs="Times New Roman"/>
          <w:noProof/>
          <w:sz w:val="20"/>
        </w:rPr>
      </w:pPr>
      <w:r>
        <w:rPr>
          <w:rFonts w:cs="Times New Roman"/>
          <w:noProof/>
          <w:sz w:val="20"/>
        </w:rPr>
        <w:t>Green Public Procurement (GPP) is a process whereby public authorities seek to procure goods, services and works with a reduced environmental impact throughout their life-cycle when compared to goods, services and works with the same primary funct</w:t>
      </w:r>
      <w:r>
        <w:rPr>
          <w:rFonts w:cs="Times New Roman"/>
          <w:noProof/>
          <w:sz w:val="20"/>
        </w:rPr>
        <w:t xml:space="preserve">ion that would otherwise be procured. </w:t>
      </w:r>
    </w:p>
    <w:p w:rsidR="004C5536" w:rsidRDefault="003D3C7F">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104"/>
      </w:r>
      <w:r>
        <w:rPr>
          <w:rFonts w:cs="Times New Roman"/>
          <w:noProof/>
          <w:sz w:val="20"/>
        </w:rPr>
        <w:t>. A substantial part of this money is spent on sectors with high environmental impact such as construction or transport, so GPP can help to</w:t>
      </w:r>
      <w:r>
        <w:rPr>
          <w:rFonts w:cs="Times New Roman"/>
          <w:noProof/>
          <w:sz w:val="20"/>
        </w:rPr>
        <w:t xml:space="preserve"> significantly lower the impact of public spending and foster sustainable innovative businesses.The Commission has proposed EU GPP criteria</w:t>
      </w:r>
      <w:r>
        <w:rPr>
          <w:rFonts w:cs="Times New Roman"/>
          <w:noProof/>
          <w:sz w:val="20"/>
          <w:vertAlign w:val="superscript"/>
        </w:rPr>
        <w:footnoteReference w:id="105"/>
      </w:r>
      <w:r>
        <w:rPr>
          <w:rFonts w:cs="Times New Roman"/>
          <w:noProof/>
          <w:sz w:val="20"/>
        </w:rPr>
        <w:t>.</w:t>
      </w:r>
    </w:p>
    <w:p w:rsidR="004C5536" w:rsidRDefault="003D3C7F">
      <w:pPr>
        <w:widowControl w:val="0"/>
        <w:spacing w:after="120" w:line="240" w:lineRule="auto"/>
        <w:jc w:val="both"/>
        <w:rPr>
          <w:rFonts w:cs="Times New Roman"/>
          <w:noProof/>
          <w:sz w:val="20"/>
          <w:lang w:val="en-US"/>
        </w:rPr>
      </w:pPr>
      <w:r>
        <w:rPr>
          <w:rFonts w:cs="Times New Roman"/>
          <w:noProof/>
          <w:sz w:val="20"/>
        </w:rPr>
        <w:t>In Portugal GPP policy has been institutionalised since the introduction of the National Strategy for Green Public</w:t>
      </w:r>
      <w:r>
        <w:rPr>
          <w:rFonts w:cs="Times New Roman"/>
          <w:noProof/>
          <w:sz w:val="20"/>
        </w:rPr>
        <w:t xml:space="preserve"> Procurement 2008-2010, which was adopted by the Council of Ministers in 2007.</w:t>
      </w:r>
    </w:p>
    <w:p w:rsidR="004C5536" w:rsidRDefault="003D3C7F">
      <w:pPr>
        <w:widowControl w:val="0"/>
        <w:spacing w:after="120" w:line="240" w:lineRule="auto"/>
        <w:jc w:val="both"/>
        <w:rPr>
          <w:rFonts w:cs="Times New Roman"/>
          <w:noProof/>
          <w:sz w:val="20"/>
        </w:rPr>
      </w:pPr>
      <w:r>
        <w:rPr>
          <w:rFonts w:cs="Times New Roman"/>
          <w:noProof/>
          <w:sz w:val="20"/>
          <w:lang w:val="en-US"/>
        </w:rPr>
        <w:t>A new national strategy for GPP (ENCPE 2020) has been approved by the Portuguese Government in July 2016</w:t>
      </w:r>
      <w:r>
        <w:rPr>
          <w:rFonts w:cs="Times New Roman"/>
          <w:noProof/>
          <w:sz w:val="20"/>
          <w:vertAlign w:val="superscript"/>
          <w:lang w:val="en-US"/>
        </w:rPr>
        <w:footnoteReference w:id="106"/>
      </w:r>
      <w:r>
        <w:rPr>
          <w:rFonts w:cs="Times New Roman"/>
          <w:noProof/>
          <w:sz w:val="20"/>
          <w:lang w:val="en-US"/>
        </w:rPr>
        <w:t>. This strategy defines more precisely its scope, intending to have a br</w:t>
      </w:r>
      <w:r>
        <w:rPr>
          <w:rFonts w:cs="Times New Roman"/>
          <w:noProof/>
          <w:sz w:val="20"/>
          <w:lang w:val="en-US"/>
        </w:rPr>
        <w:t>oader and effective impact from the previous strategy, covering more acquisition procedures and thus potentiating its effect.</w:t>
      </w:r>
    </w:p>
    <w:p w:rsidR="004C5536" w:rsidRDefault="003D3C7F">
      <w:pPr>
        <w:widowControl w:val="0"/>
        <w:spacing w:after="120" w:line="240" w:lineRule="auto"/>
        <w:jc w:val="both"/>
        <w:rPr>
          <w:rFonts w:cs="Times New Roman"/>
          <w:noProof/>
          <w:sz w:val="20"/>
        </w:rPr>
      </w:pPr>
      <w:r>
        <w:rPr>
          <w:rFonts w:cs="Times New Roman"/>
          <w:noProof/>
          <w:sz w:val="20"/>
        </w:rPr>
        <w:t>GPP criteria will be progressively developed at the national level on the basis of national and European studies on GPP criteria a</w:t>
      </w:r>
      <w:r>
        <w:rPr>
          <w:rFonts w:cs="Times New Roman"/>
          <w:noProof/>
          <w:sz w:val="20"/>
        </w:rPr>
        <w:t>nd products, taking into account Portugal’s environmental objectives such as reducing greenhouse gas emissions.</w:t>
      </w:r>
    </w:p>
    <w:p w:rsidR="004C5536" w:rsidRDefault="003D3C7F">
      <w:pPr>
        <w:widowControl w:val="0"/>
        <w:spacing w:after="120" w:line="240" w:lineRule="auto"/>
        <w:jc w:val="both"/>
        <w:rPr>
          <w:rFonts w:cs="Times New Roman"/>
          <w:noProof/>
          <w:sz w:val="20"/>
        </w:rPr>
      </w:pPr>
      <w:r>
        <w:rPr>
          <w:rFonts w:cs="Times New Roman"/>
          <w:noProof/>
          <w:sz w:val="20"/>
        </w:rPr>
        <w:t xml:space="preserve">The environmental criteria for 21 priority product groups constitute the main tools for the purposes of meeting the objectives of the strategy, </w:t>
      </w:r>
      <w:r>
        <w:rPr>
          <w:rFonts w:cs="Times New Roman"/>
          <w:noProof/>
          <w:sz w:val="20"/>
        </w:rPr>
        <w:t xml:space="preserve">and include these product groups: </w:t>
      </w:r>
      <w:r>
        <w:rPr>
          <w:rFonts w:cs="Times New Roman"/>
          <w:noProof/>
          <w:sz w:val="20"/>
          <w:lang w:val="en-US"/>
        </w:rPr>
        <w:t>office buildings, electricity, imaging equipment, electrical and electronic equipment used in the health care sector, office IT equipment, indoor lighting, street lighting and traffic signals, waste water infrastructure, r</w:t>
      </w:r>
      <w:r>
        <w:rPr>
          <w:rFonts w:cs="Times New Roman"/>
          <w:noProof/>
          <w:sz w:val="20"/>
          <w:lang w:val="en-US"/>
        </w:rPr>
        <w:t>oad design, construction and maintenance, furniture, wall panels, copying and graphic paper, combined heat and power (CHP), food and catering services, gardening products and services, cleaning products and services, water-based heaters, toilets and urinal</w:t>
      </w:r>
      <w:r>
        <w:rPr>
          <w:rFonts w:cs="Times New Roman"/>
          <w:noProof/>
          <w:sz w:val="20"/>
          <w:lang w:val="en-US"/>
        </w:rPr>
        <w:t>s, textiles, sanitary tapware and transport.</w:t>
      </w:r>
    </w:p>
    <w:p w:rsidR="004C5536" w:rsidRDefault="003D3C7F">
      <w:pPr>
        <w:widowControl w:val="0"/>
        <w:spacing w:after="240" w:line="240" w:lineRule="auto"/>
        <w:jc w:val="both"/>
        <w:rPr>
          <w:rFonts w:cs="Times New Roman"/>
          <w:noProof/>
          <w:sz w:val="20"/>
        </w:rPr>
      </w:pPr>
      <w:r>
        <w:rPr>
          <w:rFonts w:cs="Times New Roman"/>
          <w:noProof/>
          <w:sz w:val="20"/>
        </w:rPr>
        <w:t>The 2020 National Strategy establishes targets applicable to the National System for Public Procurement, concerning most of the public bodies. For this group a target was set out, of integrating by 2020 environm</w:t>
      </w:r>
      <w:r>
        <w:rPr>
          <w:rFonts w:cs="Times New Roman"/>
          <w:noProof/>
          <w:sz w:val="20"/>
        </w:rPr>
        <w:t>ental criteria in 60% of contracts as well as 60% of procurement value. In addition, the same targets are also established for the state owned companies, at a level of 40%.</w:t>
      </w:r>
    </w:p>
    <w:p w:rsidR="004C5536" w:rsidRDefault="004C5536">
      <w:pPr>
        <w:widowControl w:val="0"/>
        <w:spacing w:after="240" w:line="240" w:lineRule="auto"/>
        <w:jc w:val="both"/>
        <w:rPr>
          <w:rFonts w:cs="Times New Roman"/>
          <w:noProof/>
          <w:sz w:val="20"/>
        </w:rPr>
      </w:pPr>
    </w:p>
    <w:p w:rsidR="004C5536" w:rsidRDefault="003D3C7F">
      <w:pPr>
        <w:widowControl w:val="0"/>
        <w:spacing w:after="240" w:line="240" w:lineRule="auto"/>
        <w:jc w:val="both"/>
        <w:outlineLvl w:val="1"/>
        <w:rPr>
          <w:rFonts w:cs="Times New Roman"/>
          <w:b/>
          <w:noProof/>
          <w:color w:val="1F497D" w:themeColor="text2"/>
          <w:sz w:val="24"/>
          <w:szCs w:val="24"/>
          <w:lang w:eastAsia="en-GB"/>
        </w:rPr>
      </w:pPr>
      <w:bookmarkStart w:id="48" w:name="_Toc469334767"/>
      <w:bookmarkStart w:id="49" w:name="_Toc469492764"/>
      <w:bookmarkEnd w:id="42"/>
      <w:bookmarkEnd w:id="47"/>
      <w:r>
        <w:rPr>
          <w:rFonts w:cs="Times New Roman"/>
          <w:b/>
          <w:noProof/>
          <w:color w:val="1F497D" w:themeColor="text2"/>
          <w:sz w:val="24"/>
          <w:szCs w:val="24"/>
          <w:lang w:eastAsia="en-GB"/>
        </w:rPr>
        <w:t>Investments: the contribution of EU funds</w:t>
      </w:r>
      <w:bookmarkEnd w:id="48"/>
      <w:bookmarkEnd w:id="49"/>
      <w:r>
        <w:rPr>
          <w:rFonts w:cs="Times New Roman"/>
          <w:b/>
          <w:noProof/>
          <w:color w:val="1F497D" w:themeColor="text2"/>
          <w:sz w:val="24"/>
          <w:szCs w:val="24"/>
          <w:lang w:eastAsia="en-GB"/>
        </w:rPr>
        <w:t xml:space="preserve"> </w:t>
      </w:r>
    </w:p>
    <w:p w:rsidR="004C5536" w:rsidRDefault="003D3C7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w:t>
      </w:r>
      <w:r>
        <w:rPr>
          <w:rFonts w:cs="Times New Roman"/>
          <w:noProof/>
          <w:color w:val="FFFFFF" w:themeColor="background1"/>
          <w:sz w:val="20"/>
        </w:rPr>
        <w:t xml:space="preserve">s Regulations provide that Member States promote environment and climate objectives in their funding strategies and programmes for economic, social and territorial cohesion, rural development and maritime policy, and reinforce the capacity of implementing </w:t>
      </w:r>
      <w:r>
        <w:rPr>
          <w:rFonts w:cs="Times New Roman"/>
          <w:noProof/>
          <w:color w:val="FFFFFF" w:themeColor="background1"/>
          <w:sz w:val="20"/>
        </w:rPr>
        <w:t>bodies to deliver cost-effective and sustainable investments in these areas.</w:t>
      </w:r>
    </w:p>
    <w:p w:rsidR="004C5536" w:rsidRDefault="003D3C7F">
      <w:pPr>
        <w:widowControl w:val="0"/>
        <w:suppressAutoHyphens/>
        <w:spacing w:before="240"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Making good use of the European Structural and Investment Funds (ESIF)</w:t>
      </w:r>
      <w:r>
        <w:rPr>
          <w:rStyle w:val="FootnoteReference"/>
          <w:rFonts w:ascii="Calibri" w:eastAsia="Calibri" w:hAnsi="Calibri" w:cs="Times New Roman"/>
          <w:noProof/>
          <w:sz w:val="20"/>
          <w:szCs w:val="24"/>
          <w:lang w:eastAsia="ar-SA"/>
        </w:rPr>
        <w:footnoteReference w:id="107"/>
      </w:r>
      <w:r>
        <w:rPr>
          <w:rFonts w:ascii="Calibri" w:eastAsia="Calibri" w:hAnsi="Calibri" w:cs="Times New Roman"/>
          <w:noProof/>
          <w:sz w:val="20"/>
          <w:szCs w:val="24"/>
          <w:lang w:eastAsia="ar-SA"/>
        </w:rPr>
        <w:t xml:space="preserve"> is essential to achieve the environmental goals and integrate these into other policy areas. Other instruments such as the Horizon 2020, the LIFE programme and the EFSI</w:t>
      </w:r>
      <w:r>
        <w:rPr>
          <w:rStyle w:val="FootnoteReference"/>
          <w:rFonts w:ascii="Calibri" w:eastAsia="Calibri" w:hAnsi="Calibri" w:cs="Times New Roman"/>
          <w:noProof/>
          <w:sz w:val="20"/>
          <w:szCs w:val="24"/>
          <w:lang w:eastAsia="ar-SA"/>
        </w:rPr>
        <w:footnoteReference w:id="108"/>
      </w:r>
      <w:r>
        <w:rPr>
          <w:rFonts w:ascii="Calibri" w:eastAsia="Calibri" w:hAnsi="Calibri" w:cs="Times New Roman"/>
          <w:noProof/>
          <w:sz w:val="20"/>
          <w:szCs w:val="24"/>
          <w:lang w:eastAsia="ar-SA"/>
        </w:rPr>
        <w:t xml:space="preserve"> may also support implementation and spread of best practice.</w:t>
      </w:r>
    </w:p>
    <w:p w:rsidR="004C5536" w:rsidRDefault="003D3C7F">
      <w:pPr>
        <w:widowControl w:val="0"/>
        <w:spacing w:after="120" w:line="240" w:lineRule="auto"/>
        <w:jc w:val="both"/>
        <w:rPr>
          <w:rFonts w:cs="Times New Roman"/>
          <w:noProof/>
          <w:sz w:val="20"/>
        </w:rPr>
      </w:pPr>
      <w:r>
        <w:rPr>
          <w:rFonts w:cs="Times New Roman"/>
          <w:noProof/>
          <w:sz w:val="20"/>
        </w:rPr>
        <w:t>Portugal is traditionall</w:t>
      </w:r>
      <w:r>
        <w:rPr>
          <w:rFonts w:cs="Times New Roman"/>
          <w:noProof/>
          <w:sz w:val="20"/>
        </w:rPr>
        <w:t>y an important beneficiary of the EU Cohesion Policy.</w:t>
      </w:r>
    </w:p>
    <w:p w:rsidR="004C5536" w:rsidRDefault="003D3C7F">
      <w:pPr>
        <w:widowControl w:val="0"/>
        <w:spacing w:after="120" w:line="240" w:lineRule="auto"/>
        <w:jc w:val="both"/>
        <w:rPr>
          <w:rFonts w:cs="Times New Roman"/>
          <w:noProof/>
          <w:sz w:val="20"/>
        </w:rPr>
      </w:pPr>
      <w:r>
        <w:rPr>
          <w:rFonts w:cs="Times New Roman"/>
          <w:noProof/>
          <w:sz w:val="20"/>
        </w:rPr>
        <w:t>Current data suggest that the EU funds for the 2007-2013 period were almost fully spent</w:t>
      </w:r>
      <w:r>
        <w:rPr>
          <w:rFonts w:cs="Times New Roman"/>
          <w:noProof/>
          <w:sz w:val="20"/>
          <w:vertAlign w:val="superscript"/>
        </w:rPr>
        <w:footnoteReference w:id="109"/>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For the 2014-2020 programming period Portugal will also receive an important contribution from the 5 ESI Funds (</w:t>
      </w:r>
      <w:r>
        <w:rPr>
          <w:rFonts w:cs="Times New Roman"/>
          <w:noProof/>
          <w:sz w:val="20"/>
        </w:rPr>
        <w:t>see Figure 12, current prices):</w:t>
      </w:r>
    </w:p>
    <w:p w:rsidR="004C5536" w:rsidRDefault="003D3C7F">
      <w:pPr>
        <w:pStyle w:val="ListParagraph"/>
        <w:widowControl w:val="0"/>
        <w:numPr>
          <w:ilvl w:val="0"/>
          <w:numId w:val="36"/>
        </w:numPr>
        <w:rPr>
          <w:noProof/>
        </w:rPr>
      </w:pPr>
      <w:r>
        <w:rPr>
          <w:noProof/>
        </w:rPr>
        <w:t>From the ERDF: EUR 10 773 million.</w:t>
      </w:r>
    </w:p>
    <w:p w:rsidR="004C5536" w:rsidRDefault="003D3C7F">
      <w:pPr>
        <w:pStyle w:val="ListParagraph"/>
        <w:widowControl w:val="0"/>
        <w:numPr>
          <w:ilvl w:val="0"/>
          <w:numId w:val="36"/>
        </w:numPr>
        <w:rPr>
          <w:noProof/>
        </w:rPr>
      </w:pPr>
      <w:r>
        <w:rPr>
          <w:noProof/>
        </w:rPr>
        <w:t>From the Cohesion Fund: EUR 2 862 million.</w:t>
      </w:r>
    </w:p>
    <w:p w:rsidR="004C5536" w:rsidRDefault="003D3C7F">
      <w:pPr>
        <w:pStyle w:val="ListParagraph"/>
        <w:widowControl w:val="0"/>
        <w:numPr>
          <w:ilvl w:val="0"/>
          <w:numId w:val="36"/>
        </w:numPr>
        <w:rPr>
          <w:noProof/>
        </w:rPr>
      </w:pPr>
      <w:r>
        <w:rPr>
          <w:noProof/>
        </w:rPr>
        <w:t>From the ESF: EUR 7 546 million.</w:t>
      </w:r>
    </w:p>
    <w:p w:rsidR="004C5536" w:rsidRDefault="003D3C7F">
      <w:pPr>
        <w:pStyle w:val="ListParagraph"/>
        <w:widowControl w:val="0"/>
        <w:numPr>
          <w:ilvl w:val="0"/>
          <w:numId w:val="36"/>
        </w:numPr>
        <w:rPr>
          <w:noProof/>
        </w:rPr>
      </w:pPr>
      <w:r>
        <w:rPr>
          <w:noProof/>
        </w:rPr>
        <w:t>From the EARDF: EUR 4 058 million.</w:t>
      </w:r>
    </w:p>
    <w:p w:rsidR="004C5536" w:rsidRDefault="003D3C7F">
      <w:pPr>
        <w:pStyle w:val="ListParagraph"/>
        <w:widowControl w:val="0"/>
        <w:numPr>
          <w:ilvl w:val="0"/>
          <w:numId w:val="36"/>
        </w:numPr>
        <w:rPr>
          <w:noProof/>
        </w:rPr>
      </w:pPr>
      <w:r>
        <w:rPr>
          <w:noProof/>
        </w:rPr>
        <w:t>From the EMFF: EUR 392 million.</w:t>
      </w:r>
    </w:p>
    <w:p w:rsidR="004C5536" w:rsidRDefault="003D3C7F">
      <w:pPr>
        <w:widowControl w:val="0"/>
        <w:spacing w:before="120" w:after="120" w:line="240" w:lineRule="auto"/>
        <w:jc w:val="both"/>
        <w:rPr>
          <w:rFonts w:cs="Times New Roman"/>
          <w:noProof/>
          <w:sz w:val="20"/>
        </w:rPr>
      </w:pPr>
      <w:r>
        <w:rPr>
          <w:rFonts w:cs="Times New Roman"/>
          <w:noProof/>
          <w:sz w:val="20"/>
        </w:rPr>
        <w:t xml:space="preserve">The support of the EU funding has </w:t>
      </w:r>
      <w:r>
        <w:rPr>
          <w:rFonts w:cs="Times New Roman"/>
          <w:noProof/>
          <w:sz w:val="20"/>
        </w:rPr>
        <w:t>significantly contributed to improve the implementation of the EU environmental law and policy and Portugal.</w:t>
      </w:r>
    </w:p>
    <w:p w:rsidR="004C5536" w:rsidRDefault="003D3C7F">
      <w:pPr>
        <w:widowControl w:val="0"/>
        <w:spacing w:after="120" w:line="240" w:lineRule="auto"/>
        <w:jc w:val="both"/>
        <w:rPr>
          <w:rFonts w:cs="Times New Roman"/>
          <w:noProof/>
          <w:sz w:val="20"/>
        </w:rPr>
      </w:pPr>
      <w:r>
        <w:rPr>
          <w:rFonts w:cs="Times New Roman"/>
          <w:noProof/>
          <w:sz w:val="20"/>
        </w:rPr>
        <w:t>The environmental investments have a similar weight within the EU Cohesion Policy in the current programming period compared to the previous one.</w:t>
      </w:r>
    </w:p>
    <w:p w:rsidR="004C5536" w:rsidRDefault="003D3C7F">
      <w:pPr>
        <w:widowControl w:val="0"/>
        <w:spacing w:after="240" w:line="240" w:lineRule="auto"/>
        <w:jc w:val="both"/>
        <w:rPr>
          <w:rFonts w:cs="Times New Roman"/>
          <w:noProof/>
          <w:sz w:val="20"/>
        </w:rPr>
      </w:pPr>
      <w:r>
        <w:rPr>
          <w:rFonts w:cs="Times New Roman"/>
          <w:noProof/>
          <w:sz w:val="20"/>
        </w:rPr>
        <w:t>T</w:t>
      </w:r>
      <w:r>
        <w:rPr>
          <w:rFonts w:cs="Times New Roman"/>
          <w:noProof/>
          <w:sz w:val="20"/>
        </w:rPr>
        <w:t>here is a national OP dedicated to environment: "Sustainability and Efficiency in the Use of Resources" (POSEUR), amounting to EUR 2.6 billion</w:t>
      </w:r>
      <w:r>
        <w:rPr>
          <w:rFonts w:cs="Times New Roman"/>
          <w:noProof/>
          <w:sz w:val="20"/>
          <w:vertAlign w:val="superscript"/>
        </w:rPr>
        <w:footnoteReference w:id="110"/>
      </w:r>
      <w:r>
        <w:rPr>
          <w:rFonts w:cs="Times New Roman"/>
          <w:noProof/>
          <w:sz w:val="20"/>
        </w:rPr>
        <w:t xml:space="preserve"> and concentrating environmental investments through the Cohesion Fund in Portugal. This OP aims to anticipate an</w:t>
      </w:r>
      <w:r>
        <w:rPr>
          <w:rFonts w:cs="Times New Roman"/>
          <w:noProof/>
          <w:sz w:val="20"/>
        </w:rPr>
        <w:t>d adapt to the global changes in the field of energy, climate change and more efficient use of resources along a dynamic perspective that links competitiveness to sustainability, in accordance with the Europe 2020 strategy.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rPr>
          <w:trHeight w:val="541"/>
        </w:trPr>
        <w:tc>
          <w:tcPr>
            <w:tcW w:w="4909" w:type="dxa"/>
          </w:tcPr>
          <w:p w:rsidR="004C5536" w:rsidRDefault="003D3C7F">
            <w:pPr>
              <w:spacing w:after="240"/>
              <w:jc w:val="both"/>
              <w:rPr>
                <w:rFonts w:cs="Times New Roman"/>
                <w:noProof/>
                <w:sz w:val="20"/>
              </w:rPr>
            </w:pPr>
            <w:r>
              <w:rPr>
                <w:rFonts w:cs="Times New Roman"/>
                <w:b/>
                <w:bCs/>
                <w:noProof/>
                <w:color w:val="1F497D" w:themeColor="text2"/>
                <w:sz w:val="20"/>
              </w:rPr>
              <w:t>Figure 12: European Structural a</w:t>
            </w:r>
            <w:r>
              <w:rPr>
                <w:rFonts w:cs="Times New Roman"/>
                <w:b/>
                <w:bCs/>
                <w:noProof/>
                <w:color w:val="1F497D" w:themeColor="text2"/>
                <w:sz w:val="20"/>
              </w:rPr>
              <w:t>nd Investment Funds 2014-2020: Budget Portugal by theme, EUR billion</w:t>
            </w:r>
            <w:r>
              <w:rPr>
                <w:rFonts w:cs="Times New Roman"/>
                <w:noProof/>
                <w:sz w:val="20"/>
                <w:vertAlign w:val="superscript"/>
              </w:rPr>
              <w:footnoteReference w:id="111"/>
            </w:r>
          </w:p>
        </w:tc>
      </w:tr>
      <w:tr w:rsidR="004C5536">
        <w:trPr>
          <w:trHeight w:val="558"/>
        </w:trPr>
        <w:tc>
          <w:tcPr>
            <w:tcW w:w="4909" w:type="dxa"/>
          </w:tcPr>
          <w:p w:rsidR="004C5536" w:rsidRDefault="003D3C7F">
            <w:pPr>
              <w:spacing w:after="120"/>
              <w:jc w:val="both"/>
              <w:rPr>
                <w:rFonts w:cs="Times New Roman"/>
                <w:noProof/>
                <w:sz w:val="20"/>
              </w:rPr>
            </w:pPr>
            <w:r>
              <w:rPr>
                <w:rFonts w:cs="Times New Roman"/>
                <w:noProof/>
                <w:sz w:val="20"/>
                <w:lang w:eastAsia="en-GB"/>
              </w:rPr>
              <w:drawing>
                <wp:inline distT="0" distB="0" distL="0" distR="0" wp14:anchorId="25A39E49" wp14:editId="10FC14B7">
                  <wp:extent cx="3100130" cy="3967701"/>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100130" cy="3967701"/>
                          </a:xfrm>
                          <a:prstGeom prst="rect">
                            <a:avLst/>
                          </a:prstGeom>
                        </pic:spPr>
                      </pic:pic>
                    </a:graphicData>
                  </a:graphic>
                </wp:inline>
              </w:drawing>
            </w:r>
          </w:p>
        </w:tc>
      </w:tr>
    </w:tbl>
    <w:p w:rsidR="004C5536" w:rsidRDefault="003D3C7F">
      <w:pPr>
        <w:widowControl w:val="0"/>
        <w:spacing w:before="360" w:after="120" w:line="240" w:lineRule="auto"/>
        <w:jc w:val="both"/>
        <w:rPr>
          <w:rFonts w:cs="Times New Roman"/>
          <w:noProof/>
          <w:sz w:val="20"/>
        </w:rPr>
      </w:pPr>
      <w:r>
        <w:rPr>
          <w:rFonts w:cs="Times New Roman"/>
          <w:noProof/>
          <w:sz w:val="20"/>
        </w:rPr>
        <w:t xml:space="preserve">There are also two other national OPs on "Competitiveness and Internationalisation" and on "Technical Assistance". Moreover, there are seven regional OPs, which in this period are </w:t>
      </w:r>
      <w:r>
        <w:rPr>
          <w:rFonts w:cs="Times New Roman"/>
          <w:noProof/>
          <w:sz w:val="20"/>
        </w:rPr>
        <w:t>multi-funding, covering both ERDF and ESF, where environmental actions are also envisaged.</w:t>
      </w:r>
    </w:p>
    <w:p w:rsidR="004C5536" w:rsidRDefault="003D3C7F">
      <w:pPr>
        <w:widowControl w:val="0"/>
        <w:spacing w:after="120" w:line="240" w:lineRule="auto"/>
        <w:jc w:val="both"/>
        <w:rPr>
          <w:rFonts w:eastAsia="Calibri" w:cs="Times New Roman"/>
          <w:noProof/>
          <w:sz w:val="20"/>
        </w:rPr>
      </w:pPr>
      <w:r>
        <w:rPr>
          <w:rFonts w:eastAsia="Calibri" w:cs="Times New Roman"/>
          <w:noProof/>
          <w:sz w:val="20"/>
        </w:rPr>
        <w:t>Moreover, it should be highlighted the various territorial cooperation ERDF OPs (transnational and cross-border cooperation) with the participation of Portugal where</w:t>
      </w:r>
      <w:r>
        <w:rPr>
          <w:rFonts w:eastAsia="Calibri" w:cs="Times New Roman"/>
          <w:noProof/>
          <w:sz w:val="20"/>
        </w:rPr>
        <w:t xml:space="preserve"> the environmental investments have a considerable weight.</w:t>
      </w:r>
    </w:p>
    <w:p w:rsidR="004C5536" w:rsidRDefault="003D3C7F">
      <w:pPr>
        <w:widowControl w:val="0"/>
        <w:spacing w:before="120" w:after="120" w:line="240" w:lineRule="auto"/>
        <w:jc w:val="both"/>
        <w:rPr>
          <w:rFonts w:cs="Times New Roman"/>
          <w:noProof/>
          <w:sz w:val="20"/>
        </w:rPr>
      </w:pPr>
      <w:r>
        <w:rPr>
          <w:rFonts w:cs="Times New Roman"/>
          <w:noProof/>
          <w:sz w:val="20"/>
        </w:rPr>
        <w:t>In terms of environmental sectors, the main priorities in Portugal for ERDF 2014-2020 are: water (EUR 628 million), adaptation to climate change (EUR 415 million), waste (EUR 313 million), and reha</w:t>
      </w:r>
      <w:r>
        <w:rPr>
          <w:rFonts w:cs="Times New Roman"/>
          <w:noProof/>
          <w:sz w:val="20"/>
        </w:rPr>
        <w:t>bilitation of industrial sites and contaminated land (EUR 152 million).</w:t>
      </w:r>
    </w:p>
    <w:p w:rsidR="004C5536" w:rsidRDefault="003D3C7F">
      <w:pPr>
        <w:widowControl w:val="0"/>
        <w:spacing w:after="360" w:line="240" w:lineRule="auto"/>
        <w:jc w:val="both"/>
        <w:rPr>
          <w:rFonts w:cs="Times New Roman"/>
          <w:noProof/>
          <w:sz w:val="20"/>
        </w:rPr>
      </w:pPr>
      <w:r>
        <w:rPr>
          <w:rFonts w:cs="Times New Roman"/>
          <w:noProof/>
          <w:sz w:val="20"/>
        </w:rPr>
        <w:t>The environmental integration has been ensured in the Partnership Agreement 2014-2020 and the different Operational Programmes for the five ESIF through the application of the Strategi</w:t>
      </w:r>
      <w:r>
        <w:rPr>
          <w:rFonts w:cs="Times New Roman"/>
          <w:noProof/>
          <w:sz w:val="20"/>
        </w:rPr>
        <w:t>c Environmental Assessment (SEA) Directive and by other means.</w:t>
      </w:r>
    </w:p>
    <w:p w:rsidR="004C5536" w:rsidRDefault="003D3C7F">
      <w:pPr>
        <w:widowControl w:val="0"/>
        <w:spacing w:after="120" w:line="240" w:lineRule="auto"/>
        <w:jc w:val="both"/>
        <w:rPr>
          <w:rFonts w:cs="Times New Roman"/>
          <w:noProof/>
          <w:sz w:val="20"/>
        </w:rPr>
      </w:pPr>
      <w:r>
        <w:rPr>
          <w:rFonts w:cs="Times New Roman"/>
          <w:noProof/>
          <w:sz w:val="20"/>
        </w:rPr>
        <w:t>The two thematic environmental ex ante conditionalities (EAC) on Water and Waste were only partially fulfilled by Portugal at the moment of adoption of the Partnership Agreement 2014-2020 and t</w:t>
      </w:r>
      <w:r>
        <w:rPr>
          <w:rFonts w:cs="Times New Roman"/>
          <w:noProof/>
          <w:sz w:val="20"/>
        </w:rPr>
        <w:t>herefore Action Plans were agreed with the Portuguese authorities in order to comply with all the criteria by end-2016</w:t>
      </w:r>
      <w:r>
        <w:rPr>
          <w:rFonts w:cs="Times New Roman"/>
          <w:noProof/>
          <w:sz w:val="20"/>
          <w:vertAlign w:val="superscript"/>
        </w:rPr>
        <w:footnoteReference w:id="112"/>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 xml:space="preserve">The general environmental EAC on EIA/SEA (looking into the legal framework and the effective arrangements to comply with the </w:t>
      </w:r>
      <w:r>
        <w:rPr>
          <w:rFonts w:cs="Times New Roman"/>
          <w:noProof/>
          <w:sz w:val="20"/>
        </w:rPr>
        <w:t>environmental impact assessment rules) was considered as fulfilled by Portugal.</w:t>
      </w:r>
    </w:p>
    <w:p w:rsidR="004C5536" w:rsidRDefault="003D3C7F">
      <w:pPr>
        <w:widowControl w:val="0"/>
        <w:spacing w:after="120" w:line="240" w:lineRule="auto"/>
        <w:jc w:val="both"/>
        <w:rPr>
          <w:rFonts w:cs="Times New Roman"/>
          <w:noProof/>
          <w:sz w:val="20"/>
        </w:rPr>
      </w:pPr>
      <w:r>
        <w:rPr>
          <w:rFonts w:cs="Times New Roman"/>
          <w:noProof/>
          <w:sz w:val="20"/>
        </w:rPr>
        <w:t>Portugal should take advantage of the ESIF available for the programming period 2014-2020 in order to improve the compliance with the EU environmental law and policy, as well a</w:t>
      </w:r>
      <w:r>
        <w:rPr>
          <w:rFonts w:cs="Times New Roman"/>
          <w:noProof/>
          <w:sz w:val="20"/>
        </w:rPr>
        <w:t>s to use the potential of the green economy for competitiveness and job creation.</w:t>
      </w:r>
    </w:p>
    <w:p w:rsidR="004C5536" w:rsidRDefault="003D3C7F">
      <w:pPr>
        <w:widowControl w:val="0"/>
        <w:spacing w:after="120" w:line="240" w:lineRule="auto"/>
        <w:jc w:val="both"/>
        <w:rPr>
          <w:rFonts w:cs="Times New Roman"/>
          <w:noProof/>
          <w:sz w:val="20"/>
        </w:rPr>
      </w:pPr>
      <w:r>
        <w:rPr>
          <w:rFonts w:cs="Times New Roman"/>
          <w:noProof/>
          <w:sz w:val="20"/>
        </w:rPr>
        <w:t>It is too early to draw conclusions as regards the use and results of ESIF for the period 2014-2020, as the relevant programmes are still in an early stage of their implement</w:t>
      </w:r>
      <w:r>
        <w:rPr>
          <w:rFonts w:cs="Times New Roman"/>
          <w:noProof/>
          <w:sz w:val="20"/>
        </w:rPr>
        <w:t>ation.</w:t>
      </w:r>
    </w:p>
    <w:p w:rsidR="004C5536" w:rsidRDefault="003D3C7F">
      <w:pPr>
        <w:spacing w:after="120" w:line="240" w:lineRule="auto"/>
        <w:jc w:val="both"/>
        <w:rPr>
          <w:rFonts w:cs="Times New Roman"/>
          <w:noProof/>
          <w:sz w:val="20"/>
          <w:szCs w:val="20"/>
        </w:rPr>
      </w:pPr>
      <w:r>
        <w:rPr>
          <w:rFonts w:cs="Times New Roman"/>
          <w:noProof/>
          <w:sz w:val="20"/>
          <w:szCs w:val="20"/>
        </w:rPr>
        <w:t>With regard to the integration of environmental concerns into the Common Agricultural Policy (CAP), the two key areas are, first, using Rural Development funds to pay for environmental land management and other environmental measures, while avoiding</w:t>
      </w:r>
      <w:r>
        <w:rPr>
          <w:rFonts w:cs="Times New Roman"/>
          <w:noProof/>
          <w:sz w:val="20"/>
          <w:szCs w:val="20"/>
        </w:rPr>
        <w:t xml:space="preserve"> financing measures which could damage the environment; and second, to, ensuring an effective implementation of the first pillar of the CAP with regard to cross compliance and 1st pillar 'greening'. 30 % of direct payment envelope is allocated to greening </w:t>
      </w:r>
      <w:r>
        <w:rPr>
          <w:rFonts w:cs="Times New Roman"/>
          <w:noProof/>
          <w:sz w:val="20"/>
          <w:szCs w:val="20"/>
        </w:rPr>
        <w:t>practices beneficial for the environment. An environmentally ambitious implementation of 1st pillar greening would clearly help to improve the environmental situation in areas not covered by rural development, including intensive area.</w:t>
      </w:r>
    </w:p>
    <w:p w:rsidR="004C5536" w:rsidRDefault="003D3C7F">
      <w:pPr>
        <w:spacing w:after="120" w:line="240" w:lineRule="auto"/>
        <w:jc w:val="both"/>
        <w:rPr>
          <w:rFonts w:cs="Times New Roman"/>
          <w:noProof/>
          <w:sz w:val="20"/>
          <w:szCs w:val="20"/>
        </w:rPr>
      </w:pPr>
      <w:r>
        <w:rPr>
          <w:rFonts w:cs="Times New Roman"/>
          <w:noProof/>
          <w:sz w:val="20"/>
          <w:szCs w:val="20"/>
        </w:rPr>
        <w:t>For the Rural Develo</w:t>
      </w:r>
      <w:r>
        <w:rPr>
          <w:rFonts w:cs="Times New Roman"/>
          <w:noProof/>
          <w:sz w:val="20"/>
          <w:szCs w:val="20"/>
        </w:rPr>
        <w:t>pment Programme of Mainland Portugal, the total EAFRD budget is some EUR 3584 million, with around 11.7% of budget allocated to the agri-environment-climate measure, much less than for the less environmentally focused Natural Constraints measure (20%). Nat</w:t>
      </w:r>
      <w:r>
        <w:rPr>
          <w:rFonts w:cs="Times New Roman"/>
          <w:noProof/>
          <w:sz w:val="20"/>
          <w:szCs w:val="20"/>
        </w:rPr>
        <w:t>ura 2000 land areas management relies largely on traditional and low intensive management either in agriculture, grazing or forestry, the comprehensive application of sound, effective and targeted support to specific farming and forestry practices is requi</w:t>
      </w:r>
      <w:r>
        <w:rPr>
          <w:rFonts w:cs="Times New Roman"/>
          <w:noProof/>
          <w:sz w:val="20"/>
          <w:szCs w:val="20"/>
        </w:rPr>
        <w:t>red and there is a potential risk to nature and biodiversity from afforestation, and from the large budgetary allocation for farm investments. Therefore this programme could be much better targeted on the environment.</w:t>
      </w:r>
    </w:p>
    <w:p w:rsidR="004C5536" w:rsidRDefault="003D3C7F">
      <w:pPr>
        <w:spacing w:after="120" w:line="240" w:lineRule="auto"/>
        <w:jc w:val="both"/>
        <w:rPr>
          <w:rFonts w:cs="Times New Roman"/>
          <w:noProof/>
          <w:sz w:val="20"/>
          <w:szCs w:val="20"/>
        </w:rPr>
      </w:pPr>
      <w:r>
        <w:rPr>
          <w:rFonts w:cs="Times New Roman"/>
          <w:noProof/>
          <w:sz w:val="20"/>
          <w:szCs w:val="20"/>
        </w:rPr>
        <w:t>For the Rural Development Programme of</w:t>
      </w:r>
      <w:r>
        <w:rPr>
          <w:rFonts w:cs="Times New Roman"/>
          <w:noProof/>
          <w:sz w:val="20"/>
          <w:szCs w:val="20"/>
        </w:rPr>
        <w:t xml:space="preserve"> Madeira, the total EAFRD budget is EUR 180 million of which only 4.8% is allocated to the agri-environment-climate measure. Very low uptake for this measure on small farms was a problem from the past which does not appear to have been overcome; and proble</w:t>
      </w:r>
      <w:r>
        <w:rPr>
          <w:rFonts w:cs="Times New Roman"/>
          <w:noProof/>
          <w:sz w:val="20"/>
          <w:szCs w:val="20"/>
        </w:rPr>
        <w:t>ms with pesticides appear to remain. Afforestation using non-native species may be also a cause for environmental concern.</w:t>
      </w:r>
    </w:p>
    <w:p w:rsidR="004C5536" w:rsidRDefault="003D3C7F">
      <w:pPr>
        <w:spacing w:after="120" w:line="240" w:lineRule="auto"/>
        <w:jc w:val="both"/>
        <w:rPr>
          <w:rFonts w:cs="Times New Roman"/>
          <w:noProof/>
          <w:sz w:val="20"/>
          <w:szCs w:val="20"/>
        </w:rPr>
      </w:pPr>
      <w:r>
        <w:rPr>
          <w:rFonts w:cs="Times New Roman"/>
          <w:noProof/>
          <w:sz w:val="20"/>
          <w:szCs w:val="20"/>
        </w:rPr>
        <w:t>As to the Rural Development Program of Azores, its EARDF part, amounts to around EUR 295 million, out of which agri-environmental-cli</w:t>
      </w:r>
      <w:r>
        <w:rPr>
          <w:rFonts w:cs="Times New Roman"/>
          <w:noProof/>
          <w:sz w:val="20"/>
          <w:szCs w:val="20"/>
        </w:rPr>
        <w:t>mate measures represent 19.6%. Though having a higher proportion in the EARDF than for the rest of Portugal, the problems of invasive species are still of concern with prevalence of large areas of invasive flora in Natura 2000 areas putting pressure in the</w:t>
      </w:r>
      <w:r>
        <w:rPr>
          <w:rFonts w:cs="Times New Roman"/>
          <w:noProof/>
          <w:sz w:val="20"/>
          <w:szCs w:val="20"/>
        </w:rPr>
        <w:t>ir conservation objectives to achieve the favourable conservation status of protected species and habitats. Yet, the support under the main forestry measure aims at supporting well established industries of Cryptomeria and Eucalyptus species and other non-</w:t>
      </w:r>
      <w:r>
        <w:rPr>
          <w:rFonts w:cs="Times New Roman"/>
          <w:noProof/>
          <w:sz w:val="20"/>
          <w:szCs w:val="20"/>
        </w:rPr>
        <w:t>native species (Sequioadendron, Sequoia etc). Contribution of RDP towards environmental objectives is non-targeted, non-ambitious, very limited and does not follow the intervention logic based on threats and weaknesses in environmental sphere. The forestry</w:t>
      </w:r>
      <w:r>
        <w:rPr>
          <w:rFonts w:cs="Times New Roman"/>
          <w:noProof/>
          <w:sz w:val="20"/>
          <w:szCs w:val="20"/>
        </w:rPr>
        <w:t xml:space="preserve"> measure might represent, based on its implementation, environmentally harmful investments.</w:t>
      </w:r>
    </w:p>
    <w:p w:rsidR="004C5536" w:rsidRDefault="003D3C7F">
      <w:pPr>
        <w:spacing w:after="240" w:line="240" w:lineRule="auto"/>
        <w:jc w:val="both"/>
        <w:rPr>
          <w:rFonts w:cs="Times New Roman"/>
          <w:bCs/>
          <w:noProof/>
          <w:sz w:val="20"/>
          <w:szCs w:val="20"/>
        </w:rPr>
      </w:pPr>
      <w:r>
        <w:rPr>
          <w:rFonts w:cs="Times New Roman"/>
          <w:bCs/>
          <w:noProof/>
          <w:sz w:val="20"/>
          <w:szCs w:val="20"/>
        </w:rPr>
        <w:t>Portugal also benefits from the EU LIFE Programme, with numerous and interesting projects. It should be noted that Portugal has currently a LIFE capacity building p</w:t>
      </w:r>
      <w:r>
        <w:rPr>
          <w:rFonts w:cs="Times New Roman"/>
          <w:bCs/>
          <w:noProof/>
          <w:sz w:val="20"/>
          <w:szCs w:val="20"/>
        </w:rPr>
        <w:t>roject aiming to improve the overall Portuguese capacity for participation and use of the LIFE Programme, by increasing the number and quality of projects that are yearly presented to the Calls for Proposals.</w:t>
      </w:r>
    </w:p>
    <w:p w:rsidR="004C5536" w:rsidRDefault="004C5536">
      <w:pPr>
        <w:spacing w:after="120" w:line="240" w:lineRule="auto"/>
        <w:jc w:val="both"/>
        <w:rPr>
          <w:rFonts w:cs="Times New Roman"/>
          <w:noProof/>
          <w:sz w:val="20"/>
        </w:rPr>
      </w:pPr>
    </w:p>
    <w:p w:rsidR="004C5536" w:rsidRDefault="004C5536">
      <w:pPr>
        <w:spacing w:after="120" w:line="240" w:lineRule="auto"/>
        <w:jc w:val="both"/>
        <w:rPr>
          <w:rFonts w:cs="Times New Roman"/>
          <w:noProof/>
          <w:sz w:val="20"/>
        </w:rPr>
      </w:pPr>
    </w:p>
    <w:p w:rsidR="004C5536" w:rsidRDefault="004C5536">
      <w:pPr>
        <w:spacing w:after="120" w:line="240" w:lineRule="auto"/>
        <w:jc w:val="both"/>
        <w:rPr>
          <w:rFonts w:cs="Times New Roman"/>
          <w:noProof/>
          <w:sz w:val="20"/>
        </w:rPr>
      </w:pPr>
    </w:p>
    <w:p w:rsidR="004C5536" w:rsidRDefault="004C5536">
      <w:pPr>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4C5536">
      <w:pPr>
        <w:widowControl w:val="0"/>
        <w:spacing w:after="120" w:line="240" w:lineRule="auto"/>
        <w:jc w:val="both"/>
        <w:rPr>
          <w:rFonts w:cs="Times New Roman"/>
          <w:noProof/>
          <w:sz w:val="20"/>
        </w:rPr>
      </w:pPr>
    </w:p>
    <w:p w:rsidR="004C5536" w:rsidRDefault="003D3C7F">
      <w:pPr>
        <w:widowControl w:val="0"/>
        <w:rPr>
          <w:rFonts w:cs="Times New Roman"/>
          <w:noProof/>
          <w:sz w:val="20"/>
        </w:rPr>
      </w:pPr>
      <w:r>
        <w:rPr>
          <w:rFonts w:cs="Times New Roman"/>
          <w:noProof/>
          <w:sz w:val="20"/>
        </w:rPr>
        <w:br w:type="page"/>
      </w:r>
    </w:p>
    <w:p w:rsidR="004C5536" w:rsidRDefault="004C5536">
      <w:pPr>
        <w:widowControl w:val="0"/>
        <w:spacing w:after="120"/>
        <w:rPr>
          <w:rFonts w:cs="Times New Roman"/>
          <w:noProof/>
          <w:sz w:val="20"/>
        </w:rPr>
        <w:sectPr w:rsidR="004C5536">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1440" w:right="1080" w:bottom="1440" w:left="1080" w:header="708" w:footer="708" w:gutter="0"/>
          <w:cols w:num="2" w:space="360"/>
          <w:docGrid w:linePitch="360"/>
        </w:sectPr>
      </w:pPr>
    </w:p>
    <w:p w:rsidR="004C5536" w:rsidRDefault="003D3C7F">
      <w:pPr>
        <w:keepLines/>
        <w:widowControl w:val="0"/>
        <w:numPr>
          <w:ilvl w:val="0"/>
          <w:numId w:val="24"/>
        </w:numPr>
        <w:spacing w:after="0" w:line="240" w:lineRule="auto"/>
        <w:jc w:val="center"/>
        <w:outlineLvl w:val="0"/>
        <w:rPr>
          <w:rFonts w:eastAsiaTheme="majorEastAsia" w:cstheme="majorBidi"/>
          <w:b/>
          <w:bCs/>
          <w:noProof/>
          <w:color w:val="1F497D" w:themeColor="text2"/>
          <w:sz w:val="32"/>
          <w:szCs w:val="28"/>
        </w:rPr>
      </w:pPr>
      <w:bookmarkStart w:id="50" w:name="_Toc469492765"/>
      <w:r>
        <w:rPr>
          <w:rFonts w:eastAsiaTheme="majorEastAsia" w:cstheme="majorBidi"/>
          <w:b/>
          <w:bCs/>
          <w:noProof/>
          <w:color w:val="1F497D" w:themeColor="text2"/>
          <w:sz w:val="32"/>
          <w:szCs w:val="28"/>
        </w:rPr>
        <w:t>Effective governance and knowledge</w:t>
      </w:r>
      <w:bookmarkEnd w:id="50"/>
    </w:p>
    <w:p w:rsidR="004C5536" w:rsidRDefault="004C5536">
      <w:pPr>
        <w:widowControl w:val="0"/>
        <w:rPr>
          <w:rFonts w:cs="Times New Roman"/>
          <w:noProof/>
          <w:sz w:val="20"/>
        </w:rPr>
      </w:pPr>
    </w:p>
    <w:p w:rsidR="004C5536" w:rsidRDefault="004C5536">
      <w:pPr>
        <w:keepLines/>
        <w:widowControl w:val="0"/>
        <w:numPr>
          <w:ilvl w:val="0"/>
          <w:numId w:val="24"/>
        </w:numPr>
        <w:spacing w:after="0" w:line="240" w:lineRule="auto"/>
        <w:jc w:val="center"/>
        <w:outlineLvl w:val="0"/>
        <w:rPr>
          <w:rFonts w:eastAsiaTheme="majorEastAsia" w:cstheme="majorBidi"/>
          <w:b/>
          <w:bCs/>
          <w:noProof/>
          <w:color w:val="1F497D" w:themeColor="text2"/>
          <w:sz w:val="32"/>
          <w:szCs w:val="28"/>
        </w:rPr>
        <w:sectPr w:rsidR="004C5536">
          <w:headerReference w:type="even" r:id="rId117"/>
          <w:headerReference w:type="default" r:id="rId118"/>
          <w:footerReference w:type="even" r:id="rId119"/>
          <w:footerReference w:type="default" r:id="rId120"/>
          <w:headerReference w:type="first" r:id="rId121"/>
          <w:footerReference w:type="first" r:id="rId122"/>
          <w:type w:val="continuous"/>
          <w:pgSz w:w="11906" w:h="16838"/>
          <w:pgMar w:top="1440" w:right="1080" w:bottom="1440" w:left="1080" w:header="708" w:footer="708" w:gutter="0"/>
          <w:cols w:space="360"/>
          <w:docGrid w:linePitch="360"/>
        </w:sectPr>
      </w:pPr>
    </w:p>
    <w:p w:rsidR="004C5536" w:rsidRDefault="003D3C7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16 aims at providing access to justice and building effective, accountable and inclusive institutions at all levels. SDG 17 aims at better implementation, improving policy coordination and policy coherence, stimulating science,</w:t>
      </w:r>
      <w:r>
        <w:rPr>
          <w:rFonts w:cs="Times New Roman"/>
          <w:noProof/>
          <w:color w:val="FFFFFF" w:themeColor="background1"/>
          <w:sz w:val="20"/>
        </w:rPr>
        <w:t xml:space="preserve"> technology and innovation, establishing partnerships and developing measurements of progress.</w:t>
      </w:r>
    </w:p>
    <w:p w:rsidR="004C5536" w:rsidRDefault="003D3C7F">
      <w:pPr>
        <w:widowControl w:val="0"/>
        <w:spacing w:before="240" w:after="120" w:line="240" w:lineRule="auto"/>
        <w:jc w:val="both"/>
        <w:rPr>
          <w:rFonts w:cs="Times New Roman"/>
          <w:noProof/>
          <w:sz w:val="20"/>
        </w:rPr>
      </w:pPr>
      <w:r>
        <w:rPr>
          <w:rFonts w:cs="Times New Roman"/>
          <w:noProof/>
          <w:sz w:val="20"/>
        </w:rPr>
        <w:t>Effective governance of EU environmental legislation and policies requires having an appropriate institutional framework, policy coherence and coordination, appl</w:t>
      </w:r>
      <w:r>
        <w:rPr>
          <w:rFonts w:cs="Times New Roman"/>
          <w:noProof/>
          <w:sz w:val="20"/>
        </w:rPr>
        <w:t>ying legal and non-legal instruments, engaging with non-governmental stakeholders, and having adequate levels of knowledge and skills</w:t>
      </w:r>
      <w:r>
        <w:rPr>
          <w:rFonts w:cs="Times New Roman"/>
          <w:noProof/>
          <w:sz w:val="20"/>
          <w:vertAlign w:val="superscript"/>
        </w:rPr>
        <w:footnoteReference w:id="113"/>
      </w:r>
      <w:r>
        <w:rPr>
          <w:rFonts w:cs="Times New Roman"/>
          <w:noProof/>
          <w:sz w:val="20"/>
        </w:rPr>
        <w:t>. Successful implementation depends, to a large extent, on central, regional and local government fulfilling key legislati</w:t>
      </w:r>
      <w:r>
        <w:rPr>
          <w:rFonts w:cs="Times New Roman"/>
          <w:noProof/>
          <w:sz w:val="20"/>
        </w:rPr>
        <w:t>ve and administrative tasks, notably adoption of sound implementing legislation, co-ordinated action to meet environmental objectives correct decision-making on matters such as industrial permits. Beyond fulfilment of these tasks, government must intervene</w:t>
      </w:r>
      <w:r>
        <w:rPr>
          <w:rFonts w:cs="Times New Roman"/>
          <w:noProof/>
          <w:sz w:val="20"/>
        </w:rPr>
        <w:t xml:space="preserve"> to ensure day-to-day compliance by economic operators, utilities and individuals ("compliance assurance"). Civil society also has a role to play, including through legal action. To underpin the roles of all actors, it is crucial to collect and share knowl</w:t>
      </w:r>
      <w:r>
        <w:rPr>
          <w:rFonts w:cs="Times New Roman"/>
          <w:noProof/>
          <w:sz w:val="20"/>
        </w:rPr>
        <w:t>edge and evidence on the state of the environment and on environmental pressures, drivers and impacts.</w:t>
      </w:r>
    </w:p>
    <w:p w:rsidR="004C5536" w:rsidRDefault="003D3C7F">
      <w:pPr>
        <w:widowControl w:val="0"/>
        <w:spacing w:after="360" w:line="240" w:lineRule="auto"/>
        <w:jc w:val="both"/>
        <w:rPr>
          <w:rFonts w:cs="Times New Roman"/>
          <w:noProof/>
          <w:sz w:val="20"/>
          <w:lang w:val="en-US"/>
        </w:rPr>
      </w:pPr>
      <w:r>
        <w:rPr>
          <w:rFonts w:cs="Times New Roman"/>
          <w:noProof/>
          <w:sz w:val="20"/>
          <w:szCs w:val="20"/>
          <w:lang w:val="en-US"/>
        </w:rPr>
        <w:t xml:space="preserve">Equally, effective governance of EU environmental legislation and policies benefits from a dialogue within Member States and between Member States and </w:t>
      </w:r>
      <w:r>
        <w:rPr>
          <w:rFonts w:cs="Times New Roman"/>
          <w:noProof/>
          <w:sz w:val="20"/>
          <w:szCs w:val="20"/>
          <w:lang w:val="en-US"/>
        </w:rPr>
        <w:t>the Commission on whether the current EU environmental legislation is fit for purpose. Legislation can only be properly implemented when it takes into account experiences at Member State level with putting EU commitments into effect. The Make it Work initi</w:t>
      </w:r>
      <w:r>
        <w:rPr>
          <w:rFonts w:cs="Times New Roman"/>
          <w:noProof/>
          <w:sz w:val="20"/>
          <w:szCs w:val="20"/>
          <w:lang w:val="en-US"/>
        </w:rPr>
        <w:t>ative, a Member State driven project, established in 2014, organizes a discussion on how the clarity, coherence and structure of EU environmental legislation can be improved without lowering existing protection standards.</w:t>
      </w:r>
    </w:p>
    <w:p w:rsidR="004C5536" w:rsidRDefault="003D3C7F">
      <w:pPr>
        <w:widowControl w:val="0"/>
        <w:spacing w:after="240" w:line="240" w:lineRule="auto"/>
        <w:jc w:val="both"/>
        <w:outlineLvl w:val="1"/>
        <w:rPr>
          <w:rFonts w:cs="Times New Roman"/>
          <w:b/>
          <w:noProof/>
          <w:color w:val="1F497D" w:themeColor="text2"/>
          <w:sz w:val="24"/>
        </w:rPr>
      </w:pPr>
      <w:bookmarkStart w:id="51" w:name="_Toc455589321"/>
      <w:bookmarkStart w:id="52" w:name="_Toc469492766"/>
      <w:r>
        <w:rPr>
          <w:rFonts w:cs="Times New Roman"/>
          <w:b/>
          <w:noProof/>
          <w:color w:val="1F497D" w:themeColor="text2"/>
          <w:sz w:val="24"/>
        </w:rPr>
        <w:t>Effective governance within centra</w:t>
      </w:r>
      <w:r>
        <w:rPr>
          <w:rFonts w:cs="Times New Roman"/>
          <w:b/>
          <w:noProof/>
          <w:color w:val="1F497D" w:themeColor="text2"/>
          <w:sz w:val="24"/>
        </w:rPr>
        <w:t>l, regional and local government</w:t>
      </w:r>
      <w:bookmarkEnd w:id="51"/>
      <w:bookmarkEnd w:id="52"/>
    </w:p>
    <w:p w:rsidR="004C5536" w:rsidRDefault="003D3C7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Those involved in implementing environment legislation at Union, national, regional and local levels need to be equipped with the knowledge, tools and capacity to improve the delivery of benefits from that legislation, and </w:t>
      </w:r>
      <w:r>
        <w:rPr>
          <w:rFonts w:cs="Times New Roman"/>
          <w:noProof/>
          <w:color w:val="FFFFFF" w:themeColor="background1"/>
          <w:sz w:val="20"/>
        </w:rPr>
        <w:t>the governance of the enforcement process.</w:t>
      </w:r>
    </w:p>
    <w:p w:rsidR="004C5536" w:rsidRDefault="003D3C7F">
      <w:pPr>
        <w:widowControl w:val="0"/>
        <w:spacing w:after="120" w:line="240" w:lineRule="auto"/>
        <w:jc w:val="both"/>
        <w:outlineLvl w:val="2"/>
        <w:rPr>
          <w:rFonts w:cs="Times New Roman"/>
          <w:b/>
          <w:noProof/>
          <w:color w:val="1F497D" w:themeColor="text2"/>
        </w:rPr>
      </w:pPr>
      <w:r>
        <w:rPr>
          <w:rFonts w:cs="Times New Roman"/>
          <w:b/>
          <w:noProof/>
          <w:color w:val="1F497D" w:themeColor="text2"/>
        </w:rPr>
        <w:t>Capacity to implement rules</w:t>
      </w:r>
    </w:p>
    <w:p w:rsidR="004C5536" w:rsidRDefault="003D3C7F">
      <w:pPr>
        <w:widowControl w:val="0"/>
        <w:spacing w:after="120" w:line="240" w:lineRule="auto"/>
        <w:jc w:val="both"/>
        <w:rPr>
          <w:rFonts w:cs="Times New Roman"/>
          <w:noProof/>
          <w:sz w:val="20"/>
        </w:rPr>
      </w:pPr>
      <w:r>
        <w:rPr>
          <w:rFonts w:cs="Times New Roman"/>
          <w:noProof/>
          <w:sz w:val="20"/>
        </w:rPr>
        <w:t>It is crucial that central, regional and local administrations have the necessary capacities and skills and training to carry out their own tasks and co-operate and co-ordinate effectiv</w:t>
      </w:r>
      <w:r>
        <w:rPr>
          <w:rFonts w:cs="Times New Roman"/>
          <w:noProof/>
          <w:sz w:val="20"/>
        </w:rPr>
        <w:t>ely with each other, within a system of multi-level governance.</w:t>
      </w:r>
    </w:p>
    <w:p w:rsidR="004C5536" w:rsidRDefault="003D3C7F">
      <w:pPr>
        <w:widowControl w:val="0"/>
        <w:spacing w:after="240" w:line="240" w:lineRule="auto"/>
        <w:jc w:val="both"/>
        <w:rPr>
          <w:rFonts w:cs="Times New Roman"/>
          <w:noProof/>
          <w:sz w:val="20"/>
        </w:rPr>
      </w:pPr>
      <w:r>
        <w:rPr>
          <w:rFonts w:cs="Times New Roman"/>
          <w:noProof/>
          <w:sz w:val="20"/>
        </w:rPr>
        <w:t>The 2013 European Quality of Government Index puts Portugal in 16</w:t>
      </w:r>
      <w:r>
        <w:rPr>
          <w:rFonts w:cs="Times New Roman"/>
          <w:noProof/>
          <w:sz w:val="20"/>
          <w:vertAlign w:val="superscript"/>
        </w:rPr>
        <w:t>th</w:t>
      </w:r>
      <w:r>
        <w:rPr>
          <w:rFonts w:cs="Times New Roman"/>
          <w:noProof/>
          <w:sz w:val="20"/>
        </w:rPr>
        <w:t xml:space="preserve"> place out of the 28 Member States.</w:t>
      </w:r>
      <w:r>
        <w:rPr>
          <w:rFonts w:cs="Times New Roman"/>
          <w:noProof/>
          <w:sz w:val="20"/>
          <w:vertAlign w:val="superscript"/>
        </w:rPr>
        <w:footnoteReference w:id="114"/>
      </w:r>
    </w:p>
    <w:p w:rsidR="004C5536" w:rsidRDefault="003D3C7F">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31B35AD1" wp14:editId="48AFCF74">
            <wp:extent cx="2980055" cy="1983797"/>
            <wp:effectExtent l="0" t="0" r="0" b="0"/>
            <wp:docPr id="34" name="Picture 34" descr="C:\Users\schwemi\AppData\Local\Microsoft\Windows\Temporary Internet Files\Content.Word\iStock_2267158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wemi\AppData\Local\Microsoft\Windows\Temporary Internet Files\Content.Word\iStock_22671588_LARGE.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80055" cy="1983797"/>
                    </a:xfrm>
                    <a:prstGeom prst="rect">
                      <a:avLst/>
                    </a:prstGeom>
                    <a:noFill/>
                    <a:ln>
                      <a:noFill/>
                    </a:ln>
                  </pic:spPr>
                </pic:pic>
              </a:graphicData>
            </a:graphic>
          </wp:inline>
        </w:drawing>
      </w:r>
    </w:p>
    <w:p w:rsidR="004C5536" w:rsidRDefault="003D3C7F">
      <w:pPr>
        <w:widowControl w:val="0"/>
        <w:spacing w:before="240" w:after="120" w:line="240" w:lineRule="auto"/>
        <w:jc w:val="both"/>
        <w:rPr>
          <w:rFonts w:cs="Times New Roman"/>
          <w:noProof/>
          <w:sz w:val="20"/>
        </w:rPr>
      </w:pPr>
      <w:r>
        <w:rPr>
          <w:rFonts w:cs="Times New Roman"/>
          <w:noProof/>
          <w:sz w:val="20"/>
        </w:rPr>
        <w:t>Environmental policy developments in Portugal are mainly driven by EU Directives and R</w:t>
      </w:r>
      <w:r>
        <w:rPr>
          <w:rFonts w:cs="Times New Roman"/>
          <w:noProof/>
          <w:sz w:val="20"/>
        </w:rPr>
        <w:t xml:space="preserve">egulations, and the relevant EU rules are generally transposed in time. The number of complaints and infringements in the environmental field can be considered in the EU average. </w:t>
      </w:r>
    </w:p>
    <w:p w:rsidR="004C5536" w:rsidRDefault="003D3C7F">
      <w:pPr>
        <w:widowControl w:val="0"/>
        <w:spacing w:after="360" w:line="240" w:lineRule="auto"/>
        <w:jc w:val="both"/>
        <w:rPr>
          <w:rFonts w:cs="Times New Roman"/>
          <w:noProof/>
          <w:sz w:val="20"/>
        </w:rPr>
      </w:pPr>
      <w:r>
        <w:rPr>
          <w:rFonts w:cs="Times New Roman"/>
          <w:noProof/>
          <w:sz w:val="20"/>
        </w:rPr>
        <w:t>Overall, during the last decade an improvement in the implementation of EU e</w:t>
      </w:r>
      <w:r>
        <w:rPr>
          <w:rFonts w:cs="Times New Roman"/>
          <w:noProof/>
          <w:sz w:val="20"/>
        </w:rPr>
        <w:t>nvironmental law in the different sectors can be observed. For instance, there has been progress regarding the implementation of the environmental assessments. However a recent package of legislation aimed at speeding-up the licencing of the so called proj</w:t>
      </w:r>
      <w:r>
        <w:rPr>
          <w:rFonts w:cs="Times New Roman"/>
          <w:noProof/>
          <w:sz w:val="20"/>
        </w:rPr>
        <w:t>ects of national interest needs to be tested, mainly because it provides very tight deadlines for the carrying out of the assessment and the possibility of tacit approval of some procedural acts.</w:t>
      </w:r>
    </w:p>
    <w:p w:rsidR="004C5536" w:rsidRDefault="003D3C7F">
      <w:pPr>
        <w:widowControl w:val="0"/>
        <w:spacing w:after="120" w:line="240" w:lineRule="auto"/>
        <w:jc w:val="both"/>
        <w:outlineLvl w:val="2"/>
        <w:rPr>
          <w:rFonts w:cs="Times New Roman"/>
          <w:b/>
          <w:noProof/>
          <w:color w:val="1F497D" w:themeColor="text2"/>
        </w:rPr>
      </w:pPr>
      <w:r>
        <w:rPr>
          <w:rFonts w:cs="Times New Roman"/>
          <w:b/>
          <w:noProof/>
          <w:color w:val="1F497D" w:themeColor="text2"/>
        </w:rPr>
        <w:t>Coordination and integration</w:t>
      </w:r>
    </w:p>
    <w:p w:rsidR="004C5536" w:rsidRDefault="003D3C7F">
      <w:pPr>
        <w:widowControl w:val="0"/>
        <w:spacing w:after="120" w:line="240" w:lineRule="auto"/>
        <w:jc w:val="both"/>
        <w:rPr>
          <w:rFonts w:cs="Times New Roman"/>
          <w:noProof/>
          <w:sz w:val="20"/>
        </w:rPr>
      </w:pPr>
      <w:r>
        <w:rPr>
          <w:rFonts w:cs="Times New Roman"/>
          <w:noProof/>
          <w:sz w:val="20"/>
        </w:rPr>
        <w:t>The Portuguese Government adopt</w:t>
      </w:r>
      <w:r>
        <w:rPr>
          <w:rFonts w:cs="Times New Roman"/>
          <w:noProof/>
          <w:sz w:val="20"/>
        </w:rPr>
        <w:t>ed in April 2015 the "Green Growth Commitment" (GGC). This strategy has its origin in the "Coalition for Green Growth" launched in February 2014. With a broad social support, the GGC encompasses the entire scope of components pertaining to green growth (16</w:t>
      </w:r>
      <w:r>
        <w:rPr>
          <w:rFonts w:cs="Times New Roman"/>
          <w:noProof/>
          <w:sz w:val="20"/>
        </w:rPr>
        <w:t xml:space="preserve"> sectors), underpinned by quantitative targets for 2020 and 2030, and an extensive range of measures (111 measures).</w:t>
      </w:r>
    </w:p>
    <w:p w:rsidR="004C5536" w:rsidRDefault="003D3C7F">
      <w:pPr>
        <w:widowControl w:val="0"/>
        <w:spacing w:after="120" w:line="240" w:lineRule="auto"/>
        <w:jc w:val="both"/>
        <w:rPr>
          <w:rFonts w:cs="Times New Roman"/>
          <w:noProof/>
          <w:sz w:val="20"/>
        </w:rPr>
      </w:pPr>
      <w:r>
        <w:rPr>
          <w:rFonts w:cs="Times New Roman"/>
          <w:noProof/>
          <w:sz w:val="20"/>
        </w:rPr>
        <w:t>The GGC initiated the discussion on the need to achieve a new national development model, aiming to comply with three major objectives by 2</w:t>
      </w:r>
      <w:r>
        <w:rPr>
          <w:rFonts w:cs="Times New Roman"/>
          <w:noProof/>
          <w:sz w:val="20"/>
        </w:rPr>
        <w:t>020: 1) to position Portugal as a global benchmark for green growth; 2) to promote a low-carbon economy, highly efficient in resource use; and 3) to produce more wealth and jobs by investing in sustainability of industries and territories.</w:t>
      </w:r>
    </w:p>
    <w:p w:rsidR="004C5536" w:rsidRDefault="003D3C7F">
      <w:pPr>
        <w:widowControl w:val="0"/>
        <w:spacing w:after="120" w:line="240" w:lineRule="auto"/>
        <w:jc w:val="both"/>
        <w:rPr>
          <w:rFonts w:cs="Times New Roman"/>
          <w:noProof/>
          <w:sz w:val="20"/>
        </w:rPr>
      </w:pPr>
      <w:r>
        <w:rPr>
          <w:rFonts w:cs="Times New Roman"/>
          <w:noProof/>
          <w:sz w:val="20"/>
        </w:rPr>
        <w:t xml:space="preserve">The GGC brings </w:t>
      </w:r>
      <w:r>
        <w:rPr>
          <w:rFonts w:cs="Times New Roman"/>
          <w:noProof/>
          <w:sz w:val="20"/>
        </w:rPr>
        <w:t>stakeholders together in encouraging a transition to a more resource efficient and low-carbon economy. It is now essential to implement the numerous measures it includes</w:t>
      </w:r>
      <w:r>
        <w:rPr>
          <w:rStyle w:val="FootnoteReference"/>
          <w:rFonts w:cs="Times New Roman"/>
          <w:noProof/>
          <w:sz w:val="20"/>
        </w:rPr>
        <w:footnoteReference w:id="115"/>
      </w:r>
      <w:r>
        <w:rPr>
          <w:rFonts w:cs="Times New Roman"/>
          <w:noProof/>
          <w:sz w:val="20"/>
        </w:rPr>
        <w:t>.</w:t>
      </w:r>
    </w:p>
    <w:p w:rsidR="004C5536" w:rsidRDefault="003D3C7F">
      <w:pPr>
        <w:widowControl w:val="0"/>
        <w:spacing w:after="120" w:line="240" w:lineRule="auto"/>
        <w:jc w:val="both"/>
        <w:rPr>
          <w:rFonts w:cs="Times New Roman"/>
          <w:noProof/>
          <w:sz w:val="20"/>
        </w:rPr>
      </w:pPr>
      <w:r>
        <w:rPr>
          <w:rFonts w:cs="Times New Roman"/>
          <w:noProof/>
          <w:sz w:val="20"/>
        </w:rPr>
        <w:t xml:space="preserve">An evolution of the GGC was recently undertaken, bringing stakeholders to focus on </w:t>
      </w:r>
      <w:r>
        <w:rPr>
          <w:rFonts w:cs="Times New Roman"/>
          <w:noProof/>
          <w:sz w:val="20"/>
        </w:rPr>
        <w:t>the core of green growth: the Circular Economy. In this context, a new orientation was issued to the Coalition, to work on 5 sectors (industry, agriculture &amp; forestry, built environment, transport and procurement) and on 5 strategies (dematerialization, ec</w:t>
      </w:r>
      <w:r>
        <w:rPr>
          <w:rFonts w:cs="Times New Roman"/>
          <w:noProof/>
          <w:sz w:val="20"/>
        </w:rPr>
        <w:t>o-design and lifecycle extension, resource efficiency, symbiosis and recovery/recycling). Stakeholders were called to interact and build collaborative projects, intended to demonstrate the advantages and barriers in pursuing these initiatives. Coalition me</w:t>
      </w:r>
      <w:r>
        <w:rPr>
          <w:rFonts w:cs="Times New Roman"/>
          <w:noProof/>
          <w:sz w:val="20"/>
        </w:rPr>
        <w:t>mbers welcomed this approach and the first results are expected by end-2017.</w:t>
      </w:r>
    </w:p>
    <w:p w:rsidR="004C5536" w:rsidRDefault="003D3C7F">
      <w:pPr>
        <w:widowControl w:val="0"/>
        <w:spacing w:after="120" w:line="240" w:lineRule="auto"/>
        <w:jc w:val="both"/>
        <w:rPr>
          <w:rFonts w:cs="Times New Roman"/>
          <w:noProof/>
          <w:sz w:val="20"/>
        </w:rPr>
      </w:pPr>
      <w:r>
        <w:rPr>
          <w:rFonts w:cs="Times New Roman"/>
          <w:noProof/>
          <w:sz w:val="20"/>
        </w:rPr>
        <w:t>Regarding the implementation of EU environmental law, the competences are shared between the national administration and the regional and local administrations. The insular region</w:t>
      </w:r>
      <w:r>
        <w:rPr>
          <w:rFonts w:cs="Times New Roman"/>
          <w:noProof/>
          <w:sz w:val="20"/>
        </w:rPr>
        <w:t>s of Azores and Madeira have a special autonomy also in this field.</w:t>
      </w:r>
    </w:p>
    <w:p w:rsidR="004C5536" w:rsidRDefault="003D3C7F">
      <w:pPr>
        <w:widowControl w:val="0"/>
        <w:spacing w:after="120" w:line="240" w:lineRule="auto"/>
        <w:jc w:val="both"/>
        <w:rPr>
          <w:rFonts w:cs="Times New Roman"/>
          <w:noProof/>
          <w:sz w:val="20"/>
        </w:rPr>
      </w:pPr>
      <w:r>
        <w:rPr>
          <w:rFonts w:cs="Times New Roman"/>
          <w:noProof/>
          <w:sz w:val="20"/>
          <w:szCs w:val="20"/>
        </w:rPr>
        <w:t>Impact assessments are important tools to ensure environmental integration in all government policies</w:t>
      </w:r>
      <w:r>
        <w:rPr>
          <w:rFonts w:cs="Times New Roman"/>
          <w:noProof/>
          <w:sz w:val="20"/>
          <w:szCs w:val="20"/>
          <w:vertAlign w:val="superscript"/>
        </w:rPr>
        <w:footnoteReference w:id="116"/>
      </w:r>
      <w:r>
        <w:rPr>
          <w:rFonts w:cs="Times New Roman"/>
          <w:noProof/>
          <w:sz w:val="20"/>
          <w:szCs w:val="20"/>
        </w:rPr>
        <w:t>.</w:t>
      </w:r>
      <w:r>
        <w:rPr>
          <w:rFonts w:cs="Times New Roman"/>
          <w:noProof/>
          <w:sz w:val="20"/>
        </w:rPr>
        <w:t xml:space="preserve"> In the last years, Portugal has taken various measures to streamline the EIA process</w:t>
      </w:r>
      <w:r>
        <w:rPr>
          <w:rFonts w:cs="Times New Roman"/>
          <w:noProof/>
          <w:sz w:val="20"/>
        </w:rPr>
        <w:t>. The transposition of the revised EIA Directive</w:t>
      </w:r>
      <w:r>
        <w:rPr>
          <w:rFonts w:cs="Times New Roman"/>
          <w:noProof/>
          <w:sz w:val="20"/>
          <w:vertAlign w:val="superscript"/>
        </w:rPr>
        <w:footnoteReference w:id="117"/>
      </w:r>
      <w:r>
        <w:rPr>
          <w:rFonts w:cs="Times New Roman"/>
          <w:noProof/>
          <w:sz w:val="20"/>
        </w:rPr>
        <w:t xml:space="preserve"> will be also an opportunity to streamline the regulatory framework on environmental assessments. The Commission encourages the streamlining of the environmental assessments to avoid overlaps in environmenta</w:t>
      </w:r>
      <w:r>
        <w:rPr>
          <w:rFonts w:cs="Times New Roman"/>
          <w:noProof/>
          <w:sz w:val="20"/>
        </w:rPr>
        <w:t>l assessments and accelerate decision-making, without compromising the quality of the environmental assessment procedure. The Commission has issued a guidance document in 2016</w:t>
      </w:r>
      <w:r>
        <w:rPr>
          <w:rFonts w:cs="Times New Roman"/>
          <w:noProof/>
          <w:sz w:val="20"/>
          <w:vertAlign w:val="superscript"/>
        </w:rPr>
        <w:footnoteReference w:id="118"/>
      </w:r>
      <w:r>
        <w:rPr>
          <w:rFonts w:cs="Times New Roman"/>
          <w:noProof/>
          <w:sz w:val="20"/>
        </w:rPr>
        <w:t xml:space="preserve"> regarding the setting up of coordinated and/or joint procedures that are simult</w:t>
      </w:r>
      <w:r>
        <w:rPr>
          <w:rFonts w:cs="Times New Roman"/>
          <w:noProof/>
          <w:sz w:val="20"/>
        </w:rPr>
        <w:t>aneously subject to assessments under the EIA Directive, Habitats Directive, Water Framework Directive, and the Industrial Emissions Directive.</w:t>
      </w:r>
    </w:p>
    <w:p w:rsidR="004C5536" w:rsidRDefault="003D3C7F">
      <w:pPr>
        <w:widowControl w:val="0"/>
        <w:spacing w:after="240" w:line="240" w:lineRule="auto"/>
        <w:jc w:val="both"/>
        <w:rPr>
          <w:rFonts w:eastAsia="Calibri" w:cs="Times New Roman"/>
          <w:noProof/>
          <w:sz w:val="20"/>
          <w:szCs w:val="20"/>
          <w:lang w:eastAsia="en-GB"/>
        </w:rPr>
      </w:pPr>
      <w:r>
        <w:rPr>
          <w:rFonts w:eastAsia="Calibri" w:cs="Times New Roman"/>
          <w:noProof/>
          <w:sz w:val="20"/>
          <w:szCs w:val="20"/>
          <w:lang w:eastAsia="en-GB"/>
        </w:rPr>
        <w:t>Portugal has recently created the Single Environment Permit (SEP) scheme</w:t>
      </w:r>
      <w:r>
        <w:rPr>
          <w:rFonts w:eastAsia="Calibri" w:cs="Times New Roman"/>
          <w:noProof/>
          <w:sz w:val="20"/>
          <w:szCs w:val="20"/>
          <w:vertAlign w:val="superscript"/>
          <w:lang w:eastAsia="en-GB"/>
        </w:rPr>
        <w:footnoteReference w:id="119"/>
      </w:r>
      <w:r>
        <w:rPr>
          <w:rFonts w:eastAsia="Calibri" w:cs="Times New Roman"/>
          <w:noProof/>
          <w:sz w:val="20"/>
          <w:szCs w:val="20"/>
          <w:lang w:eastAsia="en-GB"/>
        </w:rPr>
        <w:t xml:space="preserve">, which covers all main permits on the </w:t>
      </w:r>
      <w:r>
        <w:rPr>
          <w:rFonts w:eastAsia="Calibri" w:cs="Times New Roman"/>
          <w:noProof/>
          <w:sz w:val="20"/>
          <w:szCs w:val="20"/>
          <w:lang w:eastAsia="en-GB"/>
        </w:rPr>
        <w:t>environment domain. The SEP aims to integrate, harmonise and simplify processes and procedures in order to facilitate their interpretation and application by interested parties and the administration itself, thus helping to minimise the impact of the dispe</w:t>
      </w:r>
      <w:r>
        <w:rPr>
          <w:rFonts w:eastAsia="Calibri" w:cs="Times New Roman"/>
          <w:noProof/>
          <w:sz w:val="20"/>
          <w:szCs w:val="20"/>
          <w:lang w:eastAsia="en-GB"/>
        </w:rPr>
        <w:t>rsion of legislation and also to reduce bureaucracy related costs. It is also aims to strengthen cooperation between various bodies and services of the public administration which are legally competent in environmental matters. In any case, this new scheme</w:t>
      </w:r>
      <w:r>
        <w:rPr>
          <w:rFonts w:eastAsia="Calibri" w:cs="Times New Roman"/>
          <w:noProof/>
          <w:sz w:val="20"/>
          <w:szCs w:val="20"/>
          <w:lang w:eastAsia="en-GB"/>
        </w:rPr>
        <w:t xml:space="preserve"> must ensure high standards of environmental protection.</w:t>
      </w:r>
    </w:p>
    <w:p w:rsidR="004C5536" w:rsidRDefault="003D3C7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4C5536" w:rsidRDefault="003D3C7F">
      <w:pPr>
        <w:pStyle w:val="NoSpacing"/>
        <w:rPr>
          <w:noProof/>
        </w:rPr>
      </w:pPr>
      <w:r>
        <w:rPr>
          <w:noProof/>
        </w:rPr>
        <w:t xml:space="preserve">The experience obtained on the definition and implementation of the mitigation and compensation measures regarding the dam projects should be extended to other infrastructure likely </w:t>
      </w:r>
      <w:r>
        <w:rPr>
          <w:noProof/>
        </w:rPr>
        <w:t>to have significant impacts on the Natura 2000 network. The composition of follow-up commissions for these projects should be as broad as possible and include representative NGOs.</w:t>
      </w:r>
    </w:p>
    <w:p w:rsidR="004C5536" w:rsidRDefault="003D3C7F">
      <w:pPr>
        <w:pStyle w:val="NoSpacing"/>
        <w:spacing w:after="360"/>
        <w:rPr>
          <w:noProof/>
        </w:rPr>
      </w:pPr>
      <w:r>
        <w:rPr>
          <w:noProof/>
        </w:rPr>
        <w:t xml:space="preserve">Effectively implementing and making use of the recently created initiatives </w:t>
      </w:r>
      <w:r>
        <w:rPr>
          <w:noProof/>
        </w:rPr>
        <w:t>in order to improve efficiency, effectiveness and coordination of the public sector in the environmental domain, namely improving information sharing and documentation exchange between public entities that are responsible for inspection and monitoring in t</w:t>
      </w:r>
      <w:r>
        <w:rPr>
          <w:noProof/>
        </w:rPr>
        <w:t xml:space="preserve">he </w:t>
      </w:r>
      <w:r>
        <w:rPr>
          <w:bCs/>
          <w:noProof/>
          <w:lang w:val="en-US"/>
        </w:rPr>
        <w:t xml:space="preserve">areas of Agriculture, Sea and Environment, with </w:t>
      </w:r>
      <w:r>
        <w:rPr>
          <w:noProof/>
        </w:rPr>
        <w:t>an operational platform.</w:t>
      </w:r>
    </w:p>
    <w:p w:rsidR="004C5536" w:rsidRDefault="003D3C7F">
      <w:pPr>
        <w:widowControl w:val="0"/>
        <w:spacing w:after="240" w:line="240" w:lineRule="auto"/>
        <w:jc w:val="both"/>
        <w:outlineLvl w:val="1"/>
        <w:rPr>
          <w:rFonts w:cs="Times New Roman"/>
          <w:b/>
          <w:noProof/>
          <w:color w:val="1F497D" w:themeColor="text2"/>
          <w:sz w:val="24"/>
        </w:rPr>
      </w:pPr>
      <w:bookmarkStart w:id="53" w:name="_Toc469492767"/>
      <w:r>
        <w:rPr>
          <w:rFonts w:cs="Times New Roman"/>
          <w:b/>
          <w:noProof/>
          <w:color w:val="1F497D" w:themeColor="text2"/>
          <w:sz w:val="24"/>
        </w:rPr>
        <w:t>Compliance assurance</w:t>
      </w:r>
      <w:bookmarkEnd w:id="53"/>
    </w:p>
    <w:p w:rsidR="004C5536" w:rsidRDefault="003D3C7F">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 xml:space="preserve">EU law generally and specific provisions on inspections, other checks, penalties and environmental liability help lay the basis for the systems Member States </w:t>
      </w:r>
      <w:r>
        <w:rPr>
          <w:rFonts w:cs="Times New Roman"/>
          <w:noProof/>
          <w:color w:val="FFFFFF" w:themeColor="background1"/>
          <w:sz w:val="20"/>
        </w:rPr>
        <w:t>need to have in place to secure compliance with EU environmental rules.</w:t>
      </w:r>
    </w:p>
    <w:p w:rsidR="004C5536" w:rsidRDefault="003D3C7F">
      <w:pPr>
        <w:widowControl w:val="0"/>
        <w:spacing w:before="240" w:after="120" w:line="240" w:lineRule="auto"/>
        <w:jc w:val="both"/>
        <w:rPr>
          <w:rFonts w:cs="Times New Roman"/>
          <w:noProof/>
          <w:sz w:val="20"/>
        </w:rPr>
      </w:pPr>
      <w:r>
        <w:rPr>
          <w:rFonts w:cs="Times New Roman"/>
          <w:noProof/>
          <w:sz w:val="20"/>
        </w:rPr>
        <w:t>Public authorities help ensure accountability of duty-holders by monitoring and promoting compliance and by taking credible follow-up action (i.e. enforcement) when breaches occur or l</w:t>
      </w:r>
      <w:r>
        <w:rPr>
          <w:rFonts w:cs="Times New Roman"/>
          <w:noProof/>
          <w:sz w:val="20"/>
        </w:rPr>
        <w:t>iabilities arise. Compliance monitoring can be done both on the initiative of authorities themselves and in response to citizen complaints. It can involve using various kinds of checks, including inspections for permitted activities, surveillance for possi</w:t>
      </w:r>
      <w:r>
        <w:rPr>
          <w:rFonts w:cs="Times New Roman"/>
          <w:noProof/>
          <w:sz w:val="20"/>
        </w:rPr>
        <w:t>ble illegal activities, investigations for crimes and audits for systemic weaknesses. Similarly, there is a range of means to promote compliance, including awareness-raising campaigns and use of guidance documents and online information tools. Follow-up to</w:t>
      </w:r>
      <w:r>
        <w:rPr>
          <w:rFonts w:cs="Times New Roman"/>
          <w:noProof/>
          <w:sz w:val="20"/>
        </w:rPr>
        <w:t xml:space="preserve"> breaches and liabilities can include administrative action (e.g. withdrawal of a permit), use of criminal law</w:t>
      </w:r>
      <w:r>
        <w:rPr>
          <w:rFonts w:cs="Times New Roman"/>
          <w:noProof/>
          <w:sz w:val="20"/>
          <w:vertAlign w:val="superscript"/>
        </w:rPr>
        <w:footnoteReference w:id="120"/>
      </w:r>
      <w:r>
        <w:rPr>
          <w:rFonts w:cs="Times New Roman"/>
          <w:noProof/>
          <w:sz w:val="20"/>
        </w:rPr>
        <w:t xml:space="preserve"> and action under liability law (e.g. required remediation after damage from an accident using liability rules) and contractual law (e.g. measure</w:t>
      </w:r>
      <w:r>
        <w:rPr>
          <w:rFonts w:cs="Times New Roman"/>
          <w:noProof/>
          <w:sz w:val="20"/>
        </w:rPr>
        <w:t>s to require compliance with nature conservation contracts). Taken together, all of these interventions represent "compliance assurance" as shown in Figure 13.</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4C5536">
        <w:tc>
          <w:tcPr>
            <w:tcW w:w="4909" w:type="dxa"/>
          </w:tcPr>
          <w:p w:rsidR="004C5536" w:rsidRDefault="003D3C7F">
            <w:pPr>
              <w:widowControl w:val="0"/>
              <w:spacing w:after="240"/>
              <w:jc w:val="both"/>
              <w:rPr>
                <w:rFonts w:cs="Times New Roman"/>
                <w:noProof/>
                <w:sz w:val="20"/>
              </w:rPr>
            </w:pPr>
            <w:r>
              <w:rPr>
                <w:rFonts w:cs="Times New Roman"/>
                <w:b/>
                <w:bCs/>
                <w:noProof/>
                <w:color w:val="1F497D" w:themeColor="text2"/>
                <w:sz w:val="20"/>
                <w:lang w:val="fr-BE"/>
              </w:rPr>
              <w:t>Figure 13: Environmental compliance assurance</w:t>
            </w:r>
          </w:p>
        </w:tc>
      </w:tr>
      <w:tr w:rsidR="004C5536">
        <w:tc>
          <w:tcPr>
            <w:tcW w:w="4909" w:type="dxa"/>
          </w:tcPr>
          <w:p w:rsidR="004C5536" w:rsidRDefault="003D3C7F">
            <w:pPr>
              <w:widowControl w:val="0"/>
              <w:jc w:val="both"/>
              <w:rPr>
                <w:rFonts w:cs="Times New Roman"/>
                <w:noProof/>
                <w:sz w:val="20"/>
              </w:rPr>
            </w:pPr>
            <w:r>
              <w:rPr>
                <w:rFonts w:cs="Times New Roman"/>
                <w:noProof/>
                <w:sz w:val="20"/>
                <w:lang w:eastAsia="en-GB"/>
              </w:rPr>
              <w:drawing>
                <wp:inline distT="0" distB="0" distL="0" distR="0" wp14:anchorId="1BB67294" wp14:editId="41565EA6">
                  <wp:extent cx="2895600" cy="1942572"/>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891513" cy="1939830"/>
                          </a:xfrm>
                          <a:prstGeom prst="rect">
                            <a:avLst/>
                          </a:prstGeom>
                        </pic:spPr>
                      </pic:pic>
                    </a:graphicData>
                  </a:graphic>
                </wp:inline>
              </w:drawing>
            </w:r>
          </w:p>
        </w:tc>
      </w:tr>
    </w:tbl>
    <w:p w:rsidR="004C5536" w:rsidRDefault="003D3C7F">
      <w:pPr>
        <w:widowControl w:val="0"/>
        <w:spacing w:before="240" w:after="120" w:line="240" w:lineRule="auto"/>
        <w:jc w:val="both"/>
        <w:rPr>
          <w:noProof/>
          <w:sz w:val="20"/>
        </w:rPr>
      </w:pPr>
      <w:r>
        <w:rPr>
          <w:noProof/>
          <w:sz w:val="20"/>
        </w:rPr>
        <w:t xml:space="preserve">Best practice has moved towards a risk-based </w:t>
      </w:r>
      <w:r>
        <w:rPr>
          <w:noProof/>
          <w:sz w:val="20"/>
        </w:rPr>
        <w:t>approach at strategic and operational levels in which the best mix of compliance monitoring, promotion and enforcement is directed at the most serious problems. Best practice also recognises the need for coordination and cooperation between different autho</w:t>
      </w:r>
      <w:r>
        <w:rPr>
          <w:noProof/>
          <w:sz w:val="20"/>
        </w:rPr>
        <w:t>rities to ensure consistency, avoid duplication of work and reduce administrative burden. Active participation in established pan-European networks of inspectors, police, prosecutors and judges, such as</w:t>
      </w:r>
      <w:r>
        <w:rPr>
          <w:i/>
          <w:noProof/>
          <w:sz w:val="20"/>
        </w:rPr>
        <w:t xml:space="preserve"> IMPEL</w:t>
      </w:r>
      <w:r>
        <w:rPr>
          <w:i/>
          <w:noProof/>
          <w:sz w:val="20"/>
          <w:vertAlign w:val="superscript"/>
        </w:rPr>
        <w:footnoteReference w:id="121"/>
      </w:r>
      <w:r>
        <w:rPr>
          <w:i/>
          <w:noProof/>
          <w:sz w:val="20"/>
        </w:rPr>
        <w:t>, EUFJE</w:t>
      </w:r>
      <w:r>
        <w:rPr>
          <w:i/>
          <w:noProof/>
          <w:sz w:val="20"/>
          <w:vertAlign w:val="superscript"/>
        </w:rPr>
        <w:footnoteReference w:id="122"/>
      </w:r>
      <w:r>
        <w:rPr>
          <w:i/>
          <w:noProof/>
          <w:sz w:val="20"/>
        </w:rPr>
        <w:t>, ENPE</w:t>
      </w:r>
      <w:r>
        <w:rPr>
          <w:i/>
          <w:noProof/>
          <w:sz w:val="20"/>
          <w:vertAlign w:val="superscript"/>
        </w:rPr>
        <w:footnoteReference w:id="123"/>
      </w:r>
      <w:r>
        <w:rPr>
          <w:i/>
          <w:noProof/>
          <w:sz w:val="20"/>
        </w:rPr>
        <w:t xml:space="preserve"> and EnviCrimeNet</w:t>
      </w:r>
      <w:r>
        <w:rPr>
          <w:i/>
          <w:noProof/>
          <w:sz w:val="20"/>
          <w:vertAlign w:val="superscript"/>
        </w:rPr>
        <w:footnoteReference w:id="124"/>
      </w:r>
      <w:r>
        <w:rPr>
          <w:noProof/>
          <w:sz w:val="20"/>
        </w:rPr>
        <w:t>, is a valuabl</w:t>
      </w:r>
      <w:r>
        <w:rPr>
          <w:noProof/>
          <w:sz w:val="20"/>
        </w:rPr>
        <w:t>e tool for sharing experience and good practices.</w:t>
      </w:r>
    </w:p>
    <w:p w:rsidR="004C5536" w:rsidRDefault="003D3C7F">
      <w:pPr>
        <w:widowControl w:val="0"/>
        <w:spacing w:after="120" w:line="240" w:lineRule="auto"/>
        <w:jc w:val="both"/>
        <w:rPr>
          <w:noProof/>
          <w:sz w:val="20"/>
        </w:rPr>
      </w:pPr>
      <w:r>
        <w:rPr>
          <w:noProof/>
          <w:sz w:val="20"/>
        </w:rPr>
        <w:t>Currently, there exist a number of sectoral obligations on inspections and the EU directive on environmental liability (ELD)</w:t>
      </w:r>
      <w:r>
        <w:rPr>
          <w:noProof/>
          <w:sz w:val="20"/>
          <w:vertAlign w:val="superscript"/>
        </w:rPr>
        <w:t xml:space="preserve"> </w:t>
      </w:r>
      <w:r>
        <w:rPr>
          <w:noProof/>
          <w:sz w:val="20"/>
          <w:vertAlign w:val="superscript"/>
        </w:rPr>
        <w:footnoteReference w:id="125"/>
      </w:r>
      <w:r>
        <w:rPr>
          <w:noProof/>
          <w:sz w:val="20"/>
        </w:rPr>
        <w:t xml:space="preserve"> provides a means of ensuring that the "polluter-pays principle" is applied when</w:t>
      </w:r>
      <w:r>
        <w:rPr>
          <w:noProof/>
          <w:sz w:val="20"/>
        </w:rPr>
        <w:t xml:space="preserve"> there are accidents and incidents that harm the environment. There is also publically available information giving insights into existing strengths and weaknesses in each Member State. </w:t>
      </w:r>
    </w:p>
    <w:p w:rsidR="004C5536" w:rsidRDefault="003D3C7F">
      <w:pPr>
        <w:widowControl w:val="0"/>
        <w:spacing w:after="120" w:line="240" w:lineRule="auto"/>
        <w:jc w:val="both"/>
        <w:rPr>
          <w:noProof/>
          <w:sz w:val="20"/>
        </w:rPr>
      </w:pPr>
      <w:r>
        <w:rPr>
          <w:noProof/>
          <w:sz w:val="20"/>
        </w:rPr>
        <w:t xml:space="preserve">For each Member State, the following were therefore reviewed: use of </w:t>
      </w:r>
      <w:r>
        <w:rPr>
          <w:noProof/>
          <w:sz w:val="20"/>
        </w:rPr>
        <w:t>risk-based compliance assurance; coordination and co-operation between authorities and participation in pan-European networks; and key aspects of implementation of the ELD based on the Commission's recently published implementation report and REFIT evaluat</w:t>
      </w:r>
      <w:r>
        <w:rPr>
          <w:noProof/>
          <w:sz w:val="20"/>
        </w:rPr>
        <w:t>ion</w:t>
      </w:r>
      <w:r>
        <w:rPr>
          <w:noProof/>
          <w:sz w:val="20"/>
          <w:vertAlign w:val="superscript"/>
        </w:rPr>
        <w:footnoteReference w:id="126"/>
      </w:r>
      <w:r>
        <w:rPr>
          <w:noProof/>
          <w:sz w:val="20"/>
        </w:rPr>
        <w:t>.</w:t>
      </w:r>
    </w:p>
    <w:p w:rsidR="004C5536" w:rsidRDefault="003D3C7F">
      <w:pPr>
        <w:widowControl w:val="0"/>
        <w:spacing w:after="120" w:line="240" w:lineRule="auto"/>
        <w:jc w:val="both"/>
        <w:rPr>
          <w:rFonts w:cs="Times New Roman"/>
          <w:noProof/>
          <w:color w:val="000000" w:themeColor="text1"/>
          <w:sz w:val="20"/>
          <w:lang w:val="en-US"/>
        </w:rPr>
      </w:pPr>
      <w:r>
        <w:rPr>
          <w:rFonts w:cs="Times New Roman"/>
          <w:noProof/>
          <w:color w:val="000000" w:themeColor="text1"/>
          <w:sz w:val="20"/>
          <w:lang w:val="en-US"/>
        </w:rPr>
        <w:t>Over the last decade, Portugal has improved the effectiveness of environmental compliance assurance, in particular inspections. The implementation of the Portugal's administrative simplification programme has led to a greater use of risk-based approa</w:t>
      </w:r>
      <w:r>
        <w:rPr>
          <w:rFonts w:cs="Times New Roman"/>
          <w:noProof/>
          <w:color w:val="000000" w:themeColor="text1"/>
          <w:sz w:val="20"/>
          <w:lang w:val="en-US"/>
        </w:rPr>
        <w:t>ches and more systematic data collection</w:t>
      </w:r>
      <w:r>
        <w:rPr>
          <w:rFonts w:cs="Times New Roman"/>
          <w:noProof/>
          <w:color w:val="000000" w:themeColor="text1"/>
          <w:sz w:val="20"/>
          <w:vertAlign w:val="superscript"/>
          <w:lang w:val="en-US"/>
        </w:rPr>
        <w:footnoteReference w:id="127"/>
      </w:r>
      <w:r>
        <w:rPr>
          <w:rFonts w:cs="Times New Roman"/>
          <w:noProof/>
          <w:color w:val="000000" w:themeColor="text1"/>
          <w:sz w:val="20"/>
          <w:lang w:val="en-US"/>
        </w:rPr>
        <w:t>. The IMPEL IRAM risk assessment methodology is widely used</w:t>
      </w:r>
      <w:r>
        <w:rPr>
          <w:rFonts w:cs="Times New Roman"/>
          <w:noProof/>
          <w:color w:val="000000" w:themeColor="text1"/>
          <w:sz w:val="20"/>
          <w:vertAlign w:val="superscript"/>
          <w:lang w:val="en-US"/>
        </w:rPr>
        <w:footnoteReference w:id="128"/>
      </w:r>
      <w:r>
        <w:rPr>
          <w:rFonts w:cs="Times New Roman"/>
          <w:noProof/>
          <w:color w:val="000000" w:themeColor="text1"/>
          <w:sz w:val="20"/>
          <w:lang w:val="en-US"/>
        </w:rPr>
        <w:t>. Some compliance promotion campaigns have been organized.</w:t>
      </w:r>
      <w:r>
        <w:rPr>
          <w:rFonts w:cs="Times New Roman"/>
          <w:noProof/>
          <w:color w:val="000000"/>
          <w:sz w:val="20"/>
          <w:lang w:val="en-US"/>
        </w:rPr>
        <w:t xml:space="preserve"> The </w:t>
      </w:r>
      <w:r>
        <w:rPr>
          <w:rFonts w:cs="Times New Roman"/>
          <w:noProof/>
          <w:color w:val="000000"/>
          <w:sz w:val="20"/>
        </w:rPr>
        <w:t>General Inspection for Agriculture, Sea, Environment and Spatial Planning (IGAMAOT)</w:t>
      </w:r>
      <w:r>
        <w:rPr>
          <w:rFonts w:cs="Times New Roman"/>
          <w:noProof/>
          <w:color w:val="000000" w:themeColor="text1"/>
          <w:sz w:val="20"/>
          <w:vertAlign w:val="superscript"/>
          <w:lang w:val="en-US"/>
        </w:rPr>
        <w:footnoteReference w:id="129"/>
      </w:r>
      <w:r>
        <w:rPr>
          <w:rFonts w:cs="Times New Roman"/>
          <w:noProof/>
          <w:color w:val="000000" w:themeColor="text1"/>
          <w:sz w:val="20"/>
          <w:lang w:val="en-US"/>
        </w:rPr>
        <w:t xml:space="preserve"> established a database on regulated industrial installations and relevant inspection activities </w:t>
      </w:r>
      <w:r>
        <w:rPr>
          <w:rFonts w:cs="Times New Roman"/>
          <w:noProof/>
          <w:color w:val="000000"/>
          <w:sz w:val="20"/>
          <w:lang w:val="en-US"/>
        </w:rPr>
        <w:t>that include also other sectors that have to comply with environmental obligations such as animal farms (intensive livestock), infrastructures and construction</w:t>
      </w:r>
      <w:r>
        <w:rPr>
          <w:rFonts w:cs="Times New Roman"/>
          <w:noProof/>
          <w:color w:val="000000"/>
          <w:sz w:val="20"/>
          <w:lang w:val="en-US"/>
        </w:rPr>
        <w:t>s, hospitals, waste management sites and transportation, wastewater treatment plants, agriculture</w:t>
      </w:r>
      <w:r>
        <w:rPr>
          <w:rFonts w:cs="Times New Roman"/>
          <w:noProof/>
          <w:color w:val="000000" w:themeColor="text1"/>
          <w:sz w:val="20"/>
          <w:vertAlign w:val="superscript"/>
          <w:lang w:val="en-US"/>
        </w:rPr>
        <w:footnoteReference w:id="130"/>
      </w:r>
      <w:r>
        <w:rPr>
          <w:rFonts w:cs="Times New Roman"/>
          <w:noProof/>
          <w:color w:val="000000" w:themeColor="text1"/>
          <w:sz w:val="20"/>
          <w:lang w:val="en-US"/>
        </w:rPr>
        <w:t xml:space="preserve"> and uses a geographic information system for analyzing, planning and prioritizing inspections</w:t>
      </w:r>
      <w:r>
        <w:rPr>
          <w:rFonts w:cs="Times New Roman"/>
          <w:noProof/>
          <w:color w:val="000000" w:themeColor="text1"/>
          <w:sz w:val="20"/>
          <w:vertAlign w:val="superscript"/>
          <w:lang w:val="en-US"/>
        </w:rPr>
        <w:footnoteReference w:id="131"/>
      </w:r>
      <w:r>
        <w:rPr>
          <w:rFonts w:cs="Times New Roman"/>
          <w:noProof/>
          <w:color w:val="000000" w:themeColor="text1"/>
          <w:sz w:val="20"/>
          <w:lang w:val="en-US"/>
        </w:rPr>
        <w:t>. There is a system for performance evaluation which uses not o</w:t>
      </w:r>
      <w:r>
        <w:rPr>
          <w:rFonts w:cs="Times New Roman"/>
          <w:noProof/>
          <w:color w:val="000000" w:themeColor="text1"/>
          <w:sz w:val="20"/>
          <w:lang w:val="en-US"/>
        </w:rPr>
        <w:t>nly input and output indicators but also some outcome indicators related to state of the environment parameters</w:t>
      </w:r>
      <w:r>
        <w:rPr>
          <w:rFonts w:cs="Times New Roman"/>
          <w:noProof/>
          <w:color w:val="000000" w:themeColor="text1"/>
          <w:sz w:val="20"/>
          <w:vertAlign w:val="superscript"/>
          <w:lang w:val="en-US"/>
        </w:rPr>
        <w:footnoteReference w:id="132"/>
      </w:r>
      <w:r>
        <w:rPr>
          <w:rFonts w:cs="Times New Roman"/>
          <w:noProof/>
          <w:color w:val="000000" w:themeColor="text1"/>
          <w:sz w:val="20"/>
          <w:lang w:val="en-US"/>
        </w:rPr>
        <w:t>.</w:t>
      </w:r>
    </w:p>
    <w:p w:rsidR="004C5536" w:rsidRDefault="003D3C7F">
      <w:pPr>
        <w:widowControl w:val="0"/>
        <w:spacing w:after="0" w:line="240" w:lineRule="auto"/>
        <w:jc w:val="both"/>
        <w:rPr>
          <w:rFonts w:cs="Times New Roman"/>
          <w:noProof/>
          <w:sz w:val="20"/>
        </w:rPr>
      </w:pPr>
      <w:r>
        <w:rPr>
          <w:rFonts w:cs="Times New Roman"/>
          <w:noProof/>
          <w:sz w:val="20"/>
        </w:rPr>
        <w:t>Some reports have shown that there are shortcomings in relation to:</w:t>
      </w:r>
    </w:p>
    <w:p w:rsidR="004C5536" w:rsidRDefault="003D3C7F">
      <w:pPr>
        <w:widowControl w:val="0"/>
        <w:numPr>
          <w:ilvl w:val="0"/>
          <w:numId w:val="26"/>
        </w:numPr>
        <w:spacing w:after="0" w:line="240" w:lineRule="auto"/>
        <w:contextualSpacing/>
        <w:jc w:val="both"/>
        <w:rPr>
          <w:rFonts w:cs="Times New Roman"/>
          <w:noProof/>
          <w:sz w:val="20"/>
        </w:rPr>
      </w:pPr>
      <w:r>
        <w:rPr>
          <w:rFonts w:cs="Times New Roman"/>
          <w:noProof/>
          <w:sz w:val="20"/>
        </w:rPr>
        <w:t>data-collection arrangements to track the use and effectiveness of differe</w:t>
      </w:r>
      <w:r>
        <w:rPr>
          <w:rFonts w:cs="Times New Roman"/>
          <w:noProof/>
          <w:sz w:val="20"/>
        </w:rPr>
        <w:t>nt compliance assurance interventions outside the area of industrial installations;</w:t>
      </w:r>
    </w:p>
    <w:p w:rsidR="004C5536" w:rsidRDefault="003D3C7F">
      <w:pPr>
        <w:widowControl w:val="0"/>
        <w:numPr>
          <w:ilvl w:val="0"/>
          <w:numId w:val="26"/>
        </w:numPr>
        <w:spacing w:after="0" w:line="240" w:lineRule="auto"/>
        <w:contextualSpacing/>
        <w:jc w:val="both"/>
        <w:rPr>
          <w:rFonts w:cs="Times New Roman"/>
          <w:noProof/>
          <w:sz w:val="20"/>
        </w:rPr>
      </w:pPr>
      <w:r>
        <w:rPr>
          <w:rFonts w:cs="Times New Roman"/>
          <w:noProof/>
          <w:sz w:val="20"/>
        </w:rPr>
        <w:t>the extent to which risk-based methods are used to direct compliance assurance at the strategic level and in relation to critical activities outside of industrial installat</w:t>
      </w:r>
      <w:r>
        <w:rPr>
          <w:rFonts w:cs="Times New Roman"/>
          <w:noProof/>
          <w:sz w:val="20"/>
        </w:rPr>
        <w:t>ions</w:t>
      </w:r>
      <w:r>
        <w:rPr>
          <w:rFonts w:cs="Times New Roman"/>
          <w:noProof/>
          <w:sz w:val="20"/>
          <w:vertAlign w:val="superscript"/>
        </w:rPr>
        <w:footnoteReference w:id="133"/>
      </w:r>
      <w:r>
        <w:rPr>
          <w:rFonts w:cs="Times New Roman"/>
          <w:noProof/>
          <w:sz w:val="20"/>
        </w:rPr>
        <w:t>, in particular in specific problem-areas highlighted elsewhere in this Country Report, i.e. the threats to protected habitat types and species, poor air quality and the pressures on water quality from diffuse and point sources of pollution;</w:t>
      </w:r>
    </w:p>
    <w:p w:rsidR="004C5536" w:rsidRDefault="003D3C7F">
      <w:pPr>
        <w:widowControl w:val="0"/>
        <w:numPr>
          <w:ilvl w:val="0"/>
          <w:numId w:val="26"/>
        </w:numPr>
        <w:spacing w:after="120" w:line="240" w:lineRule="auto"/>
        <w:contextualSpacing/>
        <w:jc w:val="both"/>
        <w:rPr>
          <w:rFonts w:cs="Times New Roman"/>
          <w:noProof/>
          <w:color w:val="000000" w:themeColor="text1"/>
          <w:sz w:val="20"/>
        </w:rPr>
      </w:pPr>
      <w:r>
        <w:rPr>
          <w:rFonts w:cs="Times New Roman"/>
          <w:noProof/>
          <w:sz w:val="20"/>
        </w:rPr>
        <w:t>how the P</w:t>
      </w:r>
      <w:r>
        <w:rPr>
          <w:rFonts w:cs="Times New Roman"/>
          <w:noProof/>
          <w:sz w:val="20"/>
        </w:rPr>
        <w:t xml:space="preserve">ortuguese authorities ensure a targeted and proportionate response to different types of </w:t>
      </w:r>
      <w:r>
        <w:rPr>
          <w:rFonts w:cs="Times New Roman"/>
          <w:noProof/>
          <w:color w:val="000000" w:themeColor="text1"/>
          <w:sz w:val="20"/>
        </w:rPr>
        <w:t>non-compliant behaviour, given evidence of the limited effectiveness of sanctions</w:t>
      </w:r>
      <w:r>
        <w:rPr>
          <w:rFonts w:cs="Times New Roman"/>
          <w:noProof/>
          <w:color w:val="000000" w:themeColor="text1"/>
          <w:sz w:val="20"/>
          <w:vertAlign w:val="superscript"/>
        </w:rPr>
        <w:footnoteReference w:id="134"/>
      </w:r>
      <w:r>
        <w:rPr>
          <w:rFonts w:cs="Times New Roman"/>
          <w:noProof/>
          <w:color w:val="000000" w:themeColor="text1"/>
          <w:sz w:val="20"/>
        </w:rPr>
        <w:t>.</w:t>
      </w:r>
    </w:p>
    <w:p w:rsidR="004C5536" w:rsidRDefault="003D3C7F">
      <w:pPr>
        <w:widowControl w:val="0"/>
        <w:spacing w:before="240" w:after="120" w:line="240" w:lineRule="auto"/>
        <w:jc w:val="both"/>
        <w:rPr>
          <w:rFonts w:cs="Times New Roman"/>
          <w:noProof/>
          <w:sz w:val="20"/>
          <w:lang w:val="en-US"/>
        </w:rPr>
      </w:pPr>
      <w:r>
        <w:rPr>
          <w:rFonts w:cs="Times New Roman"/>
          <w:noProof/>
          <w:sz w:val="20"/>
          <w:lang w:val="en-US"/>
        </w:rPr>
        <w:t>To remediate the above-mentioned gaps, the IGAMEOT is putting in place different me</w:t>
      </w:r>
      <w:r>
        <w:rPr>
          <w:rFonts w:cs="Times New Roman"/>
          <w:noProof/>
          <w:sz w:val="20"/>
          <w:lang w:val="en-US"/>
        </w:rPr>
        <w:t>asures, like a new data-base, new units and various publications.</w:t>
      </w:r>
    </w:p>
    <w:p w:rsidR="004C5536" w:rsidRDefault="003D3C7F">
      <w:pPr>
        <w:widowControl w:val="0"/>
        <w:spacing w:after="120" w:line="240" w:lineRule="auto"/>
        <w:jc w:val="both"/>
        <w:rPr>
          <w:rFonts w:cs="Times New Roman"/>
          <w:noProof/>
          <w:sz w:val="20"/>
          <w:lang w:val="en-US"/>
        </w:rPr>
      </w:pPr>
      <w:r>
        <w:rPr>
          <w:rFonts w:cs="Times New Roman"/>
          <w:noProof/>
          <w:sz w:val="20"/>
          <w:lang w:val="en-US"/>
        </w:rPr>
        <w:t>Portugal is active within IMPEL and has undergone an IMPEL peer review.</w:t>
      </w:r>
    </w:p>
    <w:p w:rsidR="004C5536" w:rsidRDefault="003D3C7F">
      <w:pPr>
        <w:widowControl w:val="0"/>
        <w:spacing w:after="120" w:line="240" w:lineRule="auto"/>
        <w:jc w:val="both"/>
        <w:rPr>
          <w:rFonts w:cs="Times New Roman"/>
          <w:noProof/>
          <w:sz w:val="20"/>
          <w:lang w:val="en-US"/>
        </w:rPr>
      </w:pPr>
      <w:r>
        <w:rPr>
          <w:rFonts w:cs="Times New Roman"/>
          <w:noProof/>
          <w:sz w:val="20"/>
          <w:lang w:val="en-US"/>
        </w:rPr>
        <w:t xml:space="preserve">Although the added value of cooperation and coordination with other authorities with relevant functions is recognized </w:t>
      </w:r>
      <w:r>
        <w:rPr>
          <w:rFonts w:cs="Times New Roman"/>
          <w:noProof/>
          <w:sz w:val="20"/>
          <w:lang w:val="en-US"/>
        </w:rPr>
        <w:t>and some formal cooperation agreements are in place, there is a perception of need for more systematic use of joint inspections and for measures to ensure effective inter-action between environmental inspectors and prosecutors</w:t>
      </w:r>
      <w:r>
        <w:rPr>
          <w:rFonts w:cs="Times New Roman"/>
          <w:noProof/>
          <w:sz w:val="20"/>
          <w:vertAlign w:val="superscript"/>
          <w:lang w:val="en-US"/>
        </w:rPr>
        <w:footnoteReference w:id="135"/>
      </w:r>
      <w:r>
        <w:rPr>
          <w:rFonts w:cs="Times New Roman"/>
          <w:noProof/>
          <w:sz w:val="20"/>
          <w:lang w:val="en-US"/>
        </w:rPr>
        <w:t>. In this context, Portuguese</w:t>
      </w:r>
      <w:r>
        <w:rPr>
          <w:rFonts w:cs="Times New Roman"/>
          <w:noProof/>
          <w:sz w:val="20"/>
          <w:lang w:val="en-US"/>
        </w:rPr>
        <w:t xml:space="preserve"> authorities namely the Portuguese Environment Agency, </w:t>
      </w:r>
      <w:r>
        <w:rPr>
          <w:rFonts w:cs="Times New Roman"/>
          <w:noProof/>
          <w:sz w:val="20"/>
        </w:rPr>
        <w:t>the Institute of Nature Conservation and Forests, the IGAMAOT, the Secretary-General of the Environment Ministry, the Public Prosecutor’s Office, the Regional Direction of Environment and Spatial Plann</w:t>
      </w:r>
      <w:r>
        <w:rPr>
          <w:rFonts w:cs="Times New Roman"/>
          <w:noProof/>
          <w:sz w:val="20"/>
        </w:rPr>
        <w:t xml:space="preserve">ing of the Madeira and the Regional Inspection for Environment of the Azores, have created </w:t>
      </w:r>
      <w:r>
        <w:rPr>
          <w:rFonts w:cs="Times New Roman"/>
          <w:noProof/>
          <w:sz w:val="20"/>
          <w:lang w:val="en-US"/>
        </w:rPr>
        <w:t>a Portuguese IMPEL Network, with the aim to contribute to the improvement of implementation of environmental law.</w:t>
      </w:r>
    </w:p>
    <w:p w:rsidR="004C5536" w:rsidRDefault="003D3C7F">
      <w:pPr>
        <w:widowControl w:val="0"/>
        <w:spacing w:after="120" w:line="240" w:lineRule="auto"/>
        <w:jc w:val="both"/>
        <w:rPr>
          <w:rFonts w:cs="Times New Roman"/>
          <w:noProof/>
          <w:sz w:val="20"/>
        </w:rPr>
      </w:pPr>
      <w:r>
        <w:rPr>
          <w:rFonts w:cs="Times New Roman"/>
          <w:noProof/>
          <w:sz w:val="20"/>
        </w:rPr>
        <w:t xml:space="preserve">For the period 2007-2013, Portugal reported two </w:t>
      </w:r>
      <w:r>
        <w:rPr>
          <w:rFonts w:cs="Times New Roman"/>
          <w:noProof/>
          <w:sz w:val="20"/>
        </w:rPr>
        <w:t>confirmed cases of environmental damage dealt with under the Environmental Liability Directive, and several cases where preventive measures were applied. It has established several support mechanisms, including guidance, a consultative council and a standi</w:t>
      </w:r>
      <w:r>
        <w:rPr>
          <w:rFonts w:cs="Times New Roman"/>
          <w:noProof/>
          <w:sz w:val="20"/>
        </w:rPr>
        <w:t>ng committee. It is actively promoting the Directive via awareness-raising and information campaigns for stakeholders and training for competent authorities (it participates extensively in the Commission's training programme for the Directive). Portugal ha</w:t>
      </w:r>
      <w:r>
        <w:rPr>
          <w:rFonts w:cs="Times New Roman"/>
          <w:noProof/>
          <w:sz w:val="20"/>
        </w:rPr>
        <w:t>s established mandatory financial security and the country reports that the Directive contributes to operators being more aware of environmental risks and of the importance of reducing them.</w:t>
      </w:r>
    </w:p>
    <w:p w:rsidR="004C5536" w:rsidRDefault="003D3C7F">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4C5536" w:rsidRDefault="003D3C7F">
      <w:pPr>
        <w:pStyle w:val="NoSpacing"/>
        <w:rPr>
          <w:noProof/>
        </w:rPr>
      </w:pPr>
      <w:r>
        <w:rPr>
          <w:noProof/>
        </w:rPr>
        <w:t>Improve transparency on the organisation and fun</w:t>
      </w:r>
      <w:r>
        <w:rPr>
          <w:noProof/>
        </w:rPr>
        <w:t>ctioning of compliance assurance and on how significant risks are addressed.</w:t>
      </w:r>
    </w:p>
    <w:p w:rsidR="004C5536" w:rsidRDefault="003D3C7F">
      <w:pPr>
        <w:pStyle w:val="NoSpacing"/>
        <w:spacing w:after="360"/>
        <w:rPr>
          <w:noProof/>
        </w:rPr>
      </w:pPr>
      <w:r>
        <w:rPr>
          <w:noProof/>
        </w:rPr>
        <w:t>Encourage greater participation of competent authorities in the activities of ENPE, EUFJE and EnviCrimeNet.</w:t>
      </w:r>
    </w:p>
    <w:p w:rsidR="004C5536" w:rsidRDefault="003D3C7F">
      <w:pPr>
        <w:widowControl w:val="0"/>
        <w:spacing w:after="240" w:line="240" w:lineRule="auto"/>
        <w:jc w:val="both"/>
        <w:outlineLvl w:val="1"/>
        <w:rPr>
          <w:rFonts w:cs="Times New Roman"/>
          <w:b/>
          <w:noProof/>
          <w:color w:val="1F497D" w:themeColor="text2"/>
          <w:sz w:val="24"/>
        </w:rPr>
      </w:pPr>
      <w:bookmarkStart w:id="54" w:name="_Toc439678163"/>
      <w:bookmarkStart w:id="55" w:name="_Toc454457667"/>
      <w:bookmarkStart w:id="56" w:name="_Toc469492768"/>
      <w:r>
        <w:rPr>
          <w:rFonts w:cs="Times New Roman"/>
          <w:b/>
          <w:noProof/>
          <w:color w:val="1F497D" w:themeColor="text2"/>
          <w:sz w:val="24"/>
        </w:rPr>
        <w:t>Public participation and access to justice</w:t>
      </w:r>
      <w:bookmarkEnd w:id="54"/>
      <w:bookmarkEnd w:id="55"/>
      <w:bookmarkEnd w:id="56"/>
    </w:p>
    <w:p w:rsidR="004C5536" w:rsidRDefault="003D3C7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w:t>
      </w:r>
      <w:r>
        <w:rPr>
          <w:rFonts w:cs="Times New Roman"/>
          <w:noProof/>
          <w:color w:val="FFFFFF" w:themeColor="background1"/>
          <w:sz w:val="20"/>
        </w:rPr>
        <w:t>ed EU legislation on public participation and environmental impact assessment, and the case-law of the Court of Justice require that citizens and their associations should be able to participate in decision-making on projects and plans and should enjoy eff</w:t>
      </w:r>
      <w:r>
        <w:rPr>
          <w:rFonts w:cs="Times New Roman"/>
          <w:noProof/>
          <w:color w:val="FFFFFF" w:themeColor="background1"/>
          <w:sz w:val="20"/>
        </w:rPr>
        <w:t>ective environmental access to justice.</w:t>
      </w:r>
    </w:p>
    <w:p w:rsidR="004C5536" w:rsidRDefault="003D3C7F">
      <w:pPr>
        <w:widowControl w:val="0"/>
        <w:spacing w:before="240"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and Access to Justice in Environmental</w:t>
      </w:r>
      <w:r>
        <w:rPr>
          <w:rFonts w:cs="Times New Roman"/>
          <w:noProof/>
          <w:sz w:val="20"/>
        </w:rPr>
        <w:t xml:space="preserve">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Public participation in the administrative decision making process is an important element to ensure that the authority takes its decision on the best possible basis. The Commission intends to examine compliance with man</w:t>
      </w:r>
      <w:r>
        <w:rPr>
          <w:rFonts w:cs="Times New Roman"/>
          <w:noProof/>
          <w:sz w:val="20"/>
        </w:rPr>
        <w:t>datory public participation requirements more systematically at a later stage.</w:t>
      </w:r>
    </w:p>
    <w:p w:rsidR="004C5536" w:rsidRDefault="003D3C7F">
      <w:pPr>
        <w:widowControl w:val="0"/>
        <w:spacing w:after="120" w:line="240" w:lineRule="auto"/>
        <w:jc w:val="both"/>
        <w:rPr>
          <w:rFonts w:cs="Times New Roman"/>
          <w:noProof/>
          <w:sz w:val="20"/>
        </w:rPr>
      </w:pPr>
      <w:r>
        <w:rPr>
          <w:rFonts w:cs="Times New Roman"/>
          <w:noProof/>
          <w:sz w:val="20"/>
        </w:rPr>
        <w:t xml:space="preserve">Access to justice in environmental matters is a set of guarantees that allows citizens and their associations to challenge acts or omissions of the public administration before </w:t>
      </w:r>
      <w:r>
        <w:rPr>
          <w:rFonts w:cs="Times New Roman"/>
          <w:noProof/>
          <w:sz w:val="20"/>
        </w:rPr>
        <w:t>a court. It is a tool for decentralised implementation of EU environmental law.</w:t>
      </w:r>
    </w:p>
    <w:p w:rsidR="004C5536" w:rsidRDefault="003D3C7F">
      <w:pPr>
        <w:widowControl w:val="0"/>
        <w:spacing w:after="120" w:line="240" w:lineRule="auto"/>
        <w:jc w:val="both"/>
        <w:rPr>
          <w:rFonts w:cs="Times New Roman"/>
          <w:noProof/>
          <w:sz w:val="20"/>
        </w:rPr>
      </w:pPr>
      <w:r>
        <w:rPr>
          <w:rFonts w:cs="Times New Roman"/>
          <w:noProof/>
          <w:sz w:val="20"/>
        </w:rPr>
        <w:t xml:space="preserve">For each Member State, two crucial elements for effective access to justice have been systematically reviewed: the legal standing for the public, including NGOs and the extent </w:t>
      </w:r>
      <w:r>
        <w:rPr>
          <w:rFonts w:cs="Times New Roman"/>
          <w:noProof/>
          <w:sz w:val="20"/>
        </w:rPr>
        <w:t>to which prohibitive costs represent a barrier.</w:t>
      </w:r>
    </w:p>
    <w:p w:rsidR="004C5536" w:rsidRDefault="003D3C7F">
      <w:pPr>
        <w:widowControl w:val="0"/>
        <w:spacing w:after="480" w:line="240" w:lineRule="auto"/>
        <w:jc w:val="both"/>
        <w:rPr>
          <w:rFonts w:cs="Times New Roman"/>
          <w:noProof/>
          <w:color w:val="000000" w:themeColor="text1"/>
          <w:sz w:val="20"/>
          <w:lang w:val="en-US"/>
        </w:rPr>
      </w:pPr>
      <w:r>
        <w:rPr>
          <w:rFonts w:cs="Times New Roman"/>
          <w:noProof/>
          <w:color w:val="000000" w:themeColor="text1"/>
          <w:sz w:val="20"/>
          <w:lang w:val="en-US"/>
        </w:rPr>
        <w:t xml:space="preserve">Portugal grants the public, notably individuals and NGOs, a very broad access to justice in environmental cases. The costs for bringing a case to a court are also not prohibitively high. This guarantees that </w:t>
      </w:r>
      <w:r>
        <w:rPr>
          <w:rFonts w:cs="Times New Roman"/>
          <w:noProof/>
          <w:color w:val="000000" w:themeColor="text1"/>
          <w:sz w:val="20"/>
          <w:lang w:val="en-US"/>
        </w:rPr>
        <w:t>members of the public are provided with good conditions for asking for a judicial review in environmental matters. However, the court procedures, including environmental cases in Portugal are rather long</w:t>
      </w:r>
      <w:r>
        <w:rPr>
          <w:rFonts w:cs="Times New Roman"/>
          <w:noProof/>
          <w:color w:val="000000" w:themeColor="text1"/>
          <w:sz w:val="20"/>
          <w:vertAlign w:val="superscript"/>
          <w:lang w:val="en-US"/>
        </w:rPr>
        <w:footnoteReference w:id="136"/>
      </w:r>
      <w:r>
        <w:rPr>
          <w:rFonts w:cs="Times New Roman"/>
          <w:noProof/>
          <w:color w:val="000000" w:themeColor="text1"/>
          <w:sz w:val="20"/>
          <w:lang w:val="en-US"/>
        </w:rPr>
        <w:t>.</w:t>
      </w:r>
    </w:p>
    <w:p w:rsidR="004C5536" w:rsidRDefault="003D3C7F">
      <w:pPr>
        <w:widowControl w:val="0"/>
        <w:spacing w:after="240" w:line="240" w:lineRule="auto"/>
        <w:jc w:val="both"/>
        <w:outlineLvl w:val="1"/>
        <w:rPr>
          <w:rFonts w:cs="Times New Roman"/>
          <w:b/>
          <w:noProof/>
          <w:color w:val="1F497D" w:themeColor="text2"/>
          <w:sz w:val="24"/>
        </w:rPr>
      </w:pPr>
      <w:bookmarkStart w:id="57" w:name="_Toc454457668"/>
      <w:bookmarkStart w:id="58" w:name="_Toc469492769"/>
      <w:r>
        <w:rPr>
          <w:rFonts w:cs="Times New Roman"/>
          <w:b/>
          <w:noProof/>
          <w:color w:val="1F497D" w:themeColor="text2"/>
          <w:sz w:val="24"/>
        </w:rPr>
        <w:t>Access to information, knowledge and evidence</w:t>
      </w:r>
      <w:bookmarkEnd w:id="57"/>
      <w:bookmarkEnd w:id="58"/>
    </w:p>
    <w:p w:rsidR="004C5536" w:rsidRDefault="003D3C7F">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w:t>
      </w:r>
      <w:r>
        <w:rPr>
          <w:rFonts w:cs="Times New Roman"/>
          <w:noProof/>
          <w:color w:val="FFFFFF" w:themeColor="background1"/>
          <w:sz w:val="20"/>
        </w:rPr>
        <w:t>Aarhus Convention and related EU legislation on access to information and the sharing of spatial data require that the public has access to clear information on the environment, including on how Union environmental law is being implemented.</w:t>
      </w:r>
    </w:p>
    <w:p w:rsidR="004C5536" w:rsidRDefault="003D3C7F">
      <w:pPr>
        <w:widowControl w:val="0"/>
        <w:spacing w:before="240" w:after="120" w:line="240" w:lineRule="auto"/>
        <w:jc w:val="both"/>
        <w:rPr>
          <w:noProof/>
          <w:sz w:val="20"/>
        </w:rPr>
      </w:pPr>
      <w:r>
        <w:rPr>
          <w:noProof/>
          <w:sz w:val="20"/>
        </w:rPr>
        <w:t>It is of crucia</w:t>
      </w:r>
      <w:r>
        <w:rPr>
          <w:noProof/>
          <w:sz w:val="20"/>
        </w:rPr>
        <w:t xml:space="preserve">l importance to public authorities, the public and business that environmental information is shared in an efficient and effective way. This covers reporting by businesses and public authorities and active dissemination to the public, increasingly through </w:t>
      </w:r>
      <w:r>
        <w:rPr>
          <w:noProof/>
          <w:sz w:val="20"/>
        </w:rPr>
        <w:t>electronic means.</w:t>
      </w:r>
    </w:p>
    <w:p w:rsidR="004C5536" w:rsidRDefault="003D3C7F">
      <w:pPr>
        <w:widowControl w:val="0"/>
        <w:spacing w:after="120" w:line="240" w:lineRule="auto"/>
        <w:jc w:val="both"/>
        <w:rPr>
          <w:noProof/>
          <w:sz w:val="20"/>
        </w:rPr>
      </w:pPr>
      <w:r>
        <w:rPr>
          <w:noProof/>
          <w:sz w:val="20"/>
        </w:rPr>
        <w:t>The Aarhus Convention</w:t>
      </w:r>
      <w:r>
        <w:rPr>
          <w:noProof/>
          <w:sz w:val="20"/>
          <w:vertAlign w:val="superscript"/>
        </w:rPr>
        <w:footnoteReference w:id="137"/>
      </w:r>
      <w:r>
        <w:rPr>
          <w:noProof/>
          <w:sz w:val="20"/>
        </w:rPr>
        <w:t>, the Access to Environmental Information Directive</w:t>
      </w:r>
      <w:r>
        <w:rPr>
          <w:noProof/>
          <w:sz w:val="20"/>
          <w:vertAlign w:val="superscript"/>
        </w:rPr>
        <w:footnoteReference w:id="138"/>
      </w:r>
      <w:r>
        <w:rPr>
          <w:noProof/>
          <w:sz w:val="20"/>
        </w:rPr>
        <w:t xml:space="preserve"> and the INSPIRE Directive</w:t>
      </w:r>
      <w:r>
        <w:rPr>
          <w:noProof/>
          <w:sz w:val="20"/>
          <w:vertAlign w:val="superscript"/>
        </w:rPr>
        <w:footnoteReference w:id="139"/>
      </w:r>
      <w:r>
        <w:rPr>
          <w:noProof/>
          <w:sz w:val="20"/>
        </w:rPr>
        <w:t xml:space="preserve"> together create a legal foundation for the sharing of environmental information between public authorities and with the public. They als</w:t>
      </w:r>
      <w:r>
        <w:rPr>
          <w:noProof/>
          <w:sz w:val="20"/>
        </w:rPr>
        <w:t>o represent the green part of the ongoing EU e-Government Action Plan</w:t>
      </w:r>
      <w:r>
        <w:rPr>
          <w:noProof/>
          <w:sz w:val="20"/>
          <w:vertAlign w:val="superscript"/>
        </w:rPr>
        <w:footnoteReference w:id="140"/>
      </w:r>
      <w:r>
        <w:rPr>
          <w:noProof/>
          <w:sz w:val="20"/>
        </w:rPr>
        <w:t>. The first two instruments create obligations to provide information to the public, both on request and actively. The INSPIRE Directive is a pioneering instrument for electronic data-sh</w:t>
      </w:r>
      <w:r>
        <w:rPr>
          <w:noProof/>
          <w:sz w:val="20"/>
        </w:rPr>
        <w:t>aring between public authorities who can vary in their data-sharing policies, e.g. on whether access to data is for free. The INSPIRE Directive sets up a geoportal which indicates the level of shared spatial data in each Member State – i.e. data related to</w:t>
      </w:r>
      <w:r>
        <w:rPr>
          <w:noProof/>
          <w:sz w:val="20"/>
        </w:rPr>
        <w:t xml:space="preserve"> specific locations, such as air quality monitoring data. Amongst other benefits it facilitates the public authorities' reporting obligations.</w:t>
      </w:r>
    </w:p>
    <w:p w:rsidR="004C5536" w:rsidRDefault="003D3C7F">
      <w:pPr>
        <w:widowControl w:val="0"/>
        <w:spacing w:after="120" w:line="240" w:lineRule="auto"/>
        <w:jc w:val="both"/>
        <w:rPr>
          <w:noProof/>
          <w:sz w:val="20"/>
        </w:rPr>
      </w:pPr>
      <w:r>
        <w:rPr>
          <w:noProof/>
          <w:sz w:val="20"/>
        </w:rPr>
        <w:t>For each Member State, the accessibility of environmental data (based on what the INSPIRE Directive envisages) as</w:t>
      </w:r>
      <w:r>
        <w:rPr>
          <w:noProof/>
          <w:sz w:val="20"/>
        </w:rPr>
        <w:t xml:space="preserve"> well as data-sharing policies ('open data') have been systematically reviewed. </w:t>
      </w:r>
    </w:p>
    <w:p w:rsidR="004C5536" w:rsidRDefault="003D3C7F">
      <w:pPr>
        <w:spacing w:after="120" w:line="240" w:lineRule="auto"/>
        <w:jc w:val="both"/>
        <w:rPr>
          <w:rFonts w:cs="Times New Roman"/>
          <w:noProof/>
          <w:sz w:val="20"/>
        </w:rPr>
      </w:pPr>
      <w:r>
        <w:rPr>
          <w:rFonts w:cs="Times New Roman"/>
          <w:noProof/>
          <w:sz w:val="20"/>
        </w:rPr>
        <w:t>Portugal's performance on the implementation of the INSPIRE Directive as enabling framework to actively disseminate environmental information to the public leaves room for imp</w:t>
      </w:r>
      <w:r>
        <w:rPr>
          <w:rFonts w:cs="Times New Roman"/>
          <w:noProof/>
          <w:sz w:val="20"/>
        </w:rPr>
        <w:t>rovement. Portugal has indicated in the 3-yearly INSPIRE implementation report</w:t>
      </w:r>
      <w:r>
        <w:rPr>
          <w:rFonts w:cs="Times New Roman"/>
          <w:noProof/>
          <w:sz w:val="20"/>
          <w:vertAlign w:val="superscript"/>
        </w:rPr>
        <w:footnoteReference w:id="141"/>
      </w:r>
      <w:r>
        <w:rPr>
          <w:rFonts w:cs="Times New Roman"/>
          <w:noProof/>
          <w:sz w:val="20"/>
        </w:rPr>
        <w:t xml:space="preserve"> that the necessary data-sharing policies allowing access and use of spatial data by national administrations, other Member States' administrations and EU institutions without p</w:t>
      </w:r>
      <w:r>
        <w:rPr>
          <w:rFonts w:cs="Times New Roman"/>
          <w:noProof/>
          <w:sz w:val="20"/>
        </w:rPr>
        <w:t>rocedural obstacles are available but not fully implemented. Portugal has no common data-sharing policy and several licenses are being used to regulate the access and use to spatial information. In many cases fees are applied. Portugal has expressed the am</w:t>
      </w:r>
      <w:r>
        <w:rPr>
          <w:rFonts w:cs="Times New Roman"/>
          <w:noProof/>
          <w:sz w:val="20"/>
        </w:rPr>
        <w:t>bition to work on a simplified data-sharing policy promoting the free access to and use of public sector spatial data. The need for recoverability of investments in data acquisition and management in many public administrations is the biggest bottleneck to</w:t>
      </w:r>
      <w:r>
        <w:rPr>
          <w:rFonts w:cs="Times New Roman"/>
          <w:noProof/>
          <w:sz w:val="20"/>
        </w:rPr>
        <w:t xml:space="preserve"> address on the way to open data. </w:t>
      </w:r>
    </w:p>
    <w:p w:rsidR="004C5536" w:rsidRDefault="003D3C7F">
      <w:pPr>
        <w:spacing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42"/>
      </w:r>
      <w:r>
        <w:rPr>
          <w:rFonts w:cs="Times New Roman"/>
          <w:noProof/>
          <w:sz w:val="20"/>
        </w:rPr>
        <w:t xml:space="preserve"> issued by Portugal and the spatial information that Portugal has published on the INSPIRE geoportal</w:t>
      </w:r>
      <w:r>
        <w:rPr>
          <w:rFonts w:cs="Times New Roman"/>
          <w:noProof/>
          <w:sz w:val="20"/>
          <w:vertAlign w:val="superscript"/>
        </w:rPr>
        <w:footnoteReference w:id="143"/>
      </w:r>
      <w:r>
        <w:rPr>
          <w:rFonts w:cs="Times New Roman"/>
          <w:noProof/>
          <w:sz w:val="20"/>
        </w:rPr>
        <w:t xml:space="preserve"> indicate that not all spatial information needed for the evaluation and implementatio</w:t>
      </w:r>
      <w:r>
        <w:rPr>
          <w:rFonts w:cs="Times New Roman"/>
          <w:noProof/>
          <w:sz w:val="20"/>
        </w:rPr>
        <w:t>n of EU environmental law has been made available or is accessible. The larger part of this missing spatial information consists of the environmental data required to be made available under the existing reporting and monitoring regulations of EU environme</w:t>
      </w:r>
      <w:r>
        <w:rPr>
          <w:rFonts w:cs="Times New Roman"/>
          <w:noProof/>
          <w:sz w:val="20"/>
        </w:rPr>
        <w:t>ntal law.</w:t>
      </w:r>
    </w:p>
    <w:p w:rsidR="004C5536" w:rsidRDefault="003D3C7F">
      <w:pPr>
        <w:spacing w:after="240" w:line="240" w:lineRule="auto"/>
        <w:jc w:val="both"/>
        <w:rPr>
          <w:rFonts w:cs="Times New Roman"/>
          <w:noProof/>
          <w:sz w:val="20"/>
        </w:rPr>
      </w:pPr>
      <w:r>
        <w:rPr>
          <w:rFonts w:cs="Times New Roman"/>
          <w:noProof/>
          <w:sz w:val="20"/>
        </w:rPr>
        <w:t xml:space="preserve">Moreover, the new Single Environment Permit (SEP) scheme could help to strengthen the transparency and responsibility of business owners and other intervening bodies by organising and standardising all the environmental information applicable to </w:t>
      </w:r>
      <w:r>
        <w:rPr>
          <w:rFonts w:cs="Times New Roman"/>
          <w:noProof/>
          <w:sz w:val="20"/>
        </w:rPr>
        <w:t>an establishment or activity.</w:t>
      </w:r>
    </w:p>
    <w:p w:rsidR="004C5536" w:rsidRDefault="003D3C7F">
      <w:pPr>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4C5536" w:rsidRDefault="003D3C7F">
      <w:pPr>
        <w:pStyle w:val="NoSpacing"/>
        <w:rPr>
          <w:noProof/>
        </w:rPr>
      </w:pPr>
      <w:r>
        <w:rPr>
          <w:noProof/>
        </w:rPr>
        <w:t xml:space="preserve">Critically review the effectiveness of its data policies and amend them, taking 'best practices' into consideration. </w:t>
      </w:r>
    </w:p>
    <w:p w:rsidR="004C5536" w:rsidRDefault="003D3C7F">
      <w:pPr>
        <w:pStyle w:val="NoSpacing"/>
        <w:rPr>
          <w:noProof/>
        </w:rPr>
      </w:pPr>
      <w:r>
        <w:rPr>
          <w:noProof/>
        </w:rPr>
        <w:t xml:space="preserve">Identify and document all spatial data sets required for the implementation of </w:t>
      </w:r>
      <w:r>
        <w:rPr>
          <w:noProof/>
        </w:rPr>
        <w:t>environmental law, and make the data and documentation at least accessible 'as is' to other public authorities and the public through the digital services foreseen in the INSPIRE Directive.</w:t>
      </w:r>
    </w:p>
    <w:p w:rsidR="004C5536" w:rsidRDefault="004C5536">
      <w:pPr>
        <w:spacing w:after="120" w:line="240" w:lineRule="auto"/>
        <w:jc w:val="both"/>
        <w:rPr>
          <w:noProof/>
        </w:rPr>
      </w:pPr>
    </w:p>
    <w:p w:rsidR="004C5536" w:rsidRDefault="004C5536">
      <w:pPr>
        <w:spacing w:after="120" w:line="240" w:lineRule="auto"/>
        <w:jc w:val="both"/>
        <w:rPr>
          <w:noProof/>
        </w:rPr>
      </w:pPr>
    </w:p>
    <w:sectPr w:rsidR="004C5536">
      <w:headerReference w:type="even" r:id="rId125"/>
      <w:headerReference w:type="default" r:id="rId126"/>
      <w:footerReference w:type="even" r:id="rId127"/>
      <w:footerReference w:type="default" r:id="rId128"/>
      <w:headerReference w:type="first" r:id="rId129"/>
      <w:footerReference w:type="first" r:id="rId130"/>
      <w:type w:val="continuous"/>
      <w:pgSz w:w="11906" w:h="16838" w:code="9"/>
      <w:pgMar w:top="1440" w:right="1080" w:bottom="1440" w:left="1080" w:header="709" w:footer="709"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536" w:rsidRDefault="003D3C7F">
      <w:pPr>
        <w:spacing w:after="0" w:line="240" w:lineRule="auto"/>
      </w:pPr>
      <w:r>
        <w:separator/>
      </w:r>
    </w:p>
  </w:endnote>
  <w:endnote w:type="continuationSeparator" w:id="0">
    <w:p w:rsidR="004C5536" w:rsidRDefault="003D3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7F" w:rsidRPr="003D3C7F" w:rsidRDefault="003D3C7F" w:rsidP="003D3C7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 Portugal</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 Portugal</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w:t>
    </w:r>
    <w:r>
      <w:rPr>
        <w:lang w:val="fr-BE"/>
      </w:rPr>
      <w:t xml:space="preserve"> Portugal</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7F" w:rsidRPr="003D3C7F" w:rsidRDefault="003D3C7F" w:rsidP="003D3C7F">
    <w:pPr>
      <w:pStyle w:val="FooterCoverPage"/>
      <w:rPr>
        <w:rFonts w:ascii="Arial" w:hAnsi="Arial" w:cs="Arial"/>
        <w:b/>
        <w:sz w:val="48"/>
      </w:rPr>
    </w:pPr>
    <w:r w:rsidRPr="003D3C7F">
      <w:rPr>
        <w:rFonts w:ascii="Arial" w:hAnsi="Arial" w:cs="Arial"/>
        <w:b/>
        <w:sz w:val="48"/>
      </w:rPr>
      <w:t>EN</w:t>
    </w:r>
    <w:r w:rsidRPr="003D3C7F">
      <w:rPr>
        <w:rFonts w:ascii="Arial" w:hAnsi="Arial" w:cs="Arial"/>
        <w:b/>
        <w:sz w:val="48"/>
      </w:rPr>
      <w:tab/>
    </w:r>
    <w:r w:rsidRPr="003D3C7F">
      <w:rPr>
        <w:rFonts w:ascii="Arial" w:hAnsi="Arial" w:cs="Arial"/>
        <w:b/>
        <w:sz w:val="48"/>
      </w:rPr>
      <w:tab/>
    </w:r>
    <w:fldSimple w:instr=" DOCVARIABLE &quot;LW_Confidence&quot; \* MERGEFORMAT ">
      <w:r>
        <w:t xml:space="preserve"> </w:t>
      </w:r>
    </w:fldSimple>
    <w:r w:rsidRPr="003D3C7F">
      <w:tab/>
    </w:r>
    <w:r w:rsidRPr="003D3C7F">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2016 – Portugal</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 Portugal</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2016 – Portugal</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 Portugal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7F" w:rsidRPr="003D3C7F" w:rsidRDefault="003D3C7F" w:rsidP="003D3C7F">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2016 – Portugal</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 Portugal</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 xml:space="preserve">Environmental </w:t>
    </w:r>
    <w:r>
      <w:rPr>
        <w:lang w:val="fr-BE"/>
      </w:rPr>
      <w:t>Implementation Report – Portugal</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2016 – Portugal</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 Portugal</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 Portugal</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w:t>
    </w:r>
    <w:r>
      <w:rPr>
        <w:lang w:val="fr-BE"/>
      </w:rPr>
      <w:t>tation Report – Portugal</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3D3C7F">
    <w:pPr>
      <w:pStyle w:val="Footer"/>
      <w:jc w:val="center"/>
      <w:rPr>
        <w:lang w:val="fr-BE"/>
      </w:rPr>
    </w:pPr>
    <w:r>
      <w:rPr>
        <w:lang w:val="fr-BE"/>
      </w:rPr>
      <w:t>Environmental Implementation Report – Portugal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536" w:rsidRDefault="003D3C7F">
      <w:pPr>
        <w:spacing w:after="0" w:line="240" w:lineRule="auto"/>
      </w:pPr>
      <w:r>
        <w:separator/>
      </w:r>
    </w:p>
  </w:footnote>
  <w:footnote w:type="continuationSeparator" w:id="0">
    <w:p w:rsidR="004C5536" w:rsidRDefault="003D3C7F">
      <w:pPr>
        <w:spacing w:after="0" w:line="240" w:lineRule="auto"/>
      </w:pPr>
      <w:r>
        <w:continuationSeparator/>
      </w:r>
    </w:p>
  </w:footnote>
  <w:footnote w:id="1">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4C5536" w:rsidRDefault="003D3C7F">
      <w:pPr>
        <w:pStyle w:val="FootnoteText"/>
        <w:widowControl w:val="0"/>
        <w:ind w:left="60" w:hanging="60"/>
        <w:mirrorIndents/>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Decision No. 1386/2013/EU of 20 November 2013 on a General Union Environmental Action Programme to 2020 "</w:t>
      </w:r>
      <w:hyperlink r:id="rId2"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
  </w:footnote>
  <w:footnote w:id="3">
    <w:p w:rsidR="004C5536" w:rsidRDefault="003D3C7F">
      <w:pPr>
        <w:pStyle w:val="FootnoteText"/>
        <w:widowControl w:val="0"/>
        <w:tabs>
          <w:tab w:val="left" w:pos="142"/>
        </w:tabs>
        <w:ind w:left="60" w:hanging="60"/>
        <w:mirrorIndents/>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United Nation</w:t>
      </w:r>
      <w:r>
        <w:rPr>
          <w:rFonts w:asciiTheme="minorHAnsi" w:hAnsiTheme="minorHAnsi"/>
          <w:sz w:val="16"/>
          <w:szCs w:val="16"/>
        </w:rPr>
        <w:t xml:space="preserve">s, 2015. </w:t>
      </w:r>
      <w:hyperlink r:id="rId3" w:history="1">
        <w:r>
          <w:rPr>
            <w:rStyle w:val="Hyperlink"/>
            <w:rFonts w:asciiTheme="minorHAnsi" w:hAnsiTheme="minorHAnsi"/>
            <w:sz w:val="16"/>
            <w:szCs w:val="16"/>
          </w:rPr>
          <w:t>The Sustainable Development Goals</w:t>
        </w:r>
      </w:hyperlink>
      <w:r>
        <w:rPr>
          <w:rFonts w:asciiTheme="minorHAnsi" w:hAnsiTheme="minorHAnsi"/>
          <w:sz w:val="16"/>
          <w:szCs w:val="16"/>
        </w:rPr>
        <w:t xml:space="preserve"> </w:t>
      </w:r>
    </w:p>
  </w:footnote>
  <w:footnote w:id="4">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4" w:history="1">
        <w:r>
          <w:rPr>
            <w:rStyle w:val="Hyperlink"/>
            <w:rFonts w:asciiTheme="minorHAnsi" w:hAnsiTheme="minorHAnsi"/>
            <w:sz w:val="16"/>
            <w:szCs w:val="16"/>
          </w:rPr>
          <w:t>Proposed Circular Economy Package</w:t>
        </w:r>
      </w:hyperlink>
      <w:r>
        <w:rPr>
          <w:rFonts w:asciiTheme="minorHAnsi" w:hAnsiTheme="minorHAnsi"/>
          <w:sz w:val="16"/>
          <w:szCs w:val="16"/>
        </w:rPr>
        <w:t xml:space="preserve"> </w:t>
      </w:r>
    </w:p>
  </w:footnote>
  <w:footnote w:id="6">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5" w:history="1">
        <w:r>
          <w:rPr>
            <w:rStyle w:val="Hyperlink"/>
            <w:rFonts w:asciiTheme="minorHAnsi" w:hAnsiTheme="minorHAnsi"/>
            <w:sz w:val="16"/>
            <w:szCs w:val="16"/>
          </w:rPr>
          <w:t>http://ec.europa.eu/environment/enveco/studies.htm</w:t>
        </w:r>
      </w:hyperlink>
    </w:p>
  </w:footnote>
  <w:footnote w:id="7">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 as the ratio between gross domestic product (GDP) and domestic material consumption (DMC).</w:t>
      </w:r>
    </w:p>
  </w:footnote>
  <w:footnote w:id="8">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6" w:history="1">
        <w:r>
          <w:rPr>
            <w:rStyle w:val="Hyperlink"/>
            <w:rFonts w:asciiTheme="minorHAnsi" w:hAnsiTheme="minorHAnsi" w:cstheme="minorHAnsi"/>
            <w:sz w:val="16"/>
            <w:szCs w:val="16"/>
          </w:rPr>
          <w:t>Resource</w:t>
        </w:r>
        <w:r>
          <w:rPr>
            <w:rStyle w:val="Hyperlink"/>
            <w:rFonts w:asciiTheme="minorHAnsi" w:hAnsiTheme="minorHAnsi" w:cstheme="minorHAnsi"/>
            <w:sz w:val="16"/>
            <w:szCs w:val="16"/>
          </w:rPr>
          <w:t xml:space="preserve"> productivity</w:t>
        </w:r>
      </w:hyperlink>
      <w:r>
        <w:rPr>
          <w:rFonts w:asciiTheme="minorHAnsi" w:hAnsiTheme="minorHAnsi" w:cstheme="minorHAnsi"/>
          <w:sz w:val="16"/>
          <w:szCs w:val="16"/>
        </w:rPr>
        <w:t>, accessed October 2016.</w:t>
      </w:r>
    </w:p>
  </w:footnote>
  <w:footnote w:id="9">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European Commission, </w:t>
      </w:r>
      <w:hyperlink r:id="rId7" w:history="1">
        <w:r>
          <w:rPr>
            <w:rStyle w:val="Hyperlink"/>
            <w:sz w:val="16"/>
            <w:szCs w:val="16"/>
          </w:rPr>
          <w:t>SMEs country sheets 2016</w:t>
        </w:r>
      </w:hyperlink>
    </w:p>
  </w:footnote>
  <w:footnote w:id="10">
    <w:p w:rsidR="004C5536" w:rsidRDefault="003D3C7F">
      <w:pPr>
        <w:pStyle w:val="FootnoteText"/>
        <w:ind w:left="60" w:hanging="60"/>
        <w:rPr>
          <w:sz w:val="16"/>
          <w:szCs w:val="16"/>
        </w:rPr>
      </w:pPr>
      <w:r>
        <w:rPr>
          <w:rStyle w:val="FootnoteReference"/>
          <w:sz w:val="16"/>
          <w:szCs w:val="16"/>
        </w:rPr>
        <w:footnoteRef/>
      </w:r>
      <w:r>
        <w:rPr>
          <w:sz w:val="16"/>
          <w:szCs w:val="16"/>
        </w:rPr>
        <w:t xml:space="preserve"> E</w:t>
      </w:r>
      <w:r>
        <w:rPr>
          <w:rFonts w:asciiTheme="minorHAnsi" w:hAnsiTheme="minorHAnsi" w:cstheme="minorHAnsi"/>
          <w:sz w:val="16"/>
          <w:szCs w:val="16"/>
        </w:rPr>
        <w:t xml:space="preserve">uropean Commission, 2015. </w:t>
      </w:r>
      <w:hyperlink r:id="rId8" w:history="1">
        <w:r>
          <w:rPr>
            <w:rStyle w:val="Hyperlink"/>
            <w:rFonts w:asciiTheme="minorHAnsi" w:hAnsiTheme="minorHAnsi" w:cstheme="minorHAnsi"/>
            <w:sz w:val="16"/>
            <w:szCs w:val="16"/>
          </w:rPr>
          <w:t>Flash 426 Eurobarometer</w:t>
        </w:r>
      </w:hyperlink>
      <w:r>
        <w:rPr>
          <w:rFonts w:asciiTheme="minorHAnsi" w:hAnsiTheme="minorHAnsi" w:cstheme="minorHAnsi"/>
          <w:sz w:val="16"/>
          <w:szCs w:val="16"/>
        </w:rPr>
        <w:t xml:space="preserve"> "SMEs, resource efficiency and green markets</w:t>
      </w:r>
    </w:p>
  </w:footnote>
  <w:footnote w:id="11">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Communication COM(2011) 571. </w:t>
      </w:r>
      <w:hyperlink r:id="rId9" w:history="1">
        <w:r>
          <w:rPr>
            <w:rStyle w:val="Hyperlink"/>
            <w:rFonts w:asciiTheme="minorHAnsi" w:hAnsiTheme="minorHAnsi"/>
            <w:sz w:val="16"/>
            <w:szCs w:val="16"/>
          </w:rPr>
          <w:t>The Resource Efficiency Roadm</w:t>
        </w:r>
        <w:r>
          <w:rPr>
            <w:rStyle w:val="Hyperlink"/>
            <w:rFonts w:asciiTheme="minorHAnsi" w:hAnsiTheme="minorHAnsi"/>
            <w:sz w:val="16"/>
            <w:szCs w:val="16"/>
          </w:rPr>
          <w:t>ap</w:t>
        </w:r>
      </w:hyperlink>
      <w:r>
        <w:rPr>
          <w:rFonts w:asciiTheme="minorHAnsi" w:hAnsiTheme="minorHAnsi"/>
          <w:sz w:val="16"/>
          <w:szCs w:val="16"/>
        </w:rPr>
        <w:t xml:space="preserve"> is part of the Resource Efficiency Flagship of the Europe 2020 Strategy.</w:t>
      </w:r>
    </w:p>
  </w:footnote>
  <w:footnote w:id="12">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RPA, 2015. </w:t>
      </w:r>
      <w:hyperlink r:id="rId10" w:history="1">
        <w:r>
          <w:rPr>
            <w:rStyle w:val="Hyperlink"/>
            <w:rFonts w:asciiTheme="minorHAnsi" w:hAnsiTheme="minorHAnsi"/>
            <w:bCs/>
            <w:sz w:val="16"/>
            <w:szCs w:val="16"/>
          </w:rPr>
          <w:t xml:space="preserve">Assessing the Potential Cost Savings </w:t>
        </w:r>
        <w:r>
          <w:rPr>
            <w:rStyle w:val="Hyperlink"/>
            <w:rFonts w:asciiTheme="minorHAnsi" w:hAnsiTheme="minorHAnsi"/>
            <w:bCs/>
            <w:sz w:val="16"/>
            <w:szCs w:val="16"/>
          </w:rPr>
          <w:t>and Resource Savings of Investments in 4 SME sectors</w:t>
        </w:r>
      </w:hyperlink>
      <w:r>
        <w:rPr>
          <w:rFonts w:asciiTheme="minorHAnsi" w:hAnsiTheme="minorHAnsi"/>
          <w:bCs/>
          <w:sz w:val="16"/>
          <w:szCs w:val="16"/>
        </w:rPr>
        <w:t>, study for the European Commission.</w:t>
      </w:r>
    </w:p>
  </w:footnote>
  <w:footnote w:id="13">
    <w:p w:rsidR="004C5536" w:rsidRDefault="003D3C7F">
      <w:pPr>
        <w:pStyle w:val="FootnoteText"/>
        <w:widowControl w:val="0"/>
        <w:ind w:left="60" w:hanging="60"/>
        <w:rPr>
          <w:rFonts w:asciiTheme="minorHAnsi" w:hAnsiTheme="minorHAnsi"/>
          <w:sz w:val="16"/>
          <w:szCs w:val="16"/>
          <w:lang w:val="pt-BR"/>
        </w:rPr>
      </w:pPr>
      <w:r>
        <w:rPr>
          <w:rStyle w:val="FootnoteReference"/>
          <w:rFonts w:asciiTheme="minorHAnsi" w:hAnsiTheme="minorHAnsi"/>
          <w:sz w:val="16"/>
          <w:szCs w:val="16"/>
        </w:rPr>
        <w:footnoteRef/>
      </w:r>
      <w:r>
        <w:rPr>
          <w:rFonts w:asciiTheme="minorHAnsi" w:hAnsiTheme="minorHAnsi"/>
          <w:sz w:val="16"/>
          <w:szCs w:val="16"/>
        </w:rPr>
        <w:t xml:space="preserve"> Ecologic Institute, IEEP, BIO by Deloitte, 2015. </w:t>
      </w:r>
      <w:hyperlink r:id="rId11" w:history="1">
        <w:r>
          <w:rPr>
            <w:rStyle w:val="Hyperlink"/>
            <w:rFonts w:asciiTheme="minorHAnsi" w:hAnsiTheme="minorHAnsi"/>
            <w:sz w:val="16"/>
            <w:szCs w:val="16"/>
          </w:rPr>
          <w:t>A framework for Member States to support business in improving its resource efficiency</w:t>
        </w:r>
      </w:hyperlink>
      <w:r>
        <w:rPr>
          <w:rFonts w:asciiTheme="minorHAnsi" w:hAnsiTheme="minorHAnsi"/>
          <w:sz w:val="16"/>
          <w:szCs w:val="16"/>
        </w:rPr>
        <w:t xml:space="preserve">. </w:t>
      </w:r>
      <w:r>
        <w:rPr>
          <w:rFonts w:asciiTheme="minorHAnsi" w:hAnsiTheme="minorHAnsi"/>
          <w:sz w:val="16"/>
          <w:szCs w:val="16"/>
          <w:lang w:val="pt-BR"/>
        </w:rPr>
        <w:t>Study for the European Commission.</w:t>
      </w:r>
    </w:p>
  </w:footnote>
  <w:footnote w:id="14">
    <w:p w:rsidR="004C5536" w:rsidRDefault="003D3C7F">
      <w:pPr>
        <w:pStyle w:val="FootnoteText"/>
        <w:ind w:left="60" w:hanging="60"/>
        <w:rPr>
          <w:rFonts w:asciiTheme="minorHAnsi" w:hAnsiTheme="minorHAnsi"/>
          <w:sz w:val="16"/>
          <w:szCs w:val="16"/>
          <w:lang w:val="pt-BR"/>
        </w:rPr>
      </w:pPr>
      <w:r>
        <w:rPr>
          <w:rStyle w:val="FootnoteReference"/>
          <w:rFonts w:asciiTheme="minorHAnsi" w:hAnsiTheme="minorHAnsi"/>
          <w:sz w:val="16"/>
          <w:szCs w:val="16"/>
        </w:rPr>
        <w:footnoteRef/>
      </w:r>
      <w:r>
        <w:rPr>
          <w:rFonts w:asciiTheme="minorHAnsi" w:hAnsiTheme="minorHAnsi"/>
          <w:sz w:val="16"/>
          <w:szCs w:val="16"/>
          <w:lang w:val="pt-BR"/>
        </w:rPr>
        <w:t xml:space="preserve"> AEP: </w:t>
      </w:r>
      <w:r>
        <w:rPr>
          <w:rFonts w:asciiTheme="minorHAnsi" w:hAnsiTheme="minorHAnsi"/>
          <w:i/>
          <w:sz w:val="16"/>
          <w:szCs w:val="16"/>
          <w:lang w:val="pt-BR"/>
        </w:rPr>
        <w:t>Associação Empresarial de Portugal</w:t>
      </w:r>
      <w:r>
        <w:rPr>
          <w:rFonts w:asciiTheme="minorHAnsi" w:hAnsiTheme="minorHAnsi"/>
          <w:sz w:val="16"/>
          <w:szCs w:val="16"/>
          <w:lang w:val="pt-BR"/>
        </w:rPr>
        <w:t>.</w:t>
      </w:r>
    </w:p>
  </w:footnote>
  <w:footnote w:id="15">
    <w:p w:rsidR="004C5536" w:rsidRDefault="003D3C7F">
      <w:pPr>
        <w:pStyle w:val="CommentText"/>
        <w:spacing w:after="0"/>
        <w:ind w:left="60" w:hanging="60"/>
        <w:jc w:val="left"/>
        <w:rPr>
          <w:rFonts w:asciiTheme="minorHAnsi" w:hAnsiTheme="minorHAnsi"/>
          <w:sz w:val="16"/>
          <w:szCs w:val="16"/>
          <w:lang w:val="pt-BR"/>
        </w:rPr>
      </w:pPr>
      <w:r>
        <w:rPr>
          <w:rStyle w:val="FootnoteReference"/>
          <w:rFonts w:asciiTheme="minorHAnsi" w:hAnsiTheme="minorHAnsi"/>
          <w:sz w:val="16"/>
          <w:szCs w:val="16"/>
        </w:rPr>
        <w:footnoteRef/>
      </w:r>
      <w:r>
        <w:rPr>
          <w:rFonts w:asciiTheme="minorHAnsi" w:hAnsiTheme="minorHAnsi"/>
          <w:sz w:val="16"/>
          <w:szCs w:val="16"/>
          <w:lang w:val="pt-BR"/>
        </w:rPr>
        <w:t xml:space="preserve"> Efinerg project  </w:t>
      </w:r>
      <w:hyperlink r:id="rId12" w:history="1">
        <w:r>
          <w:rPr>
            <w:rFonts w:asciiTheme="minorHAnsi" w:hAnsiTheme="minorHAnsi"/>
            <w:color w:val="0000FF"/>
            <w:sz w:val="16"/>
            <w:szCs w:val="16"/>
            <w:u w:val="single"/>
            <w:lang w:val="pt-BR"/>
          </w:rPr>
          <w:t>ht</w:t>
        </w:r>
        <w:r>
          <w:rPr>
            <w:rFonts w:asciiTheme="minorHAnsi" w:hAnsiTheme="minorHAnsi"/>
            <w:color w:val="0000FF"/>
            <w:sz w:val="16"/>
            <w:szCs w:val="16"/>
            <w:u w:val="single"/>
            <w:lang w:val="pt-BR"/>
          </w:rPr>
          <w:t>tp://efinerg.aeportugal.pt/Projeto.aspx</w:t>
        </w:r>
      </w:hyperlink>
    </w:p>
  </w:footnote>
  <w:footnote w:id="16">
    <w:p w:rsidR="004C5536" w:rsidRDefault="003D3C7F">
      <w:pPr>
        <w:pStyle w:val="FootnoteText"/>
        <w:ind w:left="60" w:hanging="60"/>
        <w:rPr>
          <w:rFonts w:asciiTheme="minorHAnsi" w:hAnsiTheme="minorHAnsi"/>
          <w:sz w:val="16"/>
          <w:szCs w:val="16"/>
          <w:lang w:val="pt-BR"/>
        </w:rPr>
      </w:pPr>
      <w:r>
        <w:rPr>
          <w:rStyle w:val="FootnoteReference"/>
          <w:rFonts w:asciiTheme="minorHAnsi" w:hAnsiTheme="minorHAnsi"/>
          <w:sz w:val="16"/>
          <w:szCs w:val="16"/>
        </w:rPr>
        <w:footnoteRef/>
      </w:r>
      <w:r>
        <w:rPr>
          <w:rFonts w:asciiTheme="minorHAnsi" w:hAnsiTheme="minorHAnsi"/>
          <w:sz w:val="16"/>
          <w:szCs w:val="16"/>
          <w:lang w:val="pt-BR"/>
        </w:rPr>
        <w:t xml:space="preserve"> Ecoprodutin project</w:t>
      </w:r>
    </w:p>
    <w:p w:rsidR="004C5536" w:rsidRDefault="003D3C7F">
      <w:pPr>
        <w:pStyle w:val="FootnoteText"/>
        <w:ind w:left="60" w:hanging="60"/>
        <w:rPr>
          <w:rFonts w:asciiTheme="minorHAnsi" w:hAnsiTheme="minorHAnsi"/>
          <w:sz w:val="16"/>
          <w:szCs w:val="16"/>
          <w:lang w:val="pt-BR"/>
        </w:rPr>
      </w:pPr>
      <w:hyperlink r:id="rId13" w:history="1">
        <w:r>
          <w:rPr>
            <w:rStyle w:val="Hyperlink"/>
            <w:rFonts w:asciiTheme="minorHAnsi" w:hAnsiTheme="minorHAnsi"/>
            <w:sz w:val="16"/>
            <w:szCs w:val="16"/>
            <w:lang w:val="pt-BR"/>
          </w:rPr>
          <w:t>http://ecoprodutin.aeportugal.pt/Projeto.aspx</w:t>
        </w:r>
      </w:hyperlink>
      <w:r>
        <w:rPr>
          <w:rFonts w:asciiTheme="minorHAnsi" w:hAnsiTheme="minorHAnsi"/>
          <w:sz w:val="16"/>
          <w:szCs w:val="16"/>
          <w:lang w:val="pt-BR"/>
        </w:rPr>
        <w:t xml:space="preserve"> </w:t>
      </w:r>
    </w:p>
  </w:footnote>
  <w:footnote w:id="17">
    <w:p w:rsidR="004C5536" w:rsidRDefault="003D3C7F">
      <w:pPr>
        <w:pStyle w:val="FootnoteText"/>
        <w:ind w:left="60" w:hanging="60"/>
        <w:rPr>
          <w:rFonts w:asciiTheme="minorHAnsi" w:hAnsiTheme="minorHAnsi"/>
          <w:sz w:val="16"/>
          <w:szCs w:val="16"/>
          <w:lang w:val="pt-BR"/>
        </w:rPr>
      </w:pPr>
      <w:r>
        <w:rPr>
          <w:rStyle w:val="FootnoteReference"/>
          <w:rFonts w:asciiTheme="minorHAnsi" w:hAnsiTheme="minorHAnsi"/>
          <w:sz w:val="16"/>
          <w:szCs w:val="16"/>
        </w:rPr>
        <w:footnoteRef/>
      </w:r>
      <w:r>
        <w:rPr>
          <w:rFonts w:asciiTheme="minorHAnsi" w:hAnsiTheme="minorHAnsi"/>
          <w:sz w:val="16"/>
          <w:szCs w:val="16"/>
          <w:lang w:val="pt-BR"/>
        </w:rPr>
        <w:t xml:space="preserve"> Interambinerg project</w:t>
      </w:r>
    </w:p>
    <w:p w:rsidR="004C5536" w:rsidRDefault="003D3C7F">
      <w:pPr>
        <w:pStyle w:val="FootnoteText"/>
        <w:ind w:left="60" w:hanging="60"/>
        <w:rPr>
          <w:rFonts w:asciiTheme="minorHAnsi" w:hAnsiTheme="minorHAnsi"/>
          <w:sz w:val="16"/>
          <w:szCs w:val="16"/>
          <w:lang w:val="pt-BR"/>
        </w:rPr>
      </w:pPr>
      <w:hyperlink r:id="rId14" w:history="1">
        <w:r>
          <w:rPr>
            <w:rStyle w:val="Hyperlink"/>
            <w:rFonts w:asciiTheme="minorHAnsi" w:hAnsiTheme="minorHAnsi"/>
            <w:sz w:val="16"/>
            <w:szCs w:val="16"/>
            <w:lang w:val="pt-BR"/>
          </w:rPr>
          <w:t>http://interambinerg.aeportugal.pt/Projeto.aspx</w:t>
        </w:r>
      </w:hyperlink>
      <w:r>
        <w:rPr>
          <w:rFonts w:asciiTheme="minorHAnsi" w:hAnsiTheme="minorHAnsi"/>
          <w:sz w:val="16"/>
          <w:szCs w:val="16"/>
          <w:lang w:val="pt-BR"/>
        </w:rPr>
        <w:t xml:space="preserve"> </w:t>
      </w:r>
    </w:p>
  </w:footnote>
  <w:footnote w:id="18">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Eco-Innovation Observatory, </w:t>
      </w:r>
      <w:hyperlink r:id="rId15" w:history="1">
        <w:r>
          <w:rPr>
            <w:rStyle w:val="Hyperlink"/>
            <w:rFonts w:asciiTheme="minorHAnsi" w:hAnsiTheme="minorHAnsi"/>
            <w:sz w:val="16"/>
            <w:szCs w:val="16"/>
          </w:rPr>
          <w:t>Country Brief 2013 Portugal,</w:t>
        </w:r>
      </w:hyperlink>
      <w:r>
        <w:rPr>
          <w:rFonts w:asciiTheme="minorHAnsi" w:hAnsiTheme="minorHAnsi"/>
          <w:sz w:val="16"/>
          <w:szCs w:val="16"/>
        </w:rPr>
        <w:t xml:space="preserve"> </w:t>
      </w:r>
    </w:p>
  </w:footnote>
  <w:footnote w:id="19">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16"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20">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Management Plans/Waste Prevention Programmes</w:t>
      </w:r>
    </w:p>
  </w:footnote>
  <w:footnote w:id="21">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consists of waste collected by or on behalf of municipal au</w:t>
      </w:r>
      <w:r>
        <w:rPr>
          <w:rFonts w:asciiTheme="minorHAnsi" w:hAnsiTheme="minorHAnsi"/>
          <w:sz w:val="16"/>
          <w:szCs w:val="16"/>
        </w:rPr>
        <w:t>thorities, or directly by the private sector (business or private non-profit institutions) not on behalf of municipalities.</w:t>
      </w:r>
    </w:p>
  </w:footnote>
  <w:footnote w:id="22">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7" w:history="1">
        <w:r>
          <w:rPr>
            <w:rStyle w:val="Hyperlink"/>
            <w:sz w:val="16"/>
            <w:szCs w:val="16"/>
          </w:rPr>
          <w:t>Municipal</w:t>
        </w:r>
        <w:r>
          <w:rPr>
            <w:rStyle w:val="Hyperlink"/>
            <w:sz w:val="16"/>
            <w:szCs w:val="16"/>
          </w:rPr>
          <w:t xml:space="preserve"> waste and treatment, by type of treatment method,</w:t>
        </w:r>
      </w:hyperlink>
      <w:r>
        <w:rPr>
          <w:sz w:val="16"/>
          <w:szCs w:val="16"/>
        </w:rPr>
        <w:t xml:space="preserve"> accessed October 2016</w:t>
      </w:r>
    </w:p>
  </w:footnote>
  <w:footnote w:id="23">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8" w:history="1">
        <w:r>
          <w:rPr>
            <w:rStyle w:val="Hyperlink"/>
            <w:sz w:val="16"/>
            <w:szCs w:val="16"/>
          </w:rPr>
          <w:t>Recycling rate of municipal waste</w:t>
        </w:r>
      </w:hyperlink>
      <w:r>
        <w:rPr>
          <w:sz w:val="16"/>
          <w:szCs w:val="16"/>
        </w:rPr>
        <w:t xml:space="preserve">, accessed </w:t>
      </w:r>
      <w:r>
        <w:rPr>
          <w:rStyle w:val="Hyperlink"/>
          <w:rFonts w:cstheme="minorHAnsi"/>
          <w:color w:val="auto"/>
          <w:sz w:val="16"/>
          <w:szCs w:val="16"/>
          <w:u w:val="none"/>
        </w:rPr>
        <w:t>October 2016</w:t>
      </w:r>
    </w:p>
  </w:footnote>
  <w:footnote w:id="24">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with the 2020 target of 50% recycling of municipal waste.</w:t>
      </w:r>
    </w:p>
  </w:footnote>
  <w:footnote w:id="25">
    <w:p w:rsidR="004C5536" w:rsidRDefault="003D3C7F">
      <w:pPr>
        <w:pStyle w:val="FootnoteText"/>
        <w:widowControl w:val="0"/>
        <w:ind w:left="60" w:hanging="60"/>
        <w:rPr>
          <w:rFonts w:asciiTheme="minorHAnsi" w:hAnsiTheme="minorHAnsi"/>
          <w:sz w:val="16"/>
          <w:szCs w:val="16"/>
          <w:lang w:val="pt-BR"/>
        </w:rPr>
      </w:pPr>
      <w:r>
        <w:rPr>
          <w:rStyle w:val="FootnoteReference"/>
          <w:rFonts w:asciiTheme="minorHAnsi" w:hAnsiTheme="minorHAnsi"/>
          <w:sz w:val="16"/>
          <w:szCs w:val="16"/>
        </w:rPr>
        <w:footnoteRef/>
      </w:r>
      <w:r>
        <w:rPr>
          <w:rFonts w:asciiTheme="minorHAnsi" w:hAnsiTheme="minorHAnsi"/>
          <w:sz w:val="16"/>
          <w:szCs w:val="16"/>
          <w:lang w:val="pt-BR"/>
        </w:rPr>
        <w:t xml:space="preserve"> Plano Nacional de Gestao de Residu</w:t>
      </w:r>
      <w:r>
        <w:rPr>
          <w:rFonts w:asciiTheme="minorHAnsi" w:hAnsiTheme="minorHAnsi"/>
          <w:sz w:val="16"/>
          <w:szCs w:val="16"/>
          <w:lang w:val="pt-BR"/>
        </w:rPr>
        <w:t>os para o horizonte 2014-2020. Diário da República 16.03.2015.</w:t>
      </w:r>
    </w:p>
  </w:footnote>
  <w:footnote w:id="26">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lang w:val="pt-BR"/>
        </w:rPr>
        <w:t xml:space="preserve"> Plano Estratégico para os Residuos Urbanos (PERSU 2020) para o Portugal continental. </w:t>
      </w:r>
      <w:r>
        <w:rPr>
          <w:rFonts w:asciiTheme="minorHAnsi" w:hAnsiTheme="minorHAnsi"/>
          <w:sz w:val="16"/>
          <w:szCs w:val="16"/>
        </w:rPr>
        <w:t>Diário da República 17.09.2014.</w:t>
      </w:r>
    </w:p>
  </w:footnote>
  <w:footnote w:id="27">
    <w:p w:rsidR="004C5536" w:rsidRDefault="003D3C7F">
      <w:pPr>
        <w:widowControl w:val="0"/>
        <w:autoSpaceDE w:val="0"/>
        <w:autoSpaceDN w:val="0"/>
        <w:adjustRightInd w:val="0"/>
        <w:spacing w:after="0" w:line="240" w:lineRule="auto"/>
        <w:ind w:left="60" w:hanging="60"/>
        <w:rPr>
          <w:bCs/>
          <w:sz w:val="16"/>
          <w:szCs w:val="16"/>
        </w:rPr>
      </w:pPr>
      <w:r>
        <w:rPr>
          <w:rStyle w:val="FootnoteReference"/>
          <w:sz w:val="16"/>
          <w:szCs w:val="16"/>
        </w:rPr>
        <w:footnoteRef/>
      </w:r>
      <w:r>
        <w:rPr>
          <w:sz w:val="16"/>
          <w:szCs w:val="16"/>
        </w:rPr>
        <w:t xml:space="preserve"> European Commission, 2016. </w:t>
      </w:r>
      <w:hyperlink r:id="rId19" w:history="1">
        <w:r>
          <w:rPr>
            <w:rStyle w:val="Hyperlink"/>
            <w:bCs/>
            <w:sz w:val="16"/>
            <w:szCs w:val="16"/>
            <w:lang w:val="en"/>
          </w:rPr>
          <w:t>Support to Implementation</w:t>
        </w:r>
        <w:r>
          <w:rPr>
            <w:rStyle w:val="Hyperlink"/>
            <w:b/>
            <w:bCs/>
            <w:sz w:val="16"/>
            <w:szCs w:val="16"/>
            <w:lang w:val="en"/>
          </w:rPr>
          <w:t xml:space="preserve"> – </w:t>
        </w:r>
        <w:r>
          <w:rPr>
            <w:rStyle w:val="Hyperlink"/>
            <w:bCs/>
            <w:sz w:val="16"/>
            <w:szCs w:val="16"/>
            <w:lang w:val="en"/>
          </w:rPr>
          <w:t>The</w:t>
        </w:r>
        <w:r>
          <w:rPr>
            <w:rStyle w:val="Hyperlink"/>
            <w:b/>
            <w:bCs/>
            <w:sz w:val="16"/>
            <w:szCs w:val="16"/>
            <w:lang w:val="en"/>
          </w:rPr>
          <w:t xml:space="preserve"> </w:t>
        </w:r>
        <w:r>
          <w:rPr>
            <w:rStyle w:val="Hyperlink"/>
            <w:bCs/>
            <w:sz w:val="16"/>
            <w:szCs w:val="16"/>
            <w:lang w:val="en"/>
          </w:rPr>
          <w:t>Commission helps 8 Member States to improve their municipal w</w:t>
        </w:r>
        <w:r>
          <w:rPr>
            <w:rStyle w:val="Hyperlink"/>
            <w:bCs/>
            <w:sz w:val="16"/>
            <w:szCs w:val="16"/>
            <w:lang w:val="en"/>
          </w:rPr>
          <w:t>aste management</w:t>
        </w:r>
      </w:hyperlink>
      <w:r>
        <w:rPr>
          <w:bCs/>
          <w:sz w:val="16"/>
          <w:szCs w:val="16"/>
          <w:lang w:val="en"/>
        </w:rPr>
        <w:t xml:space="preserve">. </w:t>
      </w:r>
      <w:r>
        <w:rPr>
          <w:bCs/>
          <w:sz w:val="16"/>
          <w:szCs w:val="16"/>
        </w:rPr>
        <w:t xml:space="preserve">Fact sheet for </w:t>
      </w:r>
      <w:hyperlink r:id="rId20" w:history="1">
        <w:r>
          <w:rPr>
            <w:rStyle w:val="Hyperlink"/>
            <w:bCs/>
            <w:sz w:val="16"/>
            <w:szCs w:val="16"/>
          </w:rPr>
          <w:t>Portugal.</w:t>
        </w:r>
      </w:hyperlink>
    </w:p>
  </w:footnote>
  <w:footnote w:id="28">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Bio Intelligence service, 2011. </w:t>
      </w:r>
      <w:hyperlink r:id="rId21" w:history="1">
        <w:r>
          <w:rPr>
            <w:rStyle w:val="Hyperlink"/>
            <w:rFonts w:asciiTheme="minorHAnsi" w:hAnsiTheme="minorHAnsi"/>
            <w:sz w:val="16"/>
            <w:szCs w:val="16"/>
          </w:rPr>
          <w:t>Implementing EU Waste legislation for Green Growth</w:t>
        </w:r>
      </w:hyperlink>
      <w:r>
        <w:rPr>
          <w:rFonts w:asciiTheme="minorHAnsi" w:hAnsiTheme="minorHAnsi"/>
          <w:sz w:val="16"/>
          <w:szCs w:val="16"/>
        </w:rPr>
        <w:t>, study for European Commission. The breakdown per country on job creation was made by the consultant on Commi</w:t>
      </w:r>
      <w:r>
        <w:rPr>
          <w:rFonts w:asciiTheme="minorHAnsi" w:hAnsiTheme="minorHAnsi"/>
          <w:sz w:val="16"/>
          <w:szCs w:val="16"/>
        </w:rPr>
        <w:t>ssion demand but was not included in the published document.</w:t>
      </w:r>
    </w:p>
  </w:footnote>
  <w:footnote w:id="29">
    <w:p w:rsidR="004C5536" w:rsidRDefault="003D3C7F">
      <w:pPr>
        <w:pStyle w:val="FootnoteText"/>
        <w:widowControl w:val="0"/>
        <w:ind w:left="60" w:hanging="6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 whereas Special Areas of Protection (SPAs) are designated pursuant to the Birds Directive; figures of cove</w:t>
      </w:r>
      <w:r>
        <w:rPr>
          <w:rFonts w:asciiTheme="minorHAnsi" w:hAnsiTheme="minorHAnsi"/>
          <w:sz w:val="16"/>
          <w:szCs w:val="16"/>
        </w:rPr>
        <w:t xml:space="preserve">rage do not add up due to the fact that some SCIs and SPAs overlap. Special Areas of Conservation (SACs) </w:t>
      </w:r>
      <w:r>
        <w:rPr>
          <w:rFonts w:asciiTheme="minorHAnsi" w:hAnsiTheme="minorHAnsi"/>
          <w:sz w:val="16"/>
          <w:szCs w:val="16"/>
          <w:lang w:val="en"/>
        </w:rPr>
        <w:t>means a SCI designated by the Member States.</w:t>
      </w:r>
    </w:p>
  </w:footnote>
  <w:footnote w:id="30">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each Member State, the Commission assesses whether the species and habitat types on Annexes I and II</w:t>
      </w:r>
      <w:r>
        <w:rPr>
          <w:rFonts w:asciiTheme="minorHAnsi" w:hAnsiTheme="minorHAnsi"/>
          <w:sz w:val="16"/>
          <w:szCs w:val="16"/>
        </w:rPr>
        <w:t xml:space="preserve"> of the Habitats Directive, are sufficiently represented by the sites designated to date. This is expressed as a percentage of species and habitats for which further areas need to be designated in order to complete the network in that country. </w:t>
      </w:r>
      <w:hyperlink r:id="rId22" w:history="1">
        <w:r>
          <w:rPr>
            <w:rStyle w:val="Hyperlink"/>
            <w:rFonts w:asciiTheme="minorHAnsi" w:hAnsiTheme="minorHAnsi"/>
            <w:sz w:val="16"/>
            <w:szCs w:val="16"/>
          </w:rPr>
          <w:t>The current data</w:t>
        </w:r>
      </w:hyperlink>
      <w:r>
        <w:rPr>
          <w:rFonts w:asciiTheme="minorHAnsi" w:hAnsiTheme="minorHAnsi"/>
          <w:sz w:val="16"/>
          <w:szCs w:val="16"/>
        </w:rPr>
        <w:t>, which were assessed in 2014-2015, reflect the situation up until December 2013.</w:t>
      </w:r>
    </w:p>
  </w:footnote>
  <w:footnote w:id="31">
    <w:p w:rsidR="004C5536" w:rsidRDefault="003D3C7F">
      <w:pPr>
        <w:pStyle w:val="FootnoteText"/>
        <w:ind w:left="60" w:hanging="6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 xml:space="preserve">The percentages in Figure 5 refer to percentages of the total number of </w:t>
      </w:r>
      <w:r>
        <w:rPr>
          <w:sz w:val="16"/>
          <w:szCs w:val="16"/>
        </w:rPr>
        <w:t>assessments (one assessment covering 1 species or 1 habitat in a given biographical region with the Member State); if a habitat type or a species occurs in more than 1 Biogeographic region within a given Member State, there will be as many individual asses</w:t>
      </w:r>
      <w:r>
        <w:rPr>
          <w:sz w:val="16"/>
          <w:szCs w:val="16"/>
        </w:rPr>
        <w:t>sments as there are Biogeographic regions with an occurrence of that species or habitat in this Member State.</w:t>
      </w:r>
    </w:p>
  </w:footnote>
  <w:footnote w:id="32">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internal assessment.</w:t>
      </w:r>
    </w:p>
  </w:footnote>
  <w:footnote w:id="33">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Conservation status is assessed using a standard methodology as being either ‘favourable’, ‘unfavourable-inadequate’ and ‘unfavourable-bad’, based on four parameters as defined in Article 1 of the Habitats Directive. </w:t>
      </w:r>
    </w:p>
  </w:footnote>
  <w:footnote w:id="34">
    <w:p w:rsidR="004C5536" w:rsidRDefault="003D3C7F">
      <w:pPr>
        <w:widowControl w:val="0"/>
        <w:spacing w:after="0" w:line="240" w:lineRule="auto"/>
        <w:ind w:left="60" w:hanging="60"/>
        <w:rPr>
          <w:sz w:val="16"/>
          <w:szCs w:val="16"/>
        </w:rPr>
      </w:pPr>
      <w:r>
        <w:rPr>
          <w:rStyle w:val="FootnoteReference"/>
          <w:sz w:val="16"/>
          <w:szCs w:val="16"/>
        </w:rPr>
        <w:footnoteRef/>
      </w:r>
      <w:r>
        <w:rPr>
          <w:sz w:val="16"/>
          <w:szCs w:val="16"/>
        </w:rPr>
        <w:t xml:space="preserve"> The core of the ‘Article 17’ report</w:t>
      </w:r>
      <w:r>
        <w:rPr>
          <w:sz w:val="16"/>
          <w:szCs w:val="16"/>
        </w:rPr>
        <w:t xml:space="preserve"> is the assessment of conservation status of the habitats and species targeted by the Habitats Directive.</w:t>
      </w:r>
    </w:p>
  </w:footnote>
  <w:footnote w:id="35">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biogeographical assessments in each category of conservation status for habitats and species </w:t>
      </w:r>
      <w:r>
        <w:rPr>
          <w:sz w:val="16"/>
          <w:szCs w:val="16"/>
        </w:rPr>
        <w:t>(one assessment co</w:t>
      </w:r>
      <w:r>
        <w:rPr>
          <w:sz w:val="16"/>
          <w:szCs w:val="16"/>
        </w:rPr>
        <w:t>vering 1 species or 1 habitat in a given biographical region with the Member State)</w:t>
      </w:r>
      <w:r>
        <w:rPr>
          <w:rFonts w:asciiTheme="minorHAnsi" w:hAnsiTheme="minorHAnsi" w:cstheme="minorHAnsi"/>
          <w:iCs/>
          <w:sz w:val="16"/>
          <w:szCs w:val="16"/>
        </w:rPr>
        <w:t xml:space="preserve">, respectively. </w:t>
      </w:r>
      <w:r>
        <w:rPr>
          <w:rFonts w:asciiTheme="minorHAnsi" w:hAnsiTheme="minorHAnsi"/>
          <w:sz w:val="16"/>
          <w:szCs w:val="16"/>
        </w:rPr>
        <w:t xml:space="preserve">The information is based on Article 17 of the Habitats Directive reporting - </w:t>
      </w:r>
      <w:hyperlink r:id="rId23" w:history="1">
        <w:r>
          <w:rPr>
            <w:rFonts w:asciiTheme="minorHAnsi" w:hAnsiTheme="minorHAnsi"/>
            <w:color w:val="0000FF"/>
            <w:sz w:val="16"/>
            <w:szCs w:val="16"/>
            <w:u w:val="single"/>
          </w:rPr>
          <w:t>national summary of Portugal</w:t>
        </w:r>
      </w:hyperlink>
    </w:p>
  </w:footnote>
  <w:footnote w:id="36">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between 2007 and 2013 data is complicated by the fact that Bulgaria and Romania were not covered by the 2007 reporting cycle, that the ‘unknown’ assessments have strong</w:t>
      </w:r>
      <w:r>
        <w:rPr>
          <w:rFonts w:asciiTheme="minorHAnsi" w:hAnsiTheme="minorHAnsi"/>
          <w:sz w:val="16"/>
          <w:szCs w:val="16"/>
        </w:rPr>
        <w:t>ly diminished particularly for species, and that some reported changes are not genuine as they result from improved data / monitoring methods.</w:t>
      </w:r>
    </w:p>
  </w:footnote>
  <w:footnote w:id="37">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These figures show the percentage of biogeographical assessments in each category of conservation status for ha</w:t>
      </w:r>
      <w:r>
        <w:rPr>
          <w:rFonts w:asciiTheme="minorHAnsi" w:hAnsiTheme="minorHAnsi"/>
          <w:sz w:val="16"/>
          <w:szCs w:val="16"/>
        </w:rPr>
        <w:t xml:space="preserve">bitats and species, respectively. The information is based on Article 12 of the Birds Directive reporting - </w:t>
      </w:r>
      <w:hyperlink r:id="rId24" w:history="1">
        <w:r>
          <w:rPr>
            <w:rStyle w:val="Hyperlink"/>
            <w:rFonts w:asciiTheme="minorHAnsi" w:hAnsiTheme="minorHAnsi"/>
            <w:sz w:val="16"/>
            <w:szCs w:val="16"/>
          </w:rPr>
          <w:t>nationa</w:t>
        </w:r>
        <w:r>
          <w:rPr>
            <w:rStyle w:val="Hyperlink"/>
            <w:rFonts w:asciiTheme="minorHAnsi" w:hAnsiTheme="minorHAnsi"/>
            <w:sz w:val="16"/>
            <w:szCs w:val="16"/>
          </w:rPr>
          <w:t>l summary of Portugal</w:t>
        </w:r>
      </w:hyperlink>
    </w:p>
  </w:footnote>
  <w:footnote w:id="38">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Mapping and assessment of ecosystems and their services.</w:t>
      </w:r>
    </w:p>
  </w:footnote>
  <w:footnote w:id="39">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nature such as food, clean water and pollination on which human society depends.</w:t>
      </w:r>
    </w:p>
  </w:footnote>
  <w:footnote w:id="40">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Infrastructure — Enhanci</w:t>
      </w:r>
      <w:r>
        <w:rPr>
          <w:rFonts w:asciiTheme="minorHAnsi" w:hAnsiTheme="minorHAnsi"/>
          <w:sz w:val="16"/>
          <w:szCs w:val="16"/>
        </w:rPr>
        <w:t xml:space="preserve">ng Europe’s Natural Capital, </w:t>
      </w:r>
      <w:hyperlink r:id="rId25" w:history="1">
        <w:r>
          <w:rPr>
            <w:rStyle w:val="Hyperlink"/>
            <w:rFonts w:asciiTheme="minorHAnsi" w:hAnsiTheme="minorHAnsi"/>
            <w:sz w:val="16"/>
            <w:szCs w:val="16"/>
          </w:rPr>
          <w:t>COM/2013/0249</w:t>
        </w:r>
      </w:hyperlink>
    </w:p>
  </w:footnote>
  <w:footnote w:id="41">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eastAsia="en-GB"/>
        </w:rPr>
        <w:t>Council of Ministers Resolution Nº 41/99 of 17 May 1999.</w:t>
      </w:r>
    </w:p>
  </w:footnote>
  <w:footnote w:id="42">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26" w:anchor="!corredor-verde-lisboa/cg9d" w:history="1">
        <w:r>
          <w:rPr>
            <w:rStyle w:val="Hyperlink"/>
            <w:rFonts w:asciiTheme="minorHAnsi" w:hAnsiTheme="minorHAnsi"/>
            <w:sz w:val="16"/>
            <w:szCs w:val="16"/>
          </w:rPr>
          <w:t>http://www.lisboadiariodebordo.com/#!corredor-verde-lisboa/cg9d</w:t>
        </w:r>
      </w:hyperlink>
      <w:r>
        <w:rPr>
          <w:rFonts w:asciiTheme="minorHAnsi" w:hAnsiTheme="minorHAnsi"/>
          <w:sz w:val="16"/>
          <w:szCs w:val="16"/>
        </w:rPr>
        <w:t xml:space="preserve"> </w:t>
      </w:r>
    </w:p>
  </w:footnote>
  <w:footnote w:id="43">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27" w:history="1">
        <w:r>
          <w:rPr>
            <w:rStyle w:val="Hyperlink"/>
            <w:rFonts w:asciiTheme="minorHAnsi" w:hAnsiTheme="minorHAnsi"/>
            <w:sz w:val="16"/>
            <w:szCs w:val="16"/>
          </w:rPr>
          <w:t>http://www.adp.pt/pt//?id=61&amp;img=39&amp;bl=6</w:t>
        </w:r>
      </w:hyperlink>
    </w:p>
  </w:footnote>
  <w:footnote w:id="44">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28" w:history="1">
        <w:r>
          <w:rPr>
            <w:rStyle w:val="Hyperlink"/>
            <w:rFonts w:asciiTheme="minorHAnsi" w:hAnsiTheme="minorHAnsi"/>
            <w:sz w:val="16"/>
            <w:szCs w:val="16"/>
          </w:rPr>
          <w:t>http://cmpv.pt/minisites/life/index.php?op=textos&amp;codtexto=5</w:t>
        </w:r>
      </w:hyperlink>
      <w:r>
        <w:rPr>
          <w:rFonts w:asciiTheme="minorHAnsi" w:hAnsiTheme="minorHAnsi"/>
          <w:sz w:val="16"/>
          <w:szCs w:val="16"/>
        </w:rPr>
        <w:t xml:space="preserve"> </w:t>
      </w:r>
    </w:p>
  </w:footnote>
  <w:footnote w:id="45">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29"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46">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2016. </w:t>
      </w:r>
      <w:hyperlink r:id="rId30" w:history="1">
        <w:r>
          <w:rPr>
            <w:rStyle w:val="Hyperlink"/>
            <w:rFonts w:asciiTheme="minorHAnsi" w:hAnsiTheme="minorHAnsi"/>
            <w:sz w:val="16"/>
            <w:szCs w:val="16"/>
          </w:rPr>
          <w:t>Imperviousness and imperviousness change</w:t>
        </w:r>
      </w:hyperlink>
    </w:p>
  </w:footnote>
  <w:footnote w:id="47">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Eurostat,</w:t>
      </w:r>
      <w:hyperlink r:id="rId31" w:history="1">
        <w:r>
          <w:rPr>
            <w:rStyle w:val="Hyperlink"/>
            <w:sz w:val="16"/>
            <w:szCs w:val="16"/>
          </w:rPr>
          <w:t xml:space="preserve"> Soil water erosion rate</w:t>
        </w:r>
      </w:hyperlink>
      <w:r>
        <w:rPr>
          <w:sz w:val="16"/>
          <w:szCs w:val="16"/>
        </w:rPr>
        <w:t>, Figure 2, accessed November 2016</w:t>
      </w:r>
    </w:p>
  </w:footnote>
  <w:footnote w:id="48">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w:t>
      </w:r>
      <w:r>
        <w:rPr>
          <w:rFonts w:asciiTheme="minorHAnsi" w:hAnsiTheme="minorHAnsi"/>
          <w:sz w:val="16"/>
          <w:szCs w:val="16"/>
        </w:rPr>
        <w:t>Agency, Land cover 2006 and changes country analysis [publication forthcoming]</w:t>
      </w:r>
    </w:p>
  </w:footnote>
  <w:footnote w:id="49">
    <w:p w:rsidR="004C5536" w:rsidRDefault="003D3C7F">
      <w:pPr>
        <w:pStyle w:val="FootnoteText"/>
        <w:ind w:left="60" w:hanging="60"/>
        <w:rPr>
          <w:rStyle w:val="Emphasis"/>
          <w:rFonts w:asciiTheme="minorHAnsi" w:hAnsiTheme="minorHAnsi"/>
          <w:color w:val="auto"/>
          <w:sz w:val="16"/>
          <w:szCs w:val="16"/>
        </w:rPr>
      </w:pPr>
      <w:r>
        <w:rPr>
          <w:rStyle w:val="FootnoteReference"/>
          <w:rFonts w:asciiTheme="minorHAnsi" w:hAnsiTheme="minorHAnsi"/>
          <w:sz w:val="16"/>
          <w:szCs w:val="16"/>
        </w:rPr>
        <w:footnoteRef/>
      </w:r>
      <w:r>
        <w:rPr>
          <w:rStyle w:val="Emphasis"/>
          <w:rFonts w:asciiTheme="minorHAnsi" w:hAnsiTheme="minorHAnsi"/>
          <w:sz w:val="16"/>
          <w:szCs w:val="16"/>
        </w:rPr>
        <w:t xml:space="preserve"> </w:t>
      </w:r>
      <w:r>
        <w:rPr>
          <w:rStyle w:val="Emphasis"/>
          <w:rFonts w:asciiTheme="minorHAnsi" w:hAnsiTheme="minorHAnsi"/>
          <w:color w:val="auto"/>
          <w:sz w:val="16"/>
          <w:szCs w:val="16"/>
        </w:rPr>
        <w:t>Resolution of the Council of Ministers No. 78/2014</w:t>
      </w:r>
    </w:p>
    <w:p w:rsidR="004C5536" w:rsidRDefault="003D3C7F">
      <w:pPr>
        <w:pStyle w:val="FootnoteText"/>
        <w:ind w:left="60" w:hanging="60"/>
        <w:rPr>
          <w:rFonts w:asciiTheme="minorHAnsi" w:hAnsiTheme="minorHAnsi"/>
          <w:sz w:val="16"/>
          <w:szCs w:val="16"/>
        </w:rPr>
      </w:pPr>
      <w:hyperlink r:id="rId32" w:history="1">
        <w:r>
          <w:rPr>
            <w:rStyle w:val="Hyperlink"/>
            <w:rFonts w:asciiTheme="minorHAnsi" w:hAnsiTheme="minorHAnsi"/>
            <w:sz w:val="16"/>
            <w:szCs w:val="16"/>
          </w:rPr>
          <w:t>https://dre.pt/application/file/65985917</w:t>
        </w:r>
      </w:hyperlink>
      <w:r>
        <w:rPr>
          <w:rStyle w:val="Emphasis"/>
          <w:rFonts w:asciiTheme="minorHAnsi" w:hAnsiTheme="minorHAnsi"/>
          <w:color w:val="auto"/>
          <w:sz w:val="16"/>
          <w:szCs w:val="16"/>
        </w:rPr>
        <w:t xml:space="preserve"> </w:t>
      </w:r>
    </w:p>
  </w:footnote>
  <w:footnote w:id="50">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33" w:history="1">
        <w:r>
          <w:rPr>
            <w:rStyle w:val="Hyperlink"/>
            <w:rFonts w:asciiTheme="minorHAnsi" w:hAnsiTheme="minorHAnsi"/>
            <w:sz w:val="16"/>
            <w:szCs w:val="16"/>
          </w:rPr>
          <w:t>Marine Strategy Framework Directive 2008/56/EC</w:t>
        </w:r>
      </w:hyperlink>
      <w:r>
        <w:rPr>
          <w:rFonts w:asciiTheme="minorHAnsi" w:hAnsiTheme="minorHAnsi"/>
          <w:sz w:val="16"/>
          <w:szCs w:val="16"/>
        </w:rPr>
        <w:t xml:space="preserve"> </w:t>
      </w:r>
    </w:p>
  </w:footnote>
  <w:footnote w:id="51">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“The environmental status of marine waters where these provid</w:t>
      </w:r>
      <w:r>
        <w:rPr>
          <w:rFonts w:asciiTheme="minorHAnsi" w:hAnsiTheme="minorHAnsi"/>
          <w:sz w:val="16"/>
          <w:szCs w:val="16"/>
        </w:rPr>
        <w:t>e ecologically diverse and dynamic oceans and seas which are clean, healthy and productive”</w:t>
      </w:r>
    </w:p>
  </w:footnote>
  <w:footnote w:id="52">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on "The first phase of implementation of the Marine Strategy Framework Directive (2008/56/EC) - The European Commission's assessment and guidance" (</w:t>
      </w:r>
      <w:hyperlink r:id="rId34" w:history="1">
        <w:r>
          <w:rPr>
            <w:rStyle w:val="Hyperlink"/>
            <w:rFonts w:asciiTheme="minorHAnsi" w:hAnsiTheme="minorHAnsi"/>
            <w:sz w:val="16"/>
            <w:szCs w:val="16"/>
          </w:rPr>
          <w:t>SWD(21014) 049 final</w:t>
        </w:r>
      </w:hyperlink>
      <w:r>
        <w:rPr>
          <w:rFonts w:asciiTheme="minorHAnsi" w:hAnsiTheme="minorHAnsi"/>
          <w:sz w:val="16"/>
          <w:szCs w:val="16"/>
        </w:rPr>
        <w:t xml:space="preserve"> and </w:t>
      </w:r>
      <w:hyperlink r:id="rId35" w:history="1">
        <w:r>
          <w:rPr>
            <w:rStyle w:val="Hyperlink"/>
            <w:rFonts w:asciiTheme="minorHAnsi" w:hAnsiTheme="minorHAnsi"/>
            <w:sz w:val="16"/>
            <w:szCs w:val="16"/>
          </w:rPr>
          <w:t>COM(2014)097 final</w:t>
        </w:r>
      </w:hyperlink>
      <w:r>
        <w:rPr>
          <w:rFonts w:asciiTheme="minorHAnsi" w:hAnsiTheme="minorHAnsi"/>
          <w:sz w:val="16"/>
          <w:szCs w:val="16"/>
        </w:rPr>
        <w:t>)</w:t>
      </w:r>
    </w:p>
  </w:footnote>
  <w:footnote w:id="53">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on "The first phase of implementation of the Marine Strategy Framework Directive (2008/56/EC) - The European Co</w:t>
      </w:r>
      <w:r>
        <w:rPr>
          <w:rFonts w:asciiTheme="minorHAnsi" w:hAnsiTheme="minorHAnsi"/>
          <w:sz w:val="16"/>
          <w:szCs w:val="16"/>
        </w:rPr>
        <w:t>mmission's assessment and guidance" (</w:t>
      </w:r>
      <w:hyperlink r:id="rId36" w:history="1">
        <w:r>
          <w:rPr>
            <w:rStyle w:val="Hyperlink"/>
            <w:rFonts w:asciiTheme="minorHAnsi" w:hAnsiTheme="minorHAnsi"/>
            <w:sz w:val="16"/>
            <w:szCs w:val="16"/>
          </w:rPr>
          <w:t>SWD(21014) 049 final</w:t>
        </w:r>
      </w:hyperlink>
      <w:r>
        <w:rPr>
          <w:rFonts w:asciiTheme="minorHAnsi" w:hAnsiTheme="minorHAnsi"/>
          <w:sz w:val="16"/>
          <w:szCs w:val="16"/>
        </w:rPr>
        <w:t xml:space="preserve"> and </w:t>
      </w:r>
      <w:hyperlink r:id="rId37" w:history="1">
        <w:r>
          <w:rPr>
            <w:rStyle w:val="Hyperlink"/>
            <w:rFonts w:asciiTheme="minorHAnsi" w:hAnsiTheme="minorHAnsi"/>
            <w:sz w:val="16"/>
            <w:szCs w:val="16"/>
          </w:rPr>
          <w:t>COM(2014)097 final</w:t>
        </w:r>
      </w:hyperlink>
      <w:r>
        <w:rPr>
          <w:rFonts w:asciiTheme="minorHAnsi" w:hAnsiTheme="minorHAnsi"/>
          <w:sz w:val="16"/>
          <w:szCs w:val="16"/>
        </w:rPr>
        <w:t>)</w:t>
      </w:r>
    </w:p>
  </w:footnote>
  <w:footnote w:id="54">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Report from the Commission "The first phase of implementation of the Marine Strategy Framework Directive (2008/56/EC) - The European Commissi</w:t>
      </w:r>
      <w:r>
        <w:rPr>
          <w:rFonts w:asciiTheme="minorHAnsi" w:hAnsiTheme="minorHAnsi"/>
          <w:sz w:val="16"/>
          <w:szCs w:val="16"/>
        </w:rPr>
        <w:t xml:space="preserve">on's assessment and guidance" </w:t>
      </w:r>
      <w:hyperlink r:id="rId38" w:history="1">
        <w:r>
          <w:rPr>
            <w:rStyle w:val="Hyperlink"/>
            <w:rFonts w:asciiTheme="minorHAnsi" w:hAnsiTheme="minorHAnsi"/>
            <w:sz w:val="16"/>
            <w:szCs w:val="16"/>
          </w:rPr>
          <w:t>COM(2014)097</w:t>
        </w:r>
      </w:hyperlink>
      <w:r>
        <w:rPr>
          <w:rFonts w:asciiTheme="minorHAnsi" w:hAnsiTheme="minorHAnsi"/>
          <w:sz w:val="16"/>
          <w:szCs w:val="16"/>
        </w:rPr>
        <w:t xml:space="preserve"> &amp;</w:t>
      </w:r>
      <w:r>
        <w:rPr>
          <w:rFonts w:asciiTheme="minorHAnsi" w:eastAsiaTheme="minorHAnsi" w:hAnsiTheme="minorHAnsi" w:cstheme="minorHAnsi"/>
          <w:sz w:val="16"/>
          <w:szCs w:val="16"/>
        </w:rPr>
        <w:t xml:space="preserve"> </w:t>
      </w:r>
      <w:r>
        <w:rPr>
          <w:rFonts w:asciiTheme="minorHAnsi" w:hAnsiTheme="minorHAnsi"/>
          <w:sz w:val="16"/>
          <w:szCs w:val="16"/>
        </w:rPr>
        <w:t>Commission Staff Working Document Accompanying the Commission Report assessing Member States' monitoring programmes under the Marine Strategy Framework Directive (COM(2017)3 and SWD(2017)1 final)</w:t>
      </w:r>
      <w:r>
        <w:rPr>
          <w:rFonts w:asciiTheme="minorHAnsi" w:hAnsiTheme="minorHAnsi"/>
          <w:sz w:val="16"/>
          <w:szCs w:val="16"/>
        </w:rPr>
        <w:t>.</w:t>
      </w:r>
    </w:p>
  </w:footnote>
  <w:footnote w:id="55">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European Commission, 2016. </w:t>
      </w:r>
      <w:hyperlink r:id="rId39" w:history="1">
        <w:r>
          <w:rPr>
            <w:rStyle w:val="Hyperlink"/>
            <w:sz w:val="16"/>
            <w:szCs w:val="16"/>
          </w:rPr>
          <w:t>Air Quality Standards</w:t>
        </w:r>
      </w:hyperlink>
    </w:p>
  </w:footnote>
  <w:footnote w:id="56">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See </w:t>
      </w:r>
      <w:hyperlink r:id="rId40" w:history="1">
        <w:r>
          <w:rPr>
            <w:rStyle w:val="Hyperlink"/>
            <w:sz w:val="16"/>
            <w:szCs w:val="16"/>
          </w:rPr>
          <w:t>EIONET Central Data Repository</w:t>
        </w:r>
      </w:hyperlink>
      <w:r>
        <w:rPr>
          <w:sz w:val="16"/>
          <w:szCs w:val="16"/>
        </w:rPr>
        <w:t xml:space="preserve"> and </w:t>
      </w:r>
      <w:hyperlink r:id="rId41" w:history="1">
        <w:r>
          <w:rPr>
            <w:rStyle w:val="Hyperlink"/>
            <w:sz w:val="16"/>
            <w:szCs w:val="16"/>
          </w:rPr>
          <w:t>Air pollutant emissions data viewer (NEC Directive)</w:t>
        </w:r>
      </w:hyperlink>
    </w:p>
  </w:footnote>
  <w:footnote w:id="57">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w:t>
      </w:r>
      <w:r>
        <w:rPr>
          <w:rFonts w:asciiTheme="minorHAnsi" w:hAnsiTheme="minorHAnsi"/>
          <w:sz w:val="16"/>
          <w:szCs w:val="16"/>
        </w:rPr>
        <w:t>The current national emission ceilings apply since 2010 (</w:t>
      </w:r>
      <w:hyperlink r:id="rId42"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43"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58">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Particulate matter (PM) is a mixture of aerosol particles (solid and liquid) covering a wide range of sizes and c</w:t>
      </w:r>
      <w:r>
        <w:rPr>
          <w:sz w:val="16"/>
          <w:szCs w:val="16"/>
        </w:rPr>
        <w:t>hemical compositions. PM10 (PM2.5) refers to particles with a diameter of 10 (2.5) micrometres or less. PM is emitted from many human sources, including combustion.</w:t>
      </w:r>
    </w:p>
  </w:footnote>
  <w:footnote w:id="59">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NOx is emitted during fuel combustion e.g. from industrial facilities and the road transp</w:t>
      </w:r>
      <w:r>
        <w:rPr>
          <w:sz w:val="16"/>
          <w:szCs w:val="16"/>
        </w:rPr>
        <w:t>ort sector. NOx is a group of gases comprising nitrogen monoxide (NO) and nitrogen dioxide (NO2).</w:t>
      </w:r>
    </w:p>
  </w:footnote>
  <w:footnote w:id="60">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w:t>
      </w:r>
      <w:r>
        <w:rPr>
          <w:rFonts w:cstheme="minorHAnsi"/>
          <w:sz w:val="16"/>
          <w:szCs w:val="16"/>
        </w:rPr>
        <w:t xml:space="preserve">European Environment Agency, 2016. </w:t>
      </w:r>
      <w:hyperlink r:id="rId44" w:history="1">
        <w:r>
          <w:rPr>
            <w:rStyle w:val="Hyperlink"/>
            <w:sz w:val="16"/>
            <w:szCs w:val="16"/>
            <w:lang w:eastAsia="en-GB"/>
          </w:rPr>
          <w:t>Air Quality in Europe – 2016 Report</w:t>
        </w:r>
      </w:hyperlink>
      <w:r>
        <w:rPr>
          <w:rFonts w:cstheme="minorHAnsi"/>
          <w:sz w:val="16"/>
          <w:szCs w:val="16"/>
        </w:rPr>
        <w:t>. (Ta</w:t>
      </w:r>
      <w:r>
        <w:rPr>
          <w:rFonts w:cstheme="minorHAnsi"/>
          <w:sz w:val="16"/>
          <w:szCs w:val="16"/>
        </w:rPr>
        <w:t>ble 10.2, please see details in this report as regards the underpinning methodology)</w:t>
      </w:r>
    </w:p>
  </w:footnote>
  <w:footnote w:id="61">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w:t>
      </w:r>
      <w:r>
        <w:rPr>
          <w:rFonts w:cstheme="minorHAnsi"/>
          <w:sz w:val="16"/>
          <w:szCs w:val="16"/>
        </w:rPr>
        <w:t xml:space="preserve">Based on European Environment Agency, 2016. </w:t>
      </w:r>
      <w:hyperlink r:id="rId45" w:history="1">
        <w:r>
          <w:rPr>
            <w:rStyle w:val="Hyperlink"/>
            <w:sz w:val="16"/>
            <w:szCs w:val="16"/>
            <w:lang w:eastAsia="en-GB"/>
          </w:rPr>
          <w:t>Air Quality in Europe – 2016 Report</w:t>
        </w:r>
      </w:hyperlink>
      <w:r>
        <w:rPr>
          <w:rFonts w:cstheme="minorHAnsi"/>
          <w:sz w:val="16"/>
          <w:szCs w:val="16"/>
        </w:rPr>
        <w:t>. (Figure</w:t>
      </w:r>
      <w:r>
        <w:rPr>
          <w:rFonts w:cstheme="minorHAnsi"/>
          <w:sz w:val="16"/>
          <w:szCs w:val="16"/>
        </w:rPr>
        <w:t>s 4.1, 5.1 and 6.1)</w:t>
      </w:r>
    </w:p>
  </w:footnote>
  <w:footnote w:id="62">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Low level ozone is produced by photochemical action on pollution and it is also a greenhouse gas.</w:t>
      </w:r>
    </w:p>
  </w:footnote>
  <w:footnote w:id="63">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See </w:t>
      </w:r>
      <w:hyperlink r:id="rId46" w:history="1">
        <w:r>
          <w:rPr>
            <w:rStyle w:val="Hyperlink"/>
            <w:sz w:val="16"/>
            <w:szCs w:val="16"/>
          </w:rPr>
          <w:t>The EEA/Eionet Air Quality Portal</w:t>
        </w:r>
      </w:hyperlink>
      <w:r>
        <w:rPr>
          <w:sz w:val="16"/>
          <w:szCs w:val="16"/>
        </w:rPr>
        <w:t xml:space="preserve"> and the related Central Data Repository</w:t>
      </w:r>
    </w:p>
  </w:footnote>
  <w:footnote w:id="64">
    <w:p w:rsidR="004C5536" w:rsidRDefault="003D3C7F">
      <w:pPr>
        <w:pStyle w:val="FootnoteText"/>
        <w:ind w:left="60" w:hanging="60"/>
        <w:rPr>
          <w:lang w:val="pt-PT"/>
        </w:rPr>
      </w:pPr>
      <w:r>
        <w:rPr>
          <w:rStyle w:val="FootnoteReference"/>
        </w:rPr>
        <w:footnoteRef/>
      </w:r>
      <w:r>
        <w:rPr>
          <w:sz w:val="16"/>
          <w:szCs w:val="16"/>
          <w:lang w:val="pt-PT"/>
        </w:rPr>
        <w:t>Re</w:t>
      </w:r>
      <w:r>
        <w:rPr>
          <w:sz w:val="16"/>
          <w:szCs w:val="16"/>
          <w:lang w:val="pt-PT"/>
        </w:rPr>
        <w:t>solução do Conselho de Ministros n.º 46/2016, de 26 de Agosto de 2016</w:t>
      </w:r>
    </w:p>
  </w:footnote>
  <w:footnote w:id="65">
    <w:p w:rsidR="004C5536" w:rsidRDefault="003D3C7F">
      <w:pPr>
        <w:pStyle w:val="FootnoteText"/>
        <w:widowControl w:val="0"/>
        <w:ind w:left="60" w:hanging="60"/>
        <w:rPr>
          <w:sz w:val="16"/>
          <w:szCs w:val="16"/>
        </w:rPr>
      </w:pPr>
      <w:r>
        <w:rPr>
          <w:rStyle w:val="FootnoteReference"/>
          <w:sz w:val="16"/>
          <w:szCs w:val="16"/>
        </w:rPr>
        <w:footnoteRef/>
      </w:r>
      <w:r>
        <w:rPr>
          <w:sz w:val="16"/>
          <w:szCs w:val="16"/>
        </w:rPr>
        <w:t xml:space="preserve"> These figures are based on the </w:t>
      </w:r>
      <w:hyperlink r:id="rId47" w:history="1">
        <w:r>
          <w:rPr>
            <w:rStyle w:val="Hyperlink"/>
            <w:sz w:val="16"/>
            <w:szCs w:val="16"/>
          </w:rPr>
          <w:t>Impact Assessment</w:t>
        </w:r>
      </w:hyperlink>
      <w:r>
        <w:rPr>
          <w:sz w:val="16"/>
          <w:szCs w:val="16"/>
        </w:rPr>
        <w:t xml:space="preserve"> for the European Commission Integrated Clean </w:t>
      </w:r>
      <w:r>
        <w:rPr>
          <w:sz w:val="16"/>
          <w:szCs w:val="16"/>
        </w:rPr>
        <w:t>Air Package (2013).</w:t>
      </w:r>
    </w:p>
  </w:footnote>
  <w:footnote w:id="66">
    <w:p w:rsidR="004C5536" w:rsidRDefault="003D3C7F">
      <w:pPr>
        <w:pStyle w:val="FootnoteText"/>
        <w:ind w:left="60" w:hanging="60"/>
      </w:pPr>
      <w:r>
        <w:rPr>
          <w:rStyle w:val="FootnoteReference"/>
        </w:rPr>
        <w:footnoteRef/>
      </w:r>
      <w:r>
        <w:t xml:space="preserve"> </w:t>
      </w:r>
      <w:r>
        <w:rPr>
          <w:sz w:val="16"/>
          <w:szCs w:val="16"/>
        </w:rPr>
        <w:t>Under the provisions of the revised National Emission Ceilings Directive, Member States now may apply for emission inventory adjustments. Pending evaluation of any adjustment application, Member States should keep emissions under clos</w:t>
      </w:r>
      <w:r>
        <w:rPr>
          <w:sz w:val="16"/>
          <w:szCs w:val="16"/>
        </w:rPr>
        <w:t>e control with a view to further reductions.</w:t>
      </w:r>
    </w:p>
  </w:footnote>
  <w:footnote w:id="67">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environmental noise, Fritschi, L., Brown, A.L., Kim, R., Schwela, D., Kephalopoulos, S. (eds), </w:t>
      </w:r>
      <w:hyperlink r:id="rId48"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68">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w:t>
      </w:r>
      <w:r>
        <w:rPr>
          <w:rFonts w:asciiTheme="minorHAnsi" w:hAnsiTheme="minorHAnsi"/>
          <w:sz w:val="16"/>
          <w:szCs w:val="16"/>
        </w:rPr>
        <w:t xml:space="preserve">e requires Member States to prepare and publish, every 5 years, noise maps and noise management action plans for agglomerations with more than 100,000 inhabitants, and for major roads, railways and airports. </w:t>
      </w:r>
    </w:p>
  </w:footnote>
  <w:footnote w:id="69">
    <w:p w:rsidR="004C5536" w:rsidRDefault="003D3C7F">
      <w:pPr>
        <w:pStyle w:val="FootnoteText"/>
        <w:widowControl w:val="0"/>
        <w:ind w:left="60" w:hanging="6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49"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50"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w:t>
      </w:r>
      <w:r>
        <w:rPr>
          <w:rFonts w:asciiTheme="minorHAnsi" w:hAnsiTheme="minorHAnsi"/>
          <w:sz w:val="16"/>
          <w:szCs w:val="16"/>
        </w:rPr>
        <w:t xml:space="preserve">ncerning discharges of municipal and some industrial waste waters; the </w:t>
      </w:r>
      <w:hyperlink r:id="rId51"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52"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53" w:history="1">
        <w:r>
          <w:rPr>
            <w:rStyle w:val="Hyperlink"/>
            <w:rFonts w:asciiTheme="minorHAnsi" w:hAnsiTheme="minorHAnsi"/>
            <w:sz w:val="16"/>
            <w:szCs w:val="16"/>
          </w:rPr>
          <w:t>Nitrates Di</w:t>
        </w:r>
        <w:r>
          <w:rPr>
            <w:rStyle w:val="Hyperlink"/>
            <w:rFonts w:asciiTheme="minorHAnsi" w:hAnsiTheme="minorHAnsi"/>
            <w:sz w:val="16"/>
            <w:szCs w:val="16"/>
          </w:rPr>
          <w:t>rective (91/676/EEC)</w:t>
        </w:r>
      </w:hyperlink>
      <w:r>
        <w:rPr>
          <w:rFonts w:asciiTheme="minorHAnsi" w:hAnsiTheme="minorHAnsi"/>
          <w:sz w:val="16"/>
          <w:szCs w:val="16"/>
        </w:rPr>
        <w:t xml:space="preserve"> and the </w:t>
      </w:r>
      <w:hyperlink r:id="rId54" w:history="1">
        <w:r>
          <w:rPr>
            <w:rStyle w:val="Hyperlink"/>
            <w:rFonts w:asciiTheme="minorHAnsi" w:hAnsiTheme="minorHAnsi"/>
            <w:sz w:val="16"/>
            <w:szCs w:val="16"/>
          </w:rPr>
          <w:t>Floods Directive (2007/60/EC)</w:t>
        </w:r>
      </w:hyperlink>
    </w:p>
  </w:footnote>
  <w:footnote w:id="70">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in terms of the quality of the biological c</w:t>
      </w:r>
      <w:r>
        <w:rPr>
          <w:rFonts w:asciiTheme="minorHAnsi" w:hAnsiTheme="minorHAnsi"/>
          <w:sz w:val="16"/>
          <w:szCs w:val="16"/>
        </w:rPr>
        <w:t>ommunity, the hydrological characteristics and the chemical characteristics.</w:t>
      </w:r>
    </w:p>
  </w:footnote>
  <w:footnote w:id="71">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Good chemical status is defined</w:t>
      </w:r>
      <w:r>
        <w:rPr>
          <w:rFonts w:asciiTheme="minorHAnsi" w:hAnsiTheme="minorHAnsi"/>
          <w:sz w:val="16"/>
          <w:szCs w:val="16"/>
        </w:rPr>
        <w:t xml:space="preserve"> in the Water Framework Directive</w:t>
      </w:r>
      <w:r>
        <w:rPr>
          <w:rFonts w:asciiTheme="minorHAnsi" w:hAnsiTheme="minorHAnsi"/>
          <w:sz w:val="16"/>
          <w:szCs w:val="16"/>
          <w:lang w:val="en"/>
        </w:rPr>
        <w:t xml:space="preserve"> in terms of compliance with all the quality standards established for chemical substances at European level.</w:t>
      </w:r>
    </w:p>
  </w:footnote>
  <w:footnote w:id="72">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w:t>
      </w:r>
      <w:r>
        <w:rPr>
          <w:rFonts w:asciiTheme="minorHAnsi" w:hAnsiTheme="minorHAnsi"/>
          <w:sz w:val="16"/>
          <w:szCs w:val="16"/>
        </w:rPr>
        <w:t>iffuse pollution comes from widespread activities with no one discrete source.</w:t>
      </w:r>
    </w:p>
  </w:footnote>
  <w:footnote w:id="73">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activities, such as land drainage, flood protection and building of dams to create reservoirs.</w:t>
      </w:r>
    </w:p>
  </w:footnote>
  <w:footnote w:id="74">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w:t>
      </w:r>
      <w:r>
        <w:rPr>
          <w:rFonts w:asciiTheme="minorHAnsi" w:hAnsiTheme="minorHAnsi"/>
          <w:sz w:val="16"/>
          <w:szCs w:val="16"/>
        </w:rPr>
        <w:t>er, a precautionary approach has been taken that comprises a prohibition on direct discharges to groundwater, and a requirement to monitor groundwater bodies.</w:t>
      </w:r>
    </w:p>
  </w:footnote>
  <w:footnote w:id="75">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More information on the implementation status of the Water Framework Directive can be found </w:t>
      </w:r>
      <w:hyperlink r:id="rId55" w:history="1">
        <w:r>
          <w:rPr>
            <w:rStyle w:val="Hyperlink"/>
            <w:rFonts w:asciiTheme="minorHAnsi" w:hAnsiTheme="minorHAnsi"/>
            <w:sz w:val="16"/>
            <w:szCs w:val="16"/>
          </w:rPr>
          <w:t>here</w:t>
        </w:r>
      </w:hyperlink>
    </w:p>
  </w:footnote>
  <w:footnote w:id="76">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56"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Directive 98/83/EC; COM(2016)666</w:t>
      </w:r>
      <w:r>
        <w:rPr>
          <w:rFonts w:asciiTheme="minorHAnsi" w:hAnsiTheme="minorHAnsi"/>
          <w:sz w:val="16"/>
          <w:szCs w:val="16"/>
        </w:rPr>
        <w:tab/>
      </w:r>
    </w:p>
  </w:footnote>
  <w:footnote w:id="77">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57" w:anchor="eea-report-european-bathing-water-quality-in-2015" w:history="1">
        <w:r>
          <w:rPr>
            <w:rStyle w:val="Hyperlink"/>
            <w:rFonts w:asciiTheme="minorHAnsi" w:hAnsiTheme="minorHAnsi"/>
            <w:sz w:val="16"/>
            <w:szCs w:val="16"/>
          </w:rPr>
          <w:t>State of bathing waters 2015-National Report Portugal</w:t>
        </w:r>
      </w:hyperlink>
    </w:p>
  </w:footnote>
  <w:footnote w:id="78">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58" w:history="1">
        <w:r>
          <w:rPr>
            <w:rStyle w:val="Hyperlink"/>
            <w:rFonts w:asciiTheme="minorHAnsi" w:hAnsiTheme="minorHAnsi"/>
            <w:sz w:val="16"/>
            <w:szCs w:val="16"/>
          </w:rPr>
          <w:t>State of bathin</w:t>
        </w:r>
        <w:r>
          <w:rPr>
            <w:rStyle w:val="Hyperlink"/>
            <w:rFonts w:asciiTheme="minorHAnsi" w:hAnsiTheme="minorHAnsi"/>
            <w:sz w:val="16"/>
            <w:szCs w:val="16"/>
          </w:rPr>
          <w:t>g water</w:t>
        </w:r>
      </w:hyperlink>
      <w:r>
        <w:rPr>
          <w:rFonts w:asciiTheme="minorHAnsi" w:hAnsiTheme="minorHAnsi"/>
          <w:sz w:val="16"/>
          <w:szCs w:val="16"/>
        </w:rPr>
        <w:t>, 2016</w:t>
      </w:r>
    </w:p>
  </w:footnote>
  <w:footnote w:id="79">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E.g.: open bays, estuaries and other coastal waters with a good water exchange</w:t>
      </w:r>
    </w:p>
  </w:footnote>
  <w:footnote w:id="80">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US"/>
        </w:rPr>
        <w:t>Portugal reports regularly to the Commission on its areas identified as "less sensitive areas" : "Cabo da Roca/Estoril” and “Madeira (vertentesul)”.</w:t>
      </w:r>
    </w:p>
  </w:footnote>
  <w:footnote w:id="81">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2016</w:t>
      </w:r>
      <w:hyperlink r:id="rId59" w:history="1">
        <w:r>
          <w:rPr>
            <w:rStyle w:val="Hyperlink"/>
            <w:rFonts w:asciiTheme="minorHAnsi" w:hAnsiTheme="minorHAnsi"/>
            <w:sz w:val="16"/>
            <w:szCs w:val="16"/>
          </w:rPr>
          <w:t>. Urban waste water, 8th implementation reports</w:t>
        </w:r>
      </w:hyperlink>
      <w:r>
        <w:rPr>
          <w:rFonts w:asciiTheme="minorHAnsi" w:hAnsiTheme="minorHAnsi"/>
          <w:sz w:val="16"/>
          <w:szCs w:val="16"/>
        </w:rPr>
        <w:t>.</w:t>
      </w:r>
    </w:p>
  </w:footnote>
  <w:footnote w:id="82">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RPA, 2014. Study on Economic and Social Benefits of Environmenta</w:t>
      </w:r>
      <w:r>
        <w:rPr>
          <w:rFonts w:asciiTheme="minorHAnsi" w:hAnsiTheme="minorHAnsi"/>
          <w:sz w:val="16"/>
          <w:szCs w:val="16"/>
        </w:rPr>
        <w:t xml:space="preserve">l Protection and Resource Efficiency Related to the European Semester. Study for the European Commission, </w:t>
      </w:r>
      <w:hyperlink r:id="rId60" w:history="1">
        <w:r>
          <w:rPr>
            <w:rStyle w:val="Hyperlink"/>
            <w:rFonts w:asciiTheme="minorHAnsi" w:hAnsiTheme="minorHAnsi"/>
            <w:sz w:val="16"/>
            <w:szCs w:val="16"/>
          </w:rPr>
          <w:t>Annex 1: Country fiches</w:t>
        </w:r>
      </w:hyperlink>
    </w:p>
  </w:footnote>
  <w:footnote w:id="83">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w:t>
      </w:r>
      <w:r>
        <w:rPr>
          <w:rFonts w:asciiTheme="minorHAnsi" w:hAnsiTheme="minorHAnsi"/>
          <w:sz w:val="16"/>
          <w:szCs w:val="16"/>
        </w:rPr>
        <w:t xml:space="preserve">ironment Agency, </w:t>
      </w:r>
      <w:hyperlink r:id="rId61" w:history="1">
        <w:r>
          <w:rPr>
            <w:rStyle w:val="Hyperlink"/>
            <w:rFonts w:asciiTheme="minorHAnsi" w:hAnsiTheme="minorHAnsi"/>
            <w:sz w:val="16"/>
            <w:szCs w:val="16"/>
          </w:rPr>
          <w:t>Urban environment</w:t>
        </w:r>
      </w:hyperlink>
    </w:p>
  </w:footnote>
  <w:footnote w:id="84">
    <w:p w:rsidR="004C5536" w:rsidRDefault="003D3C7F">
      <w:pPr>
        <w:pStyle w:val="FootnoteText"/>
        <w:ind w:left="60" w:hanging="6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62" w:history="1">
        <w:r>
          <w:rPr>
            <w:rStyle w:val="Hyperlink"/>
            <w:rFonts w:asciiTheme="minorHAnsi" w:hAnsiTheme="minorHAnsi"/>
            <w:sz w:val="16"/>
            <w:szCs w:val="16"/>
          </w:rPr>
          <w:t>http://urbanagendaforthe.eu/</w:t>
        </w:r>
      </w:hyperlink>
    </w:p>
  </w:footnote>
  <w:footnote w:id="85">
    <w:p w:rsidR="004C5536" w:rsidRDefault="003D3C7F">
      <w:pPr>
        <w:pStyle w:val="FootnoteText"/>
        <w:widowControl w:val="0"/>
        <w:ind w:left="60" w:hanging="6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63"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these will be better disseminated via the app featuring the UBaM tool, and increasingly via e.g. EUROCITIES, ICLEI, CEMR, Committee of the Regions, Cove</w:t>
      </w:r>
      <w:r>
        <w:rPr>
          <w:rFonts w:asciiTheme="minorHAnsi" w:hAnsiTheme="minorHAnsi"/>
          <w:sz w:val="16"/>
          <w:szCs w:val="16"/>
        </w:rPr>
        <w:t>nant of Mayors and others.</w:t>
      </w:r>
    </w:p>
  </w:footnote>
  <w:footnote w:id="86">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Press Release, 18th June 2015, </w:t>
      </w:r>
      <w:hyperlink r:id="rId64" w:history="1">
        <w:r>
          <w:rPr>
            <w:rStyle w:val="Hyperlink"/>
            <w:rFonts w:asciiTheme="minorHAnsi" w:hAnsiTheme="minorHAnsi"/>
            <w:sz w:val="16"/>
            <w:szCs w:val="16"/>
          </w:rPr>
          <w:t xml:space="preserve">Torres Vedras wins inaugural European Green Leaf </w:t>
        </w:r>
        <w:r>
          <w:rPr>
            <w:rStyle w:val="Hyperlink"/>
            <w:rFonts w:asciiTheme="minorHAnsi" w:hAnsiTheme="minorHAnsi"/>
            <w:sz w:val="16"/>
            <w:szCs w:val="16"/>
          </w:rPr>
          <w:t>2015</w:t>
        </w:r>
      </w:hyperlink>
      <w:r>
        <w:rPr>
          <w:rFonts w:asciiTheme="minorHAnsi" w:hAnsiTheme="minorHAnsi"/>
          <w:sz w:val="16"/>
          <w:szCs w:val="16"/>
        </w:rPr>
        <w:t xml:space="preserve"> </w:t>
      </w:r>
    </w:p>
  </w:footnote>
  <w:footnote w:id="87">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5" w:history="1">
        <w:r>
          <w:rPr>
            <w:rStyle w:val="Hyperlink"/>
            <w:rFonts w:asciiTheme="minorHAnsi" w:hAnsiTheme="minorHAnsi"/>
            <w:sz w:val="16"/>
            <w:szCs w:val="16"/>
          </w:rPr>
          <w:t>Council of Ministers Resolution No. 61/2015, August 11</w:t>
        </w:r>
      </w:hyperlink>
    </w:p>
  </w:footnote>
  <w:footnote w:id="88">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INRIX, 2015. </w:t>
      </w:r>
      <w:hyperlink r:id="rId66" w:history="1">
        <w:r>
          <w:rPr>
            <w:rStyle w:val="Hyperlink"/>
            <w:rFonts w:asciiTheme="minorHAnsi" w:hAnsiTheme="minorHAnsi"/>
            <w:sz w:val="16"/>
            <w:szCs w:val="16"/>
          </w:rPr>
          <w:t>Key Findings: INRIX 2015 Traffic Scoreboard</w:t>
        </w:r>
      </w:hyperlink>
      <w:r>
        <w:rPr>
          <w:rFonts w:asciiTheme="minorHAnsi" w:hAnsiTheme="minorHAnsi"/>
          <w:sz w:val="16"/>
          <w:szCs w:val="16"/>
        </w:rPr>
        <w:t xml:space="preserve"> </w:t>
      </w:r>
    </w:p>
  </w:footnote>
  <w:footnote w:id="89">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7" w:history="1">
        <w:r>
          <w:rPr>
            <w:rStyle w:val="Hyperlink"/>
            <w:rFonts w:asciiTheme="minorHAnsi" w:hAnsiTheme="minorHAnsi"/>
            <w:sz w:val="16"/>
            <w:szCs w:val="16"/>
          </w:rPr>
          <w:t>http://www.clusterdorothy.com</w:t>
        </w:r>
      </w:hyperlink>
      <w:r>
        <w:rPr>
          <w:rFonts w:asciiTheme="minorHAnsi" w:hAnsiTheme="minorHAnsi"/>
          <w:sz w:val="16"/>
          <w:szCs w:val="16"/>
        </w:rPr>
        <w:t xml:space="preserve"> </w:t>
      </w:r>
    </w:p>
  </w:footnote>
  <w:footnote w:id="90">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hyperlink r:id="rId68" w:history="1">
        <w:r>
          <w:rPr>
            <w:rStyle w:val="Hyperlink"/>
            <w:rFonts w:asciiTheme="minorHAnsi" w:hAnsiTheme="minorHAnsi"/>
            <w:sz w:val="16"/>
            <w:szCs w:val="16"/>
          </w:rPr>
          <w:t>http://www.imtt.pt/sites/IMTT/Portugues/RJSPTP/Paginas/RJSPTP.aspx</w:t>
        </w:r>
      </w:hyperlink>
      <w:r>
        <w:rPr>
          <w:rFonts w:asciiTheme="minorHAnsi" w:hAnsiTheme="minorHAnsi"/>
          <w:sz w:val="16"/>
          <w:szCs w:val="16"/>
        </w:rPr>
        <w:t xml:space="preserve"> </w:t>
      </w:r>
    </w:p>
  </w:footnote>
  <w:footnote w:id="91">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Protocol on Access to Genetic Resou</w:t>
      </w:r>
      <w:r>
        <w:rPr>
          <w:rFonts w:asciiTheme="minorHAnsi" w:hAnsiTheme="minorHAnsi"/>
          <w:sz w:val="16"/>
          <w:szCs w:val="16"/>
        </w:rPr>
        <w:t>rces and the Fair and Equitable Sharing of Benefits Arising from their Utilization to the Convention on Biological Diversity.</w:t>
      </w:r>
    </w:p>
  </w:footnote>
  <w:footnote w:id="92">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Annual Growth Survey 2016, p. 14.</w:t>
      </w:r>
    </w:p>
  </w:footnote>
  <w:footnote w:id="93">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69" w:history="1">
        <w:r>
          <w:rPr>
            <w:rStyle w:val="Hyperlink"/>
            <w:rFonts w:asciiTheme="minorHAnsi" w:hAnsiTheme="minorHAnsi"/>
            <w:sz w:val="16"/>
            <w:szCs w:val="16"/>
          </w:rPr>
          <w:t>Environmental tax revenues</w:t>
        </w:r>
      </w:hyperlink>
      <w:r>
        <w:rPr>
          <w:rFonts w:asciiTheme="minorHAnsi" w:hAnsiTheme="minorHAnsi"/>
          <w:sz w:val="16"/>
          <w:szCs w:val="16"/>
        </w:rPr>
        <w:t>, accessed October 2016</w:t>
      </w:r>
    </w:p>
  </w:footnote>
  <w:footnote w:id="94">
    <w:p w:rsidR="004C5536" w:rsidRDefault="003D3C7F">
      <w:pPr>
        <w:pStyle w:val="FootnoteText"/>
        <w:ind w:left="60" w:hanging="6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Eurostat, </w:t>
      </w:r>
      <w:hyperlink r:id="rId70" w:history="1">
        <w:r>
          <w:rPr>
            <w:rStyle w:val="Hyperlink"/>
            <w:rFonts w:asciiTheme="minorHAnsi" w:hAnsiTheme="minorHAnsi"/>
            <w:sz w:val="16"/>
            <w:szCs w:val="16"/>
            <w:lang w:val="fr-BE"/>
          </w:rPr>
          <w:t>Environmental tax revenues</w:t>
        </w:r>
      </w:hyperlink>
      <w:r>
        <w:rPr>
          <w:rFonts w:asciiTheme="minorHAnsi" w:hAnsiTheme="minorHAnsi"/>
          <w:sz w:val="16"/>
          <w:szCs w:val="16"/>
          <w:lang w:val="fr-BE"/>
        </w:rPr>
        <w:t>, accessed October 2016</w:t>
      </w:r>
    </w:p>
  </w:footnote>
  <w:footnote w:id="95">
    <w:p w:rsidR="004C5536" w:rsidRDefault="003D3C7F">
      <w:pPr>
        <w:pStyle w:val="FootnoteText"/>
        <w:widowControl w:val="0"/>
        <w:ind w:left="60" w:hanging="60"/>
        <w:rPr>
          <w:rFonts w:asciiTheme="minorHAnsi" w:hAnsiTheme="minorHAnsi"/>
          <w:sz w:val="16"/>
          <w:szCs w:val="16"/>
          <w:lang w:val="pt-PT"/>
        </w:rPr>
      </w:pPr>
      <w:r>
        <w:rPr>
          <w:rStyle w:val="FootnoteReference"/>
          <w:rFonts w:asciiTheme="minorHAnsi" w:hAnsiTheme="minorHAnsi"/>
          <w:sz w:val="16"/>
          <w:szCs w:val="16"/>
        </w:rPr>
        <w:footnoteRef/>
      </w:r>
      <w:r>
        <w:rPr>
          <w:rFonts w:asciiTheme="minorHAnsi" w:hAnsiTheme="minorHAnsi"/>
          <w:sz w:val="16"/>
          <w:szCs w:val="16"/>
          <w:lang w:val="pt-PT"/>
        </w:rPr>
        <w:t xml:space="preserve"> SWD(2014) 423 final, 2 June 2014.</w:t>
      </w:r>
    </w:p>
  </w:footnote>
  <w:footnote w:id="96">
    <w:p w:rsidR="004C5536" w:rsidRDefault="003D3C7F">
      <w:pPr>
        <w:pStyle w:val="FootnoteText"/>
        <w:widowControl w:val="0"/>
        <w:ind w:left="60" w:hanging="60"/>
        <w:rPr>
          <w:rFonts w:asciiTheme="minorHAnsi" w:hAnsiTheme="minorHAnsi"/>
          <w:sz w:val="16"/>
          <w:szCs w:val="16"/>
          <w:lang w:val="pt-BR"/>
        </w:rPr>
      </w:pPr>
      <w:r>
        <w:rPr>
          <w:rStyle w:val="FootnoteReference"/>
          <w:rFonts w:asciiTheme="minorHAnsi" w:hAnsiTheme="minorHAnsi"/>
          <w:sz w:val="16"/>
          <w:szCs w:val="16"/>
        </w:rPr>
        <w:footnoteRef/>
      </w:r>
      <w:r>
        <w:rPr>
          <w:rFonts w:asciiTheme="minorHAnsi" w:hAnsiTheme="minorHAnsi"/>
          <w:sz w:val="16"/>
          <w:szCs w:val="16"/>
          <w:lang w:val="pt-BR"/>
        </w:rPr>
        <w:t xml:space="preserve"> Final Report </w:t>
      </w:r>
      <w:hyperlink r:id="rId71" w:history="1">
        <w:r>
          <w:rPr>
            <w:rStyle w:val="Hyperlink"/>
            <w:rFonts w:asciiTheme="minorHAnsi" w:hAnsiTheme="minorHAnsi"/>
            <w:sz w:val="16"/>
            <w:szCs w:val="16"/>
            <w:lang w:val="pt-BR"/>
          </w:rPr>
          <w:t>"Projeto de Reforma da Fiscalidade Verde"</w:t>
        </w:r>
      </w:hyperlink>
      <w:r>
        <w:rPr>
          <w:rFonts w:asciiTheme="minorHAnsi" w:hAnsiTheme="minorHAnsi"/>
          <w:sz w:val="16"/>
          <w:szCs w:val="16"/>
          <w:lang w:val="pt-BR"/>
        </w:rPr>
        <w:t>, 15.09.2014.</w:t>
      </w:r>
    </w:p>
  </w:footnote>
  <w:footnote w:id="97">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Eunomia Research and Consulting, IEEP, Aarhus University, ENT, 2016. </w:t>
      </w:r>
      <w:hyperlink r:id="rId72" w:history="1">
        <w:r>
          <w:rPr>
            <w:rStyle w:val="Hyperlink"/>
            <w:rFonts w:asciiTheme="minorHAnsi" w:hAnsiTheme="minorHAnsi"/>
            <w:sz w:val="16"/>
            <w:szCs w:val="16"/>
          </w:rPr>
          <w:t>Study on Assessing the Environmental Fiscal Reform Potential for the EU28</w:t>
        </w:r>
      </w:hyperlink>
      <w:r>
        <w:rPr>
          <w:rFonts w:asciiTheme="minorHAnsi" w:hAnsiTheme="minorHAnsi"/>
          <w:sz w:val="16"/>
          <w:szCs w:val="16"/>
        </w:rPr>
        <w:t>. N.B. National governments are responsible for setting tax rates</w:t>
      </w:r>
      <w:r>
        <w:rPr>
          <w:rFonts w:asciiTheme="minorHAnsi" w:hAnsiTheme="minorHAnsi"/>
          <w:sz w:val="16"/>
          <w:szCs w:val="16"/>
        </w:rPr>
        <w:t xml:space="preserve"> within the EU Single Market rules and this report is not suggesting concrete changes as to the level of environmental taxation. It merely presents the findings of the 2016 study by Eunomia </w:t>
      </w:r>
      <w:r>
        <w:rPr>
          <w:rFonts w:asciiTheme="minorHAnsi" w:hAnsiTheme="minorHAnsi"/>
          <w:i/>
          <w:iCs/>
          <w:sz w:val="16"/>
          <w:szCs w:val="16"/>
        </w:rPr>
        <w:t>et al</w:t>
      </w:r>
      <w:r>
        <w:rPr>
          <w:rFonts w:asciiTheme="minorHAnsi" w:hAnsiTheme="minorHAnsi"/>
          <w:sz w:val="16"/>
          <w:szCs w:val="16"/>
        </w:rPr>
        <w:t xml:space="preserve"> on the potential benefits various environmental taxes could </w:t>
      </w:r>
      <w:r>
        <w:rPr>
          <w:rFonts w:asciiTheme="minorHAnsi" w:hAnsiTheme="minorHAnsi"/>
          <w:sz w:val="16"/>
          <w:szCs w:val="16"/>
        </w:rPr>
        <w:t>bring. It is then for the national authorities to assess this study and their concrete impacts in the national context. A first step in this respect, already done by a number of Member States, is to set up expert groups to assess these and make specific pr</w:t>
      </w:r>
      <w:r>
        <w:rPr>
          <w:rFonts w:asciiTheme="minorHAnsi" w:hAnsiTheme="minorHAnsi"/>
          <w:sz w:val="16"/>
          <w:szCs w:val="16"/>
        </w:rPr>
        <w:t>oposals.</w:t>
      </w:r>
    </w:p>
  </w:footnote>
  <w:footnote w:id="98">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good practice scenario means benchmarking to a successful taxation practice in another Member State.</w:t>
      </w:r>
    </w:p>
  </w:footnote>
  <w:footnote w:id="99">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2015. </w:t>
      </w:r>
      <w:hyperlink r:id="rId73" w:history="1">
        <w:r>
          <w:rPr>
            <w:rStyle w:val="Hyperlink"/>
            <w:rFonts w:asciiTheme="minorHAnsi" w:hAnsiTheme="minorHAnsi"/>
            <w:sz w:val="16"/>
            <w:szCs w:val="16"/>
          </w:rPr>
          <w:t>Tax Reforms in EU Member</w:t>
        </w:r>
        <w:r>
          <w:rPr>
            <w:rStyle w:val="Hyperlink"/>
            <w:rFonts w:asciiTheme="minorHAnsi" w:hAnsiTheme="minorHAnsi"/>
            <w:sz w:val="16"/>
            <w:szCs w:val="16"/>
          </w:rPr>
          <w:t xml:space="preserve"> States 2015</w:t>
        </w:r>
      </w:hyperlink>
      <w:r>
        <w:rPr>
          <w:rFonts w:asciiTheme="minorHAnsi" w:hAnsiTheme="minorHAnsi"/>
          <w:sz w:val="16"/>
          <w:szCs w:val="16"/>
        </w:rPr>
        <w:t>, Institutional Paper 008 Sept. 2015.</w:t>
      </w:r>
    </w:p>
  </w:footnote>
  <w:footnote w:id="100">
    <w:p w:rsidR="004C5536" w:rsidRPr="003D3C7F"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sidRPr="003D3C7F">
        <w:rPr>
          <w:rFonts w:asciiTheme="minorHAnsi" w:hAnsiTheme="minorHAnsi"/>
          <w:sz w:val="16"/>
          <w:szCs w:val="16"/>
        </w:rPr>
        <w:t xml:space="preserve"> 7</w:t>
      </w:r>
      <w:r w:rsidRPr="003D3C7F">
        <w:rPr>
          <w:rFonts w:asciiTheme="minorHAnsi" w:hAnsiTheme="minorHAnsi"/>
          <w:sz w:val="16"/>
          <w:szCs w:val="16"/>
          <w:vertAlign w:val="superscript"/>
        </w:rPr>
        <w:t>th</w:t>
      </w:r>
      <w:r w:rsidRPr="003D3C7F">
        <w:rPr>
          <w:rFonts w:asciiTheme="minorHAnsi" w:hAnsiTheme="minorHAnsi"/>
          <w:sz w:val="16"/>
          <w:szCs w:val="16"/>
        </w:rPr>
        <w:t xml:space="preserve"> EU Environmental Action Programme.</w:t>
      </w:r>
    </w:p>
  </w:footnote>
  <w:footnote w:id="101">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2020 Milestone on phasing out EHS in the Roadmap to a Resource Efficient Europe (COM(2011) 571 final).</w:t>
      </w:r>
    </w:p>
  </w:footnote>
  <w:footnote w:id="102">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OECD </w:t>
      </w:r>
      <w:hyperlink r:id="rId74" w:history="1">
        <w:r>
          <w:rPr>
            <w:rStyle w:val="Hyperlink"/>
            <w:rFonts w:asciiTheme="minorHAnsi" w:hAnsiTheme="minorHAnsi"/>
            <w:sz w:val="16"/>
            <w:szCs w:val="16"/>
          </w:rPr>
          <w:t>Companion to the Inventory of Support Measures for Fossil Fuels 2015</w:t>
        </w:r>
      </w:hyperlink>
      <w:r>
        <w:rPr>
          <w:rFonts w:asciiTheme="minorHAnsi" w:hAnsiTheme="minorHAnsi"/>
          <w:sz w:val="16"/>
          <w:szCs w:val="16"/>
        </w:rPr>
        <w:t xml:space="preserve"> </w:t>
      </w:r>
    </w:p>
  </w:footnote>
  <w:footnote w:id="103">
    <w:p w:rsidR="004C5536" w:rsidRDefault="003D3C7F">
      <w:pPr>
        <w:pStyle w:val="FootnoteText"/>
        <w:ind w:left="60" w:hanging="6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European Environment Agency 2016, </w:t>
      </w:r>
      <w:hyperlink r:id="rId75" w:history="1">
        <w:r>
          <w:rPr>
            <w:rStyle w:val="Hyperlink"/>
            <w:rFonts w:asciiTheme="minorHAnsi" w:hAnsiTheme="minorHAnsi"/>
            <w:sz w:val="16"/>
            <w:szCs w:val="16"/>
            <w:lang w:val="fr-BE"/>
          </w:rPr>
          <w:t>Environmental taxation and EU environmental policies</w:t>
        </w:r>
      </w:hyperlink>
      <w:r>
        <w:rPr>
          <w:rFonts w:asciiTheme="minorHAnsi" w:hAnsiTheme="minorHAnsi"/>
          <w:sz w:val="16"/>
          <w:szCs w:val="16"/>
          <w:lang w:val="fr-BE"/>
        </w:rPr>
        <w:t>, Table 4.3, p.24.</w:t>
      </w:r>
    </w:p>
  </w:footnote>
  <w:footnote w:id="104">
    <w:p w:rsidR="004C5536" w:rsidRDefault="003D3C7F">
      <w:pPr>
        <w:pStyle w:val="FootnoteText"/>
        <w:ind w:left="60" w:hanging="6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European Commission, 2015. </w:t>
      </w:r>
      <w:hyperlink r:id="rId76" w:history="1">
        <w:r>
          <w:rPr>
            <w:rStyle w:val="Hyperlink"/>
            <w:rFonts w:asciiTheme="minorHAnsi" w:hAnsiTheme="minorHAnsi"/>
            <w:sz w:val="16"/>
            <w:szCs w:val="16"/>
            <w:lang w:val="fr-BE"/>
          </w:rPr>
          <w:t>Public procureme</w:t>
        </w:r>
        <w:r>
          <w:rPr>
            <w:rStyle w:val="Hyperlink"/>
            <w:rFonts w:asciiTheme="minorHAnsi" w:hAnsiTheme="minorHAnsi"/>
            <w:sz w:val="16"/>
            <w:szCs w:val="16"/>
            <w:lang w:val="fr-BE"/>
          </w:rPr>
          <w:t>nt</w:t>
        </w:r>
      </w:hyperlink>
    </w:p>
  </w:footnote>
  <w:footnote w:id="105">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 xml:space="preserve">In the Communication “Public procurement for a better environment” </w:t>
      </w:r>
      <w:hyperlink r:id="rId77" w:history="1">
        <w:r>
          <w:rPr>
            <w:rStyle w:val="Hyperlink"/>
            <w:rFonts w:asciiTheme="minorHAnsi" w:hAnsiTheme="minorHAnsi"/>
            <w:sz w:val="16"/>
            <w:szCs w:val="16"/>
            <w:lang w:val="en"/>
          </w:rPr>
          <w:t>(COM (2008)400)</w:t>
        </w:r>
      </w:hyperlink>
      <w:r>
        <w:rPr>
          <w:rFonts w:asciiTheme="minorHAnsi" w:hAnsiTheme="minorHAnsi"/>
          <w:sz w:val="16"/>
          <w:szCs w:val="16"/>
          <w:lang w:val="en"/>
        </w:rPr>
        <w:t xml:space="preserve"> the Commission </w:t>
      </w:r>
      <w:r>
        <w:rPr>
          <w:rFonts w:asciiTheme="minorHAnsi" w:hAnsiTheme="minorHAnsi"/>
          <w:sz w:val="16"/>
          <w:szCs w:val="16"/>
          <w:lang w:val="en"/>
        </w:rPr>
        <w:t>recommended the creation of a process for setting common GPP criteria. The basic concept of GPP relies on having clear, verifiable, justifiable and ambitious environmental criteria for products and services, based on a life-cycle approach and scientific ev</w:t>
      </w:r>
      <w:r>
        <w:rPr>
          <w:rFonts w:asciiTheme="minorHAnsi" w:hAnsiTheme="minorHAnsi"/>
          <w:sz w:val="16"/>
          <w:szCs w:val="16"/>
          <w:lang w:val="en"/>
        </w:rPr>
        <w:t>idence base.</w:t>
      </w:r>
    </w:p>
  </w:footnote>
  <w:footnote w:id="106">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Resolution of the Council of Ministers No. 38/2016 of 29 July.</w:t>
      </w:r>
    </w:p>
  </w:footnote>
  <w:footnote w:id="107">
    <w:p w:rsidR="004C5536" w:rsidRDefault="003D3C7F">
      <w:pPr>
        <w:pStyle w:val="FootnoteText"/>
        <w:ind w:left="60" w:hanging="60"/>
        <w:rPr>
          <w:sz w:val="16"/>
          <w:szCs w:val="16"/>
        </w:rPr>
      </w:pPr>
      <w:r>
        <w:rPr>
          <w:rStyle w:val="FootnoteReference"/>
          <w:sz w:val="16"/>
          <w:szCs w:val="16"/>
        </w:rPr>
        <w:footnoteRef/>
      </w:r>
      <w:r>
        <w:rPr>
          <w:sz w:val="16"/>
          <w:szCs w:val="16"/>
        </w:rPr>
        <w:t xml:space="preserve"> ESIF comprises five funds – the European Regional Development Funds (ERDF), the Cohesion Fund (CF), the European Social Fund (ESF), the European Agricultural Fund for Rural Development (EAFRD), and the European Maritime and Fisheries Fund (EMFF). The ERDF</w:t>
      </w:r>
      <w:r>
        <w:rPr>
          <w:sz w:val="16"/>
          <w:szCs w:val="16"/>
        </w:rPr>
        <w:t>, the CF and the ESF together form the Cohesion Policy funds.</w:t>
      </w:r>
    </w:p>
  </w:footnote>
  <w:footnote w:id="108">
    <w:p w:rsidR="004C5536" w:rsidRDefault="003D3C7F">
      <w:pPr>
        <w:pStyle w:val="FootnoteText"/>
        <w:ind w:left="60" w:hanging="60"/>
        <w:rPr>
          <w:sz w:val="16"/>
          <w:szCs w:val="16"/>
        </w:rPr>
      </w:pPr>
      <w:r>
        <w:rPr>
          <w:rStyle w:val="FootnoteReference"/>
          <w:sz w:val="16"/>
          <w:szCs w:val="16"/>
        </w:rPr>
        <w:footnoteRef/>
      </w:r>
      <w:r>
        <w:rPr>
          <w:sz w:val="16"/>
          <w:szCs w:val="16"/>
        </w:rPr>
        <w:t xml:space="preserve"> European Investment Bank, 2016 </w:t>
      </w:r>
      <w:hyperlink r:id="rId78" w:history="1">
        <w:r>
          <w:rPr>
            <w:rStyle w:val="Hyperlink"/>
            <w:sz w:val="16"/>
            <w:szCs w:val="16"/>
          </w:rPr>
          <w:t>European Fund for Strategic Investments</w:t>
        </w:r>
      </w:hyperlink>
    </w:p>
  </w:footnote>
  <w:footnote w:id="109">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Final data for the period 2007-2013 will only be available at the end of 2017.</w:t>
      </w:r>
    </w:p>
  </w:footnote>
  <w:footnote w:id="110">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Including the national co-financing part.</w:t>
      </w:r>
    </w:p>
  </w:footnote>
  <w:footnote w:id="111">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79" w:history="1">
        <w:r>
          <w:rPr>
            <w:rStyle w:val="Hyperlink"/>
            <w:rFonts w:asciiTheme="minorHAnsi" w:hAnsiTheme="minorHAnsi"/>
            <w:sz w:val="16"/>
            <w:szCs w:val="16"/>
          </w:rPr>
          <w:t>European Structural and Investment Funds Data By Country</w:t>
        </w:r>
      </w:hyperlink>
    </w:p>
  </w:footnote>
  <w:footnote w:id="112">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EAC Waste has already been fulfilled by Portugal.</w:t>
      </w:r>
    </w:p>
  </w:footnote>
  <w:footnote w:id="113">
    <w:p w:rsidR="004C5536" w:rsidRDefault="003D3C7F">
      <w:pPr>
        <w:widowControl w:val="0"/>
        <w:spacing w:after="0" w:line="240" w:lineRule="auto"/>
        <w:ind w:left="60" w:hanging="60"/>
        <w:rPr>
          <w:b/>
          <w:sz w:val="16"/>
          <w:szCs w:val="16"/>
        </w:rPr>
      </w:pPr>
      <w:r>
        <w:rPr>
          <w:rStyle w:val="FootnoteReference"/>
          <w:sz w:val="16"/>
          <w:szCs w:val="16"/>
        </w:rPr>
        <w:footnoteRef/>
      </w:r>
      <w:r>
        <w:rPr>
          <w:sz w:val="16"/>
          <w:szCs w:val="16"/>
        </w:rPr>
        <w:t xml:space="preserve"> The Commissio</w:t>
      </w:r>
      <w:r>
        <w:rPr>
          <w:sz w:val="16"/>
          <w:szCs w:val="16"/>
        </w:rPr>
        <w:t>n has work ongoing to improve the country-specific knowledge about quality and functioning of the administrative systems of Member States.</w:t>
      </w:r>
    </w:p>
  </w:footnote>
  <w:footnote w:id="114">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Charron N., 2013. </w:t>
      </w:r>
      <w:hyperlink r:id="rId80" w:history="1">
        <w:r>
          <w:rPr>
            <w:rStyle w:val="Hyperlink"/>
            <w:rFonts w:asciiTheme="minorHAnsi" w:hAnsiTheme="minorHAnsi"/>
            <w:sz w:val="16"/>
            <w:szCs w:val="16"/>
          </w:rPr>
          <w:t>E</w:t>
        </w:r>
        <w:r>
          <w:rPr>
            <w:rStyle w:val="Hyperlink"/>
            <w:rFonts w:asciiTheme="minorHAnsi" w:hAnsiTheme="minorHAnsi"/>
            <w:sz w:val="16"/>
            <w:szCs w:val="16"/>
          </w:rPr>
          <w:t>uropean Quality of Government Index (EQI)</w:t>
        </w:r>
      </w:hyperlink>
    </w:p>
  </w:footnote>
  <w:footnote w:id="115">
    <w:p w:rsidR="004C5536" w:rsidRDefault="003D3C7F">
      <w:pPr>
        <w:pStyle w:val="FootnoteText"/>
        <w:rPr>
          <w:sz w:val="16"/>
          <w:szCs w:val="16"/>
        </w:rPr>
      </w:pPr>
      <w:r>
        <w:rPr>
          <w:rStyle w:val="FootnoteReference"/>
          <w:sz w:val="16"/>
          <w:szCs w:val="16"/>
        </w:rPr>
        <w:footnoteRef/>
      </w:r>
      <w:r>
        <w:rPr>
          <w:sz w:val="16"/>
          <w:szCs w:val="16"/>
        </w:rPr>
        <w:t xml:space="preserve"> </w:t>
      </w:r>
      <w:hyperlink r:id="rId81" w:history="1">
        <w:r>
          <w:rPr>
            <w:rStyle w:val="Hyperlink"/>
            <w:sz w:val="16"/>
            <w:szCs w:val="16"/>
          </w:rPr>
          <w:t>European Semester 2016 Portugal Country Report</w:t>
        </w:r>
      </w:hyperlink>
      <w:r>
        <w:rPr>
          <w:sz w:val="16"/>
          <w:szCs w:val="16"/>
        </w:rPr>
        <w:t>, p. 58.</w:t>
      </w:r>
    </w:p>
  </w:footnote>
  <w:footnote w:id="116">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11 of the TFEU provides that "Environmental protection requiremen</w:t>
      </w:r>
      <w:r>
        <w:rPr>
          <w:rFonts w:asciiTheme="minorHAnsi" w:hAnsiTheme="minorHAnsi"/>
          <w:sz w:val="16"/>
          <w:szCs w:val="16"/>
        </w:rPr>
        <w:t>ts must be integrated into the definition and implementation of the Union's policies and activities, in particular with a view to promoting sustainable development."</w:t>
      </w:r>
    </w:p>
  </w:footnote>
  <w:footnote w:id="117">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transposition of Directive 2014/52/EU is due in May 2017.</w:t>
      </w:r>
    </w:p>
  </w:footnote>
  <w:footnote w:id="118">
    <w:p w:rsidR="004C5536" w:rsidRDefault="003D3C7F">
      <w:pPr>
        <w:pStyle w:val="FootnoteText"/>
        <w:ind w:left="60" w:hanging="6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European Commission, 201</w:t>
      </w:r>
      <w:r>
        <w:rPr>
          <w:rFonts w:asciiTheme="minorHAnsi" w:hAnsiTheme="minorHAnsi"/>
          <w:sz w:val="16"/>
          <w:szCs w:val="16"/>
        </w:rPr>
        <w:t xml:space="preserve">6. Commission notice — </w:t>
      </w:r>
      <w:hyperlink r:id="rId82"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rStyle w:val="Hyperlink"/>
          <w:rFonts w:asciiTheme="minorHAnsi" w:hAnsiTheme="minorHAnsi"/>
          <w:sz w:val="16"/>
          <w:szCs w:val="16"/>
        </w:rPr>
        <w:t xml:space="preserve"> (D</w:t>
      </w:r>
      <w:r>
        <w:rPr>
          <w:rFonts w:asciiTheme="minorHAnsi" w:hAnsiTheme="minorHAnsi"/>
          <w:sz w:val="16"/>
          <w:szCs w:val="16"/>
        </w:rPr>
        <w:t>irective 2011/92/EU of the European Parliament and of the Council, as amended by Directive 2014/52/EU).</w:t>
      </w:r>
    </w:p>
  </w:footnote>
  <w:footnote w:id="119">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Decree-Law 75/2015</w:t>
      </w:r>
    </w:p>
  </w:footnote>
  <w:footnote w:id="120">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w:t>
      </w:r>
      <w:r>
        <w:t xml:space="preserve"> </w:t>
      </w:r>
      <w:hyperlink r:id="rId83" w:history="1">
        <w:r>
          <w:rPr>
            <w:rStyle w:val="Hyperlink"/>
            <w:rFonts w:asciiTheme="minorHAnsi" w:hAnsiTheme="minorHAnsi"/>
            <w:sz w:val="16"/>
            <w:szCs w:val="16"/>
          </w:rPr>
          <w:t>Environmental Crime Dire</w:t>
        </w:r>
        <w:r>
          <w:rPr>
            <w:rStyle w:val="Hyperlink"/>
            <w:rFonts w:asciiTheme="minorHAnsi" w:hAnsiTheme="minorHAnsi"/>
            <w:sz w:val="16"/>
            <w:szCs w:val="16"/>
          </w:rPr>
          <w:t>ctive 2008/99/EC</w:t>
        </w:r>
      </w:hyperlink>
    </w:p>
  </w:footnote>
  <w:footnote w:id="121">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4" w:history="1">
        <w:r>
          <w:rPr>
            <w:rStyle w:val="Hyperlink"/>
            <w:rFonts w:asciiTheme="minorHAnsi" w:hAnsiTheme="minorHAnsi"/>
            <w:sz w:val="16"/>
            <w:szCs w:val="16"/>
          </w:rPr>
          <w:t>European Union Network for the Implementation and Enforcement of Environmental Law</w:t>
        </w:r>
      </w:hyperlink>
    </w:p>
  </w:footnote>
  <w:footnote w:id="122">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5" w:history="1">
        <w:r>
          <w:rPr>
            <w:rStyle w:val="Hyperlink"/>
            <w:rFonts w:asciiTheme="minorHAnsi" w:hAnsiTheme="minorHAnsi"/>
            <w:sz w:val="16"/>
            <w:szCs w:val="16"/>
          </w:rPr>
          <w:t>European Union Forum of judges for the environment</w:t>
        </w:r>
      </w:hyperlink>
      <w:r>
        <w:rPr>
          <w:rFonts w:asciiTheme="minorHAnsi" w:hAnsiTheme="minorHAnsi"/>
          <w:sz w:val="16"/>
          <w:szCs w:val="16"/>
        </w:rPr>
        <w:t xml:space="preserve"> </w:t>
      </w:r>
    </w:p>
  </w:footnote>
  <w:footnote w:id="123">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6" w:history="1">
        <w:r>
          <w:rPr>
            <w:rStyle w:val="Hyperlink"/>
            <w:rFonts w:asciiTheme="minorHAnsi" w:hAnsiTheme="minorHAnsi"/>
            <w:sz w:val="16"/>
            <w:szCs w:val="16"/>
          </w:rPr>
          <w:t>The European Network of Prosecutors for the Environment</w:t>
        </w:r>
      </w:hyperlink>
      <w:r>
        <w:rPr>
          <w:rFonts w:asciiTheme="minorHAnsi" w:hAnsiTheme="minorHAnsi"/>
          <w:sz w:val="16"/>
          <w:szCs w:val="16"/>
        </w:rPr>
        <w:t xml:space="preserve"> </w:t>
      </w:r>
    </w:p>
  </w:footnote>
  <w:footnote w:id="124">
    <w:p w:rsidR="004C5536" w:rsidRDefault="003D3C7F">
      <w:pPr>
        <w:pStyle w:val="FootnoteText"/>
        <w:widowControl w:val="0"/>
        <w:ind w:left="60" w:hanging="6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hyperlink r:id="rId87" w:history="1">
        <w:r>
          <w:rPr>
            <w:rStyle w:val="Hyperlink"/>
            <w:rFonts w:asciiTheme="minorHAnsi" w:hAnsiTheme="minorHAnsi"/>
            <w:sz w:val="16"/>
            <w:szCs w:val="16"/>
            <w:lang w:val="fr-BE"/>
          </w:rPr>
          <w:t>EnviCrimeNet</w:t>
        </w:r>
      </w:hyperlink>
      <w:r>
        <w:rPr>
          <w:rFonts w:asciiTheme="minorHAnsi" w:hAnsiTheme="minorHAnsi"/>
          <w:sz w:val="16"/>
          <w:szCs w:val="16"/>
          <w:lang w:val="fr-BE"/>
        </w:rPr>
        <w:t xml:space="preserve"> </w:t>
      </w:r>
    </w:p>
  </w:footnote>
  <w:footnote w:id="125">
    <w:p w:rsidR="004C5536" w:rsidRDefault="003D3C7F">
      <w:pPr>
        <w:pStyle w:val="FootnoteText"/>
        <w:widowControl w:val="0"/>
        <w:ind w:left="60" w:hanging="6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European Union, </w:t>
      </w:r>
      <w:hyperlink r:id="rId88" w:history="1">
        <w:r>
          <w:rPr>
            <w:rStyle w:val="Hyperlink"/>
            <w:rFonts w:asciiTheme="minorHAnsi" w:hAnsiTheme="minorHAnsi"/>
            <w:sz w:val="16"/>
            <w:szCs w:val="16"/>
            <w:lang w:val="fr-BE"/>
          </w:rPr>
          <w:t>Environmental Liability Directive 2004/35/CE</w:t>
        </w:r>
      </w:hyperlink>
    </w:p>
  </w:footnote>
  <w:footnote w:id="126">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9" w:history="1">
        <w:r>
          <w:rPr>
            <w:rStyle w:val="Hyperlink"/>
            <w:rFonts w:asciiTheme="minorHAnsi" w:hAnsiTheme="minorHAnsi"/>
            <w:sz w:val="16"/>
            <w:szCs w:val="16"/>
          </w:rPr>
          <w:t>COM(2016)204 final</w:t>
        </w:r>
      </w:hyperlink>
      <w:r>
        <w:rPr>
          <w:rFonts w:asciiTheme="minorHAnsi" w:hAnsiTheme="minorHAnsi"/>
          <w:sz w:val="16"/>
          <w:szCs w:val="16"/>
        </w:rPr>
        <w:t xml:space="preserve"> and </w:t>
      </w:r>
      <w:hyperlink r:id="rId90"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need for better evidence on how the directive is used in practice; for tools to support its implementation, such as guidance, training and ELD registers; and for financial security to be avail</w:t>
      </w:r>
      <w:r>
        <w:rPr>
          <w:rFonts w:asciiTheme="minorHAnsi" w:hAnsiTheme="minorHAnsi"/>
          <w:sz w:val="16"/>
          <w:szCs w:val="16"/>
        </w:rPr>
        <w:t>able in case events or incidents generate remediation costs.</w:t>
      </w:r>
    </w:p>
  </w:footnote>
  <w:footnote w:id="127">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OECD Environmental Performance Report Portugal 2011, p. 64. </w:t>
      </w:r>
    </w:p>
  </w:footnote>
  <w:footnote w:id="128">
    <w:p w:rsidR="004C5536" w:rsidRDefault="003D3C7F">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Portugal indicated that risk assessment is applied in sectors such as wastewater treatment plants (taking into account water quali</w:t>
      </w:r>
      <w:r>
        <w:rPr>
          <w:rFonts w:asciiTheme="minorHAnsi" w:hAnsiTheme="minorHAnsi"/>
          <w:sz w:val="16"/>
          <w:szCs w:val="16"/>
        </w:rPr>
        <w:t>ty), Seveso and IPPC installations (taking into account its location in or nearby sensitive areas, which includes nature protected sites) and that IGAMAOT is currently expanding its use to other areas such as trans-boundary shipments of wastes.</w:t>
      </w:r>
    </w:p>
  </w:footnote>
  <w:footnote w:id="129">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Together </w:t>
      </w:r>
      <w:r>
        <w:rPr>
          <w:rFonts w:asciiTheme="minorHAnsi" w:hAnsiTheme="minorHAnsi"/>
          <w:sz w:val="16"/>
          <w:szCs w:val="16"/>
        </w:rPr>
        <w:t xml:space="preserve">with the Service for Nature and Environmental Protection (SEPNA) which is part of the Internal Administration Ministry, IGAMAOT is the main authority in charge of assuring compliance with environmental obligations. </w:t>
      </w:r>
    </w:p>
  </w:footnote>
  <w:footnote w:id="130">
    <w:p w:rsidR="004C5536" w:rsidRDefault="003D3C7F">
      <w:pPr>
        <w:pStyle w:val="FootnoteText"/>
        <w:widowControl w:val="0"/>
        <w:ind w:left="60" w:hanging="6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US"/>
        </w:rPr>
        <w:t xml:space="preserve">This database (GESTIGAOT) includes inter alia inspections reports which are available for internal consultation but in general not to the wider public. </w:t>
      </w:r>
      <w:r>
        <w:rPr>
          <w:rFonts w:asciiTheme="minorHAnsi" w:hAnsiTheme="minorHAnsi"/>
          <w:sz w:val="16"/>
          <w:szCs w:val="16"/>
        </w:rPr>
        <w:t>A compilation of the main findings of inspections to sectors are available on the Annual Activity report</w:t>
      </w:r>
      <w:r>
        <w:rPr>
          <w:rFonts w:asciiTheme="minorHAnsi" w:hAnsiTheme="minorHAnsi"/>
          <w:sz w:val="16"/>
          <w:szCs w:val="16"/>
        </w:rPr>
        <w:t xml:space="preserve">s but also specific </w:t>
      </w:r>
      <w:r>
        <w:rPr>
          <w:rFonts w:asciiTheme="minorHAnsi" w:hAnsiTheme="minorHAnsi"/>
          <w:sz w:val="16"/>
          <w:szCs w:val="16"/>
          <w:lang w:val="en-US"/>
        </w:rPr>
        <w:t>reports, available to the public at https://www.igamaot.gov.pt/relatorios/. IGAMAOT transferred this information to a new database named SGI. According to the type of installations the inspection reports are sent to public authorities t</w:t>
      </w:r>
      <w:r>
        <w:rPr>
          <w:rFonts w:asciiTheme="minorHAnsi" w:hAnsiTheme="minorHAnsi"/>
          <w:sz w:val="16"/>
          <w:szCs w:val="16"/>
          <w:lang w:val="en-US"/>
        </w:rPr>
        <w:t xml:space="preserve">hat have competences on assuring compliance with environmental obligations or its permitting.. </w:t>
      </w:r>
    </w:p>
  </w:footnote>
  <w:footnote w:id="131">
    <w:p w:rsidR="004C5536" w:rsidRDefault="003D3C7F">
      <w:pPr>
        <w:pStyle w:val="FootnoteText"/>
        <w:widowControl w:val="0"/>
        <w:ind w:left="60" w:hanging="60"/>
        <w:rPr>
          <w:rFonts w:asciiTheme="minorHAnsi" w:hAnsiTheme="minorHAnsi"/>
          <w:sz w:val="16"/>
          <w:szCs w:val="16"/>
          <w:lang w:val="pt-PT"/>
        </w:rPr>
      </w:pPr>
      <w:r>
        <w:rPr>
          <w:rStyle w:val="FootnoteReference"/>
          <w:rFonts w:asciiTheme="minorHAnsi" w:hAnsiTheme="minorHAnsi"/>
          <w:sz w:val="16"/>
          <w:szCs w:val="16"/>
        </w:rPr>
        <w:footnoteRef/>
      </w:r>
      <w:r>
        <w:rPr>
          <w:rFonts w:asciiTheme="minorHAnsi" w:hAnsiTheme="minorHAnsi"/>
          <w:sz w:val="16"/>
          <w:szCs w:val="16"/>
          <w:lang w:val="pt-PT"/>
        </w:rPr>
        <w:t xml:space="preserve"> IMPEL IRI Portugal, p. 33.</w:t>
      </w:r>
    </w:p>
  </w:footnote>
  <w:footnote w:id="132">
    <w:p w:rsidR="004C5536" w:rsidRDefault="003D3C7F">
      <w:pPr>
        <w:pStyle w:val="FootnoteText"/>
        <w:widowControl w:val="0"/>
        <w:ind w:left="60" w:hanging="60"/>
        <w:rPr>
          <w:rFonts w:asciiTheme="minorHAnsi" w:hAnsiTheme="minorHAnsi"/>
          <w:sz w:val="16"/>
          <w:szCs w:val="16"/>
          <w:lang w:val="pt-PT"/>
        </w:rPr>
      </w:pPr>
      <w:r>
        <w:rPr>
          <w:rStyle w:val="FootnoteReference"/>
          <w:rFonts w:asciiTheme="minorHAnsi" w:hAnsiTheme="minorHAnsi"/>
          <w:sz w:val="16"/>
          <w:szCs w:val="16"/>
        </w:rPr>
        <w:footnoteRef/>
      </w:r>
      <w:r>
        <w:rPr>
          <w:rFonts w:asciiTheme="minorHAnsi" w:hAnsiTheme="minorHAnsi"/>
          <w:sz w:val="16"/>
          <w:szCs w:val="16"/>
          <w:lang w:val="pt-PT"/>
        </w:rPr>
        <w:t xml:space="preserve"> IMPEL IRI Portugal, p. 31.</w:t>
      </w:r>
    </w:p>
  </w:footnote>
  <w:footnote w:id="133">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Portugal's progress on risk-based compliance assurance focuses</w:t>
      </w:r>
      <w:r>
        <w:rPr>
          <w:rFonts w:asciiTheme="minorHAnsi" w:hAnsiTheme="minorHAnsi"/>
          <w:color w:val="000000" w:themeColor="text1"/>
          <w:sz w:val="16"/>
          <w:szCs w:val="16"/>
          <w:lang w:val="en-US"/>
        </w:rPr>
        <w:t xml:space="preserve"> primarily on industrial inspections; risk assessment is not always aligned with strategic environmental objectives and does not cover all relevant environmental policy subject-areas, see </w:t>
      </w:r>
      <w:r>
        <w:rPr>
          <w:rFonts w:asciiTheme="minorHAnsi" w:hAnsiTheme="minorHAnsi"/>
          <w:sz w:val="16"/>
          <w:szCs w:val="16"/>
        </w:rPr>
        <w:t>IMPEL IRI Portugal, p. 36 and 38.</w:t>
      </w:r>
    </w:p>
  </w:footnote>
  <w:footnote w:id="134">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olor w:val="000000" w:themeColor="text1"/>
          <w:sz w:val="16"/>
          <w:szCs w:val="16"/>
          <w:lang w:val="en-US"/>
        </w:rPr>
        <w:t>In terms of response to detected</w:t>
      </w:r>
      <w:r>
        <w:rPr>
          <w:rFonts w:asciiTheme="minorHAnsi" w:hAnsiTheme="minorHAnsi"/>
          <w:color w:val="000000" w:themeColor="text1"/>
          <w:sz w:val="16"/>
          <w:szCs w:val="16"/>
          <w:lang w:val="en-US"/>
        </w:rPr>
        <w:t xml:space="preserve"> non-compliance, the focus is mainly on administrative procedures and sanctions in respect of which problems with collection of imposed fines and lack of sufficient resources has been observed see</w:t>
      </w:r>
      <w:r>
        <w:rPr>
          <w:rFonts w:asciiTheme="minorHAnsi" w:hAnsiTheme="minorHAnsi"/>
          <w:sz w:val="16"/>
          <w:szCs w:val="16"/>
        </w:rPr>
        <w:t xml:space="preserve"> OECD Environmental Performance Report Portugal 2011, p. 66-</w:t>
      </w:r>
      <w:r>
        <w:rPr>
          <w:rFonts w:asciiTheme="minorHAnsi" w:hAnsiTheme="minorHAnsi"/>
          <w:sz w:val="16"/>
          <w:szCs w:val="16"/>
        </w:rPr>
        <w:t xml:space="preserve">67. </w:t>
      </w:r>
      <w:r>
        <w:rPr>
          <w:rFonts w:asciiTheme="minorHAnsi" w:hAnsiTheme="minorHAnsi"/>
          <w:color w:val="000000" w:themeColor="text1"/>
          <w:sz w:val="16"/>
          <w:szCs w:val="16"/>
          <w:lang w:val="en-US"/>
        </w:rPr>
        <w:t xml:space="preserve"> </w:t>
      </w:r>
    </w:p>
  </w:footnote>
  <w:footnote w:id="135">
    <w:p w:rsidR="004C5536" w:rsidRDefault="003D3C7F">
      <w:pPr>
        <w:pStyle w:val="FootnoteText"/>
        <w:widowControl w:val="0"/>
        <w:ind w:left="60" w:hanging="60"/>
        <w:rPr>
          <w:rFonts w:asciiTheme="minorHAnsi" w:hAnsiTheme="minorHAnsi"/>
          <w:sz w:val="16"/>
          <w:szCs w:val="16"/>
          <w:lang w:val="pt-BR"/>
        </w:rPr>
      </w:pPr>
      <w:r>
        <w:rPr>
          <w:rStyle w:val="FootnoteReference"/>
          <w:rFonts w:asciiTheme="minorHAnsi" w:hAnsiTheme="minorHAnsi"/>
          <w:sz w:val="16"/>
          <w:szCs w:val="16"/>
        </w:rPr>
        <w:footnoteRef/>
      </w:r>
      <w:r>
        <w:rPr>
          <w:rFonts w:asciiTheme="minorHAnsi" w:hAnsiTheme="minorHAnsi"/>
          <w:sz w:val="16"/>
          <w:szCs w:val="16"/>
          <w:lang w:val="pt-BR"/>
        </w:rPr>
        <w:t xml:space="preserve"> OECD Environmental Performance Report Portugal 2011, p. 65 and IMPEL IRI Portugal, p. 37. </w:t>
      </w:r>
    </w:p>
  </w:footnote>
  <w:footnote w:id="136">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See </w:t>
      </w:r>
      <w:hyperlink r:id="rId91" w:history="1">
        <w:r>
          <w:rPr>
            <w:rStyle w:val="Hyperlink"/>
            <w:rFonts w:asciiTheme="minorHAnsi" w:hAnsiTheme="minorHAnsi"/>
            <w:sz w:val="16"/>
            <w:szCs w:val="16"/>
          </w:rPr>
          <w:t xml:space="preserve">Study on access to justice in environmental matters </w:t>
        </w:r>
      </w:hyperlink>
      <w:r>
        <w:rPr>
          <w:rStyle w:val="Hyperlink"/>
          <w:rFonts w:asciiTheme="minorHAnsi" w:hAnsiTheme="minorHAnsi"/>
          <w:sz w:val="16"/>
          <w:szCs w:val="16"/>
        </w:rPr>
        <w:t xml:space="preserve"> 2012/2013</w:t>
      </w:r>
    </w:p>
  </w:footnote>
  <w:footnote w:id="137">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UNECE, 1998.</w:t>
      </w:r>
      <w:r>
        <w:rPr>
          <w:rFonts w:asciiTheme="minorHAnsi" w:hAnsiTheme="minorHAnsi"/>
          <w:sz w:val="16"/>
          <w:szCs w:val="16"/>
        </w:rPr>
        <w:t xml:space="preserve"> </w:t>
      </w:r>
      <w:hyperlink r:id="rId92" w:history="1">
        <w:r>
          <w:rPr>
            <w:rStyle w:val="Hyperlink"/>
            <w:rFonts w:asciiTheme="minorHAnsi" w:hAnsiTheme="minorHAnsi"/>
            <w:sz w:val="16"/>
            <w:szCs w:val="16"/>
          </w:rPr>
          <w:t>Convention on Access to Information, Public Participation in Decision-Making and Access to Justice in Environmental Matters</w:t>
        </w:r>
      </w:hyperlink>
    </w:p>
  </w:footnote>
  <w:footnote w:id="138">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93" w:history="1">
        <w:r>
          <w:rPr>
            <w:rStyle w:val="Hyperlink"/>
            <w:rFonts w:asciiTheme="minorHAnsi" w:hAnsiTheme="minorHAnsi"/>
            <w:sz w:val="16"/>
            <w:szCs w:val="16"/>
          </w:rPr>
          <w:t>Directive 2003/4/EC on public access to environmental information</w:t>
        </w:r>
      </w:hyperlink>
    </w:p>
  </w:footnote>
  <w:footnote w:id="139">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94"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r>
        <w:rPr>
          <w:rFonts w:asciiTheme="minorHAnsi" w:hAnsiTheme="minorHAnsi"/>
          <w:sz w:val="16"/>
          <w:szCs w:val="16"/>
          <w:lang w:val="en"/>
        </w:rPr>
        <w:t xml:space="preserve"> </w:t>
      </w:r>
    </w:p>
  </w:footnote>
  <w:footnote w:id="140">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eGovernment Action Plan 2016-2020 - Accelerating the digital transformation of government </w:t>
      </w:r>
      <w:hyperlink r:id="rId95"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41">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96" w:history="1">
        <w:r>
          <w:rPr>
            <w:rStyle w:val="Hyperlink"/>
            <w:rFonts w:asciiTheme="minorHAnsi" w:hAnsiTheme="minorHAnsi"/>
            <w:sz w:val="16"/>
            <w:szCs w:val="16"/>
          </w:rPr>
          <w:t>INSPIRE reports</w:t>
        </w:r>
      </w:hyperlink>
    </w:p>
  </w:footnote>
  <w:footnote w:id="142">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7" w:history="1">
        <w:r>
          <w:rPr>
            <w:rStyle w:val="Hyperlink"/>
            <w:rFonts w:asciiTheme="minorHAnsi" w:hAnsiTheme="minorHAnsi"/>
            <w:sz w:val="16"/>
            <w:szCs w:val="16"/>
          </w:rPr>
          <w:t>Inspire indicato</w:t>
        </w:r>
        <w:r>
          <w:rPr>
            <w:rStyle w:val="Hyperlink"/>
            <w:rFonts w:asciiTheme="minorHAnsi" w:hAnsiTheme="minorHAnsi"/>
            <w:sz w:val="16"/>
            <w:szCs w:val="16"/>
          </w:rPr>
          <w:t xml:space="preserve">r trends </w:t>
        </w:r>
      </w:hyperlink>
    </w:p>
  </w:footnote>
  <w:footnote w:id="143">
    <w:p w:rsidR="004C5536" w:rsidRDefault="003D3C7F">
      <w:pPr>
        <w:pStyle w:val="FootnoteText"/>
        <w:widowControl w:val="0"/>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98" w:history="1">
        <w:r>
          <w:rPr>
            <w:rStyle w:val="Hyperlink"/>
            <w:rFonts w:asciiTheme="minorHAnsi" w:hAnsiTheme="minorHAnsi"/>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7F" w:rsidRPr="003D3C7F" w:rsidRDefault="003D3C7F" w:rsidP="003D3C7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6</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7F" w:rsidRPr="003D3C7F" w:rsidRDefault="003D3C7F" w:rsidP="003D3C7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11</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17</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7F" w:rsidRPr="003D3C7F" w:rsidRDefault="003D3C7F" w:rsidP="003D3C7F">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23</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27</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28</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32</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136"/>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4C5536" w:rsidRDefault="004C55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536" w:rsidRDefault="004C55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4C5536">
      <w:tc>
        <w:tcPr>
          <w:tcW w:w="0" w:type="auto"/>
          <w:tcBorders>
            <w:top w:val="nil"/>
            <w:left w:val="nil"/>
            <w:bottom w:val="nil"/>
            <w:right w:val="single" w:sz="6" w:space="0" w:color="000000" w:themeColor="text1"/>
          </w:tcBorders>
          <w:hideMark/>
        </w:tcPr>
        <w:p w:rsidR="004C5536" w:rsidRDefault="003D3C7F">
          <w:pPr>
            <w:pStyle w:val="Header"/>
            <w:spacing w:line="276" w:lineRule="auto"/>
            <w:jc w:val="right"/>
            <w:rPr>
              <w:rFonts w:cstheme="minorHAnsi"/>
              <w:b/>
              <w:bCs/>
              <w:color w:val="1F497D" w:themeColor="text2"/>
            </w:rPr>
          </w:pPr>
          <w:r>
            <w:rPr>
              <w:rFonts w:cstheme="minorHAnsi"/>
              <w:b/>
              <w:bCs/>
              <w:color w:val="1F497D" w:themeColor="text2"/>
            </w:rPr>
            <w:t>Portugal</w:t>
          </w:r>
        </w:p>
      </w:tc>
      <w:tc>
        <w:tcPr>
          <w:tcW w:w="1152" w:type="dxa"/>
          <w:tcBorders>
            <w:top w:val="nil"/>
            <w:left w:val="single" w:sz="6" w:space="0" w:color="000000" w:themeColor="text1"/>
            <w:bottom w:val="nil"/>
            <w:right w:val="nil"/>
          </w:tcBorders>
          <w:hideMark/>
        </w:tcPr>
        <w:p w:rsidR="004C5536" w:rsidRDefault="003D3C7F">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4C5536" w:rsidRDefault="004C5536">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4C5536">
      <w:tc>
        <w:tcPr>
          <w:tcW w:w="0" w:type="auto"/>
          <w:tcBorders>
            <w:top w:val="nil"/>
            <w:left w:val="nil"/>
            <w:bottom w:val="nil"/>
            <w:right w:val="single" w:sz="6" w:space="0" w:color="000000" w:themeColor="text1"/>
          </w:tcBorders>
        </w:tcPr>
        <w:p w:rsidR="004C5536" w:rsidRDefault="004C5536">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C5536" w:rsidRDefault="004C5536">
          <w:pPr>
            <w:pStyle w:val="Header"/>
            <w:spacing w:line="276" w:lineRule="auto"/>
            <w:rPr>
              <w:rFonts w:cstheme="minorHAnsi"/>
              <w:b/>
              <w:bCs/>
              <w:color w:val="1F497D" w:themeColor="text2"/>
            </w:rPr>
          </w:pPr>
        </w:p>
      </w:tc>
    </w:tr>
  </w:tbl>
  <w:p w:rsidR="004C5536" w:rsidRDefault="004C55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A563111"/>
    <w:multiLevelType w:val="hybridMultilevel"/>
    <w:tmpl w:val="22C40C3E"/>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11C0E53"/>
    <w:multiLevelType w:val="hybridMultilevel"/>
    <w:tmpl w:val="6AF00D96"/>
    <w:lvl w:ilvl="0" w:tplc="08090001">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206737CC"/>
    <w:multiLevelType w:val="hybridMultilevel"/>
    <w:tmpl w:val="E53CCF26"/>
    <w:lvl w:ilvl="0" w:tplc="2ABCD1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7">
    <w:nsid w:val="25CB14D9"/>
    <w:multiLevelType w:val="hybridMultilevel"/>
    <w:tmpl w:val="DF72ACB6"/>
    <w:lvl w:ilvl="0" w:tplc="4C8639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D46FBF"/>
    <w:multiLevelType w:val="hybridMultilevel"/>
    <w:tmpl w:val="A176CAEA"/>
    <w:lvl w:ilvl="0" w:tplc="253239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0">
    <w:nsid w:val="2D5C5EB4"/>
    <w:multiLevelType w:val="hybridMultilevel"/>
    <w:tmpl w:val="B784C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04025B9"/>
    <w:multiLevelType w:val="hybridMultilevel"/>
    <w:tmpl w:val="A18E44B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43978C8"/>
    <w:multiLevelType w:val="hybridMultilevel"/>
    <w:tmpl w:val="E684EEEC"/>
    <w:lvl w:ilvl="0" w:tplc="08090009">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9EF108E"/>
    <w:multiLevelType w:val="hybridMultilevel"/>
    <w:tmpl w:val="D4BE2116"/>
    <w:lvl w:ilvl="0" w:tplc="A10E3C8E">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09B10C7"/>
    <w:multiLevelType w:val="hybridMultilevel"/>
    <w:tmpl w:val="861086D2"/>
    <w:lvl w:ilvl="0" w:tplc="720474FE">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ED62C5"/>
    <w:multiLevelType w:val="hybridMultilevel"/>
    <w:tmpl w:val="C0B459E4"/>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0F35307"/>
    <w:multiLevelType w:val="hybridMultilevel"/>
    <w:tmpl w:val="135CEED6"/>
    <w:lvl w:ilvl="0" w:tplc="08090001">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7">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F737FAC"/>
    <w:multiLevelType w:val="hybridMultilevel"/>
    <w:tmpl w:val="EAFEA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2AC2C51"/>
    <w:multiLevelType w:val="hybridMultilevel"/>
    <w:tmpl w:val="BBA095A2"/>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1">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2">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3">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5">
    <w:nsid w:val="6FDB7EAF"/>
    <w:multiLevelType w:val="hybridMultilevel"/>
    <w:tmpl w:val="C0A0698A"/>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6"/>
  </w:num>
  <w:num w:numId="2">
    <w:abstractNumId w:val="18"/>
  </w:num>
  <w:num w:numId="3">
    <w:abstractNumId w:val="33"/>
  </w:num>
  <w:num w:numId="4">
    <w:abstractNumId w:val="27"/>
  </w:num>
  <w:num w:numId="5">
    <w:abstractNumId w:val="16"/>
  </w:num>
  <w:num w:numId="6">
    <w:abstractNumId w:val="12"/>
  </w:num>
  <w:num w:numId="7">
    <w:abstractNumId w:val="37"/>
  </w:num>
  <w:num w:numId="8">
    <w:abstractNumId w:val="26"/>
  </w:num>
  <w:num w:numId="9">
    <w:abstractNumId w:val="11"/>
  </w:num>
  <w:num w:numId="10">
    <w:abstractNumId w:val="9"/>
  </w:num>
  <w:num w:numId="11">
    <w:abstractNumId w:val="4"/>
  </w:num>
  <w:num w:numId="12">
    <w:abstractNumId w:val="3"/>
  </w:num>
  <w:num w:numId="13">
    <w:abstractNumId w:val="30"/>
  </w:num>
  <w:num w:numId="14">
    <w:abstractNumId w:val="32"/>
  </w:num>
  <w:num w:numId="15">
    <w:abstractNumId w:val="31"/>
  </w:num>
  <w:num w:numId="16">
    <w:abstractNumId w:val="34"/>
  </w:num>
  <w:num w:numId="17">
    <w:abstractNumId w:val="6"/>
  </w:num>
  <w:num w:numId="18">
    <w:abstractNumId w:val="14"/>
  </w:num>
  <w:num w:numId="19">
    <w:abstractNumId w:val="19"/>
  </w:num>
  <w:num w:numId="20">
    <w:abstractNumId w:val="17"/>
  </w:num>
  <w:num w:numId="21">
    <w:abstractNumId w:val="0"/>
  </w:num>
  <w:num w:numId="22">
    <w:abstractNumId w:val="20"/>
  </w:num>
  <w:num w:numId="23">
    <w:abstractNumId w:val="21"/>
  </w:num>
  <w:num w:numId="24">
    <w:abstractNumId w:val="22"/>
  </w:num>
  <w:num w:numId="25">
    <w:abstractNumId w:val="8"/>
  </w:num>
  <w:num w:numId="26">
    <w:abstractNumId w:val="1"/>
  </w:num>
  <w:num w:numId="27">
    <w:abstractNumId w:val="25"/>
  </w:num>
  <w:num w:numId="28">
    <w:abstractNumId w:val="10"/>
  </w:num>
  <w:num w:numId="29">
    <w:abstractNumId w:val="28"/>
  </w:num>
  <w:num w:numId="30">
    <w:abstractNumId w:val="13"/>
  </w:num>
  <w:num w:numId="31">
    <w:abstractNumId w:val="24"/>
  </w:num>
  <w:num w:numId="32">
    <w:abstractNumId w:val="2"/>
  </w:num>
  <w:num w:numId="33">
    <w:abstractNumId w:val="15"/>
  </w:num>
  <w:num w:numId="34">
    <w:abstractNumId w:val="29"/>
  </w:num>
  <w:num w:numId="35">
    <w:abstractNumId w:val="23"/>
  </w:num>
  <w:num w:numId="36">
    <w:abstractNumId w:val="5"/>
  </w:num>
  <w:num w:numId="37">
    <w:abstractNumId w:val="35"/>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8E17B2BE3C8B43148BA1FE5750358DA1"/>
    <w:docVar w:name="LW_CROSSREFERENCE" w:val="{COM(2017) 63 final}_x000a_{SWD(2017) 33 - 53 final}_x000a_{SWD(2017) 55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54"/>
    <w:docVar w:name="LW_REF.INTERNE" w:val="&lt;UNUSED&gt;"/>
    <w:docVar w:name="LW_SUPERTITRE" w:val="&lt;UNUSED&gt;"/>
    <w:docVar w:name="LW_TITRE.OBJ.CP" w:val="The EU Environmental Implementation Review_x000b_Country Report - PORTUGAL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4C5536"/>
    <w:rsid w:val="003D3C7F"/>
    <w:rsid w:val="004C5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24"/>
      </w:numPr>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5"/>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orpsdutexte">
    <w:name w:val="Corps du texte_"/>
    <w:basedOn w:val="DefaultParagraphFont"/>
    <w:link w:val="Corpsdutexte1"/>
    <w:uiPriority w:val="99"/>
    <w:locked/>
    <w:rPr>
      <w:rFonts w:ascii="Arial" w:hAnsi="Arial" w:cs="Arial"/>
      <w:sz w:val="18"/>
      <w:szCs w:val="18"/>
      <w:shd w:val="clear" w:color="auto" w:fill="FFFFFF"/>
    </w:rPr>
  </w:style>
  <w:style w:type="paragraph" w:customStyle="1" w:styleId="Corpsdutexte1">
    <w:name w:val="Corps du texte1"/>
    <w:basedOn w:val="Normal"/>
    <w:link w:val="Corpsdutexte"/>
    <w:uiPriority w:val="99"/>
    <w:pPr>
      <w:widowControl w:val="0"/>
      <w:shd w:val="clear" w:color="auto" w:fill="FFFFFF"/>
      <w:spacing w:before="1020" w:after="240" w:line="240" w:lineRule="atLeast"/>
      <w:ind w:hanging="360"/>
    </w:pPr>
    <w:rPr>
      <w:rFonts w:ascii="Arial" w:hAnsi="Arial" w:cs="Arial"/>
      <w:sz w:val="18"/>
      <w:szCs w:val="18"/>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24"/>
      </w:numPr>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5"/>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orpsdutexte">
    <w:name w:val="Corps du texte_"/>
    <w:basedOn w:val="DefaultParagraphFont"/>
    <w:link w:val="Corpsdutexte1"/>
    <w:uiPriority w:val="99"/>
    <w:locked/>
    <w:rPr>
      <w:rFonts w:ascii="Arial" w:hAnsi="Arial" w:cs="Arial"/>
      <w:sz w:val="18"/>
      <w:szCs w:val="18"/>
      <w:shd w:val="clear" w:color="auto" w:fill="FFFFFF"/>
    </w:rPr>
  </w:style>
  <w:style w:type="paragraph" w:customStyle="1" w:styleId="Corpsdutexte1">
    <w:name w:val="Corps du texte1"/>
    <w:basedOn w:val="Normal"/>
    <w:link w:val="Corpsdutexte"/>
    <w:uiPriority w:val="99"/>
    <w:pPr>
      <w:widowControl w:val="0"/>
      <w:shd w:val="clear" w:color="auto" w:fill="FFFFFF"/>
      <w:spacing w:before="1020" w:after="240" w:line="240" w:lineRule="atLeast"/>
      <w:ind w:hanging="360"/>
    </w:pPr>
    <w:rPr>
      <w:rFonts w:ascii="Arial" w:hAnsi="Arial" w:cs="Arial"/>
      <w:sz w:val="18"/>
      <w:szCs w:val="18"/>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6.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4.xml"/><Relationship Id="rId68" Type="http://schemas.openxmlformats.org/officeDocument/2006/relationships/footer" Target="footer26.xml"/><Relationship Id="rId84" Type="http://schemas.openxmlformats.org/officeDocument/2006/relationships/footer" Target="footer31.xml"/><Relationship Id="rId89" Type="http://schemas.openxmlformats.org/officeDocument/2006/relationships/image" Target="media/image13.png"/><Relationship Id="rId112" Type="http://schemas.openxmlformats.org/officeDocument/2006/relationships/header" Target="header44.xml"/><Relationship Id="rId16" Type="http://schemas.openxmlformats.org/officeDocument/2006/relationships/hyperlink" Target="mailto:ENV-EIR@ec.europa.eu" TargetMode="External"/><Relationship Id="rId107" Type="http://schemas.openxmlformats.org/officeDocument/2006/relationships/header" Target="header42.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image" Target="media/image6.jpeg"/><Relationship Id="rId74" Type="http://schemas.openxmlformats.org/officeDocument/2006/relationships/image" Target="media/image10.jpeg"/><Relationship Id="rId79" Type="http://schemas.openxmlformats.org/officeDocument/2006/relationships/footer" Target="footer29.xml"/><Relationship Id="rId102" Type="http://schemas.openxmlformats.org/officeDocument/2006/relationships/footer" Target="footer39.xml"/><Relationship Id="rId123" Type="http://schemas.openxmlformats.org/officeDocument/2006/relationships/image" Target="media/image17.jpeg"/><Relationship Id="rId128" Type="http://schemas.openxmlformats.org/officeDocument/2006/relationships/footer" Target="footer50.xml"/><Relationship Id="rId5" Type="http://schemas.openxmlformats.org/officeDocument/2006/relationships/settings" Target="settings.xml"/><Relationship Id="rId90" Type="http://schemas.openxmlformats.org/officeDocument/2006/relationships/image" Target="media/image14.jpeg"/><Relationship Id="rId95" Type="http://schemas.openxmlformats.org/officeDocument/2006/relationships/header" Target="header36.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image" Target="media/image4.png"/><Relationship Id="rId64" Type="http://schemas.openxmlformats.org/officeDocument/2006/relationships/footer" Target="footer24.xml"/><Relationship Id="rId69" Type="http://schemas.openxmlformats.org/officeDocument/2006/relationships/header" Target="header27.xml"/><Relationship Id="rId77" Type="http://schemas.openxmlformats.org/officeDocument/2006/relationships/header" Target="header29.xml"/><Relationship Id="rId100" Type="http://schemas.openxmlformats.org/officeDocument/2006/relationships/footer" Target="footer38.xml"/><Relationship Id="rId105" Type="http://schemas.openxmlformats.org/officeDocument/2006/relationships/footer" Target="footer40.xml"/><Relationship Id="rId113" Type="http://schemas.openxmlformats.org/officeDocument/2006/relationships/footer" Target="footer43.xml"/><Relationship Id="rId118" Type="http://schemas.openxmlformats.org/officeDocument/2006/relationships/header" Target="header47.xml"/><Relationship Id="rId126" Type="http://schemas.openxmlformats.org/officeDocument/2006/relationships/header" Target="header50.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image" Target="media/image8.png"/><Relationship Id="rId80" Type="http://schemas.openxmlformats.org/officeDocument/2006/relationships/header" Target="header30.xml"/><Relationship Id="rId85" Type="http://schemas.openxmlformats.org/officeDocument/2006/relationships/footer" Target="footer32.xml"/><Relationship Id="rId93" Type="http://schemas.openxmlformats.org/officeDocument/2006/relationships/footer" Target="footer34.xml"/><Relationship Id="rId98" Type="http://schemas.openxmlformats.org/officeDocument/2006/relationships/header" Target="header38.xml"/><Relationship Id="rId121" Type="http://schemas.openxmlformats.org/officeDocument/2006/relationships/header" Target="header4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2.xml"/><Relationship Id="rId67" Type="http://schemas.openxmlformats.org/officeDocument/2006/relationships/footer" Target="footer25.xml"/><Relationship Id="rId103" Type="http://schemas.openxmlformats.org/officeDocument/2006/relationships/header" Target="header40.xml"/><Relationship Id="rId108" Type="http://schemas.openxmlformats.org/officeDocument/2006/relationships/footer" Target="footer42.xml"/><Relationship Id="rId116" Type="http://schemas.openxmlformats.org/officeDocument/2006/relationships/footer" Target="footer45.xml"/><Relationship Id="rId124" Type="http://schemas.openxmlformats.org/officeDocument/2006/relationships/image" Target="media/image18.jpeg"/><Relationship Id="rId129" Type="http://schemas.openxmlformats.org/officeDocument/2006/relationships/header" Target="header51.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image" Target="media/image2.png"/><Relationship Id="rId62" Type="http://schemas.openxmlformats.org/officeDocument/2006/relationships/footer" Target="footer23.xml"/><Relationship Id="rId70" Type="http://schemas.openxmlformats.org/officeDocument/2006/relationships/footer" Target="footer27.xml"/><Relationship Id="rId75" Type="http://schemas.openxmlformats.org/officeDocument/2006/relationships/image" Target="media/image11.jpeg"/><Relationship Id="rId83" Type="http://schemas.openxmlformats.org/officeDocument/2006/relationships/header" Target="header32.xml"/><Relationship Id="rId88" Type="http://schemas.openxmlformats.org/officeDocument/2006/relationships/image" Target="media/image12.png"/><Relationship Id="rId91" Type="http://schemas.openxmlformats.org/officeDocument/2006/relationships/header" Target="header34.xml"/><Relationship Id="rId96" Type="http://schemas.openxmlformats.org/officeDocument/2006/relationships/footer" Target="footer36.xml"/><Relationship Id="rId111" Type="http://schemas.openxmlformats.org/officeDocument/2006/relationships/header" Target="header43.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image" Target="media/image5.png"/><Relationship Id="rId106" Type="http://schemas.openxmlformats.org/officeDocument/2006/relationships/footer" Target="footer41.xml"/><Relationship Id="rId114" Type="http://schemas.openxmlformats.org/officeDocument/2006/relationships/footer" Target="footer44.xml"/><Relationship Id="rId119" Type="http://schemas.openxmlformats.org/officeDocument/2006/relationships/footer" Target="footer46.xml"/><Relationship Id="rId127" Type="http://schemas.openxmlformats.org/officeDocument/2006/relationships/footer" Target="footer49.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3.xml"/><Relationship Id="rId65" Type="http://schemas.openxmlformats.org/officeDocument/2006/relationships/header" Target="header25.xml"/><Relationship Id="rId73" Type="http://schemas.openxmlformats.org/officeDocument/2006/relationships/image" Target="media/image9.png"/><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header" Target="header33.xml"/><Relationship Id="rId94" Type="http://schemas.openxmlformats.org/officeDocument/2006/relationships/footer" Target="footer35.xml"/><Relationship Id="rId99" Type="http://schemas.openxmlformats.org/officeDocument/2006/relationships/footer" Target="footer37.xml"/><Relationship Id="rId101" Type="http://schemas.openxmlformats.org/officeDocument/2006/relationships/header" Target="header39.xml"/><Relationship Id="rId122" Type="http://schemas.openxmlformats.org/officeDocument/2006/relationships/footer" Target="footer48.xml"/><Relationship Id="rId130" Type="http://schemas.openxmlformats.org/officeDocument/2006/relationships/footer" Target="footer5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image" Target="media/image15.png"/><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image" Target="media/image3.png"/><Relationship Id="rId76" Type="http://schemas.openxmlformats.org/officeDocument/2006/relationships/header" Target="header28.xml"/><Relationship Id="rId97" Type="http://schemas.openxmlformats.org/officeDocument/2006/relationships/header" Target="header37.xml"/><Relationship Id="rId104" Type="http://schemas.openxmlformats.org/officeDocument/2006/relationships/header" Target="header41.xml"/><Relationship Id="rId120" Type="http://schemas.openxmlformats.org/officeDocument/2006/relationships/footer" Target="footer47.xml"/><Relationship Id="rId125" Type="http://schemas.openxmlformats.org/officeDocument/2006/relationships/header" Target="header49.xml"/><Relationship Id="rId7" Type="http://schemas.openxmlformats.org/officeDocument/2006/relationships/footnotes" Target="footnotes.xml"/><Relationship Id="rId71" Type="http://schemas.openxmlformats.org/officeDocument/2006/relationships/image" Target="media/image7.png"/><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6.xml"/><Relationship Id="rId87" Type="http://schemas.openxmlformats.org/officeDocument/2006/relationships/footer" Target="footer33.xml"/><Relationship Id="rId110" Type="http://schemas.openxmlformats.org/officeDocument/2006/relationships/image" Target="media/image16.png"/><Relationship Id="rId115" Type="http://schemas.openxmlformats.org/officeDocument/2006/relationships/header" Target="header45.xml"/><Relationship Id="rId131" Type="http://schemas.openxmlformats.org/officeDocument/2006/relationships/fontTable" Target="fontTable.xml"/><Relationship Id="rId61" Type="http://schemas.openxmlformats.org/officeDocument/2006/relationships/footer" Target="footer22.xml"/><Relationship Id="rId82" Type="http://schemas.openxmlformats.org/officeDocument/2006/relationships/header" Target="header31.xml"/></Relationships>
</file>

<file path=word/_rels/footnotes.xml.rels><?xml version="1.0" encoding="UTF-8" standalone="yes"?>
<Relationships xmlns="http://schemas.openxmlformats.org/package/2006/relationships"><Relationship Id="rId26" Type="http://schemas.openxmlformats.org/officeDocument/2006/relationships/hyperlink" Target="http://www.lisboadiariodebordo.com/" TargetMode="External"/><Relationship Id="rId21" Type="http://schemas.openxmlformats.org/officeDocument/2006/relationships/hyperlink" Target="http://ec.europa.eu/environment/waste/studies/pdf/study%2012%20FINAL%20REPORT.pdf" TargetMode="External"/><Relationship Id="rId34"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42" Type="http://schemas.openxmlformats.org/officeDocument/2006/relationships/hyperlink" Target="http://eur-lex.europa.eu/legal-content/EN/TXT/?uri=celex:32001L0081" TargetMode="External"/><Relationship Id="rId47" Type="http://schemas.openxmlformats.org/officeDocument/2006/relationships/hyperlink" Target="http://ec.europa.eu/environment/archives/air/pdf/Impact_assessment_en.pdf" TargetMode="External"/><Relationship Id="rId50" Type="http://schemas.openxmlformats.org/officeDocument/2006/relationships/hyperlink" Target="http://eur-lex.europa.eu/legal-content/EN/ALL/?uri=CELEX%3A31991L0271" TargetMode="External"/><Relationship Id="rId55" Type="http://schemas.openxmlformats.org/officeDocument/2006/relationships/hyperlink" Target="http://ec.europa.eu/environment/water/water-framework/impl_reports.htm" TargetMode="External"/><Relationship Id="rId63" Type="http://schemas.openxmlformats.org/officeDocument/2006/relationships/hyperlink" Target="http://ec.europa.eu/environment/urban/tool.htm" TargetMode="External"/><Relationship Id="rId68" Type="http://schemas.openxmlformats.org/officeDocument/2006/relationships/hyperlink" Target="http://www.imtt.pt/sites/IMTT/Portugues/RJSPTP/Paginas/RJSPTP.aspx" TargetMode="External"/><Relationship Id="rId76" Type="http://schemas.openxmlformats.org/officeDocument/2006/relationships/hyperlink" Target="http://ec.europa.eu/internal_market/scoreboard/performance_per_policy_area/public_procurement/index_en.htm" TargetMode="External"/><Relationship Id="rId84" Type="http://schemas.openxmlformats.org/officeDocument/2006/relationships/hyperlink" Target="http://www.impel.eu" TargetMode="External"/><Relationship Id="rId89" Type="http://schemas.openxmlformats.org/officeDocument/2006/relationships/hyperlink" Target="https://ec.europa.eu/transparency/regdoc/rep/1/2016/EN/1-2016-204-EN-F1-1.PDF" TargetMode="External"/><Relationship Id="rId97" Type="http://schemas.openxmlformats.org/officeDocument/2006/relationships/hyperlink" Target="http://inspire.ec.europa.eu/portfolio/inspire-dashboard" TargetMode="External"/><Relationship Id="rId7" Type="http://schemas.openxmlformats.org/officeDocument/2006/relationships/hyperlink" Target="http://ec.europa.eu/growth/smes/business-friendly-environment/performance-review/" TargetMode="External"/><Relationship Id="rId71" Type="http://schemas.openxmlformats.org/officeDocument/2006/relationships/hyperlink" Target="http://www.portugal.gov.pt/media/1536784/20140916%20maote%20projeto%20reforma%20fiscalidade%20verde.pdf" TargetMode="External"/><Relationship Id="rId92" Type="http://schemas.openxmlformats.org/officeDocument/2006/relationships/hyperlink" Target="http://www.unece.org/fileadmin/DAM/env/pp/documents/cep43e.pdf"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s://ec.europa.eu/environment/ecoap/scoreboard_en" TargetMode="External"/><Relationship Id="rId29" Type="http://schemas.openxmlformats.org/officeDocument/2006/relationships/hyperlink" Target="http://land.copernicus.eu/pan-european/corine-land-cover/lcc-2006-2012/view" TargetMode="External"/><Relationship Id="rId11" Type="http://schemas.openxmlformats.org/officeDocument/2006/relationships/hyperlink" Target="http://ec.europa.eu/environment/enveco/resource_efficiency/pdf/business/RE_in_Business_Final_Report_111115.pdf" TargetMode="External"/><Relationship Id="rId24" Type="http://schemas.openxmlformats.org/officeDocument/2006/relationships/hyperlink" Target="https://circabc.europa.eu/d/a/workspace/SpacesStore/dfb2df97-d8d5-4f24-ba02-3cf718eec28c/PT_PTAC_PTMA_A12NatSum_20141031.pdf" TargetMode="External"/><Relationship Id="rId32" Type="http://schemas.openxmlformats.org/officeDocument/2006/relationships/hyperlink" Target="https://dre.pt/application/file/65985917" TargetMode="External"/><Relationship Id="rId37"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40" Type="http://schemas.openxmlformats.org/officeDocument/2006/relationships/hyperlink" Target="http://cdr.eionet.europa.eu/" TargetMode="External"/><Relationship Id="rId45" Type="http://schemas.openxmlformats.org/officeDocument/2006/relationships/hyperlink" Target="http://www.eea.europa.eu/publications/air-quality-in-europe-2016" TargetMode="External"/><Relationship Id="rId53" Type="http://schemas.openxmlformats.org/officeDocument/2006/relationships/hyperlink" Target="http://eur-lex.europa.eu/legal-content/EN/TXT/?uri=CELEX%3A31991L0676" TargetMode="External"/><Relationship Id="rId58" Type="http://schemas.openxmlformats.org/officeDocument/2006/relationships/hyperlink" Target="http://www.eea.europa.eu/themes/water/status-and-monitoring/state-of-bathing-water" TargetMode="External"/><Relationship Id="rId66" Type="http://schemas.openxmlformats.org/officeDocument/2006/relationships/hyperlink" Target="http://www.inrix.com/scorecard/key-findings-us/" TargetMode="External"/><Relationship Id="rId74" Type="http://schemas.openxmlformats.org/officeDocument/2006/relationships/hyperlink" Target="http://www.oecd.org/site/tadffss/publication/" TargetMode="External"/><Relationship Id="rId79" Type="http://schemas.openxmlformats.org/officeDocument/2006/relationships/hyperlink" Target="https://cohesiondata.ec.europa.eu/countries" TargetMode="External"/><Relationship Id="rId87" Type="http://schemas.openxmlformats.org/officeDocument/2006/relationships/hyperlink" Target="http://envicrimenet.com/" TargetMode="External"/><Relationship Id="rId5" Type="http://schemas.openxmlformats.org/officeDocument/2006/relationships/hyperlink" Target="http://ec.europa.eu/environment/enveco/studies.htm" TargetMode="External"/><Relationship Id="rId61" Type="http://schemas.openxmlformats.org/officeDocument/2006/relationships/hyperlink" Target="http://www.eea.europa.eu/themes/urban" TargetMode="External"/><Relationship Id="rId82" Type="http://schemas.openxmlformats.org/officeDocument/2006/relationships/hyperlink" Target="http://eur-lex.europa.eu/legal-content/EN/TXT/?uri=OJ:C:2016:273:TOC" TargetMode="External"/><Relationship Id="rId90" Type="http://schemas.openxmlformats.org/officeDocument/2006/relationships/hyperlink" Target="http://eur-lex.europa.eu/legal-content/EN/TXT/?uri=CELEX%3A52016SC0121" TargetMode="External"/><Relationship Id="rId95" Type="http://schemas.openxmlformats.org/officeDocument/2006/relationships/hyperlink" Target="https://ec.europa.eu/digital-single-market/en/news/communication-eu-egovernment-action-plan-2016-2020-accelerating-digital-transformation" TargetMode="External"/><Relationship Id="rId19" Type="http://schemas.openxmlformats.org/officeDocument/2006/relationships/hyperlink" Target="http://ec.europa.eu/environment/waste/framework/support_implementation.htmhttp:/ec.europa.eu/environment/waste/framework/support_implementation.htm." TargetMode="External"/><Relationship Id="rId14" Type="http://schemas.openxmlformats.org/officeDocument/2006/relationships/hyperlink" Target="http://interambinerg.aeportugal.pt/Projeto.aspx" TargetMode="External"/><Relationship Id="rId22" Type="http://schemas.openxmlformats.org/officeDocument/2006/relationships/hyperlink" Target="http://ec.europa.eu/environment/nature/info/pubs/docs/nat2000newsl/nat37_en.pdf" TargetMode="External"/><Relationship Id="rId27" Type="http://schemas.openxmlformats.org/officeDocument/2006/relationships/hyperlink" Target="http://www.adp.pt/pt//?id=61&amp;img=39&amp;bl=6" TargetMode="External"/><Relationship Id="rId30" Type="http://schemas.openxmlformats.org/officeDocument/2006/relationships/hyperlink" Target="http://www.eea.europa.eu/data-and-maps/indicators/imperviousness-change/assessment" TargetMode="External"/><Relationship Id="rId35"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43" Type="http://schemas.openxmlformats.org/officeDocument/2006/relationships/hyperlink" Target="http://eur-lex.europa.eu/legal-content/EN/TXT/?uri=uriserv:OJ.L_.2016.344.01.0001.01.ENG&amp;toc=OJ:L:2016:344:TOC" TargetMode="External"/><Relationship Id="rId48" Type="http://schemas.openxmlformats.org/officeDocument/2006/relationships/hyperlink" Target="http://www.euro.who.int/en/media-centre/sections/press-releases/2011/03/new-evidence-from-who-on-health-effects-of-traffic-related-noise-in-europe" TargetMode="External"/><Relationship Id="rId56" Type="http://schemas.openxmlformats.org/officeDocument/2006/relationships/hyperlink" Target="http://ec.europa.eu/environment/water/water-drink/reporting_en.html" TargetMode="External"/><Relationship Id="rId64" Type="http://schemas.openxmlformats.org/officeDocument/2006/relationships/hyperlink" Target="http://ec.europa.eu/environment/europeangreencapital/wp-content/uploads/2014/04/150609-Torres-Vedras-final.pdf" TargetMode="External"/><Relationship Id="rId69" Type="http://schemas.openxmlformats.org/officeDocument/2006/relationships/hyperlink" Target="http://ec.europa.eu/eurostat/tgm/table.do?tab=table&amp;init=1&amp;language=en&amp;pcode=t2020_rt320&amp;plugin=1http://ec.europa.eu/eurostat/en/web/products-datasets/-/T2020_RT320" TargetMode="External"/><Relationship Id="rId77" Type="http://schemas.openxmlformats.org/officeDocument/2006/relationships/hyperlink" Target="http://eur-lex.europa.eu/legal-content/EN/TXT/?uri=CELEX:52008DC0400http://eur-lex.europa.eu/legal-content/EN/TXT/?uri=CELEX:52008DC0400" TargetMode="External"/><Relationship Id="rId8" Type="http://schemas.openxmlformats.org/officeDocument/2006/relationships/hyperlink" Target="https://data.europa.eu/euodp/en/data/dataset/S2088_426_ENG" TargetMode="External"/><Relationship Id="rId51" Type="http://schemas.openxmlformats.org/officeDocument/2006/relationships/hyperlink" Target="http://eur-lex.europa.eu/legal-content/EN/TXT/?uri=CELEX%3A31998L0083" TargetMode="External"/><Relationship Id="rId72" Type="http://schemas.openxmlformats.org/officeDocument/2006/relationships/hyperlink" Target="http://ec.europa.eu/environment/integration/green_semester/pdf/Eunomia%20EFR%20Final%20Report%20MAIN%20REPORT.pdf" TargetMode="External"/><Relationship Id="rId80" Type="http://schemas.openxmlformats.org/officeDocument/2006/relationships/hyperlink" Target="https://nicholascharron.wordpress.com/european-quality-of-government-index-eqi/" TargetMode="External"/><Relationship Id="rId85" Type="http://schemas.openxmlformats.org/officeDocument/2006/relationships/hyperlink" Target="http://www.eufje.org" TargetMode="External"/><Relationship Id="rId93" Type="http://schemas.openxmlformats.org/officeDocument/2006/relationships/hyperlink" Target="http://eur-lex.europa.eu/legal-content/GA/ALL/?uri=CELEX:32003L0004" TargetMode="External"/><Relationship Id="rId98" Type="http://schemas.openxmlformats.org/officeDocument/2006/relationships/hyperlink" Target="http://inspire-geoportal.ec.europa.eu/resources/INSPIREResourcesReports/resourcesReport_2016-05-09/"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finerg.aeportugal.pt/Projeto.aspx" TargetMode="External"/><Relationship Id="rId17" Type="http://schemas.openxmlformats.org/officeDocument/2006/relationships/hyperlink" Target="http://ec.europa.eu/eurostat/tgm/table.do?tab=table&amp;init=1&amp;plugin=1&amp;language=en&amp;pcode=tsdpc240" TargetMode="External"/><Relationship Id="rId25" Type="http://schemas.openxmlformats.org/officeDocument/2006/relationships/hyperlink" Target="http://eur-lex.europa.eu/legal-content/EN/TXT/?uri=CELEX:52013DC0249" TargetMode="External"/><Relationship Id="rId33" Type="http://schemas.openxmlformats.org/officeDocument/2006/relationships/hyperlink" Target="http://eur-lex.europa.eu/legal-content/EN/TXT/?uri=CELEX%3A32008L0056" TargetMode="External"/><Relationship Id="rId38"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46" Type="http://schemas.openxmlformats.org/officeDocument/2006/relationships/hyperlink" Target="http://www.eionet.europa.eu/aqportal" TargetMode="External"/><Relationship Id="rId59" Type="http://schemas.openxmlformats.org/officeDocument/2006/relationships/hyperlink" Target="http://ec.europa.eu/environment/water/water-urbanwaste/implementation/implementationreports_en.htm" TargetMode="External"/><Relationship Id="rId67" Type="http://schemas.openxmlformats.org/officeDocument/2006/relationships/hyperlink" Target="http://www.clusterdorothy.com" TargetMode="External"/><Relationship Id="rId20" Type="http://schemas.openxmlformats.org/officeDocument/2006/relationships/hyperlink" Target="http://ec.europa.eu/environment/waste/framework/pdf/Waste%20Summary_PT.pdf" TargetMode="External"/><Relationship Id="rId41" Type="http://schemas.openxmlformats.org/officeDocument/2006/relationships/hyperlink" Target="http://www.eea.europa.eu/data-and-maps/data/data-viewers/emissions-nec-directive-viewer" TargetMode="External"/><Relationship Id="rId54" Type="http://schemas.openxmlformats.org/officeDocument/2006/relationships/hyperlink" Target="http://eur-lex.europa.eu/legal-content/EN/TXT/?uri=CELEX:32007L0060" TargetMode="External"/><Relationship Id="rId62" Type="http://schemas.openxmlformats.org/officeDocument/2006/relationships/hyperlink" Target="http://urbanagendaforthe.eu/" TargetMode="External"/><Relationship Id="rId70" Type="http://schemas.openxmlformats.org/officeDocument/2006/relationships/hyperlink" Target="http://ec.europa.eu/eurostat/tgm/table.do?tab=table&amp;init=1&amp;language=en&amp;pcode=t2020_rt320&amp;plugin=1http://ec.europa.eu/eurostat/en/web/products-datasets/-/T2020_RT320" TargetMode="External"/><Relationship Id="rId75" Type="http://schemas.openxmlformats.org/officeDocument/2006/relationships/hyperlink" Target="http://www.eea.europa.eu/publications/environmental-taxation-and-eu-environmental-policies" TargetMode="External"/><Relationship Id="rId83" Type="http://schemas.openxmlformats.org/officeDocument/2006/relationships/hyperlink" Target="http://eur-lex.europa.eu/legal-content/EN/TXT/?uri=CELEX%3A32008L0099" TargetMode="External"/><Relationship Id="rId88" Type="http://schemas.openxmlformats.org/officeDocument/2006/relationships/hyperlink" Target="http://eur-lex.europa.eu/legal-content/EN/TXT/?uri=CELEX%3A32004L0035" TargetMode="External"/><Relationship Id="rId91" Type="http://schemas.openxmlformats.org/officeDocument/2006/relationships/hyperlink" Target="http://ec.europa.eu/environment/aarhus/access_studies.htm" TargetMode="External"/><Relationship Id="rId96" Type="http://schemas.openxmlformats.org/officeDocument/2006/relationships/hyperlink" Target="http://inspire.ec.europa.eu/index.cfm/pageid/182"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www.eco-innovation.eu/index.php?option=com_content&amp;view=article&amp;id=482&amp;Itemid=70%20Country%20Brief%202013%20Portugal" TargetMode="External"/><Relationship Id="rId23" Type="http://schemas.openxmlformats.org/officeDocument/2006/relationships/hyperlink" Target="https://circabc.europa.eu/sd/a/549a8852-6ffa-402c-89f7-cc620bf667a3/PT_20140528.pdf" TargetMode="External"/><Relationship Id="rId28" Type="http://schemas.openxmlformats.org/officeDocument/2006/relationships/hyperlink" Target="http://cmpv.pt/minisites/life/index.php?op=textos&amp;codtexto=5" TargetMode="External"/><Relationship Id="rId36"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49" Type="http://schemas.openxmlformats.org/officeDocument/2006/relationships/hyperlink" Target="http://eur-lex.europa.eu/legal-content/EN/TXT/?qid=1481623908600&amp;uri=CELEX:32006L0007" TargetMode="External"/><Relationship Id="rId57" Type="http://schemas.openxmlformats.org/officeDocument/2006/relationships/hyperlink" Target="http://www.eea.europa.eu/themes/water/status-and-monitoring/state-of-bathing-water/state/state-of-bathing-water-2" TargetMode="External"/><Relationship Id="rId10" Type="http://schemas.openxmlformats.org/officeDocument/2006/relationships/hyperlink" Target="http://ec.europa.eu/environment/integration/green_semester/pdf/SME%20Investments%20in%20Resource%20Efficiency.pdf" TargetMode="External"/><Relationship Id="rId31" Type="http://schemas.openxmlformats.org/officeDocument/2006/relationships/hyperlink" Target="http://ec.europa.eu/eurostat/statistics-explained/index.php/Agri-environmental_indicator_-_soil_erosion" TargetMode="External"/><Relationship Id="rId44" Type="http://schemas.openxmlformats.org/officeDocument/2006/relationships/hyperlink" Target="http://www.eea.europa.eu/publications/air-quality-in-europe-2016" TargetMode="External"/><Relationship Id="rId52" Type="http://schemas.openxmlformats.org/officeDocument/2006/relationships/hyperlink" Target="http://eur-lex.europa.eu/legal-content/EN/TXT/?qid=1481624135097&amp;uri=CELEX:32000L0060" TargetMode="External"/><Relationship Id="rId60" Type="http://schemas.openxmlformats.org/officeDocument/2006/relationships/hyperlink" Target="http://ec.europa.eu/environment/integration/green_semester/pdf/RPA%20Final%20Report-annexes.pdf" TargetMode="External"/><Relationship Id="rId65" Type="http://schemas.openxmlformats.org/officeDocument/2006/relationships/hyperlink" Target="https://dre.pt/application/file/69977523" TargetMode="External"/><Relationship Id="rId73" Type="http://schemas.openxmlformats.org/officeDocument/2006/relationships/hyperlink" Target="http://ec.europa.eu/economy_finance/publications/eeip/pdf/ip008_en.pdf" TargetMode="External"/><Relationship Id="rId78" Type="http://schemas.openxmlformats.org/officeDocument/2006/relationships/hyperlink" Target="http://www.eib.org/efsi/" TargetMode="External"/><Relationship Id="rId81" Type="http://schemas.openxmlformats.org/officeDocument/2006/relationships/hyperlink" Target="http://ec.europa.eu/europe2020/pdf/csr2016/cr2016_portugal_en.pdf" TargetMode="External"/><Relationship Id="rId86" Type="http://schemas.openxmlformats.org/officeDocument/2006/relationships/hyperlink" Target="http://www.environmentalprosecutors.eu" TargetMode="External"/><Relationship Id="rId94" Type="http://schemas.openxmlformats.org/officeDocument/2006/relationships/hyperlink" Target="http://eur-lex.europa.eu/LexUriServ/LexUriServ.do?uri=CELEX:32007L0002:EN:NOT"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ec.europa.eu/environment/resource_efficiency/about/roadmap/index_en.htm" TargetMode="External"/><Relationship Id="rId13" Type="http://schemas.openxmlformats.org/officeDocument/2006/relationships/hyperlink" Target="http://ecoprodutin.aeportugal.pt/Projeto.aspx" TargetMode="External"/><Relationship Id="rId18" Type="http://schemas.openxmlformats.org/officeDocument/2006/relationships/hyperlink" Target="http://ec.europa.eu/eurostat/tgm/table.do?tab=table&amp;init=1&amp;language=en&amp;pcode=t2020_rt120&amp;plugin=1" TargetMode="External"/><Relationship Id="rId39" Type="http://schemas.openxmlformats.org/officeDocument/2006/relationships/hyperlink" Target="http://ec.europa.eu/environment/air/quality/standard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46E6B-A113-4C7A-8A1C-30214A906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14628</Words>
  <Characters>83808</Characters>
  <Application>Microsoft Office Word</Application>
  <DocSecurity>0</DocSecurity>
  <Lines>2142</Lines>
  <Paragraphs>381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2016-11-10T10:41:00Z</cp:lastPrinted>
  <dcterms:created xsi:type="dcterms:W3CDTF">2017-01-24T10:23:00Z</dcterms:created>
  <dcterms:modified xsi:type="dcterms:W3CDTF">2017-02-02T18:20:00Z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