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C37" w:rsidRDefault="000B1CC4" w:rsidP="000B1CC4">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2678C9CFE5C8428A860FDF796D731B0E" style="width:450.75pt;height:498.75pt">
            <v:imagedata r:id="rId9" o:title=""/>
          </v:shape>
        </w:pict>
      </w:r>
    </w:p>
    <w:bookmarkEnd w:id="0"/>
    <w:p w:rsidR="00A22C37" w:rsidRDefault="00A22C37">
      <w:pPr>
        <w:rPr>
          <w:noProof/>
        </w:rPr>
        <w:sectPr w:rsidR="00A22C37" w:rsidSect="000B1CC4">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A22C37" w:rsidRDefault="00A22C37">
      <w:pPr>
        <w:widowControl w:val="0"/>
        <w:tabs>
          <w:tab w:val="right" w:leader="dot" w:pos="8640"/>
        </w:tabs>
        <w:spacing w:before="120" w:after="120" w:line="240" w:lineRule="auto"/>
        <w:jc w:val="both"/>
        <w:rPr>
          <w:rFonts w:eastAsia="Times New Roman" w:cs="Times New Roman"/>
          <w:noProof/>
          <w:szCs w:val="20"/>
        </w:rPr>
      </w:pPr>
      <w:bookmarkStart w:id="1" w:name="_Toc433813222"/>
      <w:bookmarkStart w:id="2" w:name="_GoBack"/>
      <w:bookmarkEnd w:id="2"/>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0B1CC4">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Fonts w:eastAsia="Times New Roman" w:cs="Times New Roman"/>
            <w:noProof/>
            <w:color w:val="0000FF"/>
            <w:szCs w:val="20"/>
            <w:u w:val="single"/>
          </w:rPr>
          <w:t>ENV-EIR@ec.europa.eu</w:t>
        </w:r>
      </w:hyperlink>
      <w:r>
        <w:rPr>
          <w:rFonts w:eastAsia="Times New Roman" w:cs="Times New Roman"/>
          <w:noProof/>
          <w:szCs w:val="20"/>
        </w:rPr>
        <w:t xml:space="preserve"> </w:t>
      </w:r>
    </w:p>
    <w:p w:rsidR="00A22C37" w:rsidRDefault="00A22C37">
      <w:pPr>
        <w:widowControl w:val="0"/>
        <w:tabs>
          <w:tab w:val="right" w:leader="dot" w:pos="8640"/>
        </w:tabs>
        <w:spacing w:before="120" w:after="120" w:line="240" w:lineRule="auto"/>
        <w:ind w:left="482" w:right="720" w:hanging="482"/>
        <w:rPr>
          <w:rFonts w:eastAsia="Times New Roman" w:cs="Times New Roman"/>
          <w:noProof/>
          <w:szCs w:val="20"/>
        </w:rPr>
      </w:pPr>
    </w:p>
    <w:p w:rsidR="00A22C37" w:rsidRDefault="000B1CC4">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Fonts w:eastAsia="Times New Roman" w:cs="Times New Roman"/>
            <w:noProof/>
            <w:color w:val="0000FF"/>
            <w:szCs w:val="20"/>
            <w:u w:val="single"/>
          </w:rPr>
          <w:t>http://europa.eu</w:t>
        </w:r>
      </w:hyperlink>
      <w:r>
        <w:rPr>
          <w:rFonts w:eastAsia="Times New Roman" w:cs="Times New Roman"/>
          <w:noProof/>
          <w:szCs w:val="20"/>
        </w:rPr>
        <w:t>).</w:t>
      </w:r>
    </w:p>
    <w:p w:rsidR="00A22C37" w:rsidRDefault="00A22C37">
      <w:pPr>
        <w:widowControl w:val="0"/>
        <w:tabs>
          <w:tab w:val="right" w:leader="dot" w:pos="8640"/>
        </w:tabs>
        <w:spacing w:before="120" w:after="120" w:line="240" w:lineRule="auto"/>
        <w:ind w:left="482" w:right="720" w:hanging="482"/>
        <w:rPr>
          <w:rFonts w:eastAsia="Times New Roman" w:cs="Times New Roman"/>
          <w:noProof/>
          <w:szCs w:val="20"/>
        </w:rPr>
      </w:pPr>
    </w:p>
    <w:p w:rsidR="00A22C37" w:rsidRDefault="000B1CC4">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p.9 ©LIFE05 NAT/RO/000176/Florentina Florescu; p.12 ©LIFE04 NAT/RO/000225; p.13 ©Janoka82/iStock; p.20 ©Sebastian Ghita/iStock; p.25 © Cesare And</w:t>
      </w:r>
      <w:r>
        <w:rPr>
          <w:rFonts w:eastAsia="Times New Roman" w:cs="Times New Roman"/>
          <w:noProof/>
          <w:szCs w:val="20"/>
        </w:rPr>
        <w:t>rea Ferrari/iStock</w:t>
      </w:r>
    </w:p>
    <w:p w:rsidR="00A22C37" w:rsidRDefault="000B1CC4">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For reproduction or use of these photos, permission must be sought directly from the copyright holder.</w:t>
      </w:r>
    </w:p>
    <w:p w:rsidR="00A22C37" w:rsidRDefault="00A22C37">
      <w:pPr>
        <w:widowControl w:val="0"/>
        <w:tabs>
          <w:tab w:val="right" w:leader="dot" w:pos="8640"/>
        </w:tabs>
        <w:spacing w:before="120" w:after="120" w:line="240" w:lineRule="auto"/>
        <w:jc w:val="both"/>
        <w:rPr>
          <w:rFonts w:eastAsia="Times New Roman" w:cs="Times New Roman"/>
          <w:noProof/>
          <w:szCs w:val="20"/>
        </w:rPr>
      </w:pPr>
    </w:p>
    <w:p w:rsidR="00A22C37" w:rsidRDefault="000B1CC4">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A22C37" w:rsidRDefault="000B1CC4">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Reproduction is authorised provided the source is acknowledged.</w:t>
      </w:r>
    </w:p>
    <w:p w:rsidR="00A22C37" w:rsidRDefault="000B1CC4">
      <w:pPr>
        <w:widowControl w:val="0"/>
        <w:spacing w:before="240" w:after="120" w:line="240" w:lineRule="auto"/>
        <w:ind w:left="113" w:hanging="113"/>
        <w:jc w:val="center"/>
        <w:rPr>
          <w:rFonts w:eastAsia="Times New Roman"/>
          <w:b/>
          <w:noProof/>
          <w:szCs w:val="24"/>
          <w:lang w:eastAsia="en-GB"/>
        </w:rPr>
      </w:pPr>
      <w:r>
        <w:rPr>
          <w:rFonts w:eastAsia="Times New Roman"/>
          <w:b/>
          <w:noProof/>
          <w:szCs w:val="24"/>
          <w:lang w:eastAsia="en-GB"/>
        </w:rPr>
        <w:lastRenderedPageBreak/>
        <w:t>Table of Content</w:t>
      </w:r>
    </w:p>
    <w:sdt>
      <w:sdtPr>
        <w:rPr>
          <w:caps/>
          <w:noProof/>
          <w:sz w:val="20"/>
          <w:szCs w:val="20"/>
        </w:rPr>
        <w:id w:val="-817965023"/>
        <w:docPartObj>
          <w:docPartGallery w:val="Table of Contents"/>
          <w:docPartUnique/>
        </w:docPartObj>
      </w:sdtPr>
      <w:sdtEndPr>
        <w:rPr>
          <w:caps w:val="0"/>
        </w:rPr>
      </w:sdtEndPr>
      <w:sdtContent>
        <w:bookmarkEnd w:id="1" w:displacedByCustomXml="prev"/>
        <w:p w:rsidR="00A22C37" w:rsidRDefault="00A22C37">
          <w:pPr>
            <w:widowControl w:val="0"/>
            <w:spacing w:before="240" w:after="120" w:line="240" w:lineRule="auto"/>
            <w:ind w:left="113" w:hanging="113"/>
            <w:jc w:val="both"/>
            <w:rPr>
              <w:rFonts w:eastAsia="Times New Roman"/>
              <w:b/>
              <w:noProof/>
              <w:sz w:val="20"/>
              <w:szCs w:val="20"/>
              <w:lang w:eastAsia="en-GB"/>
            </w:rPr>
          </w:pPr>
        </w:p>
        <w:p w:rsidR="00A22C37" w:rsidRDefault="000B1CC4">
          <w:pPr>
            <w:pStyle w:val="TOC1"/>
            <w:rPr>
              <w:rFonts w:asciiTheme="minorHAnsi" w:eastAsiaTheme="minorEastAsia" w:hAnsiTheme="minorHAnsi" w:cstheme="minorBidi"/>
              <w:caps w:val="0"/>
              <w:noProof/>
              <w:sz w:val="22"/>
              <w:szCs w:val="22"/>
              <w:lang w:eastAsia="en-GB"/>
            </w:rPr>
          </w:pPr>
          <w:r>
            <w:rPr>
              <w:rFonts w:eastAsiaTheme="minorEastAsia"/>
              <w:caps w:val="0"/>
              <w:noProof/>
              <w:lang w:val="en-US" w:eastAsia="ja-JP"/>
            </w:rPr>
            <w:fldChar w:fldCharType="begin"/>
          </w:r>
          <w:r>
            <w:rPr>
              <w:rFonts w:eastAsiaTheme="minorEastAsia"/>
              <w:noProof/>
              <w:lang w:val="en-US" w:eastAsia="ja-JP"/>
            </w:rPr>
            <w:instrText xml:space="preserve"> TOC \o "1-2" \h \z \u </w:instrText>
          </w:r>
          <w:r>
            <w:rPr>
              <w:rFonts w:eastAsiaTheme="minorEastAsia"/>
              <w:caps w:val="0"/>
              <w:noProof/>
              <w:lang w:val="en-US" w:eastAsia="ja-JP"/>
            </w:rPr>
            <w:fldChar w:fldCharType="separate"/>
          </w:r>
          <w:hyperlink w:anchor="_Toc469484774"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_Toc469484774 \h </w:instrText>
            </w:r>
            <w:r>
              <w:rPr>
                <w:noProof/>
                <w:webHidden/>
              </w:rPr>
            </w:r>
            <w:r>
              <w:rPr>
                <w:noProof/>
                <w:webHidden/>
              </w:rPr>
              <w:fldChar w:fldCharType="separate"/>
            </w:r>
            <w:r>
              <w:rPr>
                <w:noProof/>
                <w:webHidden/>
              </w:rPr>
              <w:t>4</w:t>
            </w:r>
            <w:r>
              <w:rPr>
                <w:noProof/>
                <w:webHidden/>
              </w:rPr>
              <w:fldChar w:fldCharType="end"/>
            </w:r>
          </w:hyperlink>
        </w:p>
        <w:p w:rsidR="00A22C37" w:rsidRDefault="000B1CC4">
          <w:pPr>
            <w:pStyle w:val="TOC1"/>
            <w:rPr>
              <w:rFonts w:asciiTheme="minorHAnsi" w:eastAsiaTheme="minorEastAsia" w:hAnsiTheme="minorHAnsi" w:cstheme="minorBidi"/>
              <w:caps w:val="0"/>
              <w:noProof/>
              <w:sz w:val="22"/>
              <w:szCs w:val="22"/>
              <w:lang w:eastAsia="en-GB"/>
            </w:rPr>
          </w:pPr>
          <w:hyperlink w:anchor="_Toc469484775" w:history="1">
            <w:r>
              <w:rPr>
                <w:rStyle w:val="Hyperlink"/>
                <w:rFonts w:eastAsiaTheme="majorEastAsia" w:cstheme="majorBidi"/>
                <w:bCs/>
                <w:iCs/>
                <w:noProof/>
              </w:rPr>
              <w:t>Part I: Thematic Areas</w:t>
            </w:r>
            <w:r>
              <w:rPr>
                <w:noProof/>
                <w:webHidden/>
              </w:rPr>
              <w:tab/>
            </w:r>
            <w:r>
              <w:rPr>
                <w:noProof/>
                <w:webHidden/>
              </w:rPr>
              <w:fldChar w:fldCharType="begin"/>
            </w:r>
            <w:r>
              <w:rPr>
                <w:noProof/>
                <w:webHidden/>
              </w:rPr>
              <w:instrText xml:space="preserve"> PAGEREF _Toc469484775 \h </w:instrText>
            </w:r>
            <w:r>
              <w:rPr>
                <w:noProof/>
                <w:webHidden/>
              </w:rPr>
            </w:r>
            <w:r>
              <w:rPr>
                <w:noProof/>
                <w:webHidden/>
              </w:rPr>
              <w:fldChar w:fldCharType="separate"/>
            </w:r>
            <w:r>
              <w:rPr>
                <w:noProof/>
                <w:webHidden/>
              </w:rPr>
              <w:t>5</w:t>
            </w:r>
            <w:r>
              <w:rPr>
                <w:noProof/>
                <w:webHidden/>
              </w:rPr>
              <w:fldChar w:fldCharType="end"/>
            </w:r>
          </w:hyperlink>
        </w:p>
        <w:p w:rsidR="00A22C37" w:rsidRDefault="000B1CC4">
          <w:pPr>
            <w:pStyle w:val="TOC1"/>
            <w:rPr>
              <w:rFonts w:asciiTheme="minorHAnsi" w:eastAsiaTheme="minorEastAsia" w:hAnsiTheme="minorHAnsi" w:cstheme="minorBidi"/>
              <w:caps w:val="0"/>
              <w:noProof/>
              <w:sz w:val="22"/>
              <w:szCs w:val="22"/>
              <w:lang w:eastAsia="en-GB"/>
            </w:rPr>
          </w:pPr>
          <w:hyperlink w:anchor="_Toc469484776" w:history="1">
            <w:r>
              <w:rPr>
                <w:rStyle w:val="Hyperlink"/>
                <w:rFonts w:cstheme="majorBidi"/>
                <w:bCs/>
                <w:noProof/>
              </w:rPr>
              <w:t>1.</w:t>
            </w:r>
            <w:r>
              <w:rPr>
                <w:rFonts w:asciiTheme="minorHAnsi" w:eastAsiaTheme="minorEastAsia" w:hAnsiTheme="minorHAnsi" w:cstheme="minorBidi"/>
                <w:caps w:val="0"/>
                <w:noProof/>
                <w:sz w:val="22"/>
                <w:szCs w:val="22"/>
                <w:lang w:eastAsia="en-GB"/>
              </w:rPr>
              <w:tab/>
            </w:r>
            <w:r>
              <w:rPr>
                <w:rStyle w:val="Hyperlink"/>
                <w:rFonts w:cstheme="majorBidi"/>
                <w:bCs/>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_Toc469484776 \h </w:instrText>
            </w:r>
            <w:r>
              <w:rPr>
                <w:noProof/>
                <w:webHidden/>
              </w:rPr>
            </w:r>
            <w:r>
              <w:rPr>
                <w:noProof/>
                <w:webHidden/>
              </w:rPr>
              <w:fldChar w:fldCharType="separate"/>
            </w:r>
            <w:r>
              <w:rPr>
                <w:noProof/>
                <w:webHidden/>
              </w:rPr>
              <w:t>5</w:t>
            </w:r>
            <w:r>
              <w:rPr>
                <w:noProof/>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77" w:history="1">
            <w:r>
              <w:rPr>
                <w:rStyle w:val="Hyperlink"/>
                <w:lang w:eastAsia="en-GB"/>
              </w:rPr>
              <w:t>Developing a circular economy and improving resource efficiency</w:t>
            </w:r>
            <w:r>
              <w:rPr>
                <w:webHidden/>
              </w:rPr>
              <w:tab/>
            </w:r>
            <w:r>
              <w:rPr>
                <w:webHidden/>
              </w:rPr>
              <w:fldChar w:fldCharType="begin"/>
            </w:r>
            <w:r>
              <w:rPr>
                <w:webHidden/>
              </w:rPr>
              <w:instrText xml:space="preserve"> PAGEREF _Toc469484777 \h </w:instrText>
            </w:r>
            <w:r>
              <w:rPr>
                <w:webHidden/>
              </w:rPr>
            </w:r>
            <w:r>
              <w:rPr>
                <w:webHidden/>
              </w:rPr>
              <w:fldChar w:fldCharType="separate"/>
            </w:r>
            <w:r>
              <w:rPr>
                <w:webHidden/>
              </w:rPr>
              <w:t>5</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78" w:history="1">
            <w:r>
              <w:rPr>
                <w:rStyle w:val="Hyperlink"/>
                <w:lang w:eastAsia="en-GB"/>
              </w:rPr>
              <w:t>Waste management</w:t>
            </w:r>
            <w:r>
              <w:rPr>
                <w:webHidden/>
              </w:rPr>
              <w:tab/>
            </w:r>
            <w:r>
              <w:rPr>
                <w:webHidden/>
              </w:rPr>
              <w:fldChar w:fldCharType="begin"/>
            </w:r>
            <w:r>
              <w:rPr>
                <w:webHidden/>
              </w:rPr>
              <w:instrText xml:space="preserve"> PAGEREF _Toc469484778 \h </w:instrText>
            </w:r>
            <w:r>
              <w:rPr>
                <w:webHidden/>
              </w:rPr>
            </w:r>
            <w:r>
              <w:rPr>
                <w:webHidden/>
              </w:rPr>
              <w:fldChar w:fldCharType="separate"/>
            </w:r>
            <w:r>
              <w:rPr>
                <w:webHidden/>
              </w:rPr>
              <w:t>7</w:t>
            </w:r>
            <w:r>
              <w:rPr>
                <w:webHidden/>
              </w:rPr>
              <w:fldChar w:fldCharType="end"/>
            </w:r>
          </w:hyperlink>
        </w:p>
        <w:p w:rsidR="00A22C37" w:rsidRDefault="000B1CC4">
          <w:pPr>
            <w:pStyle w:val="TOC1"/>
            <w:rPr>
              <w:rFonts w:asciiTheme="minorHAnsi" w:eastAsiaTheme="minorEastAsia" w:hAnsiTheme="minorHAnsi" w:cstheme="minorBidi"/>
              <w:caps w:val="0"/>
              <w:noProof/>
              <w:sz w:val="22"/>
              <w:szCs w:val="22"/>
              <w:lang w:eastAsia="en-GB"/>
            </w:rPr>
          </w:pPr>
          <w:hyperlink w:anchor="_Toc469484779" w:history="1">
            <w:r>
              <w:rPr>
                <w:rStyle w:val="Hyperlink"/>
                <w:rFonts w:cstheme="majorBidi"/>
                <w:bCs/>
                <w:noProof/>
              </w:rPr>
              <w:t>2.</w:t>
            </w:r>
            <w:r>
              <w:rPr>
                <w:rFonts w:asciiTheme="minorHAnsi" w:eastAsiaTheme="minorEastAsia" w:hAnsiTheme="minorHAnsi" w:cstheme="minorBidi"/>
                <w:caps w:val="0"/>
                <w:noProof/>
                <w:sz w:val="22"/>
                <w:szCs w:val="22"/>
                <w:lang w:eastAsia="en-GB"/>
              </w:rPr>
              <w:tab/>
            </w:r>
            <w:r>
              <w:rPr>
                <w:rStyle w:val="Hyperlink"/>
                <w:rFonts w:cstheme="majorBidi"/>
                <w:bCs/>
                <w:noProof/>
              </w:rPr>
              <w:t>Protectin</w:t>
            </w:r>
            <w:r>
              <w:rPr>
                <w:rStyle w:val="Hyperlink"/>
                <w:rFonts w:cstheme="majorBidi"/>
                <w:bCs/>
                <w:noProof/>
              </w:rPr>
              <w:t>g, conserving and enhancing natural capital</w:t>
            </w:r>
            <w:r>
              <w:rPr>
                <w:noProof/>
                <w:webHidden/>
              </w:rPr>
              <w:tab/>
            </w:r>
            <w:r>
              <w:rPr>
                <w:noProof/>
                <w:webHidden/>
              </w:rPr>
              <w:fldChar w:fldCharType="begin"/>
            </w:r>
            <w:r>
              <w:rPr>
                <w:noProof/>
                <w:webHidden/>
              </w:rPr>
              <w:instrText xml:space="preserve"> PAGEREF _Toc469484779 \h </w:instrText>
            </w:r>
            <w:r>
              <w:rPr>
                <w:noProof/>
                <w:webHidden/>
              </w:rPr>
            </w:r>
            <w:r>
              <w:rPr>
                <w:noProof/>
                <w:webHidden/>
              </w:rPr>
              <w:fldChar w:fldCharType="separate"/>
            </w:r>
            <w:r>
              <w:rPr>
                <w:noProof/>
                <w:webHidden/>
              </w:rPr>
              <w:t>10</w:t>
            </w:r>
            <w:r>
              <w:rPr>
                <w:noProof/>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80" w:history="1">
            <w:r>
              <w:rPr>
                <w:rStyle w:val="Hyperlink"/>
                <w:lang w:eastAsia="en-GB"/>
              </w:rPr>
              <w:t>Nature and Biodiversity</w:t>
            </w:r>
            <w:r>
              <w:rPr>
                <w:webHidden/>
              </w:rPr>
              <w:tab/>
            </w:r>
            <w:r>
              <w:rPr>
                <w:webHidden/>
              </w:rPr>
              <w:fldChar w:fldCharType="begin"/>
            </w:r>
            <w:r>
              <w:rPr>
                <w:webHidden/>
              </w:rPr>
              <w:instrText xml:space="preserve"> PAGEREF _Toc469484780 \h </w:instrText>
            </w:r>
            <w:r>
              <w:rPr>
                <w:webHidden/>
              </w:rPr>
            </w:r>
            <w:r>
              <w:rPr>
                <w:webHidden/>
              </w:rPr>
              <w:fldChar w:fldCharType="separate"/>
            </w:r>
            <w:r>
              <w:rPr>
                <w:webHidden/>
              </w:rPr>
              <w:t>10</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81" w:history="1">
            <w:r>
              <w:rPr>
                <w:rStyle w:val="Hyperlink"/>
                <w:lang w:eastAsia="en-GB"/>
              </w:rPr>
              <w:t>Estimating Natural Capital</w:t>
            </w:r>
            <w:r>
              <w:rPr>
                <w:webHidden/>
              </w:rPr>
              <w:tab/>
            </w:r>
            <w:r>
              <w:rPr>
                <w:webHidden/>
              </w:rPr>
              <w:fldChar w:fldCharType="begin"/>
            </w:r>
            <w:r>
              <w:rPr>
                <w:webHidden/>
              </w:rPr>
              <w:instrText xml:space="preserve"> PAGEREF _Toc469484781 \h </w:instrText>
            </w:r>
            <w:r>
              <w:rPr>
                <w:webHidden/>
              </w:rPr>
            </w:r>
            <w:r>
              <w:rPr>
                <w:webHidden/>
              </w:rPr>
              <w:fldChar w:fldCharType="separate"/>
            </w:r>
            <w:r>
              <w:rPr>
                <w:webHidden/>
              </w:rPr>
              <w:t>12</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82" w:history="1">
            <w:r>
              <w:rPr>
                <w:rStyle w:val="Hyperlink"/>
                <w:lang w:eastAsia="en-GB"/>
              </w:rPr>
              <w:t>Green infrastructure</w:t>
            </w:r>
            <w:r>
              <w:rPr>
                <w:webHidden/>
              </w:rPr>
              <w:tab/>
            </w:r>
            <w:r>
              <w:rPr>
                <w:webHidden/>
              </w:rPr>
              <w:fldChar w:fldCharType="begin"/>
            </w:r>
            <w:r>
              <w:rPr>
                <w:webHidden/>
              </w:rPr>
              <w:instrText xml:space="preserve"> PAGEREF _Toc469484782 \h </w:instrText>
            </w:r>
            <w:r>
              <w:rPr>
                <w:webHidden/>
              </w:rPr>
            </w:r>
            <w:r>
              <w:rPr>
                <w:webHidden/>
              </w:rPr>
              <w:fldChar w:fldCharType="separate"/>
            </w:r>
            <w:r>
              <w:rPr>
                <w:webHidden/>
              </w:rPr>
              <w:t>12</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83" w:history="1">
            <w:r>
              <w:rPr>
                <w:rStyle w:val="Hyperlink"/>
                <w:lang w:eastAsia="en-GB"/>
              </w:rPr>
              <w:t>Soil protection</w:t>
            </w:r>
            <w:r>
              <w:rPr>
                <w:webHidden/>
              </w:rPr>
              <w:tab/>
            </w:r>
            <w:r>
              <w:rPr>
                <w:webHidden/>
              </w:rPr>
              <w:fldChar w:fldCharType="begin"/>
            </w:r>
            <w:r>
              <w:rPr>
                <w:webHidden/>
              </w:rPr>
              <w:instrText xml:space="preserve"> PAGEREF _Toc469484783 \h </w:instrText>
            </w:r>
            <w:r>
              <w:rPr>
                <w:webHidden/>
              </w:rPr>
            </w:r>
            <w:r>
              <w:rPr>
                <w:webHidden/>
              </w:rPr>
              <w:fldChar w:fldCharType="separate"/>
            </w:r>
            <w:r>
              <w:rPr>
                <w:webHidden/>
              </w:rPr>
              <w:t>13</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84" w:history="1">
            <w:r>
              <w:rPr>
                <w:rStyle w:val="Hyperlink"/>
                <w:lang w:eastAsia="en-GB"/>
              </w:rPr>
              <w:t>Marine protection</w:t>
            </w:r>
            <w:r>
              <w:rPr>
                <w:webHidden/>
              </w:rPr>
              <w:tab/>
            </w:r>
            <w:r>
              <w:rPr>
                <w:webHidden/>
              </w:rPr>
              <w:fldChar w:fldCharType="begin"/>
            </w:r>
            <w:r>
              <w:rPr>
                <w:webHidden/>
              </w:rPr>
              <w:instrText xml:space="preserve"> PAGEREF _Toc469484784 \h </w:instrText>
            </w:r>
            <w:r>
              <w:rPr>
                <w:webHidden/>
              </w:rPr>
            </w:r>
            <w:r>
              <w:rPr>
                <w:webHidden/>
              </w:rPr>
              <w:fldChar w:fldCharType="separate"/>
            </w:r>
            <w:r>
              <w:rPr>
                <w:webHidden/>
              </w:rPr>
              <w:t>14</w:t>
            </w:r>
            <w:r>
              <w:rPr>
                <w:webHidden/>
              </w:rPr>
              <w:fldChar w:fldCharType="end"/>
            </w:r>
          </w:hyperlink>
        </w:p>
        <w:p w:rsidR="00A22C37" w:rsidRDefault="000B1CC4">
          <w:pPr>
            <w:pStyle w:val="TOC1"/>
            <w:rPr>
              <w:rFonts w:asciiTheme="minorHAnsi" w:eastAsiaTheme="minorEastAsia" w:hAnsiTheme="minorHAnsi" w:cstheme="minorBidi"/>
              <w:caps w:val="0"/>
              <w:noProof/>
              <w:sz w:val="22"/>
              <w:szCs w:val="22"/>
              <w:lang w:eastAsia="en-GB"/>
            </w:rPr>
          </w:pPr>
          <w:hyperlink w:anchor="_Toc469484785" w:history="1">
            <w:r>
              <w:rPr>
                <w:rStyle w:val="Hyperlink"/>
                <w:rFonts w:cstheme="majorBidi"/>
                <w:bCs/>
                <w:noProof/>
              </w:rPr>
              <w:t>3.</w:t>
            </w:r>
            <w:r>
              <w:rPr>
                <w:rFonts w:asciiTheme="minorHAnsi" w:eastAsiaTheme="minorEastAsia" w:hAnsiTheme="minorHAnsi" w:cstheme="minorBidi"/>
                <w:caps w:val="0"/>
                <w:noProof/>
                <w:sz w:val="22"/>
                <w:szCs w:val="22"/>
                <w:lang w:eastAsia="en-GB"/>
              </w:rPr>
              <w:tab/>
            </w:r>
            <w:r>
              <w:rPr>
                <w:rStyle w:val="Hyperlink"/>
                <w:rFonts w:cstheme="majorBidi"/>
                <w:bCs/>
                <w:noProof/>
              </w:rPr>
              <w:t>Ensuring citizens' health and quality of life</w:t>
            </w:r>
            <w:r>
              <w:rPr>
                <w:noProof/>
                <w:webHidden/>
              </w:rPr>
              <w:tab/>
            </w:r>
            <w:r>
              <w:rPr>
                <w:noProof/>
                <w:webHidden/>
              </w:rPr>
              <w:fldChar w:fldCharType="begin"/>
            </w:r>
            <w:r>
              <w:rPr>
                <w:noProof/>
                <w:webHidden/>
              </w:rPr>
              <w:instrText xml:space="preserve"> PAGEREF _Toc469484785 \h </w:instrText>
            </w:r>
            <w:r>
              <w:rPr>
                <w:noProof/>
                <w:webHidden/>
              </w:rPr>
            </w:r>
            <w:r>
              <w:rPr>
                <w:noProof/>
                <w:webHidden/>
              </w:rPr>
              <w:fldChar w:fldCharType="separate"/>
            </w:r>
            <w:r>
              <w:rPr>
                <w:noProof/>
                <w:webHidden/>
              </w:rPr>
              <w:t>16</w:t>
            </w:r>
            <w:r>
              <w:rPr>
                <w:noProof/>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86" w:history="1">
            <w:r>
              <w:rPr>
                <w:rStyle w:val="Hyperlink"/>
                <w:lang w:eastAsia="en-GB"/>
              </w:rPr>
              <w:t>Air quality</w:t>
            </w:r>
            <w:r>
              <w:rPr>
                <w:webHidden/>
              </w:rPr>
              <w:tab/>
            </w:r>
            <w:r>
              <w:rPr>
                <w:webHidden/>
              </w:rPr>
              <w:fldChar w:fldCharType="begin"/>
            </w:r>
            <w:r>
              <w:rPr>
                <w:webHidden/>
              </w:rPr>
              <w:instrText xml:space="preserve"> PAGEREF _Toc469484786 \h </w:instrText>
            </w:r>
            <w:r>
              <w:rPr>
                <w:webHidden/>
              </w:rPr>
            </w:r>
            <w:r>
              <w:rPr>
                <w:webHidden/>
              </w:rPr>
              <w:fldChar w:fldCharType="separate"/>
            </w:r>
            <w:r>
              <w:rPr>
                <w:webHidden/>
              </w:rPr>
              <w:t>16</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87" w:history="1">
            <w:r>
              <w:rPr>
                <w:rStyle w:val="Hyperlink"/>
                <w:lang w:eastAsia="en-GB"/>
              </w:rPr>
              <w:t>Noise</w:t>
            </w:r>
            <w:r>
              <w:rPr>
                <w:webHidden/>
              </w:rPr>
              <w:tab/>
            </w:r>
            <w:r>
              <w:rPr>
                <w:webHidden/>
              </w:rPr>
              <w:tab/>
            </w:r>
            <w:r>
              <w:rPr>
                <w:webHidden/>
              </w:rPr>
              <w:fldChar w:fldCharType="begin"/>
            </w:r>
            <w:r>
              <w:rPr>
                <w:webHidden/>
              </w:rPr>
              <w:instrText xml:space="preserve"> PAGEREF _Toc469484787 \h </w:instrText>
            </w:r>
            <w:r>
              <w:rPr>
                <w:webHidden/>
              </w:rPr>
            </w:r>
            <w:r>
              <w:rPr>
                <w:webHidden/>
              </w:rPr>
              <w:fldChar w:fldCharType="separate"/>
            </w:r>
            <w:r>
              <w:rPr>
                <w:webHidden/>
              </w:rPr>
              <w:t>17</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88" w:history="1">
            <w:r>
              <w:rPr>
                <w:rStyle w:val="Hyperlink"/>
                <w:lang w:eastAsia="en-GB"/>
              </w:rPr>
              <w:t xml:space="preserve">Water quality and </w:t>
            </w:r>
            <w:r>
              <w:rPr>
                <w:rStyle w:val="Hyperlink"/>
                <w:lang w:eastAsia="en-GB"/>
              </w:rPr>
              <w:t>management</w:t>
            </w:r>
            <w:r>
              <w:rPr>
                <w:webHidden/>
              </w:rPr>
              <w:tab/>
            </w:r>
            <w:r>
              <w:rPr>
                <w:webHidden/>
              </w:rPr>
              <w:fldChar w:fldCharType="begin"/>
            </w:r>
            <w:r>
              <w:rPr>
                <w:webHidden/>
              </w:rPr>
              <w:instrText xml:space="preserve"> PAGEREF _Toc469484788 \h </w:instrText>
            </w:r>
            <w:r>
              <w:rPr>
                <w:webHidden/>
              </w:rPr>
            </w:r>
            <w:r>
              <w:rPr>
                <w:webHidden/>
              </w:rPr>
              <w:fldChar w:fldCharType="separate"/>
            </w:r>
            <w:r>
              <w:rPr>
                <w:webHidden/>
              </w:rPr>
              <w:t>17</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89" w:history="1">
            <w:r>
              <w:rPr>
                <w:rStyle w:val="Hyperlink"/>
                <w:lang w:eastAsia="en-GB"/>
              </w:rPr>
              <w:t>Enhancing the sustainability of cities</w:t>
            </w:r>
            <w:r>
              <w:rPr>
                <w:webHidden/>
              </w:rPr>
              <w:tab/>
            </w:r>
            <w:r>
              <w:rPr>
                <w:webHidden/>
              </w:rPr>
              <w:fldChar w:fldCharType="begin"/>
            </w:r>
            <w:r>
              <w:rPr>
                <w:webHidden/>
              </w:rPr>
              <w:instrText xml:space="preserve"> PAGEREF _Toc469484789 \h </w:instrText>
            </w:r>
            <w:r>
              <w:rPr>
                <w:webHidden/>
              </w:rPr>
            </w:r>
            <w:r>
              <w:rPr>
                <w:webHidden/>
              </w:rPr>
              <w:fldChar w:fldCharType="separate"/>
            </w:r>
            <w:r>
              <w:rPr>
                <w:webHidden/>
              </w:rPr>
              <w:t>20</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90" w:history="1">
            <w:r>
              <w:rPr>
                <w:rStyle w:val="Hyperlink"/>
                <w:lang w:eastAsia="en-GB"/>
              </w:rPr>
              <w:t>International agreements</w:t>
            </w:r>
            <w:r>
              <w:rPr>
                <w:webHidden/>
              </w:rPr>
              <w:tab/>
            </w:r>
            <w:r>
              <w:rPr>
                <w:webHidden/>
              </w:rPr>
              <w:fldChar w:fldCharType="begin"/>
            </w:r>
            <w:r>
              <w:rPr>
                <w:webHidden/>
              </w:rPr>
              <w:instrText xml:space="preserve"> PAGEREF _Toc469484790 \h </w:instrText>
            </w:r>
            <w:r>
              <w:rPr>
                <w:webHidden/>
              </w:rPr>
            </w:r>
            <w:r>
              <w:rPr>
                <w:webHidden/>
              </w:rPr>
              <w:fldChar w:fldCharType="separate"/>
            </w:r>
            <w:r>
              <w:rPr>
                <w:webHidden/>
              </w:rPr>
              <w:t>21</w:t>
            </w:r>
            <w:r>
              <w:rPr>
                <w:webHidden/>
              </w:rPr>
              <w:fldChar w:fldCharType="end"/>
            </w:r>
          </w:hyperlink>
        </w:p>
        <w:p w:rsidR="00A22C37" w:rsidRDefault="000B1CC4">
          <w:pPr>
            <w:pStyle w:val="TOC1"/>
            <w:rPr>
              <w:rFonts w:asciiTheme="minorHAnsi" w:eastAsiaTheme="minorEastAsia" w:hAnsiTheme="minorHAnsi" w:cstheme="minorBidi"/>
              <w:caps w:val="0"/>
              <w:noProof/>
              <w:sz w:val="22"/>
              <w:szCs w:val="22"/>
              <w:lang w:eastAsia="en-GB"/>
            </w:rPr>
          </w:pPr>
          <w:hyperlink w:anchor="_Toc469484791" w:history="1">
            <w:r>
              <w:rPr>
                <w:rStyle w:val="Hyperlink"/>
                <w:rFonts w:eastAsiaTheme="majorEastAsia" w:cstheme="majorBidi"/>
                <w:bCs/>
                <w:noProof/>
              </w:rPr>
              <w:t>Part II: Enabling Framework: Implementation Tools</w:t>
            </w:r>
            <w:r>
              <w:rPr>
                <w:noProof/>
                <w:webHidden/>
              </w:rPr>
              <w:tab/>
            </w:r>
            <w:r>
              <w:rPr>
                <w:noProof/>
                <w:webHidden/>
              </w:rPr>
              <w:fldChar w:fldCharType="begin"/>
            </w:r>
            <w:r>
              <w:rPr>
                <w:noProof/>
                <w:webHidden/>
              </w:rPr>
              <w:instrText xml:space="preserve"> PAGEREF _Toc469484791 \h </w:instrText>
            </w:r>
            <w:r>
              <w:rPr>
                <w:noProof/>
                <w:webHidden/>
              </w:rPr>
            </w:r>
            <w:r>
              <w:rPr>
                <w:noProof/>
                <w:webHidden/>
              </w:rPr>
              <w:fldChar w:fldCharType="separate"/>
            </w:r>
            <w:r>
              <w:rPr>
                <w:noProof/>
                <w:webHidden/>
              </w:rPr>
              <w:t>22</w:t>
            </w:r>
            <w:r>
              <w:rPr>
                <w:noProof/>
                <w:webHidden/>
              </w:rPr>
              <w:fldChar w:fldCharType="end"/>
            </w:r>
          </w:hyperlink>
        </w:p>
        <w:p w:rsidR="00A22C37" w:rsidRDefault="000B1CC4">
          <w:pPr>
            <w:pStyle w:val="TOC1"/>
            <w:rPr>
              <w:rFonts w:asciiTheme="minorHAnsi" w:eastAsiaTheme="minorEastAsia" w:hAnsiTheme="minorHAnsi" w:cstheme="minorBidi"/>
              <w:caps w:val="0"/>
              <w:noProof/>
              <w:sz w:val="22"/>
              <w:szCs w:val="22"/>
              <w:lang w:eastAsia="en-GB"/>
            </w:rPr>
          </w:pPr>
          <w:hyperlink w:anchor="_Toc469484792" w:history="1">
            <w:r>
              <w:rPr>
                <w:rStyle w:val="Hyperlink"/>
                <w:rFonts w:cstheme="majorBidi"/>
                <w:bCs/>
                <w:noProof/>
              </w:rPr>
              <w:t>4.</w:t>
            </w:r>
            <w:r>
              <w:rPr>
                <w:rFonts w:asciiTheme="minorHAnsi" w:eastAsiaTheme="minorEastAsia" w:hAnsiTheme="minorHAnsi" w:cstheme="minorBidi"/>
                <w:caps w:val="0"/>
                <w:noProof/>
                <w:sz w:val="22"/>
                <w:szCs w:val="22"/>
                <w:lang w:eastAsia="en-GB"/>
              </w:rPr>
              <w:tab/>
            </w:r>
            <w:r>
              <w:rPr>
                <w:rStyle w:val="Hyperlink"/>
                <w:rFonts w:cstheme="majorBidi"/>
                <w:bCs/>
                <w:noProof/>
              </w:rPr>
              <w:t>Market based instruments and investment</w:t>
            </w:r>
            <w:r>
              <w:rPr>
                <w:noProof/>
                <w:webHidden/>
              </w:rPr>
              <w:tab/>
            </w:r>
            <w:r>
              <w:rPr>
                <w:noProof/>
                <w:webHidden/>
              </w:rPr>
              <w:fldChar w:fldCharType="begin"/>
            </w:r>
            <w:r>
              <w:rPr>
                <w:noProof/>
                <w:webHidden/>
              </w:rPr>
              <w:instrText xml:space="preserve"> PAGEREF _Toc469484792 \h </w:instrText>
            </w:r>
            <w:r>
              <w:rPr>
                <w:noProof/>
                <w:webHidden/>
              </w:rPr>
            </w:r>
            <w:r>
              <w:rPr>
                <w:noProof/>
                <w:webHidden/>
              </w:rPr>
              <w:fldChar w:fldCharType="separate"/>
            </w:r>
            <w:r>
              <w:rPr>
                <w:noProof/>
                <w:webHidden/>
              </w:rPr>
              <w:t>22</w:t>
            </w:r>
            <w:r>
              <w:rPr>
                <w:noProof/>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93" w:history="1">
            <w:r>
              <w:rPr>
                <w:rStyle w:val="Hyperlink"/>
                <w:lang w:eastAsia="en-GB"/>
              </w:rPr>
              <w:t>Green taxation and environmentally harmful subsidies</w:t>
            </w:r>
            <w:r>
              <w:rPr>
                <w:webHidden/>
              </w:rPr>
              <w:tab/>
            </w:r>
            <w:r>
              <w:rPr>
                <w:webHidden/>
              </w:rPr>
              <w:fldChar w:fldCharType="begin"/>
            </w:r>
            <w:r>
              <w:rPr>
                <w:webHidden/>
              </w:rPr>
              <w:instrText xml:space="preserve"> PAGEREF _Toc469484793 \h </w:instrText>
            </w:r>
            <w:r>
              <w:rPr>
                <w:webHidden/>
              </w:rPr>
            </w:r>
            <w:r>
              <w:rPr>
                <w:webHidden/>
              </w:rPr>
              <w:fldChar w:fldCharType="separate"/>
            </w:r>
            <w:r>
              <w:rPr>
                <w:webHidden/>
              </w:rPr>
              <w:t>22</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94" w:history="1">
            <w:r>
              <w:rPr>
                <w:rStyle w:val="Hyperlink"/>
                <w:lang w:eastAsia="en-GB"/>
              </w:rPr>
              <w:t>Green Public Procurement</w:t>
            </w:r>
            <w:r>
              <w:rPr>
                <w:webHidden/>
              </w:rPr>
              <w:tab/>
            </w:r>
            <w:r>
              <w:rPr>
                <w:webHidden/>
              </w:rPr>
              <w:fldChar w:fldCharType="begin"/>
            </w:r>
            <w:r>
              <w:rPr>
                <w:webHidden/>
              </w:rPr>
              <w:instrText xml:space="preserve"> PAGEREF _Toc469484794 \h </w:instrText>
            </w:r>
            <w:r>
              <w:rPr>
                <w:webHidden/>
              </w:rPr>
            </w:r>
            <w:r>
              <w:rPr>
                <w:webHidden/>
              </w:rPr>
              <w:fldChar w:fldCharType="separate"/>
            </w:r>
            <w:r>
              <w:rPr>
                <w:webHidden/>
              </w:rPr>
              <w:t>22</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95" w:history="1">
            <w:r>
              <w:rPr>
                <w:rStyle w:val="Hyperlink"/>
                <w:lang w:eastAsia="en-GB"/>
              </w:rPr>
              <w:t>Investments: the contribution of EU funds</w:t>
            </w:r>
            <w:r>
              <w:rPr>
                <w:webHidden/>
              </w:rPr>
              <w:tab/>
            </w:r>
            <w:r>
              <w:rPr>
                <w:webHidden/>
              </w:rPr>
              <w:fldChar w:fldCharType="begin"/>
            </w:r>
            <w:r>
              <w:rPr>
                <w:webHidden/>
              </w:rPr>
              <w:instrText xml:space="preserve"> PAGEREF _Toc469484795 \h </w:instrText>
            </w:r>
            <w:r>
              <w:rPr>
                <w:webHidden/>
              </w:rPr>
            </w:r>
            <w:r>
              <w:rPr>
                <w:webHidden/>
              </w:rPr>
              <w:fldChar w:fldCharType="separate"/>
            </w:r>
            <w:r>
              <w:rPr>
                <w:webHidden/>
              </w:rPr>
              <w:t>23</w:t>
            </w:r>
            <w:r>
              <w:rPr>
                <w:webHidden/>
              </w:rPr>
              <w:fldChar w:fldCharType="end"/>
            </w:r>
          </w:hyperlink>
        </w:p>
        <w:p w:rsidR="00A22C37" w:rsidRDefault="000B1CC4">
          <w:pPr>
            <w:pStyle w:val="TOC1"/>
            <w:rPr>
              <w:rFonts w:asciiTheme="minorHAnsi" w:eastAsiaTheme="minorEastAsia" w:hAnsiTheme="minorHAnsi" w:cstheme="minorBidi"/>
              <w:caps w:val="0"/>
              <w:noProof/>
              <w:sz w:val="22"/>
              <w:szCs w:val="22"/>
              <w:lang w:eastAsia="en-GB"/>
            </w:rPr>
          </w:pPr>
          <w:hyperlink w:anchor="_Toc469484796" w:history="1">
            <w:r>
              <w:rPr>
                <w:rStyle w:val="Hyperlink"/>
                <w:rFonts w:cstheme="majorBidi"/>
                <w:bCs/>
                <w:noProof/>
              </w:rPr>
              <w:t>5.</w:t>
            </w:r>
            <w:r>
              <w:rPr>
                <w:rFonts w:asciiTheme="minorHAnsi" w:eastAsiaTheme="minorEastAsia" w:hAnsiTheme="minorHAnsi" w:cstheme="minorBidi"/>
                <w:caps w:val="0"/>
                <w:noProof/>
                <w:sz w:val="22"/>
                <w:szCs w:val="22"/>
                <w:lang w:eastAsia="en-GB"/>
              </w:rPr>
              <w:tab/>
            </w:r>
            <w:r>
              <w:rPr>
                <w:rStyle w:val="Hyperlink"/>
                <w:rFonts w:cstheme="majorBidi"/>
                <w:bCs/>
                <w:noProof/>
              </w:rPr>
              <w:t>Effective governance and knowledge</w:t>
            </w:r>
            <w:r>
              <w:rPr>
                <w:noProof/>
                <w:webHidden/>
              </w:rPr>
              <w:tab/>
            </w:r>
            <w:r>
              <w:rPr>
                <w:noProof/>
                <w:webHidden/>
              </w:rPr>
              <w:fldChar w:fldCharType="begin"/>
            </w:r>
            <w:r>
              <w:rPr>
                <w:noProof/>
                <w:webHidden/>
              </w:rPr>
              <w:instrText xml:space="preserve"> PAGEREF _Toc469484796 \h </w:instrText>
            </w:r>
            <w:r>
              <w:rPr>
                <w:noProof/>
                <w:webHidden/>
              </w:rPr>
            </w:r>
            <w:r>
              <w:rPr>
                <w:noProof/>
                <w:webHidden/>
              </w:rPr>
              <w:fldChar w:fldCharType="separate"/>
            </w:r>
            <w:r>
              <w:rPr>
                <w:noProof/>
                <w:webHidden/>
              </w:rPr>
              <w:t>25</w:t>
            </w:r>
            <w:r>
              <w:rPr>
                <w:noProof/>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97" w:history="1">
            <w:r>
              <w:rPr>
                <w:rStyle w:val="Hyperlink"/>
                <w:lang w:eastAsia="en-GB"/>
              </w:rPr>
              <w:t>Effective governance within central, regional and local government</w:t>
            </w:r>
            <w:r>
              <w:rPr>
                <w:webHidden/>
              </w:rPr>
              <w:tab/>
            </w:r>
            <w:r>
              <w:rPr>
                <w:webHidden/>
              </w:rPr>
              <w:fldChar w:fldCharType="begin"/>
            </w:r>
            <w:r>
              <w:rPr>
                <w:webHidden/>
              </w:rPr>
              <w:instrText xml:space="preserve"> PAGEREF _Toc469484797 \h </w:instrText>
            </w:r>
            <w:r>
              <w:rPr>
                <w:webHidden/>
              </w:rPr>
            </w:r>
            <w:r>
              <w:rPr>
                <w:webHidden/>
              </w:rPr>
              <w:fldChar w:fldCharType="separate"/>
            </w:r>
            <w:r>
              <w:rPr>
                <w:webHidden/>
              </w:rPr>
              <w:t>25</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98" w:history="1">
            <w:r>
              <w:rPr>
                <w:rStyle w:val="Hyperlink"/>
                <w:lang w:eastAsia="en-GB"/>
              </w:rPr>
              <w:t>Compliance assurance</w:t>
            </w:r>
            <w:r>
              <w:rPr>
                <w:webHidden/>
              </w:rPr>
              <w:tab/>
            </w:r>
            <w:r>
              <w:rPr>
                <w:webHidden/>
              </w:rPr>
              <w:fldChar w:fldCharType="begin"/>
            </w:r>
            <w:r>
              <w:rPr>
                <w:webHidden/>
              </w:rPr>
              <w:instrText xml:space="preserve"> PAGEREF _Toc469484798 \h </w:instrText>
            </w:r>
            <w:r>
              <w:rPr>
                <w:webHidden/>
              </w:rPr>
            </w:r>
            <w:r>
              <w:rPr>
                <w:webHidden/>
              </w:rPr>
              <w:fldChar w:fldCharType="separate"/>
            </w:r>
            <w:r>
              <w:rPr>
                <w:webHidden/>
              </w:rPr>
              <w:t>26</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799" w:history="1">
            <w:r>
              <w:rPr>
                <w:rStyle w:val="Hyperlink"/>
                <w:lang w:eastAsia="en-GB"/>
              </w:rPr>
              <w:t>Public participation and access to justice</w:t>
            </w:r>
            <w:r>
              <w:rPr>
                <w:webHidden/>
              </w:rPr>
              <w:tab/>
            </w:r>
            <w:r>
              <w:rPr>
                <w:webHidden/>
              </w:rPr>
              <w:fldChar w:fldCharType="begin"/>
            </w:r>
            <w:r>
              <w:rPr>
                <w:webHidden/>
              </w:rPr>
              <w:instrText xml:space="preserve"> PAGEREF _Toc469484799 \h</w:instrText>
            </w:r>
            <w:r>
              <w:rPr>
                <w:webHidden/>
              </w:rPr>
              <w:instrText xml:space="preserve"> </w:instrText>
            </w:r>
            <w:r>
              <w:rPr>
                <w:webHidden/>
              </w:rPr>
            </w:r>
            <w:r>
              <w:rPr>
                <w:webHidden/>
              </w:rPr>
              <w:fldChar w:fldCharType="separate"/>
            </w:r>
            <w:r>
              <w:rPr>
                <w:webHidden/>
              </w:rPr>
              <w:t>28</w:t>
            </w:r>
            <w:r>
              <w:rPr>
                <w:webHidden/>
              </w:rPr>
              <w:fldChar w:fldCharType="end"/>
            </w:r>
          </w:hyperlink>
        </w:p>
        <w:p w:rsidR="00A22C37" w:rsidRDefault="000B1CC4">
          <w:pPr>
            <w:pStyle w:val="TOC2"/>
            <w:rPr>
              <w:rFonts w:asciiTheme="minorHAnsi" w:eastAsiaTheme="minorEastAsia" w:hAnsiTheme="minorHAnsi" w:cstheme="minorBidi"/>
              <w:sz w:val="22"/>
              <w:szCs w:val="22"/>
              <w:lang w:eastAsia="en-GB"/>
            </w:rPr>
          </w:pPr>
          <w:hyperlink w:anchor="_Toc469484800" w:history="1">
            <w:r>
              <w:rPr>
                <w:rStyle w:val="Hyperlink"/>
                <w:lang w:eastAsia="en-GB"/>
              </w:rPr>
              <w:t>Access to information, knowledge and evidence</w:t>
            </w:r>
            <w:r>
              <w:rPr>
                <w:webHidden/>
              </w:rPr>
              <w:tab/>
            </w:r>
            <w:r>
              <w:rPr>
                <w:webHidden/>
              </w:rPr>
              <w:fldChar w:fldCharType="begin"/>
            </w:r>
            <w:r>
              <w:rPr>
                <w:webHidden/>
              </w:rPr>
              <w:instrText xml:space="preserve"> PAGEREF _Toc469484800 \h </w:instrText>
            </w:r>
            <w:r>
              <w:rPr>
                <w:webHidden/>
              </w:rPr>
            </w:r>
            <w:r>
              <w:rPr>
                <w:webHidden/>
              </w:rPr>
              <w:fldChar w:fldCharType="separate"/>
            </w:r>
            <w:r>
              <w:rPr>
                <w:webHidden/>
              </w:rPr>
              <w:t>28</w:t>
            </w:r>
            <w:r>
              <w:rPr>
                <w:webHidden/>
              </w:rPr>
              <w:fldChar w:fldCharType="end"/>
            </w:r>
          </w:hyperlink>
        </w:p>
        <w:p w:rsidR="00A22C37" w:rsidRDefault="000B1CC4">
          <w:pPr>
            <w:widowControl w:val="0"/>
            <w:spacing w:after="0" w:line="240" w:lineRule="auto"/>
            <w:jc w:val="both"/>
            <w:rPr>
              <w:rFonts w:cs="Times New Roman"/>
              <w:noProof/>
              <w:sz w:val="20"/>
              <w:szCs w:val="20"/>
            </w:rPr>
            <w:sectPr w:rsidR="00A22C37">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pgNumType w:start="2"/>
              <w:cols w:space="1420"/>
              <w:titlePg/>
              <w:docGrid w:linePitch="360"/>
            </w:sectPr>
          </w:pPr>
          <w:r>
            <w:rPr>
              <w:rFonts w:eastAsiaTheme="minorEastAsia" w:cs="Times New Roman"/>
              <w:caps/>
              <w:noProof/>
              <w:sz w:val="20"/>
              <w:szCs w:val="20"/>
              <w:lang w:val="en-US" w:eastAsia="ja-JP"/>
            </w:rPr>
            <w:fldChar w:fldCharType="end"/>
          </w:r>
        </w:p>
      </w:sdtContent>
    </w:sdt>
    <w:p w:rsidR="00A22C37" w:rsidRDefault="000B1CC4">
      <w:pPr>
        <w:widowControl w:val="0"/>
        <w:spacing w:after="0" w:line="240" w:lineRule="auto"/>
        <w:jc w:val="center"/>
        <w:outlineLvl w:val="0"/>
        <w:rPr>
          <w:rFonts w:eastAsiaTheme="majorEastAsia" w:cstheme="majorBidi"/>
          <w:b/>
          <w:bCs/>
          <w:noProof/>
          <w:sz w:val="20"/>
          <w:szCs w:val="20"/>
        </w:rPr>
      </w:pPr>
      <w:bookmarkStart w:id="3" w:name="_Toc433184073"/>
      <w:r>
        <w:rPr>
          <w:rFonts w:eastAsiaTheme="majorEastAsia" w:cstheme="majorBidi"/>
          <w:b/>
          <w:bCs/>
          <w:noProof/>
          <w:sz w:val="20"/>
          <w:szCs w:val="20"/>
        </w:rPr>
        <w:lastRenderedPageBreak/>
        <w:br w:type="page"/>
      </w:r>
    </w:p>
    <w:p w:rsidR="00A22C37" w:rsidRDefault="000B1CC4">
      <w:pPr>
        <w:widowControl w:val="0"/>
        <w:spacing w:after="0" w:line="240" w:lineRule="auto"/>
        <w:jc w:val="center"/>
        <w:outlineLvl w:val="0"/>
        <w:rPr>
          <w:rFonts w:eastAsiaTheme="majorEastAsia" w:cstheme="majorBidi"/>
          <w:b/>
          <w:bCs/>
          <w:noProof/>
          <w:color w:val="1F497D" w:themeColor="text2"/>
          <w:sz w:val="32"/>
          <w:szCs w:val="32"/>
        </w:rPr>
      </w:pPr>
      <w:bookmarkStart w:id="4" w:name="_Toc469484774"/>
      <w:r>
        <w:rPr>
          <w:rFonts w:eastAsiaTheme="majorEastAsia" w:cstheme="majorBidi"/>
          <w:b/>
          <w:bCs/>
          <w:noProof/>
          <w:color w:val="1F497D" w:themeColor="text2"/>
          <w:sz w:val="32"/>
          <w:szCs w:val="32"/>
        </w:rPr>
        <w:lastRenderedPageBreak/>
        <w:t>Executive Summary</w:t>
      </w:r>
      <w:bookmarkEnd w:id="4"/>
    </w:p>
    <w:p w:rsidR="00A22C37" w:rsidRDefault="00A22C37">
      <w:pPr>
        <w:widowControl w:val="0"/>
        <w:spacing w:after="120" w:line="240" w:lineRule="auto"/>
        <w:jc w:val="both"/>
        <w:rPr>
          <w:noProof/>
          <w:sz w:val="20"/>
        </w:rPr>
      </w:pPr>
    </w:p>
    <w:p w:rsidR="00A22C37" w:rsidRDefault="00A22C37">
      <w:pPr>
        <w:widowControl w:val="0"/>
        <w:spacing w:after="120" w:line="240" w:lineRule="auto"/>
        <w:jc w:val="both"/>
        <w:rPr>
          <w:noProof/>
          <w:sz w:val="20"/>
        </w:rPr>
        <w:sectPr w:rsidR="00A22C37">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080" w:bottom="1440" w:left="1080" w:header="708" w:footer="708" w:gutter="0"/>
          <w:pgNumType w:start="3"/>
          <w:cols w:space="566"/>
          <w:docGrid w:linePitch="360"/>
        </w:sectPr>
      </w:pPr>
    </w:p>
    <w:p w:rsidR="00A22C37" w:rsidRDefault="000B1CC4">
      <w:pPr>
        <w:widowControl w:val="0"/>
        <w:spacing w:after="120" w:line="240" w:lineRule="auto"/>
        <w:jc w:val="both"/>
        <w:rPr>
          <w:b/>
          <w:i/>
          <w:noProof/>
          <w:color w:val="1F497D" w:themeColor="text2"/>
          <w:szCs w:val="24"/>
        </w:rPr>
      </w:pPr>
      <w:r>
        <w:rPr>
          <w:b/>
          <w:noProof/>
          <w:color w:val="1F497D" w:themeColor="text2"/>
          <w:szCs w:val="24"/>
        </w:rPr>
        <w:t>About the Environmental Implementation Review</w:t>
      </w:r>
    </w:p>
    <w:p w:rsidR="00A22C37" w:rsidRDefault="000B1CC4">
      <w:pPr>
        <w:widowControl w:val="0"/>
        <w:spacing w:after="120" w:line="240" w:lineRule="auto"/>
        <w:jc w:val="both"/>
        <w:rPr>
          <w:noProof/>
          <w:sz w:val="20"/>
        </w:rPr>
      </w:pPr>
      <w:bookmarkStart w:id="5" w:name="_Toc454816254"/>
      <w:bookmarkStart w:id="6" w:name="_Toc454816290"/>
      <w:r>
        <w:rPr>
          <w:noProof/>
          <w:sz w:val="20"/>
        </w:rPr>
        <w:t>In May 2016, the Commission launched the Environmental Implementation Review (EIR), a two-year cycle</w:t>
      </w:r>
      <w:r>
        <w:rPr>
          <w:noProof/>
          <w:sz w:val="20"/>
        </w:rPr>
        <w:t xml:space="preserve"> of analysis, dialogue and collaboration to improve the implementation of existing EU environmental policy and legislation</w:t>
      </w:r>
      <w:r>
        <w:rPr>
          <w:noProof/>
          <w:sz w:val="20"/>
        </w:rPr>
        <w:footnoteReference w:id="1"/>
      </w:r>
      <w:r>
        <w:rPr>
          <w:noProof/>
          <w:sz w:val="20"/>
        </w:rPr>
        <w:t>. As a first step, the Commission drafted 28 reports describing the main challenges and opportunities on environmental implementation</w:t>
      </w:r>
      <w:r>
        <w:rPr>
          <w:noProof/>
          <w:sz w:val="20"/>
        </w:rPr>
        <w:t xml:space="preserve"> for each Member State. These reports are meant to stimulate a positive debate both on shared environmental challenges for the EU, as well as on the most effective ways to address the key implementation gaps. The reports rely on the detailed sectoral imple</w:t>
      </w:r>
      <w:r>
        <w:rPr>
          <w:noProof/>
          <w:sz w:val="20"/>
        </w:rPr>
        <w:t>mentation reports collected or issued by the Commission under specific environmental legislation as well as the 2015 State of the Environment Report and other reports by the European Environment Agency. These reports will not replace the specific instrumen</w:t>
      </w:r>
      <w:r>
        <w:rPr>
          <w:noProof/>
          <w:sz w:val="20"/>
        </w:rPr>
        <w:t xml:space="preserve">ts to ensure compliance with the EU legal obligations. </w:t>
      </w:r>
    </w:p>
    <w:p w:rsidR="00A22C37" w:rsidRDefault="000B1CC4">
      <w:pPr>
        <w:widowControl w:val="0"/>
        <w:spacing w:after="120" w:line="240" w:lineRule="auto"/>
        <w:jc w:val="both"/>
        <w:rPr>
          <w:noProof/>
          <w:sz w:val="20"/>
        </w:rPr>
      </w:pPr>
      <w:r>
        <w:rPr>
          <w:noProof/>
          <w:sz w:val="20"/>
        </w:rPr>
        <w:t>The reports will broadly follow the outline of the 7th Environmental Action Programme</w:t>
      </w:r>
      <w:r>
        <w:rPr>
          <w:noProof/>
          <w:sz w:val="20"/>
          <w:vertAlign w:val="superscript"/>
        </w:rPr>
        <w:footnoteReference w:id="2"/>
      </w:r>
      <w:r>
        <w:rPr>
          <w:noProof/>
          <w:sz w:val="20"/>
        </w:rPr>
        <w:t xml:space="preserve"> and refer to the 2030 Agenda for Sustainable development and related Sustainable Development Goals (SDGs)</w:t>
      </w:r>
      <w:r>
        <w:rPr>
          <w:noProof/>
          <w:sz w:val="20"/>
          <w:vertAlign w:val="superscript"/>
        </w:rPr>
        <w:footnoteReference w:id="3"/>
      </w:r>
      <w:r>
        <w:rPr>
          <w:noProof/>
          <w:sz w:val="20"/>
        </w:rPr>
        <w:t xml:space="preserve"> to the</w:t>
      </w:r>
      <w:r>
        <w:rPr>
          <w:noProof/>
          <w:sz w:val="20"/>
        </w:rPr>
        <w:t xml:space="preserve"> extent to which they reflect the existing obligations and policy objectives of EU environmental law</w:t>
      </w:r>
      <w:r>
        <w:rPr>
          <w:noProof/>
          <w:sz w:val="20"/>
        </w:rPr>
        <w:footnoteReference w:id="4"/>
      </w:r>
      <w:r>
        <w:rPr>
          <w:noProof/>
          <w:sz w:val="20"/>
        </w:rPr>
        <w:t xml:space="preserve">. </w:t>
      </w:r>
    </w:p>
    <w:p w:rsidR="00A22C37" w:rsidRDefault="000B1CC4">
      <w:pPr>
        <w:widowControl w:val="0"/>
        <w:spacing w:after="120" w:line="240" w:lineRule="auto"/>
        <w:jc w:val="both"/>
        <w:rPr>
          <w:noProof/>
          <w:sz w:val="20"/>
        </w:rPr>
      </w:pPr>
      <w:r>
        <w:rPr>
          <w:noProof/>
          <w:sz w:val="20"/>
        </w:rPr>
        <w:t>The main challenges have been selected by taking into account factors such as the importance or the gravity of the environmental implementation issue in</w:t>
      </w:r>
      <w:r>
        <w:rPr>
          <w:noProof/>
          <w:sz w:val="20"/>
        </w:rPr>
        <w:t xml:space="preserve"> the light of the impact on the quality of life of the citizens, the distance to target, and financial implications.</w:t>
      </w:r>
    </w:p>
    <w:p w:rsidR="00A22C37" w:rsidRDefault="000B1CC4">
      <w:pPr>
        <w:widowControl w:val="0"/>
        <w:spacing w:after="120" w:line="240" w:lineRule="auto"/>
        <w:jc w:val="both"/>
        <w:rPr>
          <w:noProof/>
          <w:sz w:val="20"/>
        </w:rPr>
      </w:pPr>
      <w:r>
        <w:rPr>
          <w:noProof/>
          <w:sz w:val="20"/>
        </w:rPr>
        <w:t>The reports accompany the Communication "</w:t>
      </w:r>
      <w:r>
        <w:rPr>
          <w:i/>
          <w:noProof/>
          <w:sz w:val="20"/>
        </w:rPr>
        <w:t>The EU Environmental Implementation Review 2016: Common challenges and how to combine efforts to d</w:t>
      </w:r>
      <w:r>
        <w:rPr>
          <w:i/>
          <w:noProof/>
          <w:sz w:val="20"/>
        </w:rPr>
        <w:t>eliver better results</w:t>
      </w:r>
      <w:r>
        <w:rPr>
          <w:noProof/>
          <w:sz w:val="20"/>
        </w:rPr>
        <w:t xml:space="preserve">", which identifies challenges that are common to several Member States, provides preliminary conclusions on possible root causes of implementation gaps and proposes joint actions to deliver better results. It also groups in its Annex </w:t>
      </w:r>
      <w:r>
        <w:rPr>
          <w:noProof/>
          <w:sz w:val="20"/>
        </w:rPr>
        <w:t>the actions proposed in each country report to improve implementation at national level.</w:t>
      </w:r>
    </w:p>
    <w:p w:rsidR="00A22C37" w:rsidRDefault="000B1CC4">
      <w:pPr>
        <w:widowControl w:val="0"/>
        <w:spacing w:after="120" w:line="240" w:lineRule="auto"/>
        <w:jc w:val="both"/>
        <w:rPr>
          <w:b/>
          <w:noProof/>
          <w:color w:val="1F497D" w:themeColor="text2"/>
          <w:szCs w:val="24"/>
        </w:rPr>
      </w:pPr>
      <w:r>
        <w:rPr>
          <w:b/>
          <w:noProof/>
          <w:color w:val="1F497D" w:themeColor="text2"/>
          <w:szCs w:val="24"/>
        </w:rPr>
        <w:t>General profile</w:t>
      </w:r>
      <w:bookmarkEnd w:id="5"/>
      <w:bookmarkEnd w:id="6"/>
    </w:p>
    <w:p w:rsidR="00A22C37" w:rsidRDefault="000B1CC4">
      <w:pPr>
        <w:widowControl w:val="0"/>
        <w:spacing w:after="120" w:line="240" w:lineRule="auto"/>
        <w:jc w:val="both"/>
        <w:rPr>
          <w:rFonts w:cs="Times New Roman"/>
          <w:noProof/>
          <w:sz w:val="20"/>
        </w:rPr>
      </w:pPr>
      <w:r>
        <w:rPr>
          <w:rFonts w:cs="Times New Roman"/>
          <w:noProof/>
          <w:sz w:val="20"/>
        </w:rPr>
        <w:t>Romania has significantly improved its environmental performance since its accession in 2007. While Romanian legislation accurately reflects the enviro</w:t>
      </w:r>
      <w:r>
        <w:rPr>
          <w:rFonts w:cs="Times New Roman"/>
          <w:noProof/>
          <w:sz w:val="20"/>
        </w:rPr>
        <w:t xml:space="preserve">nmental requirements agreed at EU level, their implementation on the ground is in general a challenge, prompted </w:t>
      </w:r>
      <w:r>
        <w:rPr>
          <w:rFonts w:cs="Times New Roman"/>
          <w:i/>
          <w:noProof/>
          <w:sz w:val="20"/>
        </w:rPr>
        <w:t>inter alia</w:t>
      </w:r>
      <w:r>
        <w:rPr>
          <w:rFonts w:cs="Times New Roman"/>
          <w:noProof/>
          <w:sz w:val="20"/>
        </w:rPr>
        <w:t xml:space="preserve"> by a lack of planning, coordination and appropriate funding. The implementation gap is problematic in several areas, in particular wa</w:t>
      </w:r>
      <w:r>
        <w:rPr>
          <w:rFonts w:cs="Times New Roman"/>
          <w:noProof/>
          <w:sz w:val="20"/>
        </w:rPr>
        <w:t>ste management and waste-water treatment. Romania is encouraged to make better use of the EU funds to address these challenges and enhance the coordination of its administrative mechanisms.</w:t>
      </w:r>
    </w:p>
    <w:p w:rsidR="00A22C37" w:rsidRDefault="000B1CC4">
      <w:pPr>
        <w:widowControl w:val="0"/>
        <w:spacing w:after="120" w:line="240" w:lineRule="auto"/>
        <w:jc w:val="both"/>
        <w:rPr>
          <w:b/>
          <w:noProof/>
          <w:color w:val="1F497D" w:themeColor="text2"/>
          <w:szCs w:val="24"/>
        </w:rPr>
      </w:pPr>
      <w:bookmarkStart w:id="7" w:name="_Toc454816255"/>
      <w:bookmarkStart w:id="8" w:name="_Toc454816291"/>
      <w:r>
        <w:rPr>
          <w:b/>
          <w:noProof/>
          <w:color w:val="1F497D" w:themeColor="text2"/>
          <w:szCs w:val="24"/>
        </w:rPr>
        <w:t>Main Challenges</w:t>
      </w:r>
      <w:bookmarkEnd w:id="7"/>
      <w:bookmarkEnd w:id="8"/>
    </w:p>
    <w:p w:rsidR="00A22C37" w:rsidRDefault="000B1CC4">
      <w:pPr>
        <w:widowControl w:val="0"/>
        <w:spacing w:after="120" w:line="240" w:lineRule="auto"/>
        <w:jc w:val="both"/>
        <w:rPr>
          <w:rFonts w:cs="Times New Roman"/>
          <w:noProof/>
          <w:sz w:val="20"/>
          <w:szCs w:val="20"/>
        </w:rPr>
      </w:pPr>
      <w:r>
        <w:rPr>
          <w:rFonts w:cs="Times New Roman"/>
          <w:noProof/>
          <w:sz w:val="20"/>
          <w:szCs w:val="20"/>
        </w:rPr>
        <w:t>The main challenges Romania faces with regard to i</w:t>
      </w:r>
      <w:r>
        <w:rPr>
          <w:rFonts w:cs="Times New Roman"/>
          <w:noProof/>
          <w:sz w:val="20"/>
          <w:szCs w:val="20"/>
        </w:rPr>
        <w:t>mplementing EU environmental policy and law are:</w:t>
      </w:r>
    </w:p>
    <w:p w:rsidR="00A22C37" w:rsidRDefault="000B1CC4">
      <w:pPr>
        <w:widowControl w:val="0"/>
        <w:numPr>
          <w:ilvl w:val="0"/>
          <w:numId w:val="34"/>
        </w:numPr>
        <w:spacing w:after="120" w:line="240" w:lineRule="auto"/>
        <w:contextualSpacing/>
        <w:jc w:val="both"/>
        <w:rPr>
          <w:rFonts w:cs="Times New Roman"/>
          <w:noProof/>
          <w:sz w:val="20"/>
          <w:szCs w:val="20"/>
        </w:rPr>
      </w:pPr>
      <w:r>
        <w:rPr>
          <w:rFonts w:cs="Times New Roman"/>
          <w:noProof/>
          <w:sz w:val="20"/>
        </w:rPr>
        <w:t xml:space="preserve">Improving </w:t>
      </w:r>
      <w:r>
        <w:rPr>
          <w:rFonts w:cs="Times New Roman"/>
          <w:b/>
          <w:noProof/>
          <w:sz w:val="20"/>
        </w:rPr>
        <w:t xml:space="preserve">compliance with EU waste </w:t>
      </w:r>
      <w:r>
        <w:rPr>
          <w:rFonts w:cs="Times New Roman"/>
          <w:noProof/>
          <w:sz w:val="20"/>
        </w:rPr>
        <w:t xml:space="preserve">and </w:t>
      </w:r>
      <w:r>
        <w:rPr>
          <w:rFonts w:cs="Times New Roman"/>
          <w:b/>
          <w:noProof/>
          <w:sz w:val="20"/>
        </w:rPr>
        <w:t>urban waste-water legislations</w:t>
      </w:r>
      <w:r>
        <w:rPr>
          <w:rFonts w:cs="Times New Roman"/>
          <w:noProof/>
          <w:sz w:val="20"/>
        </w:rPr>
        <w:t xml:space="preserve"> in order to meet the EU targets, as the final deadlines set out in the Accession Treaty are drawing near.</w:t>
      </w:r>
    </w:p>
    <w:p w:rsidR="00A22C37" w:rsidRDefault="000B1CC4">
      <w:pPr>
        <w:widowControl w:val="0"/>
        <w:numPr>
          <w:ilvl w:val="0"/>
          <w:numId w:val="34"/>
        </w:numPr>
        <w:spacing w:after="120" w:line="240" w:lineRule="auto"/>
        <w:contextualSpacing/>
        <w:jc w:val="both"/>
        <w:rPr>
          <w:rFonts w:cs="Times New Roman"/>
          <w:i/>
          <w:noProof/>
          <w:sz w:val="20"/>
          <w:szCs w:val="20"/>
        </w:rPr>
      </w:pPr>
      <w:r>
        <w:rPr>
          <w:rFonts w:cs="Times New Roman"/>
          <w:noProof/>
          <w:sz w:val="20"/>
          <w:szCs w:val="20"/>
        </w:rPr>
        <w:t xml:space="preserve">Improving </w:t>
      </w:r>
      <w:r>
        <w:rPr>
          <w:rFonts w:cs="Times New Roman"/>
          <w:b/>
          <w:noProof/>
          <w:sz w:val="20"/>
          <w:szCs w:val="20"/>
        </w:rPr>
        <w:t>coordination</w:t>
      </w:r>
      <w:r>
        <w:rPr>
          <w:rFonts w:cs="Times New Roman"/>
          <w:noProof/>
          <w:sz w:val="20"/>
          <w:szCs w:val="20"/>
        </w:rPr>
        <w:t xml:space="preserve"> and enhancing the </w:t>
      </w:r>
      <w:r>
        <w:rPr>
          <w:rFonts w:cs="Times New Roman"/>
          <w:b/>
          <w:noProof/>
          <w:sz w:val="20"/>
          <w:szCs w:val="20"/>
        </w:rPr>
        <w:t>administrative capacity</w:t>
      </w:r>
      <w:r>
        <w:rPr>
          <w:rFonts w:cs="Times New Roman"/>
          <w:noProof/>
          <w:sz w:val="20"/>
          <w:szCs w:val="20"/>
        </w:rPr>
        <w:t xml:space="preserve"> of the authorities and agencies involved in the implementation of EU legislation, in particular with regard to </w:t>
      </w:r>
      <w:r>
        <w:rPr>
          <w:rFonts w:cs="Times New Roman"/>
          <w:b/>
          <w:noProof/>
          <w:sz w:val="20"/>
          <w:szCs w:val="20"/>
        </w:rPr>
        <w:t xml:space="preserve">water </w:t>
      </w:r>
      <w:r>
        <w:rPr>
          <w:rFonts w:cs="Times New Roman"/>
          <w:noProof/>
          <w:sz w:val="20"/>
          <w:szCs w:val="20"/>
        </w:rPr>
        <w:t xml:space="preserve">and </w:t>
      </w:r>
      <w:r>
        <w:rPr>
          <w:rFonts w:cs="Times New Roman"/>
          <w:b/>
          <w:noProof/>
          <w:sz w:val="20"/>
          <w:szCs w:val="20"/>
        </w:rPr>
        <w:t>waste</w:t>
      </w:r>
      <w:r>
        <w:rPr>
          <w:rFonts w:cs="Times New Roman"/>
          <w:noProof/>
          <w:sz w:val="20"/>
          <w:szCs w:val="20"/>
        </w:rPr>
        <w:t xml:space="preserve"> management and the protection and management of the Natura 2000 sites, as part of the </w:t>
      </w:r>
      <w:r>
        <w:rPr>
          <w:rFonts w:cs="Times New Roman"/>
          <w:noProof/>
          <w:sz w:val="20"/>
          <w:szCs w:val="20"/>
        </w:rPr>
        <w:t>broader strategy to strengthen public administration.</w:t>
      </w:r>
    </w:p>
    <w:p w:rsidR="00A22C37" w:rsidRDefault="000B1CC4">
      <w:pPr>
        <w:widowControl w:val="0"/>
        <w:spacing w:before="240" w:after="120" w:line="240" w:lineRule="auto"/>
        <w:jc w:val="both"/>
        <w:rPr>
          <w:b/>
          <w:noProof/>
          <w:color w:val="1F497D" w:themeColor="text2"/>
          <w:szCs w:val="24"/>
        </w:rPr>
      </w:pPr>
      <w:bookmarkStart w:id="9" w:name="_Toc454816256"/>
      <w:bookmarkStart w:id="10" w:name="_Toc454816292"/>
      <w:r>
        <w:rPr>
          <w:b/>
          <w:noProof/>
          <w:color w:val="1F497D" w:themeColor="text2"/>
          <w:szCs w:val="24"/>
        </w:rPr>
        <w:t>Main Opportunities</w:t>
      </w:r>
      <w:bookmarkEnd w:id="9"/>
      <w:bookmarkEnd w:id="10"/>
    </w:p>
    <w:p w:rsidR="00A22C37" w:rsidRDefault="000B1CC4">
      <w:pPr>
        <w:widowControl w:val="0"/>
        <w:spacing w:after="120" w:line="240" w:lineRule="auto"/>
        <w:jc w:val="both"/>
        <w:rPr>
          <w:noProof/>
          <w:sz w:val="20"/>
        </w:rPr>
      </w:pPr>
      <w:r>
        <w:rPr>
          <w:noProof/>
          <w:sz w:val="20"/>
        </w:rPr>
        <w:t>Romania could perform better on topics where there is already a good knowledge base and good practices. This applies in particular to:</w:t>
      </w:r>
    </w:p>
    <w:p w:rsidR="00A22C37" w:rsidRDefault="000B1CC4">
      <w:pPr>
        <w:widowControl w:val="0"/>
        <w:numPr>
          <w:ilvl w:val="0"/>
          <w:numId w:val="35"/>
        </w:numPr>
        <w:spacing w:after="120" w:line="240" w:lineRule="auto"/>
        <w:contextualSpacing/>
        <w:jc w:val="both"/>
        <w:rPr>
          <w:rFonts w:cs="Times New Roman"/>
          <w:noProof/>
          <w:sz w:val="20"/>
          <w:szCs w:val="20"/>
          <w:lang w:eastAsia="ja-JP"/>
        </w:rPr>
      </w:pPr>
      <w:r>
        <w:rPr>
          <w:rFonts w:cs="Times New Roman"/>
          <w:noProof/>
          <w:sz w:val="20"/>
        </w:rPr>
        <w:t>Pulling together the best solutions into compreh</w:t>
      </w:r>
      <w:r>
        <w:rPr>
          <w:rFonts w:cs="Times New Roman"/>
          <w:noProof/>
          <w:sz w:val="20"/>
        </w:rPr>
        <w:t xml:space="preserve">ensive, realistic </w:t>
      </w:r>
      <w:r>
        <w:rPr>
          <w:rFonts w:cs="Times New Roman"/>
          <w:b/>
          <w:noProof/>
          <w:sz w:val="20"/>
        </w:rPr>
        <w:t xml:space="preserve">waste management </w:t>
      </w:r>
      <w:r>
        <w:rPr>
          <w:rFonts w:cs="Times New Roman"/>
          <w:noProof/>
          <w:sz w:val="20"/>
        </w:rPr>
        <w:t xml:space="preserve">and </w:t>
      </w:r>
      <w:r>
        <w:rPr>
          <w:rFonts w:cs="Times New Roman"/>
          <w:b/>
          <w:noProof/>
          <w:sz w:val="20"/>
        </w:rPr>
        <w:t>prevention plans</w:t>
      </w:r>
      <w:r>
        <w:rPr>
          <w:rFonts w:cs="Times New Roman"/>
          <w:noProof/>
          <w:sz w:val="20"/>
        </w:rPr>
        <w:t xml:space="preserve"> based on an inclusive public participation process</w:t>
      </w:r>
      <w:r>
        <w:rPr>
          <w:rFonts w:cs="Times New Roman"/>
          <w:noProof/>
          <w:sz w:val="20"/>
          <w:szCs w:val="20"/>
          <w:lang w:eastAsia="ja-JP"/>
        </w:rPr>
        <w:t>;</w:t>
      </w:r>
    </w:p>
    <w:p w:rsidR="00A22C37" w:rsidRDefault="000B1CC4">
      <w:pPr>
        <w:widowControl w:val="0"/>
        <w:numPr>
          <w:ilvl w:val="0"/>
          <w:numId w:val="35"/>
        </w:numPr>
        <w:spacing w:after="120" w:line="240" w:lineRule="auto"/>
        <w:contextualSpacing/>
        <w:jc w:val="both"/>
        <w:rPr>
          <w:rFonts w:cs="Times New Roman"/>
          <w:noProof/>
          <w:sz w:val="20"/>
          <w:szCs w:val="20"/>
          <w:lang w:eastAsia="ja-JP"/>
        </w:rPr>
      </w:pPr>
      <w:r>
        <w:rPr>
          <w:rFonts w:cs="Times New Roman"/>
          <w:noProof/>
          <w:sz w:val="20"/>
          <w:szCs w:val="20"/>
          <w:lang w:eastAsia="ja-JP"/>
        </w:rPr>
        <w:t xml:space="preserve">Eliminating the obstacles to adequate and targeted </w:t>
      </w:r>
      <w:r>
        <w:rPr>
          <w:rFonts w:cs="Times New Roman"/>
          <w:b/>
          <w:noProof/>
          <w:sz w:val="20"/>
          <w:szCs w:val="20"/>
          <w:lang w:eastAsia="ja-JP"/>
        </w:rPr>
        <w:t>use of EU funds</w:t>
      </w:r>
      <w:r>
        <w:rPr>
          <w:rFonts w:cs="Times New Roman"/>
          <w:noProof/>
          <w:sz w:val="20"/>
          <w:szCs w:val="20"/>
          <w:lang w:eastAsia="ja-JP"/>
        </w:rPr>
        <w:t xml:space="preserve"> to support the implementation of the EU requirements;  </w:t>
      </w:r>
    </w:p>
    <w:p w:rsidR="00A22C37" w:rsidRDefault="000B1CC4">
      <w:pPr>
        <w:widowControl w:val="0"/>
        <w:numPr>
          <w:ilvl w:val="0"/>
          <w:numId w:val="35"/>
        </w:numPr>
        <w:spacing w:after="120" w:line="240" w:lineRule="auto"/>
        <w:contextualSpacing/>
        <w:jc w:val="both"/>
        <w:rPr>
          <w:noProof/>
          <w:sz w:val="20"/>
        </w:rPr>
      </w:pPr>
      <w:r>
        <w:rPr>
          <w:noProof/>
          <w:sz w:val="20"/>
        </w:rPr>
        <w:t xml:space="preserve">Using the </w:t>
      </w:r>
      <w:r>
        <w:rPr>
          <w:b/>
          <w:noProof/>
          <w:sz w:val="20"/>
        </w:rPr>
        <w:t>next river basi</w:t>
      </w:r>
      <w:r>
        <w:rPr>
          <w:b/>
          <w:noProof/>
          <w:sz w:val="20"/>
        </w:rPr>
        <w:t>n management cycle</w:t>
      </w:r>
      <w:r>
        <w:rPr>
          <w:noProof/>
          <w:sz w:val="20"/>
        </w:rPr>
        <w:t xml:space="preserve"> to improve the monitoring networks and assessment methods of the water status.</w:t>
      </w:r>
    </w:p>
    <w:p w:rsidR="00A22C37" w:rsidRDefault="00A22C37">
      <w:pPr>
        <w:widowControl w:val="0"/>
        <w:spacing w:after="120" w:line="240" w:lineRule="auto"/>
        <w:jc w:val="both"/>
        <w:rPr>
          <w:b/>
          <w:noProof/>
          <w:color w:val="1F497D" w:themeColor="text2"/>
          <w:szCs w:val="24"/>
        </w:rPr>
      </w:pPr>
      <w:bookmarkStart w:id="11" w:name="_Toc454816257"/>
      <w:bookmarkStart w:id="12" w:name="_Toc454816293"/>
    </w:p>
    <w:p w:rsidR="00A22C37" w:rsidRDefault="000B1CC4">
      <w:pPr>
        <w:widowControl w:val="0"/>
        <w:spacing w:after="120" w:line="240" w:lineRule="auto"/>
        <w:jc w:val="both"/>
        <w:rPr>
          <w:b/>
          <w:noProof/>
          <w:color w:val="1F497D" w:themeColor="text2"/>
          <w:szCs w:val="24"/>
        </w:rPr>
      </w:pPr>
      <w:r>
        <w:rPr>
          <w:b/>
          <w:noProof/>
          <w:color w:val="1F497D" w:themeColor="text2"/>
          <w:szCs w:val="24"/>
        </w:rPr>
        <w:t>Points of Excellence</w:t>
      </w:r>
      <w:bookmarkEnd w:id="11"/>
      <w:bookmarkEnd w:id="12"/>
    </w:p>
    <w:p w:rsidR="00A22C37" w:rsidRDefault="000B1CC4">
      <w:pPr>
        <w:widowControl w:val="0"/>
        <w:spacing w:after="120" w:line="240" w:lineRule="auto"/>
        <w:jc w:val="both"/>
        <w:rPr>
          <w:noProof/>
          <w:sz w:val="20"/>
        </w:rPr>
      </w:pPr>
      <w:r>
        <w:rPr>
          <w:noProof/>
          <w:sz w:val="20"/>
        </w:rPr>
        <w:t>Romania could share the innovative approaches it has developed with other countries. One good example is:</w:t>
      </w:r>
    </w:p>
    <w:p w:rsidR="00A22C37" w:rsidRDefault="000B1CC4">
      <w:pPr>
        <w:widowControl w:val="0"/>
        <w:numPr>
          <w:ilvl w:val="0"/>
          <w:numId w:val="36"/>
        </w:numPr>
        <w:spacing w:after="120" w:line="240" w:lineRule="auto"/>
        <w:contextualSpacing/>
        <w:jc w:val="both"/>
        <w:rPr>
          <w:rFonts w:cs="Times New Roman"/>
          <w:noProof/>
          <w:sz w:val="20"/>
          <w:szCs w:val="20"/>
          <w:lang w:eastAsia="ja-JP"/>
        </w:rPr>
      </w:pPr>
      <w:r>
        <w:rPr>
          <w:rFonts w:cs="Times New Roman"/>
          <w:noProof/>
          <w:sz w:val="20"/>
          <w:szCs w:val="20"/>
          <w:lang w:eastAsia="ja-JP"/>
        </w:rPr>
        <w:t xml:space="preserve">The </w:t>
      </w:r>
      <w:r>
        <w:rPr>
          <w:rFonts w:cs="Times New Roman"/>
          <w:b/>
          <w:noProof/>
          <w:sz w:val="20"/>
          <w:szCs w:val="20"/>
          <w:lang w:eastAsia="ja-JP"/>
        </w:rPr>
        <w:t>Green Laboratory of Recycl</w:t>
      </w:r>
      <w:r>
        <w:rPr>
          <w:rFonts w:cs="Times New Roman"/>
          <w:b/>
          <w:noProof/>
          <w:sz w:val="20"/>
          <w:szCs w:val="20"/>
          <w:lang w:eastAsia="ja-JP"/>
        </w:rPr>
        <w:t>ing</w:t>
      </w:r>
      <w:r>
        <w:rPr>
          <w:rFonts w:cs="Times New Roman"/>
          <w:noProof/>
          <w:sz w:val="20"/>
          <w:szCs w:val="20"/>
          <w:lang w:eastAsia="ja-JP"/>
        </w:rPr>
        <w:t xml:space="preserve"> 2012 initiative has been awarded the Golden Medal of Excellency in the SMEs category as part of the European Corporate Social Responsibility (CSR) Awards.</w:t>
      </w:r>
    </w:p>
    <w:p w:rsidR="00A22C37" w:rsidRDefault="00A22C37">
      <w:pPr>
        <w:widowControl w:val="0"/>
        <w:spacing w:after="120" w:line="240" w:lineRule="auto"/>
        <w:jc w:val="both"/>
        <w:rPr>
          <w:rFonts w:cs="Times New Roman"/>
          <w:noProof/>
          <w:sz w:val="20"/>
          <w:szCs w:val="20"/>
          <w:lang w:eastAsia="ja-JP"/>
        </w:rPr>
        <w:sectPr w:rsidR="00A22C37">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080" w:bottom="1440" w:left="1080" w:header="708" w:footer="708" w:gutter="0"/>
          <w:pgNumType w:fmt="lowerRoman"/>
          <w:cols w:num="2" w:space="360"/>
          <w:docGrid w:linePitch="360"/>
        </w:sectPr>
      </w:pPr>
    </w:p>
    <w:p w:rsidR="00A22C37" w:rsidRDefault="000B1CC4">
      <w:pPr>
        <w:widowControl w:val="0"/>
        <w:spacing w:after="0" w:line="240" w:lineRule="auto"/>
        <w:jc w:val="center"/>
        <w:outlineLvl w:val="0"/>
        <w:rPr>
          <w:rFonts w:eastAsiaTheme="majorEastAsia" w:cstheme="majorBidi"/>
          <w:b/>
          <w:bCs/>
          <w:iCs/>
          <w:noProof/>
          <w:color w:val="1F497D" w:themeColor="text2"/>
          <w:sz w:val="32"/>
          <w:szCs w:val="32"/>
        </w:rPr>
      </w:pPr>
      <w:bookmarkStart w:id="13" w:name="_Toc469484775"/>
      <w:r>
        <w:rPr>
          <w:rFonts w:eastAsiaTheme="majorEastAsia" w:cstheme="majorBidi"/>
          <w:b/>
          <w:bCs/>
          <w:iCs/>
          <w:noProof/>
          <w:color w:val="1F497D" w:themeColor="text2"/>
          <w:sz w:val="32"/>
          <w:szCs w:val="32"/>
        </w:rPr>
        <w:t>Part I: Thematic Area</w:t>
      </w:r>
      <w:bookmarkEnd w:id="3"/>
      <w:r>
        <w:rPr>
          <w:rFonts w:eastAsiaTheme="majorEastAsia" w:cstheme="majorBidi"/>
          <w:b/>
          <w:bCs/>
          <w:iCs/>
          <w:noProof/>
          <w:color w:val="1F497D" w:themeColor="text2"/>
          <w:sz w:val="32"/>
          <w:szCs w:val="32"/>
        </w:rPr>
        <w:t>s</w:t>
      </w:r>
      <w:bookmarkEnd w:id="13"/>
    </w:p>
    <w:p w:rsidR="00A22C37" w:rsidRDefault="00A22C37">
      <w:pPr>
        <w:widowControl w:val="0"/>
        <w:spacing w:after="120" w:line="240" w:lineRule="auto"/>
        <w:jc w:val="both"/>
        <w:rPr>
          <w:noProof/>
          <w:color w:val="1F497D" w:themeColor="text2"/>
          <w:sz w:val="20"/>
        </w:rPr>
      </w:pPr>
    </w:p>
    <w:p w:rsidR="00A22C37" w:rsidRDefault="000B1CC4">
      <w:pPr>
        <w:pStyle w:val="ListParagraph"/>
        <w:widowControl w:val="0"/>
        <w:numPr>
          <w:ilvl w:val="0"/>
          <w:numId w:val="32"/>
        </w:numPr>
        <w:spacing w:after="0"/>
        <w:jc w:val="center"/>
        <w:outlineLvl w:val="0"/>
        <w:rPr>
          <w:rFonts w:cstheme="majorBidi"/>
          <w:b/>
          <w:bCs/>
          <w:noProof/>
          <w:color w:val="1F497D" w:themeColor="text2"/>
          <w:sz w:val="32"/>
          <w:szCs w:val="32"/>
        </w:rPr>
      </w:pPr>
      <w:bookmarkStart w:id="14" w:name="_Toc469484776"/>
      <w:r>
        <w:rPr>
          <w:rFonts w:cstheme="majorBidi"/>
          <w:b/>
          <w:bCs/>
          <w:noProof/>
          <w:color w:val="1F497D" w:themeColor="text2"/>
          <w:sz w:val="32"/>
          <w:szCs w:val="32"/>
        </w:rPr>
        <w:t>Turning the EU into a circular, resource-efficient, green and competitive low-carbon economy</w:t>
      </w:r>
      <w:bookmarkEnd w:id="14"/>
    </w:p>
    <w:p w:rsidR="00A22C37" w:rsidRDefault="00A22C37">
      <w:pPr>
        <w:widowControl w:val="0"/>
        <w:spacing w:after="120" w:line="240" w:lineRule="auto"/>
        <w:jc w:val="both"/>
        <w:rPr>
          <w:noProof/>
          <w:sz w:val="20"/>
        </w:rPr>
      </w:pPr>
    </w:p>
    <w:p w:rsidR="00A22C37" w:rsidRDefault="00A22C37">
      <w:pPr>
        <w:widowControl w:val="0"/>
        <w:spacing w:after="120" w:line="240" w:lineRule="auto"/>
        <w:jc w:val="both"/>
        <w:rPr>
          <w:noProof/>
          <w:sz w:val="20"/>
        </w:rPr>
        <w:sectPr w:rsidR="00A22C37">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pgNumType w:start="5"/>
          <w:cols w:space="566"/>
          <w:docGrid w:linePitch="360"/>
        </w:sectPr>
      </w:pPr>
    </w:p>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15" w:name="_Toc469484777"/>
      <w:r>
        <w:rPr>
          <w:rFonts w:eastAsia="Times New Roman"/>
          <w:b/>
          <w:noProof/>
          <w:color w:val="1F497D" w:themeColor="text2"/>
          <w:sz w:val="24"/>
          <w:lang w:eastAsia="en-GB"/>
        </w:rPr>
        <w:t>Developing a circular economy and improving resource efficiency</w:t>
      </w:r>
      <w:bookmarkEnd w:id="15"/>
    </w:p>
    <w:p w:rsidR="00A22C37" w:rsidRDefault="000B1CC4">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2015 Circular Economy Package emphasizes the need to move towards a lifecycle-driven ‘circular’ economy, with a cascading use of resources and residual waste</w:t>
      </w:r>
      <w:r>
        <w:rPr>
          <w:rFonts w:cs="Times New Roman"/>
          <w:noProof/>
          <w:color w:val="FFFFFF" w:themeColor="background1"/>
          <w:sz w:val="20"/>
        </w:rPr>
        <w:t xml:space="preserve"> that is close to zero. This can be facilitated by the development of, and access to, innovative financial instruments and funding for eco-innovation.</w:t>
      </w:r>
    </w:p>
    <w:p w:rsidR="00A22C37" w:rsidRDefault="000B1CC4">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8 invites countries to promote sustained, inclusive and sustainable economic growth, full and product</w:t>
      </w:r>
      <w:r>
        <w:rPr>
          <w:rFonts w:cs="Times New Roman"/>
          <w:noProof/>
          <w:color w:val="FFFFFF" w:themeColor="background1"/>
          <w:sz w:val="20"/>
        </w:rPr>
        <w:t xml:space="preserve">ive employment and decent work for all. SDG 9 highlights the need to build resilient infrastructure, promote inclusive and sustainable industrialization and foster innovation. SDG 12 encourages countries to achieve the sustainable management and efficient </w:t>
      </w:r>
      <w:r>
        <w:rPr>
          <w:rFonts w:cs="Times New Roman"/>
          <w:noProof/>
          <w:color w:val="FFFFFF" w:themeColor="background1"/>
          <w:sz w:val="20"/>
        </w:rPr>
        <w:t>use of natural resources by 2030.</w:t>
      </w:r>
    </w:p>
    <w:p w:rsidR="00A22C37" w:rsidRDefault="000B1CC4">
      <w:pPr>
        <w:widowControl w:val="0"/>
        <w:spacing w:after="120" w:line="240" w:lineRule="auto"/>
        <w:jc w:val="both"/>
        <w:outlineLvl w:val="2"/>
        <w:rPr>
          <w:b/>
          <w:noProof/>
          <w:color w:val="1F497D" w:themeColor="text2"/>
        </w:rPr>
      </w:pPr>
      <w:r>
        <w:rPr>
          <w:b/>
          <w:noProof/>
          <w:color w:val="1F497D" w:themeColor="text2"/>
        </w:rPr>
        <w:t>Measures towards a circular economy</w:t>
      </w:r>
    </w:p>
    <w:p w:rsidR="00A22C37" w:rsidRDefault="000B1CC4">
      <w:pPr>
        <w:widowControl w:val="0"/>
        <w:spacing w:after="120" w:line="240" w:lineRule="auto"/>
        <w:jc w:val="both"/>
        <w:rPr>
          <w:noProof/>
          <w:sz w:val="20"/>
        </w:rPr>
      </w:pPr>
      <w:r>
        <w:rPr>
          <w:noProof/>
          <w:sz w:val="20"/>
        </w:rPr>
        <w:t>The transformation of our economies from linear to circular provides an opportunity to reinvent them and make them more sustainable and competitive. This will stimulate investments and b</w:t>
      </w:r>
      <w:r>
        <w:rPr>
          <w:noProof/>
          <w:sz w:val="20"/>
        </w:rPr>
        <w:t>ring both short and long-term benefits for the economy, the environment and citizens alike</w:t>
      </w:r>
      <w:r>
        <w:rPr>
          <w:noProof/>
          <w:sz w:val="20"/>
          <w:vertAlign w:val="superscript"/>
        </w:rPr>
        <w:footnoteReference w:id="5"/>
      </w:r>
      <w:r>
        <w:rPr>
          <w:noProof/>
          <w:sz w:val="20"/>
        </w:rPr>
        <w:t>.</w:t>
      </w:r>
    </w:p>
    <w:p w:rsidR="00A22C37" w:rsidRDefault="000B1CC4">
      <w:pPr>
        <w:widowControl w:val="0"/>
        <w:spacing w:after="120" w:line="240" w:lineRule="auto"/>
        <w:jc w:val="both"/>
        <w:rPr>
          <w:noProof/>
          <w:sz w:val="20"/>
        </w:rPr>
      </w:pPr>
      <w:r>
        <w:rPr>
          <w:b/>
          <w:noProof/>
          <w:sz w:val="20"/>
        </w:rPr>
        <w:t>In Romania, resource efficiency is low and the circular economy remains underdeveloped.</w:t>
      </w:r>
      <w:r>
        <w:rPr>
          <w:noProof/>
          <w:sz w:val="20"/>
        </w:rPr>
        <w:t xml:space="preserve"> In 2015, "resource productivity"</w:t>
      </w:r>
      <w:r>
        <w:rPr>
          <w:noProof/>
          <w:sz w:val="20"/>
          <w:vertAlign w:val="superscript"/>
        </w:rPr>
        <w:footnoteReference w:id="6"/>
      </w:r>
      <w:r>
        <w:rPr>
          <w:noProof/>
          <w:sz w:val="20"/>
        </w:rPr>
        <w:t xml:space="preserve"> (how efficiently the economy uses materia</w:t>
      </w:r>
      <w:r>
        <w:rPr>
          <w:noProof/>
          <w:sz w:val="20"/>
        </w:rPr>
        <w:t>l resources to produce wealth) was with Bulgaria and Estonia the lowest in the EU, at. 0.31 EUR/kg compared with the EU average of EUR 2.0 EUR/kg. This can be seen in Figure 1, which also shows that Romania's resource productivity has been relatively stabl</w:t>
      </w:r>
      <w:r>
        <w:rPr>
          <w:noProof/>
          <w:sz w:val="20"/>
        </w:rPr>
        <w:t xml:space="preserve">e since 2008. </w:t>
      </w:r>
    </w:p>
    <w:p w:rsidR="00A22C37" w:rsidRDefault="000B1CC4">
      <w:pPr>
        <w:widowControl w:val="0"/>
        <w:spacing w:after="120" w:line="240" w:lineRule="auto"/>
        <w:jc w:val="both"/>
        <w:rPr>
          <w:noProof/>
          <w:sz w:val="20"/>
        </w:rPr>
      </w:pPr>
      <w:r>
        <w:rPr>
          <w:noProof/>
          <w:sz w:val="20"/>
        </w:rPr>
        <w:t>This means that the economy is on average 40% less resource efficient than the EU level. This might be related to its low levels of competitiveness.</w:t>
      </w:r>
      <w:r>
        <w:rPr>
          <w:rFonts w:cs="Times New Roman"/>
          <w:noProof/>
          <w:sz w:val="20"/>
          <w:vertAlign w:val="superscript"/>
        </w:rPr>
        <w:footnoteReference w:id="7"/>
      </w:r>
      <w:r>
        <w:rPr>
          <w:noProof/>
          <w:sz w:val="20"/>
        </w:rPr>
        <w:t xml:space="preserve"> It is not resource scarcity, but rather the lack of efficient management of the available r</w:t>
      </w:r>
      <w:r>
        <w:rPr>
          <w:noProof/>
          <w:sz w:val="20"/>
        </w:rPr>
        <w:t>esources that poses problems to sustainable development in Romania.</w:t>
      </w:r>
      <w:r>
        <w:rPr>
          <w:rFonts w:cs="Times New Roman"/>
          <w:noProof/>
          <w:sz w:val="20"/>
          <w:vertAlign w:val="superscript"/>
        </w:rPr>
        <w:footnoteReference w:id="8"/>
      </w:r>
    </w:p>
    <w:p w:rsidR="00A22C37" w:rsidRDefault="000B1CC4">
      <w:pPr>
        <w:widowControl w:val="0"/>
        <w:spacing w:after="120" w:line="240" w:lineRule="auto"/>
        <w:jc w:val="both"/>
        <w:rPr>
          <w:noProof/>
          <w:sz w:val="20"/>
        </w:rPr>
      </w:pPr>
      <w:r>
        <w:rPr>
          <w:noProof/>
          <w:sz w:val="20"/>
        </w:rPr>
        <w:t>Romania is late to adopt the relevant planning instruments concerning waste management. Its landfilling rate is the highest in the EU (82 % in 2013)</w:t>
      </w:r>
      <w:r>
        <w:rPr>
          <w:noProof/>
          <w:sz w:val="20"/>
          <w:vertAlign w:val="superscript"/>
        </w:rPr>
        <w:footnoteReference w:id="9"/>
      </w:r>
      <w:r>
        <w:rPr>
          <w:noProof/>
          <w:sz w:val="20"/>
        </w:rPr>
        <w:t xml:space="preserve">. This indicates that resources are not kept within the economy when a product has reached the end of its life. A more circular economy, i.e. one focusing on recycling and re-use as well as on improving resource efficiency, would help boost investment. It </w:t>
      </w:r>
      <w:r>
        <w:rPr>
          <w:noProof/>
          <w:sz w:val="20"/>
        </w:rPr>
        <w:t xml:space="preserve">would also generate both short- and long-term benefits for the environment, employment and the economy as a whole.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22C37">
        <w:tc>
          <w:tcPr>
            <w:tcW w:w="4909" w:type="dxa"/>
            <w:hideMark/>
          </w:tcPr>
          <w:p w:rsidR="00A22C37" w:rsidRDefault="000B1CC4">
            <w:pPr>
              <w:widowControl w:val="0"/>
              <w:spacing w:after="120"/>
              <w:rPr>
                <w:noProof/>
                <w:color w:val="1F497D" w:themeColor="text2"/>
              </w:rPr>
            </w:pPr>
            <w:r>
              <w:rPr>
                <w:b/>
                <w:bCs/>
                <w:noProof/>
                <w:color w:val="1F497D" w:themeColor="text2"/>
                <w:sz w:val="20"/>
              </w:rPr>
              <w:t>Figure 1: Resource productivity 2003-15</w:t>
            </w:r>
            <w:r>
              <w:rPr>
                <w:b/>
                <w:bCs/>
                <w:noProof/>
                <w:color w:val="1F497D" w:themeColor="text2"/>
                <w:sz w:val="20"/>
                <w:vertAlign w:val="superscript"/>
              </w:rPr>
              <w:footnoteReference w:id="10"/>
            </w:r>
          </w:p>
        </w:tc>
      </w:tr>
      <w:tr w:rsidR="00A22C37">
        <w:tc>
          <w:tcPr>
            <w:tcW w:w="4909" w:type="dxa"/>
          </w:tcPr>
          <w:p w:rsidR="00A22C37" w:rsidRDefault="000B1CC4">
            <w:pPr>
              <w:widowControl w:val="0"/>
              <w:spacing w:after="120"/>
              <w:rPr>
                <w:rFonts w:ascii="Times New Roman" w:hAnsi="Times New Roman"/>
                <w:noProof/>
              </w:rPr>
            </w:pPr>
            <w:r>
              <w:rPr>
                <w:rFonts w:ascii="Times New Roman" w:hAnsi="Times New Roman"/>
                <w:noProof/>
                <w:lang w:eastAsia="en-GB"/>
              </w:rPr>
              <w:drawing>
                <wp:inline distT="0" distB="0" distL="0" distR="0">
                  <wp:extent cx="2963037" cy="1967023"/>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0546" cy="1972008"/>
                          </a:xfrm>
                          <a:prstGeom prst="rect">
                            <a:avLst/>
                          </a:prstGeom>
                          <a:noFill/>
                        </pic:spPr>
                      </pic:pic>
                    </a:graphicData>
                  </a:graphic>
                </wp:inline>
              </w:drawing>
            </w:r>
          </w:p>
        </w:tc>
      </w:tr>
    </w:tbl>
    <w:p w:rsidR="00A22C37" w:rsidRDefault="000B1CC4">
      <w:pPr>
        <w:widowControl w:val="0"/>
        <w:spacing w:after="120" w:line="240" w:lineRule="auto"/>
        <w:jc w:val="both"/>
        <w:rPr>
          <w:noProof/>
          <w:sz w:val="20"/>
        </w:rPr>
      </w:pPr>
      <w:r>
        <w:rPr>
          <w:noProof/>
          <w:sz w:val="20"/>
        </w:rPr>
        <w:t>A good practice example is The Green Laboratory of Recycling, a 2012 initiative launched by the</w:t>
      </w:r>
      <w:r>
        <w:rPr>
          <w:noProof/>
          <w:sz w:val="20"/>
        </w:rPr>
        <w:t xml:space="preserve"> selective waste collection and a recycling organisation, in partnership with the Ministry of Environment and the Ministry of Education. The project aims to inform, provide education and raise the awareness of the younger generation on environmental issues</w:t>
      </w:r>
      <w:r>
        <w:rPr>
          <w:noProof/>
          <w:sz w:val="20"/>
        </w:rPr>
        <w:t>. Key success factors were the partnership with the local municipalities and the involvement of school teachers in the continuous promotion of recycling. The initiative has been awarded the Golden Medal of Excellency in the SMEs category as part of the Eur</w:t>
      </w:r>
      <w:r>
        <w:rPr>
          <w:noProof/>
          <w:sz w:val="20"/>
        </w:rPr>
        <w:t>opean CSR Awards.</w:t>
      </w:r>
      <w:r>
        <w:rPr>
          <w:rFonts w:cs="Times New Roman"/>
          <w:noProof/>
          <w:sz w:val="20"/>
          <w:vertAlign w:val="superscript"/>
        </w:rPr>
        <w:footnoteReference w:id="11"/>
      </w:r>
    </w:p>
    <w:p w:rsidR="00A22C37" w:rsidRDefault="000B1CC4">
      <w:pPr>
        <w:widowControl w:val="0"/>
        <w:spacing w:after="120" w:line="240" w:lineRule="auto"/>
        <w:jc w:val="both"/>
        <w:rPr>
          <w:rFonts w:cs="Times New Roman"/>
          <w:noProof/>
          <w:sz w:val="20"/>
        </w:rPr>
      </w:pPr>
      <w:r>
        <w:rPr>
          <w:rFonts w:cs="Times New Roman"/>
          <w:noProof/>
          <w:sz w:val="20"/>
        </w:rPr>
        <w:t>Romania has not yet adopted a national policy for programme for a circular economy, although it does have some initiatives which suppor the transition to a circular economy, in particular focusing on waste:</w:t>
      </w:r>
    </w:p>
    <w:p w:rsidR="00A22C37" w:rsidRDefault="000B1CC4">
      <w:pPr>
        <w:widowControl w:val="0"/>
        <w:numPr>
          <w:ilvl w:val="0"/>
          <w:numId w:val="28"/>
        </w:numPr>
        <w:spacing w:after="120" w:line="240" w:lineRule="auto"/>
        <w:contextualSpacing/>
        <w:jc w:val="both"/>
        <w:rPr>
          <w:rFonts w:cs="Times New Roman"/>
          <w:noProof/>
          <w:sz w:val="20"/>
        </w:rPr>
      </w:pPr>
      <w:r>
        <w:rPr>
          <w:rFonts w:cs="Times New Roman"/>
          <w:noProof/>
          <w:sz w:val="20"/>
        </w:rPr>
        <w:t>The national Law for Waste Man</w:t>
      </w:r>
      <w:r>
        <w:rPr>
          <w:rFonts w:cs="Times New Roman"/>
          <w:noProof/>
          <w:sz w:val="20"/>
        </w:rPr>
        <w:t>agement (adopted in November 2011</w:t>
      </w:r>
      <w:r>
        <w:rPr>
          <w:rFonts w:cs="Times New Roman"/>
          <w:noProof/>
          <w:sz w:val="20"/>
          <w:vertAlign w:val="superscript"/>
        </w:rPr>
        <w:footnoteReference w:id="12"/>
      </w:r>
      <w:r>
        <w:rPr>
          <w:rFonts w:cs="Times New Roman"/>
          <w:noProof/>
          <w:sz w:val="20"/>
        </w:rPr>
        <w:t>): this law establishes the mandatory character of selective waste collection for large producers of waste and was seen as a major step forward.</w:t>
      </w:r>
    </w:p>
    <w:p w:rsidR="00A22C37" w:rsidRDefault="000B1CC4">
      <w:pPr>
        <w:widowControl w:val="0"/>
        <w:numPr>
          <w:ilvl w:val="0"/>
          <w:numId w:val="28"/>
        </w:numPr>
        <w:spacing w:after="120" w:line="240" w:lineRule="auto"/>
        <w:contextualSpacing/>
        <w:jc w:val="both"/>
        <w:rPr>
          <w:rFonts w:cs="Times New Roman"/>
          <w:noProof/>
          <w:sz w:val="20"/>
        </w:rPr>
      </w:pPr>
      <w:r>
        <w:rPr>
          <w:rFonts w:cs="Times New Roman"/>
          <w:noProof/>
          <w:sz w:val="20"/>
        </w:rPr>
        <w:t>The implementation of the Waste Framework Directive, including of its provisi</w:t>
      </w:r>
      <w:r>
        <w:rPr>
          <w:rFonts w:cs="Times New Roman"/>
          <w:noProof/>
          <w:sz w:val="20"/>
        </w:rPr>
        <w:t>ons related to Hazardous Waste and to Waste Oils, has been driving the changes in the Romanian waste management regulations. Romania has set a target to reach a level of 50% of waste to be recycled or reused by 2020.</w:t>
      </w:r>
      <w:r>
        <w:rPr>
          <w:rFonts w:cs="Times New Roman"/>
          <w:noProof/>
          <w:sz w:val="20"/>
          <w:vertAlign w:val="superscript"/>
        </w:rPr>
        <w:footnoteReference w:id="13"/>
      </w:r>
    </w:p>
    <w:p w:rsidR="00A22C37" w:rsidRDefault="000B1CC4">
      <w:pPr>
        <w:widowControl w:val="0"/>
        <w:numPr>
          <w:ilvl w:val="0"/>
          <w:numId w:val="28"/>
        </w:numPr>
        <w:spacing w:after="120" w:line="240" w:lineRule="auto"/>
        <w:contextualSpacing/>
        <w:jc w:val="both"/>
        <w:rPr>
          <w:rFonts w:cs="Times New Roman"/>
          <w:noProof/>
          <w:sz w:val="20"/>
        </w:rPr>
      </w:pPr>
      <w:r>
        <w:rPr>
          <w:rFonts w:cs="Times New Roman"/>
          <w:noProof/>
          <w:sz w:val="20"/>
        </w:rPr>
        <w:t>As of January 2014, the private sector</w:t>
      </w:r>
      <w:r>
        <w:rPr>
          <w:rFonts w:cs="Times New Roman"/>
          <w:noProof/>
          <w:sz w:val="20"/>
          <w:vertAlign w:val="superscript"/>
        </w:rPr>
        <w:footnoteReference w:id="14"/>
      </w:r>
      <w:r>
        <w:rPr>
          <w:rFonts w:cs="Times New Roman"/>
          <w:noProof/>
          <w:sz w:val="20"/>
        </w:rPr>
        <w:t xml:space="preserve"> has to make higher fiscal contributions to the Romanian Fund for Environment (meant to stimulate a more sustainable use of natural resources and increase the reuse of waste throughout the value chains of the companies).</w:t>
      </w:r>
      <w:r>
        <w:rPr>
          <w:rFonts w:cs="Times New Roman"/>
          <w:noProof/>
          <w:sz w:val="20"/>
          <w:vertAlign w:val="superscript"/>
        </w:rPr>
        <w:footnoteReference w:id="15"/>
      </w:r>
      <w:r>
        <w:rPr>
          <w:rFonts w:cs="Times New Roman"/>
          <w:noProof/>
          <w:sz w:val="20"/>
        </w:rPr>
        <w:t xml:space="preserve">  </w:t>
      </w:r>
    </w:p>
    <w:p w:rsidR="00A22C37" w:rsidRDefault="000B1CC4">
      <w:pPr>
        <w:widowControl w:val="0"/>
        <w:numPr>
          <w:ilvl w:val="0"/>
          <w:numId w:val="28"/>
        </w:numPr>
        <w:spacing w:before="240" w:after="120" w:line="240" w:lineRule="auto"/>
        <w:contextualSpacing/>
        <w:jc w:val="both"/>
        <w:rPr>
          <w:rFonts w:cs="Times New Roman"/>
          <w:noProof/>
          <w:sz w:val="20"/>
        </w:rPr>
      </w:pPr>
      <w:r>
        <w:rPr>
          <w:rFonts w:cs="Times New Roman"/>
          <w:noProof/>
          <w:sz w:val="20"/>
        </w:rPr>
        <w:t>The Ministry of Environment, Wa</w:t>
      </w:r>
      <w:r>
        <w:rPr>
          <w:rFonts w:cs="Times New Roman"/>
          <w:noProof/>
          <w:sz w:val="20"/>
        </w:rPr>
        <w:t xml:space="preserve">ter and Forests has as priorities for 2016 the creation of the framework to transform and accelerate the Romanian economy’s transition towards a green economy, the development of green business and green entrepreneurship. Besides, according to information </w:t>
      </w:r>
      <w:r>
        <w:rPr>
          <w:rFonts w:cs="Times New Roman"/>
          <w:noProof/>
          <w:sz w:val="20"/>
        </w:rPr>
        <w:t>provided by Romanian authorities, a White Paper on Green Economy is being developed.</w:t>
      </w:r>
    </w:p>
    <w:p w:rsidR="00A22C37" w:rsidRDefault="000B1CC4">
      <w:pPr>
        <w:widowControl w:val="0"/>
        <w:numPr>
          <w:ilvl w:val="0"/>
          <w:numId w:val="28"/>
        </w:numPr>
        <w:spacing w:before="240" w:after="120" w:line="240" w:lineRule="auto"/>
        <w:contextualSpacing/>
        <w:jc w:val="both"/>
        <w:rPr>
          <w:noProof/>
          <w:sz w:val="20"/>
        </w:rPr>
      </w:pPr>
      <w:r>
        <w:rPr>
          <w:noProof/>
          <w:sz w:val="20"/>
        </w:rPr>
        <w:t>Romania has increased its number of employees in the environmental goods and services sector from around 130,000 people in 2011 to around 146,000 in 2012</w:t>
      </w:r>
      <w:r>
        <w:rPr>
          <w:rFonts w:cs="Times New Roman"/>
          <w:noProof/>
          <w:sz w:val="20"/>
          <w:vertAlign w:val="superscript"/>
        </w:rPr>
        <w:footnoteReference w:id="16"/>
      </w:r>
      <w:r>
        <w:rPr>
          <w:noProof/>
          <w:sz w:val="20"/>
        </w:rPr>
        <w:t>. The Romanian Mi</w:t>
      </w:r>
      <w:r>
        <w:rPr>
          <w:noProof/>
          <w:sz w:val="20"/>
        </w:rPr>
        <w:t>nistry of Environment acknowledges the need for further investment into green skills and education of the labour force towards sustainable development. The National Labour Agency is engaged in the “Green Jobs” project, funded by the European Social Fund, i</w:t>
      </w:r>
      <w:r>
        <w:rPr>
          <w:noProof/>
          <w:sz w:val="20"/>
        </w:rPr>
        <w:t>n order to evaluate the Romanian market for green jobs and identify good practices for support measures in this sector.</w:t>
      </w:r>
    </w:p>
    <w:p w:rsidR="00A22C37" w:rsidRDefault="000B1CC4">
      <w:pPr>
        <w:widowControl w:val="0"/>
        <w:spacing w:before="240" w:after="120" w:line="240" w:lineRule="auto"/>
        <w:jc w:val="both"/>
        <w:rPr>
          <w:noProof/>
          <w:sz w:val="20"/>
          <w:lang w:eastAsia="en-GB"/>
        </w:rPr>
      </w:pPr>
      <w:r>
        <w:rPr>
          <w:noProof/>
          <w:sz w:val="20"/>
        </w:rPr>
        <w:t>In general, Romania does not use a lot of support measures for resource efficiency. The most developed measures are either implemented t</w:t>
      </w:r>
      <w:r>
        <w:rPr>
          <w:noProof/>
          <w:sz w:val="20"/>
        </w:rPr>
        <w:t xml:space="preserve">hrough third-party organisations or inspired by EU funded projects and oriented on waste recovery and recycling. One key example of a voluntary agreement in 2013 concerned packaging waste prevention and recycling. It is now implemented in 14 major cities, </w:t>
      </w:r>
      <w:r>
        <w:rPr>
          <w:noProof/>
          <w:sz w:val="20"/>
        </w:rPr>
        <w:t>showing a spill over effect from the two pilot cities to 12 other major cities.</w:t>
      </w:r>
      <w:r>
        <w:rPr>
          <w:rFonts w:cs="Times New Roman"/>
          <w:noProof/>
          <w:sz w:val="20"/>
          <w:vertAlign w:val="superscript"/>
        </w:rPr>
        <w:footnoteReference w:id="17"/>
      </w:r>
    </w:p>
    <w:p w:rsidR="00A22C37" w:rsidRDefault="000B1CC4">
      <w:pPr>
        <w:widowControl w:val="0"/>
        <w:spacing w:after="120" w:line="240" w:lineRule="auto"/>
        <w:jc w:val="both"/>
        <w:outlineLvl w:val="2"/>
        <w:rPr>
          <w:b/>
          <w:noProof/>
          <w:color w:val="1F497D" w:themeColor="text2"/>
        </w:rPr>
      </w:pPr>
      <w:r>
        <w:rPr>
          <w:b/>
          <w:noProof/>
          <w:color w:val="1F497D" w:themeColor="text2"/>
        </w:rPr>
        <w:t>SMEs and resource efficiency</w:t>
      </w:r>
    </w:p>
    <w:p w:rsidR="00A22C37" w:rsidRDefault="000B1CC4">
      <w:pPr>
        <w:widowControl w:val="0"/>
        <w:spacing w:after="120" w:line="240" w:lineRule="auto"/>
        <w:jc w:val="both"/>
        <w:rPr>
          <w:noProof/>
          <w:sz w:val="20"/>
        </w:rPr>
      </w:pPr>
      <w:r>
        <w:rPr>
          <w:noProof/>
          <w:sz w:val="20"/>
        </w:rPr>
        <w:t xml:space="preserve">Both Romanian Small and Medium-sized Enterprises (SMEs) and large enterprises have low awareness of their impact on the environment and the </w:t>
      </w:r>
      <w:r>
        <w:rPr>
          <w:noProof/>
          <w:sz w:val="20"/>
        </w:rPr>
        <w:t>economic opportunities arising from circular economy/resource efficiency. In spite of this, there are some private sector initiatives in recycling and material re-use that have been strengthened in recent years.</w:t>
      </w:r>
      <w:r>
        <w:rPr>
          <w:rFonts w:cs="Times New Roman"/>
          <w:noProof/>
          <w:sz w:val="20"/>
          <w:vertAlign w:val="superscript"/>
        </w:rPr>
        <w:footnoteReference w:id="18"/>
      </w:r>
      <w:r>
        <w:rPr>
          <w:noProof/>
          <w:sz w:val="20"/>
        </w:rPr>
        <w:t xml:space="preserve"> Nevertheless, Romania is missing many oppor</w:t>
      </w:r>
      <w:r>
        <w:rPr>
          <w:noProof/>
          <w:sz w:val="20"/>
        </w:rPr>
        <w:t>tunities as it fails to recycle its own waste, leaving the private sector to import recycled materials for their production activities.</w:t>
      </w:r>
    </w:p>
    <w:p w:rsidR="00A22C37" w:rsidRDefault="000B1CC4">
      <w:pPr>
        <w:widowControl w:val="0"/>
        <w:spacing w:after="120" w:line="240" w:lineRule="auto"/>
        <w:jc w:val="both"/>
        <w:rPr>
          <w:noProof/>
          <w:sz w:val="20"/>
        </w:rPr>
      </w:pPr>
      <w:r>
        <w:rPr>
          <w:noProof/>
          <w:sz w:val="20"/>
        </w:rPr>
        <w:t xml:space="preserve">Around 63% of Romania's SMEs have invested up to 5% of their annual turnover in their resource efficiency actions (EU28 </w:t>
      </w:r>
      <w:r>
        <w:rPr>
          <w:noProof/>
          <w:sz w:val="20"/>
        </w:rPr>
        <w:t xml:space="preserve">average 50%), 26% of them are currently offering green products and services (EU28 average 26%), 37% took measures to save energy (EU28 average 59%), 26% to minimise waste (EU28 average 60%), 29% to save water (EU28 average 44%), and 32% to save materials </w:t>
      </w:r>
      <w:r>
        <w:rPr>
          <w:noProof/>
          <w:sz w:val="20"/>
        </w:rPr>
        <w:t>(EU28 average 54%)</w:t>
      </w:r>
      <w:r>
        <w:rPr>
          <w:rStyle w:val="FootnoteReference"/>
          <w:noProof/>
          <w:sz w:val="20"/>
        </w:rPr>
        <w:footnoteReference w:id="19"/>
      </w:r>
      <w:r>
        <w:rPr>
          <w:noProof/>
          <w:sz w:val="20"/>
        </w:rPr>
        <w:t>.</w:t>
      </w:r>
    </w:p>
    <w:p w:rsidR="00A22C37" w:rsidRDefault="000B1CC4">
      <w:pPr>
        <w:widowControl w:val="0"/>
        <w:spacing w:after="120" w:line="240" w:lineRule="auto"/>
        <w:jc w:val="both"/>
        <w:rPr>
          <w:noProof/>
          <w:sz w:val="20"/>
        </w:rPr>
      </w:pPr>
      <w:r>
        <w:rPr>
          <w:noProof/>
          <w:sz w:val="20"/>
        </w:rPr>
        <w:t>From a circular economy perspective, 28% took measures to recycle by reusing material or waste within the company (EU28 average 40%), 12% to design products that are easier to maintain, repair or reuse (EU28 average 22%) and 16% were a</w:t>
      </w:r>
      <w:r>
        <w:rPr>
          <w:noProof/>
          <w:sz w:val="20"/>
        </w:rPr>
        <w:t xml:space="preserve">ble to sell their scrap material to another company (EU28 average 25%). </w:t>
      </w:r>
      <w:r>
        <w:rPr>
          <w:noProof/>
          <w:color w:val="FF0000"/>
          <w:sz w:val="20"/>
        </w:rPr>
        <w:t xml:space="preserve"> </w:t>
      </w:r>
    </w:p>
    <w:p w:rsidR="00A22C37" w:rsidRDefault="000B1CC4">
      <w:pPr>
        <w:widowControl w:val="0"/>
        <w:spacing w:after="120" w:line="240" w:lineRule="auto"/>
        <w:jc w:val="both"/>
        <w:rPr>
          <w:noProof/>
          <w:sz w:val="20"/>
        </w:rPr>
      </w:pPr>
      <w:r>
        <w:rPr>
          <w:noProof/>
          <w:sz w:val="20"/>
        </w:rPr>
        <w:t>Using the full potential of resource efficiency measures, the cost savings would be huge: for only four SME sectors (food &amp; beverages; energy, power &amp; utilities; environmental techno</w:t>
      </w:r>
      <w:r>
        <w:rPr>
          <w:noProof/>
          <w:sz w:val="20"/>
        </w:rPr>
        <w:t>logies; construction) the savings that would strengthen their competitiveness could already amount to around EUR 320 million</w:t>
      </w:r>
      <w:r>
        <w:rPr>
          <w:noProof/>
          <w:sz w:val="20"/>
          <w:vertAlign w:val="superscript"/>
        </w:rPr>
        <w:footnoteReference w:id="20"/>
      </w:r>
      <w:r>
        <w:rPr>
          <w:noProof/>
          <w:sz w:val="20"/>
        </w:rPr>
        <w:t>. According to the Flash 426 Eurobarometer, the resource efficiency actions undertaken allowed the reduction of production costs in</w:t>
      </w:r>
      <w:r>
        <w:rPr>
          <w:noProof/>
          <w:sz w:val="20"/>
        </w:rPr>
        <w:t xml:space="preserve"> a 60% of the Romania's SMEs (EU28 average 45%).</w:t>
      </w:r>
    </w:p>
    <w:p w:rsidR="00A22C37" w:rsidRDefault="000B1CC4">
      <w:pPr>
        <w:widowControl w:val="0"/>
        <w:spacing w:after="120" w:line="240" w:lineRule="auto"/>
        <w:jc w:val="both"/>
        <w:rPr>
          <w:noProof/>
          <w:sz w:val="20"/>
        </w:rPr>
      </w:pPr>
      <w:r>
        <w:rPr>
          <w:noProof/>
          <w:sz w:val="20"/>
        </w:rPr>
        <w:t>About 12,000 new jobs could be created and 33,600 jobs could be secured if all SMEs in the four sectors would fully use their potential for resource efficiency</w:t>
      </w:r>
      <w:r>
        <w:rPr>
          <w:rFonts w:cs="Times New Roman"/>
          <w:noProof/>
          <w:sz w:val="20"/>
          <w:vertAlign w:val="superscript"/>
        </w:rPr>
        <w:footnoteReference w:id="21"/>
      </w:r>
      <w:r>
        <w:rPr>
          <w:noProof/>
          <w:sz w:val="20"/>
        </w:rPr>
        <w:t xml:space="preserve">. The Flash 426 Eurobarometer "SMEs, resource </w:t>
      </w:r>
      <w:r>
        <w:rPr>
          <w:noProof/>
          <w:sz w:val="20"/>
        </w:rPr>
        <w:t>efficiency and green markets" shows that 41% of the SMEs in Romania have one or more full time employees working in a green job at least some of the time (EU28 average 35%). Romania has an average number of 3.6% full time green employees per SME (EU28 aver</w:t>
      </w:r>
      <w:r>
        <w:rPr>
          <w:noProof/>
          <w:sz w:val="20"/>
        </w:rPr>
        <w:t>age 1.7%)</w:t>
      </w:r>
      <w:r>
        <w:rPr>
          <w:noProof/>
          <w:sz w:val="20"/>
          <w:vertAlign w:val="superscript"/>
        </w:rPr>
        <w:footnoteReference w:id="22"/>
      </w:r>
      <w:r>
        <w:rPr>
          <w:noProof/>
          <w:sz w:val="20"/>
        </w:rPr>
        <w:t xml:space="preserve">. </w:t>
      </w:r>
    </w:p>
    <w:p w:rsidR="00A22C37" w:rsidRDefault="000B1CC4">
      <w:pPr>
        <w:widowControl w:val="0"/>
        <w:spacing w:after="120" w:line="240" w:lineRule="auto"/>
        <w:jc w:val="both"/>
        <w:outlineLvl w:val="2"/>
        <w:rPr>
          <w:b/>
          <w:noProof/>
          <w:color w:val="1F497D" w:themeColor="text2"/>
        </w:rPr>
      </w:pPr>
      <w:r>
        <w:rPr>
          <w:b/>
          <w:noProof/>
          <w:color w:val="1F497D" w:themeColor="text2"/>
        </w:rPr>
        <w:t>Eco-Innovation</w:t>
      </w:r>
    </w:p>
    <w:p w:rsidR="00A22C37" w:rsidRDefault="000B1CC4">
      <w:pPr>
        <w:widowControl w:val="0"/>
        <w:spacing w:after="120" w:line="240" w:lineRule="auto"/>
        <w:jc w:val="both"/>
        <w:rPr>
          <w:noProof/>
          <w:sz w:val="20"/>
        </w:rPr>
      </w:pPr>
      <w:r>
        <w:rPr>
          <w:noProof/>
          <w:sz w:val="20"/>
        </w:rPr>
        <w:t>Romania ranks 18th in the Eco-IS, obtaining a score of 87.1 in 2015 as shown in figure 2. This indicates it is below the overall EU28 average score by 13%. However, it is encouraging that the country has advanced three positions</w:t>
      </w:r>
      <w:r>
        <w:rPr>
          <w:noProof/>
          <w:sz w:val="20"/>
        </w:rPr>
        <w:t xml:space="preserve"> since 2013, from the previous rank of 21.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22C37" w:rsidRPr="000B1CC4">
        <w:tc>
          <w:tcPr>
            <w:tcW w:w="4909" w:type="dxa"/>
            <w:hideMark/>
          </w:tcPr>
          <w:p w:rsidR="00A22C37" w:rsidRDefault="000B1CC4">
            <w:pPr>
              <w:widowControl w:val="0"/>
              <w:spacing w:after="120"/>
              <w:rPr>
                <w:rFonts w:ascii="Times New Roman" w:hAnsi="Times New Roman"/>
                <w:noProof/>
                <w:color w:val="1F497D" w:themeColor="text2"/>
                <w:lang w:val="it-IT"/>
              </w:rPr>
            </w:pPr>
            <w:r>
              <w:rPr>
                <w:rFonts w:cs="Times New Roman"/>
                <w:noProof/>
                <w:sz w:val="20"/>
              </w:rPr>
              <w:t xml:space="preserve"> </w:t>
            </w:r>
            <w:r>
              <w:rPr>
                <w:b/>
                <w:noProof/>
                <w:color w:val="1F497D" w:themeColor="text2"/>
                <w:sz w:val="20"/>
                <w:lang w:val="it-IT"/>
              </w:rPr>
              <w:t>Figure 2: Eco-Innovation Index 2015 (EU=100)</w:t>
            </w:r>
            <w:r>
              <w:rPr>
                <w:b/>
                <w:noProof/>
                <w:color w:val="1F497D" w:themeColor="text2"/>
                <w:sz w:val="20"/>
                <w:vertAlign w:val="superscript"/>
                <w:lang w:val="it-IT"/>
              </w:rPr>
              <w:footnoteReference w:id="23"/>
            </w:r>
          </w:p>
        </w:tc>
      </w:tr>
      <w:tr w:rsidR="00A22C37">
        <w:tc>
          <w:tcPr>
            <w:tcW w:w="4909" w:type="dxa"/>
          </w:tcPr>
          <w:p w:rsidR="00A22C37" w:rsidRDefault="000B1CC4">
            <w:pPr>
              <w:widowControl w:val="0"/>
              <w:spacing w:after="120"/>
              <w:rPr>
                <w:rFonts w:ascii="Times New Roman" w:hAnsi="Times New Roman"/>
                <w:noProof/>
                <w:lang w:val="it-IT"/>
              </w:rPr>
            </w:pPr>
            <w:r>
              <w:rPr>
                <w:rFonts w:ascii="Times New Roman" w:hAnsi="Times New Roman"/>
                <w:noProof/>
                <w:lang w:eastAsia="en-GB"/>
              </w:rPr>
              <w:drawing>
                <wp:inline distT="0" distB="0" distL="0" distR="0">
                  <wp:extent cx="2964456" cy="404037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0828" cy="4049056"/>
                          </a:xfrm>
                          <a:prstGeom prst="rect">
                            <a:avLst/>
                          </a:prstGeom>
                          <a:noFill/>
                        </pic:spPr>
                      </pic:pic>
                    </a:graphicData>
                  </a:graphic>
                </wp:inline>
              </w:drawing>
            </w:r>
          </w:p>
        </w:tc>
      </w:tr>
    </w:tbl>
    <w:p w:rsidR="00A22C37" w:rsidRDefault="000B1CC4">
      <w:pPr>
        <w:widowControl w:val="0"/>
        <w:spacing w:after="120" w:line="240" w:lineRule="auto"/>
        <w:jc w:val="both"/>
        <w:rPr>
          <w:noProof/>
          <w:sz w:val="20"/>
        </w:rPr>
      </w:pPr>
      <w:r>
        <w:rPr>
          <w:noProof/>
          <w:sz w:val="20"/>
        </w:rPr>
        <w:t>The landscape of eco-innovation initiatives has been evolving in Romania over the past years driven by EU-level regulation. Job creation and a more sustainable e</w:t>
      </w:r>
      <w:r>
        <w:rPr>
          <w:noProof/>
          <w:sz w:val="20"/>
        </w:rPr>
        <w:t>conomy are among the drivers for eco-innovation.</w:t>
      </w:r>
      <w:r>
        <w:rPr>
          <w:rFonts w:cs="Times New Roman"/>
          <w:noProof/>
          <w:sz w:val="20"/>
          <w:vertAlign w:val="superscript"/>
        </w:rPr>
        <w:footnoteReference w:id="24"/>
      </w:r>
      <w:r>
        <w:rPr>
          <w:noProof/>
          <w:sz w:val="20"/>
        </w:rPr>
        <w:t xml:space="preserve"> Eco-innovation shortcomings are to a large extent related to a lack of an effective innovation system with a clearly defined institutional structure, legislative and fiscal framework and financial mechanisms for encouraging innovation and application of n</w:t>
      </w:r>
      <w:r>
        <w:rPr>
          <w:noProof/>
          <w:sz w:val="20"/>
        </w:rPr>
        <w:t>ew technologies in the economy. When it comes to barriers in eco-innovation, many points can be mentioned. Suitable administrative capacity, availability of skilled personnel in the public and private sector, as well as the low propensity to collaborate, c</w:t>
      </w:r>
      <w:r>
        <w:rPr>
          <w:noProof/>
          <w:sz w:val="20"/>
        </w:rPr>
        <w:t xml:space="preserve">ontinue to be challenges for a systemic transformation agenda such as the circular economy, both in the public and private sector.     </w:t>
      </w:r>
    </w:p>
    <w:p w:rsidR="00A22C37" w:rsidRDefault="000B1CC4">
      <w:pPr>
        <w:widowControl w:val="0"/>
        <w:spacing w:after="120" w:line="240" w:lineRule="auto"/>
        <w:jc w:val="both"/>
        <w:rPr>
          <w:rFonts w:cs="Times New Roman"/>
          <w:noProof/>
          <w:sz w:val="20"/>
        </w:rPr>
      </w:pPr>
      <w:r>
        <w:rPr>
          <w:noProof/>
          <w:sz w:val="20"/>
        </w:rPr>
        <w:t>The Ministry of Environment is promoting the EU eco-label and voluntary participation to EMAS through campaigns, trainin</w:t>
      </w:r>
      <w:r>
        <w:rPr>
          <w:noProof/>
          <w:sz w:val="20"/>
        </w:rPr>
        <w:t xml:space="preserve">g and informative materials. Nevertheless, EMAS is not widely applied. </w:t>
      </w:r>
      <w:r>
        <w:rPr>
          <w:rFonts w:cs="Times New Roman"/>
          <w:noProof/>
          <w:sz w:val="20"/>
        </w:rPr>
        <w:t>Romania has 10 EMAS registered organisations. Although this seems a quite low number of registered organizations with respect to the total of 4034 organisations that hold a registration</w:t>
      </w:r>
      <w:r>
        <w:rPr>
          <w:rFonts w:cs="Times New Roman"/>
          <w:noProof/>
          <w:sz w:val="20"/>
        </w:rPr>
        <w:t xml:space="preserve"> at EU level, Romania ranks on 17</w:t>
      </w:r>
      <w:r>
        <w:rPr>
          <w:rFonts w:cs="Times New Roman"/>
          <w:noProof/>
          <w:sz w:val="20"/>
          <w:vertAlign w:val="superscript"/>
        </w:rPr>
        <w:t>th</w:t>
      </w:r>
      <w:r>
        <w:rPr>
          <w:rFonts w:cs="Times New Roman"/>
          <w:noProof/>
          <w:sz w:val="20"/>
        </w:rPr>
        <w:t xml:space="preserve"> position. It has seen a very slight increase in the number of registered organisation since October 2015, from 7 to 10. </w:t>
      </w:r>
      <w:r>
        <w:rPr>
          <w:noProof/>
          <w:sz w:val="20"/>
        </w:rPr>
        <w:t xml:space="preserve">Romania's use of EU Ecolabel licences was very limited in 2015. </w:t>
      </w:r>
      <w:r>
        <w:rPr>
          <w:rFonts w:cs="Times New Roman"/>
          <w:noProof/>
          <w:sz w:val="20"/>
        </w:rPr>
        <w:t>Romania has 14 licenses, which is qu</w:t>
      </w:r>
      <w:r>
        <w:rPr>
          <w:rFonts w:cs="Times New Roman"/>
          <w:noProof/>
          <w:sz w:val="20"/>
        </w:rPr>
        <w:t xml:space="preserve">ite a low number with respect to the 1875 total number of licenses at EU level, but considering that Romania has become an EU Member State in 2007, it isn’t the lowest achiever regarding the EU Ecolabel licenses. </w:t>
      </w:r>
    </w:p>
    <w:p w:rsidR="00A22C37" w:rsidRDefault="000B1CC4">
      <w:pPr>
        <w:widowControl w:val="0"/>
        <w:spacing w:after="120" w:line="240" w:lineRule="auto"/>
        <w:jc w:val="both"/>
        <w:rPr>
          <w:bCs/>
          <w:noProof/>
          <w:color w:val="1F497D" w:themeColor="text2"/>
        </w:rPr>
      </w:pPr>
      <w:r>
        <w:rPr>
          <w:bCs/>
          <w:noProof/>
          <w:color w:val="1F497D" w:themeColor="text2"/>
        </w:rPr>
        <w:t>Suggested action</w:t>
      </w:r>
    </w:p>
    <w:p w:rsidR="00A22C37" w:rsidRDefault="000B1CC4">
      <w:pPr>
        <w:pStyle w:val="NoSpacing"/>
        <w:rPr>
          <w:noProof/>
        </w:rPr>
      </w:pPr>
      <w:r>
        <w:rPr>
          <w:noProof/>
        </w:rPr>
        <w:t>Increase support of and p</w:t>
      </w:r>
      <w:r>
        <w:rPr>
          <w:noProof/>
        </w:rPr>
        <w:t>romotion of resource efficiency measures by SMEs, in particular by investing further in education and training. Export capacity of SMEs can be increased by improved resource efficiency.</w:t>
      </w:r>
      <w:r>
        <w:rPr>
          <w:noProof/>
          <w:vertAlign w:val="superscript"/>
        </w:rPr>
        <w:footnoteReference w:id="25"/>
      </w:r>
    </w:p>
    <w:p w:rsidR="00A22C37" w:rsidRDefault="000B1CC4">
      <w:pPr>
        <w:pStyle w:val="NoSpacing"/>
        <w:rPr>
          <w:noProof/>
        </w:rPr>
      </w:pPr>
      <w:r>
        <w:rPr>
          <w:noProof/>
        </w:rPr>
        <w:t xml:space="preserve">Ensure that Romania’s policy orientation has a strategic long-term </w:t>
      </w:r>
      <w:r>
        <w:rPr>
          <w:noProof/>
        </w:rPr>
        <w:t>view and an integrated approach for mainstreaming sustainable development and circular economy thinking and eco-innovation across the government’s policies.</w:t>
      </w:r>
    </w:p>
    <w:p w:rsidR="00A22C37" w:rsidRDefault="000B1CC4">
      <w:pPr>
        <w:pStyle w:val="NoSpacing"/>
        <w:spacing w:after="240"/>
        <w:rPr>
          <w:noProof/>
        </w:rPr>
      </w:pPr>
      <w:r>
        <w:rPr>
          <w:noProof/>
        </w:rPr>
        <w:t>Develop concrete actions from national/local level authorities and synergies between all level of g</w:t>
      </w:r>
      <w:r>
        <w:rPr>
          <w:noProof/>
        </w:rPr>
        <w:t>overnance and the private sector to make more effort to tap in using EU funds and invest in sustainable solutions.</w:t>
      </w:r>
    </w:p>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16" w:name="_Toc433296157"/>
      <w:bookmarkStart w:id="17" w:name="_Toc454813107"/>
      <w:bookmarkStart w:id="18" w:name="_Toc469484778"/>
      <w:r>
        <w:rPr>
          <w:rFonts w:eastAsia="Times New Roman"/>
          <w:b/>
          <w:noProof/>
          <w:color w:val="1F497D" w:themeColor="text2"/>
          <w:sz w:val="24"/>
          <w:lang w:eastAsia="en-GB"/>
        </w:rPr>
        <w:t>Waste management</w:t>
      </w:r>
      <w:bookmarkEnd w:id="16"/>
      <w:bookmarkEnd w:id="17"/>
      <w:bookmarkEnd w:id="18"/>
      <w:r>
        <w:rPr>
          <w:rFonts w:eastAsia="Times New Roman"/>
          <w:b/>
          <w:noProof/>
          <w:color w:val="1F497D" w:themeColor="text2"/>
          <w:sz w:val="24"/>
          <w:lang w:eastAsia="en-GB"/>
        </w:rPr>
        <w:t xml:space="preserve"> </w:t>
      </w:r>
    </w:p>
    <w:p w:rsidR="00A22C37" w:rsidRDefault="000B1CC4">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A22C37" w:rsidRDefault="000B1CC4">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Full implementation of Union waste legislation, which includes the waste hierarchy;</w:t>
      </w:r>
      <w:r>
        <w:rPr>
          <w:noProof/>
          <w:color w:val="FFFFFF" w:themeColor="background1"/>
          <w:sz w:val="20"/>
        </w:rPr>
        <w:t xml:space="preserve"> the need to ensure separate collection of waste; the landfill diversion targets etc.</w:t>
      </w:r>
    </w:p>
    <w:p w:rsidR="00A22C37" w:rsidRDefault="000B1CC4">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A22C37" w:rsidRDefault="000B1CC4">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 out landfilling of recyclabl</w:t>
      </w:r>
      <w:r>
        <w:rPr>
          <w:noProof/>
          <w:color w:val="FFFFFF" w:themeColor="background1"/>
          <w:sz w:val="20"/>
        </w:rPr>
        <w:t>e or recoverable waste.</w:t>
      </w:r>
    </w:p>
    <w:p w:rsidR="00A22C37" w:rsidRDefault="000B1CC4">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SDG 12 invites countries to substantially reduce waste generation through prevention, reduction, recycling and reuse, by 2030.</w:t>
      </w:r>
    </w:p>
    <w:p w:rsidR="00A22C37" w:rsidRDefault="000B1CC4">
      <w:pPr>
        <w:widowControl w:val="0"/>
        <w:spacing w:before="240" w:after="120" w:line="240" w:lineRule="auto"/>
        <w:jc w:val="both"/>
        <w:rPr>
          <w:noProof/>
          <w:sz w:val="20"/>
        </w:rPr>
      </w:pPr>
      <w:r>
        <w:rPr>
          <w:noProof/>
          <w:sz w:val="20"/>
        </w:rPr>
        <w:t>The EU's approach to waste management is based on the "waste hierarchy" which sets out an order of priori</w:t>
      </w:r>
      <w:r>
        <w:rPr>
          <w:noProof/>
          <w:sz w:val="20"/>
        </w:rPr>
        <w:t>ty when shaping waste policy and managing waste at the operational level: prevention, (preparing for) reuse, recycling, recovery and, as the least preferred option, disposal (which includes landfilling and incineration without energy recovery). The progres</w:t>
      </w:r>
      <w:r>
        <w:rPr>
          <w:noProof/>
          <w:sz w:val="20"/>
        </w:rPr>
        <w:t>s towards reaching recycling targets and the adoption of adequate WMP/WPP</w:t>
      </w:r>
      <w:r>
        <w:rPr>
          <w:noProof/>
          <w:sz w:val="20"/>
          <w:vertAlign w:val="superscript"/>
        </w:rPr>
        <w:footnoteReference w:id="26"/>
      </w:r>
      <w:r>
        <w:rPr>
          <w:noProof/>
          <w:sz w:val="20"/>
        </w:rPr>
        <w:t xml:space="preserve"> should be the key items to measure the performance of Member States. This section focuses on management of municipal waste for which EU law sets mandatory recycling targets.</w:t>
      </w:r>
    </w:p>
    <w:p w:rsidR="00A22C37" w:rsidRDefault="000B1CC4">
      <w:pPr>
        <w:widowControl w:val="0"/>
        <w:spacing w:after="120" w:line="240" w:lineRule="auto"/>
        <w:jc w:val="both"/>
        <w:rPr>
          <w:rFonts w:cs="Times New Roman"/>
          <w:noProof/>
          <w:sz w:val="20"/>
        </w:rPr>
      </w:pPr>
      <w:r>
        <w:rPr>
          <w:rFonts w:cs="Times New Roman"/>
          <w:noProof/>
          <w:sz w:val="20"/>
        </w:rPr>
        <w:t>Waste m</w:t>
      </w:r>
      <w:r>
        <w:rPr>
          <w:rFonts w:cs="Times New Roman"/>
          <w:noProof/>
          <w:sz w:val="20"/>
        </w:rPr>
        <w:t>anagement remains a key challenge for Romania. The country's performance is characterized by extremely low recycling (5%) and slightly higher composting (11%), and high landfilling (82 %) rates, contrary to the waste hierarchy and the recycling targets set</w:t>
      </w:r>
      <w:r>
        <w:rPr>
          <w:rFonts w:cs="Times New Roman"/>
          <w:noProof/>
          <w:sz w:val="20"/>
        </w:rPr>
        <w:t xml:space="preserve"> at EU level. </w:t>
      </w:r>
    </w:p>
    <w:p w:rsidR="00A22C37" w:rsidRDefault="000B1CC4">
      <w:pPr>
        <w:widowControl w:val="0"/>
        <w:spacing w:after="120" w:line="240" w:lineRule="auto"/>
        <w:jc w:val="both"/>
        <w:rPr>
          <w:noProof/>
          <w:sz w:val="20"/>
        </w:rPr>
      </w:pPr>
      <w:r>
        <w:rPr>
          <w:noProof/>
          <w:sz w:val="20"/>
        </w:rPr>
        <w:t>In 2013 (the last year for which the above data is available) in Romania there was a reduction in municipal waste generation compared to 2012. However, it remains considerably lower than the EU average (254 kg/y/inhabitant compared to around</w:t>
      </w:r>
      <w:r>
        <w:rPr>
          <w:noProof/>
          <w:sz w:val="20"/>
        </w:rPr>
        <w:t xml:space="preserve"> 481 kg).</w:t>
      </w:r>
      <w:r>
        <w:rPr>
          <w:rFonts w:cs="Times New Roman"/>
          <w:noProof/>
          <w:sz w:val="20"/>
          <w:vertAlign w:val="superscript"/>
        </w:rPr>
        <w:footnoteReference w:id="27"/>
      </w:r>
      <w:r>
        <w:rPr>
          <w:noProof/>
          <w:sz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22C37">
        <w:tc>
          <w:tcPr>
            <w:tcW w:w="4909" w:type="dxa"/>
            <w:hideMark/>
          </w:tcPr>
          <w:p w:rsidR="00A22C37" w:rsidRDefault="000B1CC4">
            <w:pPr>
              <w:widowControl w:val="0"/>
              <w:spacing w:after="120"/>
              <w:rPr>
                <w:rFonts w:ascii="Times New Roman" w:hAnsi="Times New Roman"/>
                <w:noProof/>
                <w:color w:val="1F497D" w:themeColor="text2"/>
              </w:rPr>
            </w:pPr>
            <w:r>
              <w:rPr>
                <w:b/>
                <w:bCs/>
                <w:noProof/>
                <w:color w:val="1F497D" w:themeColor="text2"/>
                <w:sz w:val="20"/>
              </w:rPr>
              <w:t>Figure 3: Municipal waste by treatment in Romania 2007-13</w:t>
            </w:r>
            <w:r>
              <w:rPr>
                <w:b/>
                <w:bCs/>
                <w:noProof/>
                <w:color w:val="1F497D" w:themeColor="text2"/>
                <w:sz w:val="20"/>
                <w:vertAlign w:val="superscript"/>
              </w:rPr>
              <w:footnoteReference w:id="28"/>
            </w:r>
          </w:p>
        </w:tc>
      </w:tr>
      <w:tr w:rsidR="00A22C37">
        <w:tc>
          <w:tcPr>
            <w:tcW w:w="4909" w:type="dxa"/>
          </w:tcPr>
          <w:p w:rsidR="00A22C37" w:rsidRDefault="000B1CC4">
            <w:pPr>
              <w:widowControl w:val="0"/>
              <w:spacing w:after="120"/>
              <w:rPr>
                <w:rFonts w:ascii="Times New Roman" w:hAnsi="Times New Roman"/>
                <w:noProof/>
              </w:rPr>
            </w:pPr>
            <w:r>
              <w:rPr>
                <w:noProof/>
                <w:lang w:eastAsia="en-GB"/>
              </w:rPr>
              <w:drawing>
                <wp:inline distT="0" distB="0" distL="0" distR="0">
                  <wp:extent cx="2928731" cy="2506225"/>
                  <wp:effectExtent l="0" t="0" r="508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939269" cy="2515243"/>
                          </a:xfrm>
                          <a:prstGeom prst="rect">
                            <a:avLst/>
                          </a:prstGeom>
                        </pic:spPr>
                      </pic:pic>
                    </a:graphicData>
                  </a:graphic>
                </wp:inline>
              </w:drawing>
            </w:r>
          </w:p>
        </w:tc>
      </w:tr>
    </w:tbl>
    <w:p w:rsidR="00A22C37" w:rsidRDefault="000B1CC4">
      <w:pPr>
        <w:widowControl w:val="0"/>
        <w:spacing w:after="120" w:line="240" w:lineRule="auto"/>
        <w:jc w:val="both"/>
        <w:rPr>
          <w:rFonts w:cs="Times New Roman"/>
          <w:noProof/>
          <w:sz w:val="20"/>
        </w:rPr>
      </w:pPr>
      <w:r>
        <w:rPr>
          <w:noProof/>
          <w:sz w:val="20"/>
        </w:rPr>
        <w:t>Figure 3 depicts the municipal waste</w:t>
      </w:r>
      <w:r>
        <w:rPr>
          <w:rFonts w:cs="Times New Roman"/>
          <w:noProof/>
          <w:sz w:val="20"/>
          <w:vertAlign w:val="superscript"/>
        </w:rPr>
        <w:footnoteReference w:id="29"/>
      </w:r>
      <w:r>
        <w:rPr>
          <w:noProof/>
          <w:sz w:val="20"/>
        </w:rPr>
        <w:t xml:space="preserve"> by treatment in Romania in terms of kg per capita, it is clear that Romania will have to put massive efforts to increase recycling and reduce landfilling.</w:t>
      </w:r>
    </w:p>
    <w:p w:rsidR="00A22C37" w:rsidRDefault="000B1CC4">
      <w:pPr>
        <w:widowControl w:val="0"/>
        <w:spacing w:after="120" w:line="240" w:lineRule="auto"/>
        <w:jc w:val="both"/>
        <w:rPr>
          <w:noProof/>
          <w:sz w:val="20"/>
        </w:rPr>
      </w:pPr>
      <w:r>
        <w:rPr>
          <w:noProof/>
          <w:sz w:val="20"/>
        </w:rPr>
        <w:t>Figure 4 shows that Romania must heavily invest in recycling in the next coming years in order to re</w:t>
      </w:r>
      <w:r>
        <w:rPr>
          <w:noProof/>
          <w:sz w:val="20"/>
        </w:rPr>
        <w:t>ach the 2020 recycling target.</w:t>
      </w:r>
      <w:r>
        <w:rPr>
          <w:noProof/>
          <w:sz w:val="20"/>
          <w:vertAlign w:val="superscript"/>
        </w:rPr>
        <w:footnoteReference w:id="30"/>
      </w:r>
      <w:r>
        <w:rPr>
          <w:noProof/>
          <w:sz w:val="20"/>
        </w:rPr>
        <w:t xml:space="preserve"> This is also due to low waste tariffs, which do not generate sufficient income for future investments. The relevant strategies and instruments to divert the waste from landfills are not in place and there is no comprehensive</w:t>
      </w:r>
      <w:r>
        <w:rPr>
          <w:noProof/>
          <w:sz w:val="20"/>
        </w:rPr>
        <w:t xml:space="preserve"> and decisive enforcement action against illegal landfilling.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22C37">
        <w:tc>
          <w:tcPr>
            <w:tcW w:w="4909" w:type="dxa"/>
            <w:hideMark/>
          </w:tcPr>
          <w:p w:rsidR="00A22C37" w:rsidRDefault="000B1CC4">
            <w:pPr>
              <w:widowControl w:val="0"/>
              <w:spacing w:after="120"/>
              <w:rPr>
                <w:noProof/>
                <w:color w:val="1F497D" w:themeColor="text2"/>
              </w:rPr>
            </w:pPr>
            <w:r>
              <w:rPr>
                <w:b/>
                <w:bCs/>
                <w:noProof/>
                <w:color w:val="1F497D" w:themeColor="text2"/>
                <w:sz w:val="20"/>
              </w:rPr>
              <w:t>Figure 4: Recycling rate of municipal waste 2007-14</w:t>
            </w:r>
            <w:r>
              <w:rPr>
                <w:b/>
                <w:bCs/>
                <w:noProof/>
                <w:color w:val="1F497D" w:themeColor="text2"/>
                <w:sz w:val="20"/>
                <w:vertAlign w:val="superscript"/>
              </w:rPr>
              <w:footnoteReference w:id="31"/>
            </w:r>
          </w:p>
        </w:tc>
      </w:tr>
      <w:tr w:rsidR="00A22C37">
        <w:tc>
          <w:tcPr>
            <w:tcW w:w="4909" w:type="dxa"/>
          </w:tcPr>
          <w:p w:rsidR="00A22C37" w:rsidRDefault="000B1CC4">
            <w:pPr>
              <w:widowControl w:val="0"/>
              <w:spacing w:after="120"/>
              <w:rPr>
                <w:rFonts w:ascii="Times New Roman" w:hAnsi="Times New Roman"/>
                <w:noProof/>
              </w:rPr>
            </w:pPr>
            <w:r>
              <w:rPr>
                <w:rFonts w:ascii="Times New Roman" w:hAnsi="Times New Roman"/>
                <w:noProof/>
                <w:lang w:eastAsia="en-GB"/>
              </w:rPr>
              <w:drawing>
                <wp:inline distT="0" distB="0" distL="0" distR="0">
                  <wp:extent cx="2934586" cy="243463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7234" cy="2436834"/>
                          </a:xfrm>
                          <a:prstGeom prst="rect">
                            <a:avLst/>
                          </a:prstGeom>
                          <a:noFill/>
                        </pic:spPr>
                      </pic:pic>
                    </a:graphicData>
                  </a:graphic>
                </wp:inline>
              </w:drawing>
            </w:r>
          </w:p>
        </w:tc>
      </w:tr>
    </w:tbl>
    <w:p w:rsidR="00A22C37" w:rsidRDefault="000B1CC4">
      <w:pPr>
        <w:widowControl w:val="0"/>
        <w:spacing w:after="120" w:line="240" w:lineRule="auto"/>
        <w:jc w:val="both"/>
        <w:rPr>
          <w:noProof/>
          <w:sz w:val="20"/>
        </w:rPr>
      </w:pPr>
      <w:r>
        <w:rPr>
          <w:noProof/>
          <w:sz w:val="20"/>
        </w:rPr>
        <w:t>The access of the population to municipal waste collection schemes was only 76% in 2012, with 90% in urban and 59% in rural areas. More</w:t>
      </w:r>
      <w:r>
        <w:rPr>
          <w:noProof/>
          <w:sz w:val="20"/>
        </w:rPr>
        <w:t xml:space="preserve">over the landfills are very often substandard ones. Relatively few localities have implemented a selective waste collection system. </w:t>
      </w:r>
    </w:p>
    <w:p w:rsidR="00A22C37" w:rsidRDefault="000B1CC4">
      <w:pPr>
        <w:widowControl w:val="0"/>
        <w:spacing w:after="120" w:line="240" w:lineRule="auto"/>
        <w:jc w:val="both"/>
        <w:rPr>
          <w:noProof/>
          <w:sz w:val="20"/>
        </w:rPr>
      </w:pPr>
      <w:r>
        <w:rPr>
          <w:noProof/>
          <w:sz w:val="20"/>
        </w:rPr>
        <w:t>In 2017, the transition period granted to Romania through the Accession Treaty for the implementation of the Landfill Direc</w:t>
      </w:r>
      <w:r>
        <w:rPr>
          <w:noProof/>
          <w:sz w:val="20"/>
        </w:rPr>
        <w:t>tive is going to come to an end and Romania will thus have to close 101 non-compliant landfills. Considering the high volumes of waste which are being landfilled, Romania could be faced with a serious landfill capacity problem as of 2017 and could be infri</w:t>
      </w:r>
      <w:r>
        <w:rPr>
          <w:noProof/>
          <w:sz w:val="20"/>
        </w:rPr>
        <w:t>nging the waste legislation. Romania made use of the possibility to postpone by four year years the attainment of the 2010 50 % landfill diversion target which they reported to have met in 2014. Romania opted for a new derogation until 2020 to implement th</w:t>
      </w:r>
      <w:r>
        <w:rPr>
          <w:noProof/>
          <w:sz w:val="20"/>
        </w:rPr>
        <w:t>e 35% diversion target (effective in 2016). Romania did not report data on packaging for 2013 and 2014, it is thus not clear if the packaging targets were met.</w:t>
      </w:r>
    </w:p>
    <w:p w:rsidR="00A22C37" w:rsidRDefault="000B1CC4">
      <w:pPr>
        <w:widowControl w:val="0"/>
        <w:spacing w:after="120" w:line="240" w:lineRule="auto"/>
        <w:jc w:val="both"/>
        <w:rPr>
          <w:noProof/>
          <w:sz w:val="20"/>
        </w:rPr>
      </w:pPr>
      <w:r>
        <w:rPr>
          <w:noProof/>
          <w:sz w:val="20"/>
        </w:rPr>
        <w:t xml:space="preserve">Furthermore, Romania is late in adopting waste management plans and waste prevention programmes </w:t>
      </w:r>
      <w:r>
        <w:rPr>
          <w:noProof/>
          <w:sz w:val="20"/>
        </w:rPr>
        <w:t>(the national waste management plan was adopted in 2004 and was valid until 2013), which are the best tools to reflect on the existing policies and find realistic solutions to achieve the targets on waste management. In addition, these documents are necess</w:t>
      </w:r>
      <w:r>
        <w:rPr>
          <w:noProof/>
          <w:sz w:val="20"/>
        </w:rPr>
        <w:t>ary to secure key EU funds under the Cohesion policy (as part of the 'ex-ante conditionality criteria' on waste). The implementation gap concerning the waste management is also reflected in infringement cases for the bad application of the Landfill Directi</w:t>
      </w:r>
      <w:r>
        <w:rPr>
          <w:noProof/>
          <w:sz w:val="20"/>
        </w:rPr>
        <w:t>ve and the non-conform transposition of the Waste Framework Directive.</w:t>
      </w:r>
    </w:p>
    <w:p w:rsidR="00A22C37" w:rsidRDefault="000B1CC4">
      <w:pPr>
        <w:widowControl w:val="0"/>
        <w:spacing w:after="120" w:line="240" w:lineRule="auto"/>
        <w:jc w:val="both"/>
        <w:rPr>
          <w:noProof/>
          <w:sz w:val="20"/>
        </w:rPr>
      </w:pPr>
      <w:r>
        <w:rPr>
          <w:noProof/>
          <w:sz w:val="20"/>
          <w:lang w:eastAsia="en-GB"/>
        </w:rPr>
        <w:drawing>
          <wp:inline distT="0" distB="0" distL="0" distR="0">
            <wp:extent cx="2861954" cy="4292930"/>
            <wp:effectExtent l="0" t="0" r="0" b="0"/>
            <wp:docPr id="10" name="Picture 10" descr="P:\ENV-E2\1. ENV IMPLEMENTATION REVIEW\EIR Data management\Pictures\LIFE pictures\Pictures_by_Country2\Romania\LIFE05_NAT_RO_000176_Image 0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LIFE pictures\Pictures_by_Country2\Romania\LIFE05_NAT_RO_000176_Image 013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69103" cy="4303653"/>
                    </a:xfrm>
                    <a:prstGeom prst="rect">
                      <a:avLst/>
                    </a:prstGeom>
                    <a:noFill/>
                    <a:ln>
                      <a:noFill/>
                    </a:ln>
                  </pic:spPr>
                </pic:pic>
              </a:graphicData>
            </a:graphic>
          </wp:inline>
        </w:drawing>
      </w:r>
      <w:r>
        <w:rPr>
          <w:noProof/>
          <w:sz w:val="20"/>
        </w:rPr>
        <w:t xml:space="preserve">It is therefore not surprising that the use of the dedicated EU funds to improve waste management has been extremely low, mainly due to the lack of capacity of the final beneficiaries </w:t>
      </w:r>
      <w:r>
        <w:rPr>
          <w:noProof/>
          <w:sz w:val="20"/>
        </w:rPr>
        <w:t xml:space="preserve">to prepare and implement large investment projects, lack of ownership and due to the long times spent on tender procedures. </w:t>
      </w:r>
    </w:p>
    <w:p w:rsidR="00A22C37" w:rsidRDefault="000B1CC4">
      <w:pPr>
        <w:widowControl w:val="0"/>
        <w:spacing w:after="120" w:line="240" w:lineRule="auto"/>
        <w:jc w:val="both"/>
        <w:rPr>
          <w:noProof/>
          <w:sz w:val="20"/>
        </w:rPr>
      </w:pPr>
      <w:r>
        <w:rPr>
          <w:noProof/>
          <w:sz w:val="20"/>
        </w:rPr>
        <w:t xml:space="preserve">Estimates show that full implementation of the existing waste legislation could create more than 29,100 jobs in Romania and </w:t>
      </w:r>
      <w:r>
        <w:rPr>
          <w:noProof/>
          <w:sz w:val="20"/>
        </w:rPr>
        <w:t>increase the annual turnover of the waste sector by over EUR 3 billion. Moving towards the targets of the Roadmap on resource efficiency could create over 34,200 additional jobs and increase the annual turnover by over EUR 3.6 billion.</w:t>
      </w:r>
      <w:r>
        <w:rPr>
          <w:rFonts w:cs="Times New Roman"/>
          <w:noProof/>
          <w:sz w:val="20"/>
          <w:vertAlign w:val="superscript"/>
        </w:rPr>
        <w:footnoteReference w:id="32"/>
      </w:r>
      <w:r>
        <w:rPr>
          <w:noProof/>
          <w:sz w:val="20"/>
        </w:rPr>
        <w:t xml:space="preserve"> </w:t>
      </w:r>
    </w:p>
    <w:p w:rsidR="00A22C37" w:rsidRDefault="000B1CC4">
      <w:pPr>
        <w:widowControl w:val="0"/>
        <w:spacing w:after="120" w:line="240" w:lineRule="auto"/>
        <w:jc w:val="both"/>
        <w:rPr>
          <w:noProof/>
        </w:rPr>
      </w:pPr>
      <w:r>
        <w:rPr>
          <w:noProof/>
          <w:sz w:val="20"/>
        </w:rPr>
        <w:t xml:space="preserve">The key </w:t>
      </w:r>
      <w:r>
        <w:rPr>
          <w:noProof/>
          <w:sz w:val="20"/>
        </w:rPr>
        <w:t>recommendations (roadmap) made in 2013</w:t>
      </w:r>
      <w:r>
        <w:rPr>
          <w:rFonts w:cs="Times New Roman"/>
          <w:noProof/>
          <w:sz w:val="20"/>
          <w:vertAlign w:val="superscript"/>
        </w:rPr>
        <w:footnoteReference w:id="33"/>
      </w:r>
      <w:r>
        <w:rPr>
          <w:noProof/>
          <w:sz w:val="20"/>
        </w:rPr>
        <w:t xml:space="preserve"> in the context of the Commission's compliance promotion exercise are still largely not implemented, hence they remain valid: enforcement of the landfill tax has been postponed to 2017, whilst landfill charges (gate f</w:t>
      </w:r>
      <w:r>
        <w:rPr>
          <w:noProof/>
          <w:sz w:val="20"/>
        </w:rPr>
        <w:t>ees) are too low to divert waste towards higher ends of the waste hierarchy and make recycling and reuse economically attractive; the economic instruments in place are too limited to prompt and cover the costs of separate collection and recycling (e.g. lim</w:t>
      </w:r>
      <w:r>
        <w:rPr>
          <w:noProof/>
          <w:sz w:val="20"/>
        </w:rPr>
        <w:t>ited Extended Producer’s Responsibility, lack of 'pay-as-you-throw' schemes); separate collection (including for biodegradable waste) remains insufficien</w:t>
      </w:r>
      <w:r>
        <w:rPr>
          <w:noProof/>
        </w:rPr>
        <w:t>t.</w:t>
      </w:r>
    </w:p>
    <w:p w:rsidR="00A22C37" w:rsidRDefault="000B1CC4">
      <w:pPr>
        <w:widowControl w:val="0"/>
        <w:spacing w:after="120" w:line="240" w:lineRule="auto"/>
        <w:jc w:val="both"/>
        <w:rPr>
          <w:bCs/>
          <w:noProof/>
          <w:color w:val="1F497D" w:themeColor="text2"/>
        </w:rPr>
      </w:pPr>
      <w:r>
        <w:rPr>
          <w:bCs/>
          <w:noProof/>
          <w:color w:val="1F497D" w:themeColor="text2"/>
        </w:rPr>
        <w:t>Suggested action</w:t>
      </w:r>
    </w:p>
    <w:p w:rsidR="00A22C37" w:rsidRDefault="000B1CC4">
      <w:pPr>
        <w:pStyle w:val="NoSpacing"/>
        <w:rPr>
          <w:noProof/>
        </w:rPr>
      </w:pPr>
      <w:r>
        <w:rPr>
          <w:noProof/>
        </w:rPr>
        <w:t xml:space="preserve">Introduce a landfill tax and gradually increase it to divert recyclable waste from </w:t>
      </w:r>
      <w:r>
        <w:rPr>
          <w:noProof/>
        </w:rPr>
        <w:t>the landfills. Use the revenues to support the separate collection and alternative infrastructure in conjunction with a better allocation of the cohesion policy funds to the first steps of waste hierarchy. Avoid building excessive infrastructure for the tr</w:t>
      </w:r>
      <w:r>
        <w:rPr>
          <w:noProof/>
        </w:rPr>
        <w:t>eatment of residual waste.</w:t>
      </w:r>
    </w:p>
    <w:p w:rsidR="00A22C37" w:rsidRDefault="000B1CC4">
      <w:pPr>
        <w:pStyle w:val="NoSpacing"/>
        <w:rPr>
          <w:noProof/>
        </w:rPr>
      </w:pPr>
      <w:r>
        <w:rPr>
          <w:noProof/>
        </w:rPr>
        <w:t>Urgently address the issue of illegal landfilling.</w:t>
      </w:r>
    </w:p>
    <w:p w:rsidR="00A22C37" w:rsidRDefault="000B1CC4">
      <w:pPr>
        <w:pStyle w:val="NoSpacing"/>
        <w:rPr>
          <w:noProof/>
        </w:rPr>
      </w:pPr>
      <w:r>
        <w:rPr>
          <w:noProof/>
        </w:rPr>
        <w:t>Focus on implementation of the separate collection obligation to increase recycling rates.</w:t>
      </w:r>
    </w:p>
    <w:p w:rsidR="00A22C37" w:rsidRDefault="000B1CC4">
      <w:pPr>
        <w:pStyle w:val="NoSpacing"/>
        <w:rPr>
          <w:noProof/>
        </w:rPr>
      </w:pPr>
      <w:r>
        <w:rPr>
          <w:bCs/>
          <w:noProof/>
          <w:szCs w:val="20"/>
        </w:rPr>
        <w:t xml:space="preserve">Extend and improve the cost-effectiveness, monitoring and transparency of existing EPR </w:t>
      </w:r>
      <w:r>
        <w:rPr>
          <w:bCs/>
          <w:noProof/>
          <w:szCs w:val="20"/>
        </w:rPr>
        <w:t>schemes and eliminate free-riding.</w:t>
      </w:r>
    </w:p>
    <w:p w:rsidR="00A22C37" w:rsidRDefault="000B1CC4">
      <w:pPr>
        <w:pStyle w:val="NoSpacing"/>
        <w:rPr>
          <w:noProof/>
        </w:rPr>
      </w:pPr>
      <w:r>
        <w:rPr>
          <w:noProof/>
        </w:rPr>
        <w:t xml:space="preserve">Ensure enforcement of law related to waste. </w:t>
      </w:r>
    </w:p>
    <w:p w:rsidR="00A22C37" w:rsidRDefault="000B1CC4">
      <w:pPr>
        <w:pStyle w:val="NoSpacing"/>
        <w:numPr>
          <w:ilvl w:val="0"/>
          <w:numId w:val="38"/>
        </w:numPr>
        <w:ind w:left="170" w:hanging="170"/>
        <w:rPr>
          <w:noProof/>
        </w:rPr>
      </w:pPr>
      <w:r>
        <w:rPr>
          <w:noProof/>
        </w:rPr>
        <w:t>Complete the missing Waste Prevention Programme.</w:t>
      </w:r>
    </w:p>
    <w:p w:rsidR="00A22C37" w:rsidRDefault="00A22C37">
      <w:pPr>
        <w:widowControl w:val="0"/>
        <w:spacing w:after="120" w:line="240" w:lineRule="auto"/>
        <w:jc w:val="both"/>
        <w:rPr>
          <w:noProof/>
          <w:sz w:val="20"/>
        </w:rPr>
      </w:pPr>
    </w:p>
    <w:p w:rsidR="00A22C37" w:rsidRDefault="00A22C37">
      <w:pPr>
        <w:widowControl w:val="0"/>
        <w:spacing w:after="120" w:line="240" w:lineRule="auto"/>
        <w:jc w:val="both"/>
        <w:rPr>
          <w:noProof/>
          <w:sz w:val="20"/>
        </w:rPr>
      </w:pPr>
    </w:p>
    <w:p w:rsidR="00A22C37" w:rsidRDefault="00A22C37">
      <w:pPr>
        <w:widowControl w:val="0"/>
        <w:spacing w:after="120" w:line="240" w:lineRule="auto"/>
        <w:jc w:val="both"/>
        <w:rPr>
          <w:noProof/>
          <w:sz w:val="20"/>
        </w:rPr>
      </w:pPr>
    </w:p>
    <w:p w:rsidR="00A22C37" w:rsidRDefault="00A22C37">
      <w:pPr>
        <w:widowControl w:val="0"/>
        <w:spacing w:after="120" w:line="240" w:lineRule="auto"/>
        <w:jc w:val="both"/>
        <w:rPr>
          <w:noProof/>
          <w:sz w:val="20"/>
        </w:rPr>
      </w:pPr>
    </w:p>
    <w:p w:rsidR="00A22C37" w:rsidRDefault="00A22C37">
      <w:pPr>
        <w:widowControl w:val="0"/>
        <w:spacing w:after="120" w:line="240" w:lineRule="auto"/>
        <w:jc w:val="both"/>
        <w:rPr>
          <w:noProof/>
          <w:sz w:val="20"/>
        </w:rPr>
      </w:pPr>
    </w:p>
    <w:p w:rsidR="00A22C37" w:rsidRDefault="00A22C37">
      <w:pPr>
        <w:widowControl w:val="0"/>
        <w:spacing w:line="240" w:lineRule="auto"/>
        <w:jc w:val="both"/>
        <w:rPr>
          <w:rFonts w:cs="Times New Roman"/>
          <w:noProof/>
          <w:sz w:val="20"/>
        </w:rPr>
        <w:sectPr w:rsidR="00A22C37">
          <w:headerReference w:type="even" r:id="rId47"/>
          <w:headerReference w:type="default" r:id="rId48"/>
          <w:footerReference w:type="even" r:id="rId49"/>
          <w:footerReference w:type="default" r:id="rId50"/>
          <w:headerReference w:type="first" r:id="rId51"/>
          <w:footerReference w:type="first" r:id="rId52"/>
          <w:type w:val="continuous"/>
          <w:pgSz w:w="11906" w:h="16838"/>
          <w:pgMar w:top="1440" w:right="1080" w:bottom="1440" w:left="1080" w:header="708" w:footer="708" w:gutter="0"/>
          <w:cols w:num="2" w:space="360"/>
          <w:docGrid w:linePitch="360"/>
        </w:sectPr>
      </w:pPr>
    </w:p>
    <w:p w:rsidR="00A22C37" w:rsidRDefault="000B1CC4">
      <w:pPr>
        <w:widowControl w:val="0"/>
        <w:numPr>
          <w:ilvl w:val="0"/>
          <w:numId w:val="32"/>
        </w:numPr>
        <w:spacing w:after="0" w:line="240" w:lineRule="auto"/>
        <w:jc w:val="center"/>
        <w:outlineLvl w:val="0"/>
        <w:rPr>
          <w:rFonts w:cstheme="majorBidi"/>
          <w:b/>
          <w:bCs/>
          <w:noProof/>
          <w:color w:val="1F497D" w:themeColor="text2"/>
          <w:sz w:val="32"/>
          <w:szCs w:val="32"/>
        </w:rPr>
      </w:pPr>
      <w:bookmarkStart w:id="19" w:name="_Toc469484779"/>
      <w:r>
        <w:rPr>
          <w:rFonts w:cstheme="majorBidi"/>
          <w:b/>
          <w:bCs/>
          <w:noProof/>
          <w:color w:val="1F497D" w:themeColor="text2"/>
          <w:sz w:val="32"/>
          <w:szCs w:val="32"/>
        </w:rPr>
        <w:t>Protecting, conserving and enhancing natural capital</w:t>
      </w:r>
      <w:bookmarkEnd w:id="19"/>
    </w:p>
    <w:p w:rsidR="00A22C37" w:rsidRDefault="00A22C37">
      <w:pPr>
        <w:widowControl w:val="0"/>
        <w:spacing w:line="240" w:lineRule="auto"/>
        <w:jc w:val="both"/>
        <w:rPr>
          <w:noProof/>
          <w:sz w:val="20"/>
        </w:rPr>
      </w:pPr>
    </w:p>
    <w:p w:rsidR="00A22C37" w:rsidRDefault="00A22C37">
      <w:pPr>
        <w:widowControl w:val="0"/>
        <w:spacing w:line="240" w:lineRule="auto"/>
        <w:jc w:val="both"/>
        <w:rPr>
          <w:noProof/>
          <w:sz w:val="20"/>
        </w:rPr>
        <w:sectPr w:rsidR="00A22C37">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40" w:right="1080" w:bottom="1440" w:left="1080" w:header="708" w:footer="708" w:gutter="0"/>
          <w:cols w:space="566"/>
          <w:docGrid w:linePitch="360"/>
        </w:sectPr>
      </w:pPr>
    </w:p>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20" w:name="_Toc454460677"/>
      <w:bookmarkStart w:id="21" w:name="_Toc469484780"/>
      <w:r>
        <w:rPr>
          <w:rFonts w:eastAsia="Times New Roman"/>
          <w:b/>
          <w:noProof/>
          <w:color w:val="1F497D" w:themeColor="text2"/>
          <w:sz w:val="24"/>
          <w:lang w:eastAsia="en-GB"/>
        </w:rPr>
        <w:t>Nature and Biodiversity</w:t>
      </w:r>
      <w:bookmarkEnd w:id="20"/>
      <w:bookmarkEnd w:id="21"/>
      <w:r>
        <w:rPr>
          <w:rFonts w:eastAsia="Times New Roman"/>
          <w:b/>
          <w:noProof/>
          <w:color w:val="1F497D" w:themeColor="text2"/>
          <w:sz w:val="24"/>
          <w:lang w:eastAsia="en-GB"/>
        </w:rPr>
        <w:t xml:space="preserve"> </w:t>
      </w:r>
    </w:p>
    <w:p w:rsidR="00A22C37" w:rsidRDefault="000B1CC4">
      <w:pPr>
        <w:widowControl w:val="0"/>
        <w:shd w:val="clear" w:color="auto" w:fill="4F81BD" w:themeFill="accent1"/>
        <w:spacing w:after="60" w:line="240" w:lineRule="auto"/>
        <w:jc w:val="both"/>
        <w:rPr>
          <w:noProof/>
          <w:color w:val="FFFFFF" w:themeColor="background1"/>
          <w:sz w:val="20"/>
        </w:rPr>
      </w:pPr>
      <w:r>
        <w:rPr>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noProof/>
          <w:color w:val="FFFFFF" w:themeColor="background1"/>
          <w:sz w:val="20"/>
        </w:rPr>
        <w:t xml:space="preserve">favourable conservation status of protected species and habitats. </w:t>
      </w:r>
    </w:p>
    <w:p w:rsidR="00A22C37" w:rsidRDefault="000B1CC4">
      <w:pPr>
        <w:widowControl w:val="0"/>
        <w:shd w:val="clear" w:color="auto" w:fill="4F81BD" w:themeFill="accent1"/>
        <w:spacing w:after="60" w:line="240" w:lineRule="auto"/>
        <w:jc w:val="both"/>
        <w:rPr>
          <w:noProof/>
          <w:color w:val="FFFFFF" w:themeColor="background1"/>
          <w:sz w:val="20"/>
        </w:rPr>
      </w:pPr>
      <w:r>
        <w:rPr>
          <w:noProof/>
          <w:color w:val="FFFFFF" w:themeColor="background1"/>
          <w:sz w:val="20"/>
        </w:rPr>
        <w:t>SDG 14 requires countries to conserve and sustainably use the oceans, seas and marine resources, while SDG 15 requires countries to protect, restore and promote the sustainable use of terre</w:t>
      </w:r>
      <w:r>
        <w:rPr>
          <w:noProof/>
          <w:color w:val="FFFFFF" w:themeColor="background1"/>
          <w:sz w:val="20"/>
        </w:rPr>
        <w:t>strial ecosystems, sustainably manage forests, combat desertification, and halt and reverse land degradation and halt biodiversity loss.</w:t>
      </w:r>
    </w:p>
    <w:p w:rsidR="00A22C37" w:rsidRDefault="000B1CC4">
      <w:pPr>
        <w:widowControl w:val="0"/>
        <w:spacing w:after="120" w:line="240" w:lineRule="auto"/>
        <w:jc w:val="both"/>
        <w:rPr>
          <w:bCs/>
          <w:noProof/>
          <w:sz w:val="20"/>
          <w:szCs w:val="20"/>
          <w:lang w:val="en"/>
        </w:rPr>
      </w:pPr>
      <w:r>
        <w:rPr>
          <w:iCs/>
          <w:noProof/>
          <w:sz w:val="20"/>
        </w:rPr>
        <w:t xml:space="preserve">The 1992 EU Habitats Directive and the 1979 Birds Directive are the </w:t>
      </w:r>
      <w:r>
        <w:rPr>
          <w:iCs/>
          <w:noProof/>
          <w:sz w:val="20"/>
          <w:szCs w:val="20"/>
        </w:rPr>
        <w:t>cornerstone of the</w:t>
      </w:r>
      <w:r>
        <w:rPr>
          <w:iCs/>
          <w:noProof/>
          <w:sz w:val="20"/>
        </w:rPr>
        <w:t xml:space="preserve"> European legislation aimed at the conservation of the EU's wildlife. Natura 2000, the largest coordinated network of protected areas in the world, is the key instrument to achieve and implement the Directives' objectives</w:t>
      </w:r>
      <w:r>
        <w:rPr>
          <w:noProof/>
          <w:sz w:val="20"/>
          <w:lang w:val="en"/>
        </w:rPr>
        <w:t xml:space="preserve"> to ensure the </w:t>
      </w:r>
      <w:r>
        <w:rPr>
          <w:bCs/>
          <w:noProof/>
          <w:sz w:val="20"/>
          <w:lang w:val="en"/>
        </w:rPr>
        <w:t>long-term protection</w:t>
      </w:r>
      <w:r>
        <w:rPr>
          <w:bCs/>
          <w:noProof/>
          <w:sz w:val="20"/>
          <w:lang w:val="en"/>
        </w:rPr>
        <w:t>, conservation and survival of Europe's most valuable and threatened species and habitats</w:t>
      </w:r>
      <w:r>
        <w:rPr>
          <w:bCs/>
          <w:noProof/>
          <w:sz w:val="20"/>
          <w:szCs w:val="20"/>
          <w:lang w:val="en"/>
        </w:rPr>
        <w:t xml:space="preserve"> and the ecosystems they underpin.</w:t>
      </w:r>
    </w:p>
    <w:p w:rsidR="00A22C37" w:rsidRDefault="000B1CC4">
      <w:pPr>
        <w:widowControl w:val="0"/>
        <w:spacing w:after="120" w:line="240" w:lineRule="auto"/>
        <w:jc w:val="both"/>
        <w:rPr>
          <w:noProof/>
          <w:sz w:val="20"/>
        </w:rPr>
      </w:pPr>
      <w:r>
        <w:rPr>
          <w:noProof/>
          <w:sz w:val="20"/>
          <w:lang w:val="en"/>
        </w:rPr>
        <w:t>The adequate designation of protected sites as Special Ares of Conservation (SAC) under the Habitats Directive and as Special Protec</w:t>
      </w:r>
      <w:r>
        <w:rPr>
          <w:noProof/>
          <w:sz w:val="20"/>
          <w:lang w:val="en"/>
        </w:rPr>
        <w:t xml:space="preserve">tion Areas (SPA) under the Birds Directive is a key milestone towards meeting the objectives of the Directives. </w:t>
      </w:r>
      <w:r>
        <w:rPr>
          <w:noProof/>
          <w:sz w:val="20"/>
        </w:rPr>
        <w:t xml:space="preserve">The results of </w:t>
      </w:r>
      <w:r>
        <w:rPr>
          <w:noProof/>
          <w:sz w:val="20"/>
          <w:lang w:val="en-US"/>
        </w:rPr>
        <w:t>Habitats Directive Article 17 and Birds Directive Article 12</w:t>
      </w:r>
      <w:r>
        <w:rPr>
          <w:noProof/>
          <w:sz w:val="20"/>
        </w:rPr>
        <w:t xml:space="preserve"> reports and the progress towards adequate Sites of Community Importa</w:t>
      </w:r>
      <w:r>
        <w:rPr>
          <w:noProof/>
          <w:sz w:val="20"/>
        </w:rPr>
        <w:t>nce (SCI)-SPA and SAC designation</w:t>
      </w:r>
      <w:r>
        <w:rPr>
          <w:noProof/>
          <w:sz w:val="20"/>
          <w:vertAlign w:val="superscript"/>
        </w:rPr>
        <w:footnoteReference w:id="34"/>
      </w:r>
      <w:r>
        <w:rPr>
          <w:noProof/>
          <w:sz w:val="20"/>
        </w:rPr>
        <w:t xml:space="preserve"> </w:t>
      </w:r>
      <w:r>
        <w:rPr>
          <w:noProof/>
          <w:sz w:val="20"/>
          <w:szCs w:val="20"/>
        </w:rPr>
        <w:t xml:space="preserve">both in land and at sea, </w:t>
      </w:r>
      <w:r>
        <w:rPr>
          <w:noProof/>
          <w:sz w:val="20"/>
        </w:rPr>
        <w:t>should be the key items to measure the performance of Member States.</w:t>
      </w:r>
    </w:p>
    <w:p w:rsidR="00A22C37" w:rsidRDefault="000B1CC4">
      <w:pPr>
        <w:widowControl w:val="0"/>
        <w:spacing w:after="120" w:line="240" w:lineRule="auto"/>
        <w:jc w:val="both"/>
        <w:rPr>
          <w:rFonts w:cs="Times New Roman"/>
          <w:noProof/>
          <w:sz w:val="20"/>
          <w:lang w:eastAsia="en-GB"/>
        </w:rPr>
      </w:pPr>
      <w:r>
        <w:rPr>
          <w:noProof/>
          <w:sz w:val="20"/>
        </w:rPr>
        <w:t>By the end of 2015, 22.56% of the national land area of Romania was covered by Natura 2000 (EU average 18.1%), with Birds Direc</w:t>
      </w:r>
      <w:r>
        <w:rPr>
          <w:noProof/>
          <w:sz w:val="20"/>
        </w:rPr>
        <w:t xml:space="preserve">tive SPAs covering 14.83% (EU average 12.3%) and Habitats Directive SCIs covering 16.68% (EU average 13.8%). </w:t>
      </w:r>
      <w:r>
        <w:rPr>
          <w:rFonts w:cs="Times New Roman"/>
          <w:noProof/>
          <w:sz w:val="20"/>
        </w:rPr>
        <w:t>There were 539 Natura 2000 sites in Romania, including 9 marine sites. The terrestrial sites consisted of 148 Special Protection Areas designated u</w:t>
      </w:r>
      <w:r>
        <w:rPr>
          <w:rFonts w:cs="Times New Roman"/>
          <w:noProof/>
          <w:sz w:val="20"/>
        </w:rPr>
        <w:t>nder the Birds Directive, and 382 Sites of Community Importance (SCI´s) designated for the protection of habitats and other species.</w:t>
      </w:r>
      <w:r>
        <w:rPr>
          <w:rFonts w:cs="Times New Roman"/>
          <w:noProof/>
          <w:sz w:val="20"/>
          <w:lang w:eastAsia="en-GB"/>
        </w:rPr>
        <w:t xml:space="preserve"> In 2016 Romania resumed the designation process by designating new SPAs and proposing new pSCIs</w:t>
      </w:r>
    </w:p>
    <w:p w:rsidR="00A22C37" w:rsidRDefault="000B1CC4">
      <w:pPr>
        <w:widowControl w:val="0"/>
        <w:spacing w:after="120" w:line="240" w:lineRule="auto"/>
        <w:jc w:val="both"/>
        <w:rPr>
          <w:rFonts w:eastAsia="Calibri" w:cs="Times New Roman"/>
          <w:noProof/>
          <w:sz w:val="20"/>
        </w:rPr>
      </w:pPr>
      <w:r>
        <w:rPr>
          <w:rFonts w:cs="Times New Roman"/>
          <w:noProof/>
          <w:sz w:val="20"/>
        </w:rPr>
        <w:t>The implementation of the N</w:t>
      </w:r>
      <w:r>
        <w:rPr>
          <w:rFonts w:cs="Times New Roman"/>
          <w:noProof/>
          <w:sz w:val="20"/>
        </w:rPr>
        <w:t xml:space="preserve">ature Directives represents a considerable challenge for the country. The Romanian administration of Natura 2000 appears to struggle with a lack of administrative capacity and there are also problems due to a lack of knowledge and data. Only a minority of </w:t>
      </w:r>
      <w:r>
        <w:rPr>
          <w:rFonts w:cs="Times New Roman"/>
          <w:noProof/>
          <w:sz w:val="20"/>
        </w:rPr>
        <w:t>the Natura 2000 sites are managed by professional bodies, the majority having only voluntary administrators. A specialised agency responsible for the Natura 2000 sites in Romania has been discussed since its accession to the EU but has not concretized.</w:t>
      </w:r>
      <w:r>
        <w:rPr>
          <w:rFonts w:eastAsia="Calibri" w:cs="Times New Roman"/>
          <w:noProof/>
          <w:sz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tblGrid>
      <w:tr w:rsidR="00A22C37">
        <w:tc>
          <w:tcPr>
            <w:tcW w:w="4805" w:type="dxa"/>
            <w:hideMark/>
          </w:tcPr>
          <w:p w:rsidR="00A22C37" w:rsidRDefault="000B1CC4">
            <w:pPr>
              <w:widowControl w:val="0"/>
              <w:spacing w:after="120"/>
              <w:rPr>
                <w:b/>
                <w:bCs/>
                <w:noProof/>
                <w:color w:val="1F497D" w:themeColor="text2"/>
              </w:rPr>
            </w:pPr>
            <w:r>
              <w:rPr>
                <w:b/>
                <w:bCs/>
                <w:noProof/>
                <w:color w:val="1F497D" w:themeColor="text2"/>
                <w:sz w:val="20"/>
              </w:rPr>
              <w:t>Fi</w:t>
            </w:r>
            <w:r>
              <w:rPr>
                <w:b/>
                <w:bCs/>
                <w:noProof/>
                <w:color w:val="1F497D" w:themeColor="text2"/>
                <w:sz w:val="20"/>
              </w:rPr>
              <w:t xml:space="preserve">gure 5: </w:t>
            </w:r>
            <w:r>
              <w:rPr>
                <w:b/>
                <w:noProof/>
                <w:color w:val="1F497D" w:themeColor="text2"/>
                <w:sz w:val="20"/>
              </w:rPr>
              <w:t>Sufficiency assessment of SCI networks in Romania based on the situation until December 2013 (%)</w:t>
            </w:r>
            <w:r>
              <w:rPr>
                <w:b/>
                <w:bCs/>
                <w:noProof/>
                <w:color w:val="1F497D" w:themeColor="text2"/>
                <w:sz w:val="20"/>
                <w:vertAlign w:val="superscript"/>
              </w:rPr>
              <w:footnoteReference w:id="35"/>
            </w:r>
          </w:p>
        </w:tc>
      </w:tr>
      <w:tr w:rsidR="00A22C37">
        <w:tc>
          <w:tcPr>
            <w:tcW w:w="4805" w:type="dxa"/>
          </w:tcPr>
          <w:p w:rsidR="00A22C37" w:rsidRDefault="000B1CC4">
            <w:pPr>
              <w:widowControl w:val="0"/>
              <w:spacing w:after="120"/>
              <w:rPr>
                <w:rFonts w:ascii="Times New Roman" w:hAnsi="Times New Roman"/>
                <w:noProof/>
              </w:rPr>
            </w:pPr>
            <w:r>
              <w:rPr>
                <w:rFonts w:ascii="Times New Roman" w:hAnsi="Times New Roman"/>
                <w:noProof/>
                <w:lang w:eastAsia="en-GB"/>
              </w:rPr>
              <w:drawing>
                <wp:anchor distT="0" distB="0" distL="114300" distR="114300" simplePos="0" relativeHeight="251659264" behindDoc="0" locked="0" layoutInCell="1" allowOverlap="1">
                  <wp:simplePos x="3954780" y="4763135"/>
                  <wp:positionH relativeFrom="margin">
                    <wp:align>center</wp:align>
                  </wp:positionH>
                  <wp:positionV relativeFrom="margin">
                    <wp:align>center</wp:align>
                  </wp:positionV>
                  <wp:extent cx="2622550" cy="2699385"/>
                  <wp:effectExtent l="0" t="0" r="635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2550" cy="2699385"/>
                          </a:xfrm>
                          <a:prstGeom prst="rect">
                            <a:avLst/>
                          </a:prstGeom>
                          <a:noFill/>
                        </pic:spPr>
                      </pic:pic>
                    </a:graphicData>
                  </a:graphic>
                </wp:anchor>
              </w:drawing>
            </w:r>
          </w:p>
        </w:tc>
      </w:tr>
    </w:tbl>
    <w:p w:rsidR="00A22C37" w:rsidRDefault="000B1CC4">
      <w:pPr>
        <w:widowControl w:val="0"/>
        <w:spacing w:after="120" w:line="240" w:lineRule="auto"/>
        <w:jc w:val="both"/>
        <w:rPr>
          <w:noProof/>
          <w:sz w:val="20"/>
        </w:rPr>
      </w:pPr>
      <w:r>
        <w:rPr>
          <w:rFonts w:cs="Times New Roman"/>
          <w:noProof/>
          <w:sz w:val="20"/>
        </w:rPr>
        <w:t xml:space="preserve">The implementation of Natura 2000 goals is further affected by a lack of spatial planning. </w:t>
      </w:r>
      <w:r>
        <w:rPr>
          <w:noProof/>
          <w:sz w:val="20"/>
        </w:rPr>
        <w:t xml:space="preserve">The 2015 assessment of the SCI part of the Natura 2000 </w:t>
      </w:r>
      <w:r>
        <w:rPr>
          <w:noProof/>
          <w:sz w:val="20"/>
        </w:rPr>
        <w:t>network showed that there were insufficiencies in designation</w:t>
      </w:r>
      <w:r>
        <w:rPr>
          <w:noProof/>
          <w:sz w:val="20"/>
          <w:szCs w:val="20"/>
          <w:vertAlign w:val="superscript"/>
          <w:lang w:val="en"/>
        </w:rPr>
        <w:footnoteReference w:id="36"/>
      </w:r>
      <w:r>
        <w:rPr>
          <w:noProof/>
          <w:sz w:val="20"/>
        </w:rPr>
        <w:t xml:space="preserve"> as depicted in </w:t>
      </w:r>
      <w:r>
        <w:rPr>
          <w:rFonts w:cs="Times New Roman"/>
          <w:noProof/>
          <w:sz w:val="20"/>
        </w:rPr>
        <w:t>Figure 5</w:t>
      </w:r>
      <w:r>
        <w:rPr>
          <w:rStyle w:val="FootnoteReference"/>
          <w:rFonts w:cs="Times New Roman"/>
          <w:noProof/>
          <w:sz w:val="20"/>
        </w:rPr>
        <w:footnoteReference w:id="37"/>
      </w:r>
      <w:r>
        <w:rPr>
          <w:rFonts w:cs="Times New Roman"/>
          <w:noProof/>
          <w:sz w:val="20"/>
        </w:rPr>
        <w:t>. The sufficiency of the 2016 designation is currently being assessed.</w:t>
      </w:r>
    </w:p>
    <w:p w:rsidR="00A22C37" w:rsidRDefault="000B1CC4">
      <w:pPr>
        <w:widowControl w:val="0"/>
        <w:autoSpaceDE w:val="0"/>
        <w:autoSpaceDN w:val="0"/>
        <w:adjustRightInd w:val="0"/>
        <w:spacing w:after="120" w:line="240" w:lineRule="auto"/>
        <w:jc w:val="both"/>
        <w:rPr>
          <w:noProof/>
          <w:sz w:val="20"/>
          <w:szCs w:val="20"/>
        </w:rPr>
      </w:pPr>
      <w:r>
        <w:rPr>
          <w:rFonts w:eastAsia="Calibri"/>
          <w:noProof/>
          <w:sz w:val="20"/>
          <w:szCs w:val="20"/>
        </w:rPr>
        <w:t>According to the latest report on the conservation status of habitats and species covered by the H</w:t>
      </w:r>
      <w:r>
        <w:rPr>
          <w:rFonts w:eastAsia="Calibri"/>
          <w:noProof/>
          <w:sz w:val="20"/>
          <w:szCs w:val="20"/>
        </w:rPr>
        <w:t>abitats Directive</w:t>
      </w:r>
      <w:r>
        <w:rPr>
          <w:rFonts w:eastAsia="Calibri"/>
          <w:noProof/>
          <w:sz w:val="20"/>
          <w:szCs w:val="20"/>
          <w:vertAlign w:val="superscript"/>
        </w:rPr>
        <w:footnoteReference w:id="38"/>
      </w:r>
      <w:r>
        <w:rPr>
          <w:rFonts w:eastAsia="Calibri"/>
          <w:noProof/>
          <w:sz w:val="20"/>
          <w:szCs w:val="20"/>
        </w:rPr>
        <w:t xml:space="preserve">, </w:t>
      </w:r>
      <w:r>
        <w:rPr>
          <w:noProof/>
          <w:sz w:val="20"/>
          <w:szCs w:val="20"/>
        </w:rPr>
        <w:t>63% of the habitats' biogeographic assessments were favourable in 2013 (EU 27: 16 %). On the other hand, 28 % are considered to be unfavourable–inadequate</w:t>
      </w:r>
      <w:r>
        <w:rPr>
          <w:noProof/>
          <w:sz w:val="20"/>
          <w:szCs w:val="20"/>
          <w:vertAlign w:val="superscript"/>
        </w:rPr>
        <w:footnoteReference w:id="39"/>
      </w:r>
      <w:r>
        <w:rPr>
          <w:noProof/>
          <w:sz w:val="20"/>
          <w:szCs w:val="20"/>
        </w:rPr>
        <w:t xml:space="preserve"> (EU27: 47%) and 7 % are unfavourable – bad (EU27: 30%). </w:t>
      </w:r>
    </w:p>
    <w:tbl>
      <w:tblPr>
        <w:tblStyle w:val="TableGrid2"/>
        <w:tblW w:w="4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tblGrid>
      <w:tr w:rsidR="00A22C37">
        <w:trPr>
          <w:trHeight w:val="139"/>
        </w:trPr>
        <w:tc>
          <w:tcPr>
            <w:tcW w:w="4656" w:type="dxa"/>
            <w:hideMark/>
          </w:tcPr>
          <w:p w:rsidR="00A22C37" w:rsidRDefault="000B1CC4">
            <w:pPr>
              <w:widowControl w:val="0"/>
              <w:spacing w:after="120"/>
              <w:rPr>
                <w:b/>
                <w:bCs/>
                <w:noProof/>
                <w:color w:val="1F497D" w:themeColor="text2"/>
              </w:rPr>
            </w:pPr>
            <w:r>
              <w:rPr>
                <w:b/>
                <w:bCs/>
                <w:noProof/>
                <w:color w:val="1F497D" w:themeColor="text2"/>
                <w:sz w:val="20"/>
              </w:rPr>
              <w:t xml:space="preserve">Figure 6: Conservation </w:t>
            </w:r>
            <w:r>
              <w:rPr>
                <w:b/>
                <w:bCs/>
                <w:noProof/>
                <w:color w:val="1F497D" w:themeColor="text2"/>
                <w:sz w:val="20"/>
              </w:rPr>
              <w:t>status of habitats and species in Romania in 2007/2013 (%)</w:t>
            </w:r>
            <w:r>
              <w:rPr>
                <w:b/>
                <w:bCs/>
                <w:noProof/>
                <w:color w:val="1F497D" w:themeColor="text2"/>
                <w:sz w:val="20"/>
                <w:vertAlign w:val="superscript"/>
              </w:rPr>
              <w:footnoteReference w:id="40"/>
            </w:r>
          </w:p>
        </w:tc>
      </w:tr>
      <w:tr w:rsidR="00A22C37">
        <w:trPr>
          <w:trHeight w:val="2558"/>
        </w:trPr>
        <w:tc>
          <w:tcPr>
            <w:tcW w:w="4656" w:type="dxa"/>
          </w:tcPr>
          <w:p w:rsidR="00A22C37" w:rsidRDefault="000B1CC4">
            <w:pPr>
              <w:widowControl w:val="0"/>
              <w:spacing w:after="120"/>
              <w:rPr>
                <w:rFonts w:ascii="Times New Roman" w:hAnsi="Times New Roman"/>
                <w:noProof/>
              </w:rPr>
            </w:pPr>
            <w:r>
              <w:rPr>
                <w:rFonts w:ascii="Times New Roman" w:hAnsi="Times New Roman"/>
                <w:noProof/>
                <w:lang w:eastAsia="en-GB"/>
              </w:rPr>
              <w:drawing>
                <wp:anchor distT="0" distB="0" distL="114300" distR="114300" simplePos="0" relativeHeight="251660288" behindDoc="0" locked="0" layoutInCell="1" allowOverlap="1">
                  <wp:simplePos x="3891280" y="1009650"/>
                  <wp:positionH relativeFrom="margin">
                    <wp:align>center</wp:align>
                  </wp:positionH>
                  <wp:positionV relativeFrom="margin">
                    <wp:align>top</wp:align>
                  </wp:positionV>
                  <wp:extent cx="2817495" cy="305181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17495" cy="3051810"/>
                          </a:xfrm>
                          <a:prstGeom prst="rect">
                            <a:avLst/>
                          </a:prstGeom>
                          <a:noFill/>
                        </pic:spPr>
                      </pic:pic>
                    </a:graphicData>
                  </a:graphic>
                </wp:anchor>
              </w:drawing>
            </w:r>
          </w:p>
        </w:tc>
      </w:tr>
    </w:tbl>
    <w:p w:rsidR="00A22C37" w:rsidRDefault="000B1CC4">
      <w:pPr>
        <w:widowControl w:val="0"/>
        <w:spacing w:after="120" w:line="240" w:lineRule="auto"/>
        <w:jc w:val="both"/>
        <w:rPr>
          <w:noProof/>
          <w:sz w:val="20"/>
        </w:rPr>
      </w:pPr>
      <w:r>
        <w:rPr>
          <w:noProof/>
          <w:sz w:val="20"/>
          <w:szCs w:val="20"/>
        </w:rPr>
        <w:t>As for the species, 19 % of the assessments were favourable in 2013 (EU 27: 23%), 66 % unfavourable-inadequate (EU27: 42%), and 6% unfavourable-bad (EU27: 18%). This is depicted in Figure 6</w:t>
      </w:r>
      <w:r>
        <w:rPr>
          <w:noProof/>
          <w:sz w:val="20"/>
          <w:szCs w:val="20"/>
          <w:vertAlign w:val="superscript"/>
        </w:rPr>
        <w:footnoteReference w:id="41"/>
      </w:r>
      <w:r>
        <w:rPr>
          <w:noProof/>
          <w:sz w:val="20"/>
          <w:szCs w:val="20"/>
        </w:rPr>
        <w:t xml:space="preserve">. </w:t>
      </w:r>
      <w:r>
        <w:rPr>
          <w:noProof/>
          <w:sz w:val="20"/>
          <w:szCs w:val="20"/>
        </w:rPr>
        <w:t>No unfavourable assessments for species and habitats were showing a positive trend in 2013.</w:t>
      </w:r>
      <w:r>
        <w:rPr>
          <w:noProof/>
          <w:sz w:val="20"/>
        </w:rPr>
        <w:t xml:space="preserve"> </w:t>
      </w:r>
    </w:p>
    <w:p w:rsidR="00A22C37" w:rsidRDefault="000B1CC4">
      <w:pPr>
        <w:widowControl w:val="0"/>
        <w:spacing w:after="120" w:line="240" w:lineRule="auto"/>
        <w:jc w:val="both"/>
        <w:rPr>
          <w:noProof/>
          <w:sz w:val="20"/>
        </w:rPr>
      </w:pPr>
      <w:r>
        <w:rPr>
          <w:noProof/>
          <w:sz w:val="20"/>
        </w:rPr>
        <w:t>Figure 7 depicts that, as far as birds are concerned, only 13% of the breeding species showed short-term increasing or stable population trends (for wintering spec</w:t>
      </w:r>
      <w:r>
        <w:rPr>
          <w:noProof/>
          <w:sz w:val="20"/>
        </w:rPr>
        <w:t xml:space="preserve">ies this figure was 27%). </w:t>
      </w:r>
    </w:p>
    <w:tbl>
      <w:tblPr>
        <w:tblStyle w:val="TableGrid2"/>
        <w:tblpPr w:leftFromText="180" w:rightFromText="180" w:vertAnchor="text" w:horzAnchor="margin" w:tblpXSpec="right"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tblGrid>
      <w:tr w:rsidR="00A22C37">
        <w:tc>
          <w:tcPr>
            <w:tcW w:w="4866" w:type="dxa"/>
            <w:hideMark/>
          </w:tcPr>
          <w:p w:rsidR="00A22C37" w:rsidRDefault="000B1CC4">
            <w:pPr>
              <w:widowControl w:val="0"/>
              <w:spacing w:after="120"/>
              <w:rPr>
                <w:rFonts w:ascii="Times New Roman" w:hAnsi="Times New Roman"/>
                <w:noProof/>
                <w:color w:val="1F497D" w:themeColor="text2"/>
              </w:rPr>
            </w:pPr>
            <w:r>
              <w:rPr>
                <w:b/>
                <w:bCs/>
                <w:noProof/>
                <w:color w:val="1F497D" w:themeColor="text2"/>
                <w:sz w:val="20"/>
              </w:rPr>
              <w:t>Figure 7: Short-term population trend of breeding and wintering bird species in Romania in 2012 (%)</w:t>
            </w:r>
            <w:r>
              <w:rPr>
                <w:b/>
                <w:bCs/>
                <w:noProof/>
                <w:color w:val="1F497D" w:themeColor="text2"/>
                <w:sz w:val="20"/>
                <w:vertAlign w:val="superscript"/>
              </w:rPr>
              <w:footnoteReference w:id="42"/>
            </w:r>
          </w:p>
        </w:tc>
      </w:tr>
      <w:tr w:rsidR="00A22C37">
        <w:tc>
          <w:tcPr>
            <w:tcW w:w="4866" w:type="dxa"/>
          </w:tcPr>
          <w:p w:rsidR="00A22C37" w:rsidRDefault="000B1CC4">
            <w:pPr>
              <w:widowControl w:val="0"/>
              <w:spacing w:after="120"/>
              <w:rPr>
                <w:rFonts w:ascii="Times New Roman" w:hAnsi="Times New Roman"/>
                <w:noProof/>
              </w:rPr>
            </w:pPr>
            <w:r>
              <w:rPr>
                <w:rFonts w:ascii="Times New Roman" w:hAnsi="Times New Roman"/>
                <w:noProof/>
                <w:lang w:eastAsia="en-GB"/>
              </w:rPr>
              <w:drawing>
                <wp:inline distT="0" distB="0" distL="0" distR="0">
                  <wp:extent cx="2950501" cy="2126511"/>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0473" cy="2126491"/>
                          </a:xfrm>
                          <a:prstGeom prst="rect">
                            <a:avLst/>
                          </a:prstGeom>
                          <a:noFill/>
                        </pic:spPr>
                      </pic:pic>
                    </a:graphicData>
                  </a:graphic>
                </wp:inline>
              </w:drawing>
            </w:r>
          </w:p>
        </w:tc>
      </w:tr>
    </w:tbl>
    <w:p w:rsidR="00A22C37" w:rsidRDefault="000B1CC4">
      <w:pPr>
        <w:widowControl w:val="0"/>
        <w:spacing w:after="120" w:line="240" w:lineRule="auto"/>
        <w:jc w:val="both"/>
        <w:rPr>
          <w:noProof/>
          <w:sz w:val="20"/>
          <w:szCs w:val="20"/>
        </w:rPr>
      </w:pPr>
      <w:r>
        <w:rPr>
          <w:noProof/>
          <w:sz w:val="20"/>
        </w:rPr>
        <w:t>The elaboration of Natura 2000 management plans was supported from a dedicated budget line under the 2007-2013 Operational Programme Environment administered by the Ministry of Environment. By the end of 2016 altogether 201 management plans were approved b</w:t>
      </w:r>
      <w:r>
        <w:rPr>
          <w:noProof/>
          <w:sz w:val="20"/>
        </w:rPr>
        <w:t xml:space="preserve">y the Romanian authorities. On the other hand </w:t>
      </w:r>
      <w:r>
        <w:rPr>
          <w:noProof/>
          <w:sz w:val="20"/>
          <w:szCs w:val="20"/>
        </w:rPr>
        <w:t xml:space="preserve">no SAC was designated by that date. </w:t>
      </w:r>
    </w:p>
    <w:p w:rsidR="00A22C37" w:rsidRDefault="000B1CC4">
      <w:pPr>
        <w:widowControl w:val="0"/>
        <w:spacing w:after="120" w:line="240" w:lineRule="auto"/>
        <w:jc w:val="both"/>
        <w:rPr>
          <w:noProof/>
          <w:sz w:val="20"/>
        </w:rPr>
      </w:pPr>
      <w:r>
        <w:rPr>
          <w:noProof/>
          <w:sz w:val="20"/>
        </w:rPr>
        <w:t>It was found that habitats in Romania have achieved the best conservation status in the EU, while the conservation status of species is the worst.</w:t>
      </w:r>
      <w:r>
        <w:rPr>
          <w:noProof/>
          <w:sz w:val="16"/>
          <w:szCs w:val="16"/>
        </w:rPr>
        <w:t xml:space="preserve"> </w:t>
      </w:r>
      <w:r>
        <w:rPr>
          <w:noProof/>
          <w:sz w:val="20"/>
        </w:rPr>
        <w:t xml:space="preserve">The implications of these </w:t>
      </w:r>
      <w:r>
        <w:rPr>
          <w:noProof/>
          <w:sz w:val="20"/>
        </w:rPr>
        <w:t xml:space="preserve">findings are still to be fully addressed in the protection and management of the Natura 2000 sites. </w:t>
      </w:r>
    </w:p>
    <w:p w:rsidR="00A22C37" w:rsidRDefault="000B1CC4">
      <w:pPr>
        <w:spacing w:after="120" w:line="240" w:lineRule="auto"/>
        <w:jc w:val="both"/>
        <w:rPr>
          <w:noProof/>
          <w:sz w:val="20"/>
        </w:rPr>
      </w:pPr>
      <w:r>
        <w:rPr>
          <w:noProof/>
          <w:sz w:val="20"/>
        </w:rPr>
        <w:t>In addition, the media have been reporting repeatedly about significant illegal logging in the country. The Commission is still assessing these reports, as</w:t>
      </w:r>
      <w:r>
        <w:rPr>
          <w:noProof/>
          <w:sz w:val="20"/>
        </w:rPr>
        <w:t xml:space="preserve"> well as the initiatives reported by the Romanian Government to fight illegal logging through extended administrative measures aimed at improving checking/inspection capacity and the legal framework. The Integrated Information System for Wood Tracking (SUM</w:t>
      </w:r>
      <w:r>
        <w:rPr>
          <w:noProof/>
          <w:sz w:val="20"/>
        </w:rPr>
        <w:t>AL) has been improved by enabling the public to report to the emergency number 112 any vehicles suspected to be loaded with wood materials of illegal origin.</w:t>
      </w:r>
    </w:p>
    <w:p w:rsidR="00A22C37" w:rsidRDefault="000B1CC4">
      <w:pPr>
        <w:spacing w:line="240" w:lineRule="auto"/>
        <w:jc w:val="both"/>
        <w:rPr>
          <w:noProof/>
          <w:sz w:val="20"/>
        </w:rPr>
      </w:pPr>
      <w:r>
        <w:rPr>
          <w:noProof/>
          <w:sz w:val="20"/>
        </w:rPr>
        <w:t>Beyond Natura 2000 areas, the natural environment of Romania is characterized by a variety of trad</w:t>
      </w:r>
      <w:r>
        <w:rPr>
          <w:noProof/>
          <w:sz w:val="20"/>
        </w:rPr>
        <w:t>itional landscapes. Extensively managed, high-nature value farmland and forests support remarkable biological diversity, but such areas are under threat due to agricultural intensification and the abandonment of traditional, extensive management practices.</w:t>
      </w:r>
    </w:p>
    <w:p w:rsidR="00A22C37" w:rsidRDefault="000B1CC4">
      <w:pPr>
        <w:widowControl w:val="0"/>
        <w:spacing w:after="120" w:line="240" w:lineRule="auto"/>
        <w:jc w:val="both"/>
        <w:rPr>
          <w:noProof/>
          <w:sz w:val="20"/>
        </w:rPr>
      </w:pPr>
      <w:r>
        <w:rPr>
          <w:noProof/>
          <w:sz w:val="20"/>
        </w:rPr>
        <w:t xml:space="preserve">. </w:t>
      </w:r>
    </w:p>
    <w:p w:rsidR="00A22C37" w:rsidRDefault="000B1CC4">
      <w:pPr>
        <w:widowControl w:val="0"/>
        <w:spacing w:after="120" w:line="240" w:lineRule="auto"/>
        <w:jc w:val="both"/>
        <w:rPr>
          <w:noProof/>
          <w:sz w:val="20"/>
        </w:rPr>
      </w:pPr>
      <w:r>
        <w:rPr>
          <w:noProof/>
          <w:sz w:val="20"/>
          <w:lang w:eastAsia="en-GB"/>
        </w:rPr>
        <w:drawing>
          <wp:inline distT="0" distB="0" distL="0" distR="0">
            <wp:extent cx="2980690" cy="2230719"/>
            <wp:effectExtent l="0" t="0" r="0" b="0"/>
            <wp:docPr id="21" name="Picture 21" descr="P:\ENV-E2\1. ENV IMPLEMENTATION REVIEW\EIR Data management\Pictures\LIFE pictures\Pictures_by_Country2\Romania\LIFE04_NAT_RO_000225_HPIM8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NV-E2\1. ENV IMPLEMENTATION REVIEW\EIR Data management\Pictures\LIFE pictures\Pictures_by_Country2\Romania\LIFE04_NAT_RO_000225_HPIM884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80690" cy="2230719"/>
                    </a:xfrm>
                    <a:prstGeom prst="rect">
                      <a:avLst/>
                    </a:prstGeom>
                    <a:noFill/>
                    <a:ln>
                      <a:noFill/>
                    </a:ln>
                  </pic:spPr>
                </pic:pic>
              </a:graphicData>
            </a:graphic>
          </wp:inline>
        </w:drawing>
      </w:r>
    </w:p>
    <w:p w:rsidR="00A22C37" w:rsidRDefault="000B1CC4">
      <w:pPr>
        <w:widowControl w:val="0"/>
        <w:spacing w:after="120" w:line="240" w:lineRule="auto"/>
        <w:jc w:val="both"/>
        <w:rPr>
          <w:rFonts w:ascii="Times New Roman" w:hAnsi="Times New Roman" w:cs="Times New Roman"/>
          <w:noProof/>
          <w:sz w:val="20"/>
        </w:rPr>
      </w:pPr>
      <w:r>
        <w:rPr>
          <w:bCs/>
          <w:noProof/>
          <w:color w:val="1F497D" w:themeColor="text2"/>
        </w:rPr>
        <w:t>Suggested action</w:t>
      </w:r>
    </w:p>
    <w:p w:rsidR="00A22C37" w:rsidRDefault="000B1CC4">
      <w:pPr>
        <w:pStyle w:val="NoSpacing"/>
        <w:rPr>
          <w:noProof/>
        </w:rPr>
      </w:pPr>
      <w:r>
        <w:rPr>
          <w:noProof/>
          <w:szCs w:val="20"/>
        </w:rPr>
        <w:t xml:space="preserve">Complete the Natura 2000 designation process and put in place clearly defined conservation objectives </w:t>
      </w:r>
      <w:r>
        <w:rPr>
          <w:noProof/>
        </w:rPr>
        <w:t xml:space="preserve">and the necessary conservation measures for the sites, and provide adequate resources for their implementation in order to </w:t>
      </w:r>
      <w:r>
        <w:rPr>
          <w:noProof/>
        </w:rPr>
        <w:t>maintain/restore species and habitats of community interest to a favourable conservation status across their natural range.</w:t>
      </w:r>
    </w:p>
    <w:p w:rsidR="00A22C37" w:rsidRDefault="000B1CC4">
      <w:pPr>
        <w:pStyle w:val="NoSpacing"/>
        <w:rPr>
          <w:noProof/>
        </w:rPr>
      </w:pPr>
      <w:r>
        <w:rPr>
          <w:noProof/>
        </w:rPr>
        <w:t>Strengthen the administrative capacity to improve the designation and management of protected sites.</w:t>
      </w:r>
      <w:r>
        <w:rPr>
          <w:noProof/>
          <w:szCs w:val="20"/>
        </w:rPr>
        <w:t xml:space="preserve"> Strengthen communication with s</w:t>
      </w:r>
      <w:r>
        <w:rPr>
          <w:noProof/>
          <w:szCs w:val="20"/>
        </w:rPr>
        <w:t>takeholders.</w:t>
      </w:r>
    </w:p>
    <w:p w:rsidR="00A22C37" w:rsidRDefault="000B1CC4">
      <w:pPr>
        <w:pStyle w:val="NoSpacing"/>
        <w:rPr>
          <w:noProof/>
        </w:rPr>
      </w:pPr>
      <w:r>
        <w:rPr>
          <w:noProof/>
        </w:rPr>
        <w:t>Enhance efforts to collect reliable data and to improve the quality of the assessments.</w:t>
      </w:r>
    </w:p>
    <w:p w:rsidR="00A22C37" w:rsidRDefault="000B1CC4">
      <w:pPr>
        <w:pStyle w:val="NoSpacing"/>
        <w:spacing w:after="240"/>
        <w:rPr>
          <w:noProof/>
        </w:rPr>
      </w:pPr>
      <w:r>
        <w:rPr>
          <w:noProof/>
        </w:rPr>
        <w:t xml:space="preserve">Mitigate the current pressures on natural resources caused by the intensification of agriculture, by proper funding of agri-environmental measures under the Rural Development Programme and especially for the maintenance of High Nature Value Farming. </w:t>
      </w:r>
    </w:p>
    <w:p w:rsidR="00A22C37" w:rsidRDefault="000B1CC4">
      <w:pPr>
        <w:widowControl w:val="0"/>
        <w:spacing w:after="120" w:line="240" w:lineRule="auto"/>
        <w:jc w:val="both"/>
        <w:outlineLvl w:val="1"/>
        <w:rPr>
          <w:rFonts w:eastAsia="Times New Roman"/>
          <w:b/>
          <w:noProof/>
          <w:color w:val="1F497D" w:themeColor="text2"/>
          <w:lang w:eastAsia="en-GB"/>
        </w:rPr>
      </w:pPr>
      <w:bookmarkStart w:id="22" w:name="_Toc454813110"/>
      <w:bookmarkStart w:id="23" w:name="_Toc469484781"/>
      <w:r>
        <w:rPr>
          <w:rFonts w:eastAsia="Times New Roman"/>
          <w:b/>
          <w:noProof/>
          <w:color w:val="1F497D" w:themeColor="text2"/>
          <w:lang w:eastAsia="en-GB"/>
        </w:rPr>
        <w:t>Estim</w:t>
      </w:r>
      <w:r>
        <w:rPr>
          <w:rFonts w:eastAsia="Times New Roman"/>
          <w:b/>
          <w:noProof/>
          <w:color w:val="1F497D" w:themeColor="text2"/>
          <w:lang w:eastAsia="en-GB"/>
        </w:rPr>
        <w:t>ating Natural Capital</w:t>
      </w:r>
      <w:bookmarkEnd w:id="22"/>
      <w:bookmarkEnd w:id="23"/>
      <w:r>
        <w:rPr>
          <w:rFonts w:eastAsia="Times New Roman"/>
          <w:b/>
          <w:noProof/>
          <w:color w:val="1F497D" w:themeColor="text2"/>
          <w:lang w:eastAsia="en-GB"/>
        </w:rPr>
        <w:t xml:space="preserve"> </w:t>
      </w:r>
    </w:p>
    <w:p w:rsidR="00A22C37" w:rsidRDefault="000B1CC4">
      <w:pPr>
        <w:widowControl w:val="0"/>
        <w:spacing w:after="120" w:line="240" w:lineRule="auto"/>
        <w:jc w:val="both"/>
        <w:rPr>
          <w:rFonts w:cs="Arial"/>
          <w:noProof/>
          <w:sz w:val="20"/>
        </w:rPr>
      </w:pPr>
      <w:r>
        <w:rPr>
          <w:rFonts w:cs="Arial"/>
          <w:noProof/>
          <w:sz w:val="20"/>
        </w:rPr>
        <w:t>The EU Biodiversity Strategy to 2020 calls on the Member States to map and assess the state of ecosystems and their services in their national territory by 2014, assess the economic value of such services, and promote the integration</w:t>
      </w:r>
      <w:r>
        <w:rPr>
          <w:rFonts w:cs="Arial"/>
          <w:noProof/>
          <w:sz w:val="20"/>
        </w:rPr>
        <w:t xml:space="preserve"> of these values into accounting and reporting systems at EU and national level by 2020.</w:t>
      </w:r>
    </w:p>
    <w:p w:rsidR="00A22C37" w:rsidRDefault="000B1CC4">
      <w:pPr>
        <w:widowControl w:val="0"/>
        <w:spacing w:after="120" w:line="240" w:lineRule="auto"/>
        <w:jc w:val="both"/>
        <w:rPr>
          <w:rFonts w:ascii="Arial" w:eastAsia="Times New Roman" w:hAnsi="Arial" w:cs="Arial"/>
          <w:noProof/>
          <w:sz w:val="24"/>
          <w:szCs w:val="24"/>
          <w:lang w:val="en" w:eastAsia="en-GB"/>
        </w:rPr>
      </w:pPr>
      <w:r>
        <w:rPr>
          <w:rFonts w:eastAsia="Times New Roman" w:cs="Arial"/>
          <w:noProof/>
          <w:sz w:val="20"/>
          <w:szCs w:val="20"/>
          <w:lang w:val="en" w:eastAsia="en-GB"/>
        </w:rPr>
        <w:t xml:space="preserve">At the country level, a project on </w:t>
      </w:r>
      <w:r>
        <w:rPr>
          <w:rFonts w:eastAsia="Times New Roman" w:cs="Arial"/>
          <w:iCs/>
          <w:noProof/>
          <w:sz w:val="20"/>
          <w:szCs w:val="20"/>
          <w:lang w:val="en" w:eastAsia="en-GB"/>
        </w:rPr>
        <w:t>"Demonstrating and</w:t>
      </w:r>
      <w:r>
        <w:rPr>
          <w:rFonts w:eastAsia="Times New Roman" w:cs="Arial"/>
          <w:b/>
          <w:bCs/>
          <w:iCs/>
          <w:noProof/>
          <w:sz w:val="20"/>
          <w:szCs w:val="20"/>
          <w:lang w:val="en" w:eastAsia="en-GB"/>
        </w:rPr>
        <w:t xml:space="preserve"> </w:t>
      </w:r>
      <w:r>
        <w:rPr>
          <w:rFonts w:eastAsia="Times New Roman" w:cs="Arial"/>
          <w:iCs/>
          <w:noProof/>
          <w:sz w:val="20"/>
          <w:szCs w:val="20"/>
          <w:lang w:val="en" w:eastAsia="en-GB"/>
        </w:rPr>
        <w:t>promoting natural values to support decision-making in Romania</w:t>
      </w:r>
      <w:r>
        <w:rPr>
          <w:rFonts w:eastAsia="Times New Roman" w:cs="Arial"/>
          <w:noProof/>
          <w:sz w:val="20"/>
          <w:szCs w:val="20"/>
          <w:lang w:val="en" w:eastAsia="en-GB"/>
        </w:rPr>
        <w:t xml:space="preserve">" has been launched to implement the EU initiative </w:t>
      </w:r>
      <w:r>
        <w:rPr>
          <w:rFonts w:eastAsia="Times New Roman" w:cs="Arial"/>
          <w:noProof/>
          <w:sz w:val="20"/>
          <w:szCs w:val="20"/>
          <w:lang w:val="en" w:eastAsia="en-GB"/>
        </w:rPr>
        <w:t xml:space="preserve">on Mapping and Assessment of Ecosystems and their Services (MAES). The project includes a </w:t>
      </w:r>
      <w:r>
        <w:rPr>
          <w:rFonts w:eastAsia="Times New Roman" w:cs="Arial"/>
          <w:bCs/>
          <w:noProof/>
          <w:sz w:val="20"/>
          <w:szCs w:val="20"/>
          <w:lang w:val="en" w:eastAsia="en-GB"/>
        </w:rPr>
        <w:t>public policy analysis</w:t>
      </w:r>
      <w:r>
        <w:rPr>
          <w:rFonts w:eastAsia="Times New Roman" w:cs="Arial"/>
          <w:noProof/>
          <w:sz w:val="20"/>
          <w:szCs w:val="20"/>
          <w:lang w:val="en" w:eastAsia="en-GB"/>
        </w:rPr>
        <w:t xml:space="preserve"> of the level of integration of the concept of ecosystems</w:t>
      </w:r>
      <w:r>
        <w:rPr>
          <w:noProof/>
          <w:sz w:val="20"/>
          <w:vertAlign w:val="superscript"/>
        </w:rPr>
        <w:footnoteReference w:id="43"/>
      </w:r>
      <w:r>
        <w:rPr>
          <w:rFonts w:eastAsia="Times New Roman" w:cs="Arial"/>
          <w:noProof/>
          <w:sz w:val="20"/>
          <w:szCs w:val="20"/>
          <w:lang w:val="en" w:eastAsia="en-GB"/>
        </w:rPr>
        <w:t xml:space="preserve"> and ecosystem services in different sectors: biodiversity, climate change, fishing an</w:t>
      </w:r>
      <w:r>
        <w:rPr>
          <w:rFonts w:eastAsia="Times New Roman" w:cs="Arial"/>
          <w:noProof/>
          <w:sz w:val="20"/>
          <w:szCs w:val="20"/>
          <w:lang w:val="en" w:eastAsia="en-GB"/>
        </w:rPr>
        <w:t xml:space="preserve">d aquaculture, agriculture and sustainable development, transport, energy, regional development, tourism, and marine and forest for the period 2014-2020. </w:t>
      </w:r>
      <w:r>
        <w:rPr>
          <w:rFonts w:eastAsia="Times New Roman" w:cs="Arial"/>
          <w:bCs/>
          <w:noProof/>
          <w:sz w:val="20"/>
          <w:szCs w:val="20"/>
          <w:lang w:val="en" w:eastAsia="en-GB"/>
        </w:rPr>
        <w:t>An analysis and data management for the MAES</w:t>
      </w:r>
      <w:r>
        <w:rPr>
          <w:rFonts w:eastAsia="Times New Roman" w:cs="Arial"/>
          <w:b/>
          <w:bCs/>
          <w:noProof/>
          <w:sz w:val="20"/>
          <w:szCs w:val="20"/>
          <w:lang w:val="en" w:eastAsia="en-GB"/>
        </w:rPr>
        <w:t xml:space="preserve"> </w:t>
      </w:r>
      <w:r>
        <w:rPr>
          <w:rFonts w:eastAsia="Times New Roman" w:cs="Arial"/>
          <w:bCs/>
          <w:noProof/>
          <w:sz w:val="20"/>
          <w:szCs w:val="20"/>
          <w:lang w:val="en" w:eastAsia="en-GB"/>
        </w:rPr>
        <w:t>process</w:t>
      </w:r>
      <w:r>
        <w:rPr>
          <w:rFonts w:eastAsia="Times New Roman" w:cs="Arial"/>
          <w:noProof/>
          <w:sz w:val="20"/>
          <w:szCs w:val="20"/>
          <w:lang w:val="en" w:eastAsia="en-GB"/>
        </w:rPr>
        <w:t xml:space="preserve"> is being developed. Methodological guidance has b</w:t>
      </w:r>
      <w:r>
        <w:rPr>
          <w:rFonts w:eastAsia="Times New Roman" w:cs="Arial"/>
          <w:noProof/>
          <w:sz w:val="20"/>
          <w:szCs w:val="20"/>
          <w:lang w:val="en" w:eastAsia="en-GB"/>
        </w:rPr>
        <w:t xml:space="preserve">een provided for mapping and assessing ecosystems at national level. </w:t>
      </w:r>
    </w:p>
    <w:p w:rsidR="00A22C37" w:rsidRDefault="000B1CC4">
      <w:pPr>
        <w:widowControl w:val="0"/>
        <w:spacing w:after="120" w:line="240" w:lineRule="auto"/>
        <w:jc w:val="both"/>
        <w:rPr>
          <w:bCs/>
          <w:noProof/>
          <w:color w:val="1F497D" w:themeColor="text2"/>
        </w:rPr>
      </w:pPr>
      <w:r>
        <w:rPr>
          <w:bCs/>
          <w:noProof/>
          <w:color w:val="1F497D" w:themeColor="text2"/>
        </w:rPr>
        <w:t>Suggested action</w:t>
      </w:r>
    </w:p>
    <w:p w:rsidR="00A22C37" w:rsidRDefault="000B1CC4">
      <w:pPr>
        <w:pStyle w:val="NoSpacing"/>
        <w:rPr>
          <w:noProof/>
        </w:rPr>
      </w:pPr>
      <w:r>
        <w:rPr>
          <w:noProof/>
        </w:rPr>
        <w:t>Ensure government support to the mapping and assessment of ecosystems and their services, valuation and development of natural capital accounting systems.</w:t>
      </w:r>
    </w:p>
    <w:p w:rsidR="00A22C37" w:rsidRDefault="000B1CC4">
      <w:pPr>
        <w:pStyle w:val="NoSpacing"/>
        <w:rPr>
          <w:noProof/>
        </w:rPr>
      </w:pPr>
      <w:r>
        <w:rPr>
          <w:noProof/>
        </w:rPr>
        <w:t xml:space="preserve">Improve such accounting systems based on best practice. </w:t>
      </w:r>
    </w:p>
    <w:p w:rsidR="00A22C37" w:rsidRDefault="00A22C37">
      <w:pPr>
        <w:widowControl w:val="0"/>
        <w:spacing w:after="120" w:line="240" w:lineRule="auto"/>
        <w:jc w:val="both"/>
        <w:outlineLvl w:val="1"/>
        <w:rPr>
          <w:noProof/>
        </w:rPr>
      </w:pPr>
    </w:p>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24" w:name="_Toc469484782"/>
      <w:r>
        <w:rPr>
          <w:rFonts w:eastAsia="Times New Roman"/>
          <w:b/>
          <w:noProof/>
          <w:color w:val="1F497D" w:themeColor="text2"/>
          <w:sz w:val="24"/>
          <w:lang w:eastAsia="en-GB"/>
        </w:rPr>
        <w:t>Green infrastructure</w:t>
      </w:r>
      <w:bookmarkEnd w:id="24"/>
      <w:r>
        <w:rPr>
          <w:rFonts w:eastAsia="Times New Roman"/>
          <w:b/>
          <w:noProof/>
          <w:color w:val="1F497D" w:themeColor="text2"/>
          <w:sz w:val="24"/>
          <w:lang w:eastAsia="en-GB"/>
        </w:rPr>
        <w:t xml:space="preserve"> </w:t>
      </w:r>
    </w:p>
    <w:p w:rsidR="00A22C37" w:rsidRDefault="000B1CC4">
      <w:pPr>
        <w:widowControl w:val="0"/>
        <w:shd w:val="clear" w:color="auto" w:fill="4F81BD" w:themeFill="accent1"/>
        <w:spacing w:before="240"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44"/>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incorporation of green infrastructure into related plans and programmes to help overcome fragmentation of habitats and pre</w:t>
      </w:r>
      <w:r>
        <w:rPr>
          <w:rFonts w:ascii="Calibri" w:eastAsia="Calibri" w:hAnsi="Calibri" w:cs="Times New Roman"/>
          <w:noProof/>
          <w:color w:val="FFFFFF" w:themeColor="background1"/>
          <w:sz w:val="20"/>
          <w:lang w:eastAsia="ar-SA"/>
        </w:rPr>
        <w:t>serve or restore ecological connectivity, enhance ecosystem resilience and thereby ensure the continued provision of ecosystem services.</w:t>
      </w:r>
    </w:p>
    <w:p w:rsidR="00A22C37" w:rsidRDefault="000B1CC4">
      <w:pPr>
        <w:widowControl w:val="0"/>
        <w:spacing w:after="120" w:line="240" w:lineRule="auto"/>
        <w:jc w:val="both"/>
        <w:rPr>
          <w:noProof/>
          <w:sz w:val="20"/>
        </w:rPr>
      </w:pPr>
      <w:r>
        <w:rPr>
          <w:noProof/>
          <w:sz w:val="20"/>
        </w:rPr>
        <w:t>Green Infrastructure provides ecological, economic and social benefits through natural solutions. It helps to understan</w:t>
      </w:r>
      <w:r>
        <w:rPr>
          <w:noProof/>
          <w:sz w:val="20"/>
        </w:rPr>
        <w:t>d the value of the benefits that nature provides to human society and to mobilise investments to sustain and enhance them.</w:t>
      </w:r>
    </w:p>
    <w:p w:rsidR="00A22C37" w:rsidRDefault="000B1CC4">
      <w:pPr>
        <w:widowControl w:val="0"/>
        <w:spacing w:after="120" w:line="240" w:lineRule="auto"/>
        <w:jc w:val="both"/>
        <w:rPr>
          <w:noProof/>
          <w:sz w:val="20"/>
          <w:lang w:eastAsia="en-GB"/>
        </w:rPr>
      </w:pPr>
      <w:r>
        <w:rPr>
          <w:noProof/>
          <w:sz w:val="20"/>
          <w:lang w:eastAsia="en-GB"/>
        </w:rPr>
        <w:t>The Lower Danube Green Corridor</w:t>
      </w:r>
      <w:r>
        <w:rPr>
          <w:noProof/>
          <w:sz w:val="20"/>
          <w:vertAlign w:val="superscript"/>
          <w:lang w:eastAsia="en-GB"/>
        </w:rPr>
        <w:footnoteReference w:id="45"/>
      </w:r>
      <w:r>
        <w:rPr>
          <w:noProof/>
          <w:sz w:val="20"/>
          <w:lang w:eastAsia="en-GB"/>
        </w:rPr>
        <w:t xml:space="preserve"> (LDGC) aims to coordinate national efforts and cross-border cooperation among the Lower Danube count</w:t>
      </w:r>
      <w:r>
        <w:rPr>
          <w:noProof/>
          <w:sz w:val="20"/>
          <w:lang w:eastAsia="en-GB"/>
        </w:rPr>
        <w:t>ries for the protection and restoration of wetlands and floodplain habitats. The governments of Romania, Bulgaria, Ukraine and Moldova have committed to establishing a large-scale ecological corridor of up to 1 million ha of existing and new protected area</w:t>
      </w:r>
      <w:r>
        <w:rPr>
          <w:noProof/>
          <w:sz w:val="20"/>
          <w:lang w:eastAsia="en-GB"/>
        </w:rPr>
        <w:t>s and 223 608 ha of areas proposed to be restored to natural floodplains. A number of protection and restoration activities have been implemented demonstrating the multiple benefits of healthy wetlands such as wildlife habitat, fish breeding grounds, water</w:t>
      </w:r>
      <w:r>
        <w:rPr>
          <w:noProof/>
          <w:sz w:val="20"/>
          <w:lang w:eastAsia="en-GB"/>
        </w:rPr>
        <w:t xml:space="preserve"> purification and local tourism opportunities.</w:t>
      </w:r>
    </w:p>
    <w:p w:rsidR="00A22C37" w:rsidRDefault="000B1CC4">
      <w:pPr>
        <w:widowControl w:val="0"/>
        <w:spacing w:after="120" w:line="240" w:lineRule="auto"/>
        <w:jc w:val="both"/>
        <w:rPr>
          <w:noProof/>
          <w:sz w:val="20"/>
          <w:lang w:eastAsia="en-GB"/>
        </w:rPr>
      </w:pPr>
      <w:r>
        <w:rPr>
          <w:noProof/>
          <w:sz w:val="20"/>
          <w:lang w:eastAsia="en-GB"/>
        </w:rPr>
        <w:t>In the Territorial Development Strategy of Romania 2035 there is a clear reference to green infrastructure as an efficient way to adapt to climate change and diminish natural risks compared to physical or grey</w:t>
      </w:r>
      <w:r>
        <w:rPr>
          <w:noProof/>
          <w:sz w:val="20"/>
          <w:lang w:eastAsia="en-GB"/>
        </w:rPr>
        <w:t xml:space="preserve"> infrastructure. Specific measures include the protection of natural habitats (by ensuring diversity of and interconnectivity between natural areas, particularly in the context of Natural 2000 management) and the development of green spaces in urban areas </w:t>
      </w:r>
      <w:r>
        <w:rPr>
          <w:noProof/>
          <w:sz w:val="20"/>
          <w:lang w:eastAsia="en-GB"/>
        </w:rPr>
        <w:t xml:space="preserve">as well as of green belts in the surroundings of major cities. </w:t>
      </w:r>
    </w:p>
    <w:p w:rsidR="00A22C37" w:rsidRDefault="000B1CC4">
      <w:pPr>
        <w:widowControl w:val="0"/>
        <w:spacing w:after="120" w:line="240" w:lineRule="auto"/>
        <w:jc w:val="both"/>
        <w:rPr>
          <w:rFonts w:cs="Times New Roman"/>
          <w:noProof/>
          <w:sz w:val="20"/>
        </w:rPr>
      </w:pPr>
      <w:r>
        <w:rPr>
          <w:noProof/>
          <w:sz w:val="20"/>
          <w:lang w:eastAsia="en-GB"/>
        </w:rPr>
        <w:drawing>
          <wp:inline distT="0" distB="0" distL="0" distR="0">
            <wp:extent cx="2980690" cy="1986915"/>
            <wp:effectExtent l="0" t="0" r="0" b="0"/>
            <wp:docPr id="24" name="Picture 24" descr="P:\ENV-E2\1. ENV IMPLEMENTATION REVIEW\EIR Data management\Pictures\Final versions\iStock_73502779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NV-E2\1. ENV IMPLEMENTATION REVIEW\EIR Data management\Pictures\Final versions\iStock_73502779_LARG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0690" cy="1986915"/>
                    </a:xfrm>
                    <a:prstGeom prst="rect">
                      <a:avLst/>
                    </a:prstGeom>
                    <a:noFill/>
                    <a:ln>
                      <a:noFill/>
                    </a:ln>
                  </pic:spPr>
                </pic:pic>
              </a:graphicData>
            </a:graphic>
          </wp:inline>
        </w:drawing>
      </w:r>
      <w:r>
        <w:rPr>
          <w:rFonts w:cs="Times New Roman"/>
          <w:noProof/>
          <w:sz w:val="20"/>
          <w:lang w:eastAsia="en-GB"/>
        </w:rPr>
        <w:t>A national assessment has started funded by the EEA, Norwegian Grants and EU through DG Environment’s service contract “Mapping of Ecosystems and their Services in the EU and its Member State</w:t>
      </w:r>
      <w:r>
        <w:rPr>
          <w:rFonts w:cs="Times New Roman"/>
          <w:noProof/>
          <w:sz w:val="20"/>
          <w:lang w:eastAsia="en-GB"/>
        </w:rPr>
        <w:t>s” (MESEU).</w:t>
      </w:r>
      <w:r>
        <w:rPr>
          <w:rFonts w:cs="Times New Roman"/>
          <w:noProof/>
          <w:sz w:val="20"/>
        </w:rPr>
        <w:t xml:space="preserve"> </w:t>
      </w:r>
    </w:p>
    <w:p w:rsidR="00A22C37" w:rsidRDefault="000B1CC4">
      <w:pPr>
        <w:widowControl w:val="0"/>
        <w:spacing w:after="120" w:line="240" w:lineRule="auto"/>
        <w:jc w:val="both"/>
        <w:rPr>
          <w:rFonts w:cs="Times New Roman"/>
          <w:noProof/>
          <w:sz w:val="20"/>
        </w:rPr>
      </w:pPr>
      <w:r>
        <w:rPr>
          <w:rFonts w:cs="Times New Roman"/>
          <w:noProof/>
          <w:sz w:val="20"/>
        </w:rPr>
        <w:t xml:space="preserve">The Romanian Master Plan for Transport in Romania 2030 mentions the need to respect conservation measures in future projects including integrating non-structural and green infrastructure measures, and avoiding negative impact on protected </w:t>
      </w:r>
      <w:r>
        <w:rPr>
          <w:rFonts w:cs="Times New Roman"/>
          <w:noProof/>
          <w:sz w:val="20"/>
        </w:rPr>
        <w:t>areas, forested areas as well as non-protected areas where species of community interest are identified by reconsidering planning of routes</w:t>
      </w:r>
      <w:r>
        <w:rPr>
          <w:rFonts w:cs="Times New Roman"/>
          <w:noProof/>
          <w:sz w:val="20"/>
          <w:vertAlign w:val="superscript"/>
        </w:rPr>
        <w:footnoteReference w:id="46"/>
      </w:r>
      <w:r>
        <w:rPr>
          <w:rFonts w:cs="Times New Roman"/>
          <w:noProof/>
          <w:sz w:val="20"/>
        </w:rPr>
        <w:t>.</w:t>
      </w:r>
    </w:p>
    <w:p w:rsidR="00A22C37" w:rsidRDefault="000B1CC4">
      <w:pPr>
        <w:widowControl w:val="0"/>
        <w:spacing w:after="120" w:line="240" w:lineRule="auto"/>
        <w:jc w:val="both"/>
        <w:rPr>
          <w:noProof/>
          <w:sz w:val="20"/>
          <w:lang w:eastAsia="en-GB"/>
        </w:rPr>
      </w:pPr>
      <w:r>
        <w:rPr>
          <w:noProof/>
          <w:sz w:val="20"/>
        </w:rPr>
        <w:t>The Hungary-Romania Cross-Border Cooperation Programme aimed to identify relations between landscape, habitats qua</w:t>
      </w:r>
      <w:r>
        <w:rPr>
          <w:noProof/>
          <w:sz w:val="20"/>
        </w:rPr>
        <w:t>lity and ecosystem services as perceived by local communities</w:t>
      </w:r>
      <w:r>
        <w:rPr>
          <w:noProof/>
          <w:sz w:val="20"/>
          <w:vertAlign w:val="superscript"/>
        </w:rPr>
        <w:footnoteReference w:id="47"/>
      </w:r>
      <w:r>
        <w:rPr>
          <w:noProof/>
          <w:sz w:val="20"/>
        </w:rPr>
        <w:t>.</w:t>
      </w:r>
    </w:p>
    <w:p w:rsidR="00A22C37" w:rsidRDefault="000B1CC4">
      <w:pPr>
        <w:widowControl w:val="0"/>
        <w:spacing w:after="120" w:line="240" w:lineRule="auto"/>
        <w:jc w:val="both"/>
        <w:rPr>
          <w:noProof/>
          <w:sz w:val="20"/>
          <w:lang w:eastAsia="en-GB"/>
        </w:rPr>
      </w:pPr>
      <w:r>
        <w:rPr>
          <w:noProof/>
          <w:sz w:val="20"/>
          <w:lang w:eastAsia="en-GB"/>
        </w:rPr>
        <w:t>Specific barriers for the implementation of green infrastructure in Romania include: limited understanding of the way natural ecosystems function, which translates into limited capacity to con</w:t>
      </w:r>
      <w:r>
        <w:rPr>
          <w:noProof/>
          <w:sz w:val="20"/>
          <w:lang w:eastAsia="en-GB"/>
        </w:rPr>
        <w:t>ceive green infrastructure projects; lack of figures and examples on both socio-economic and environmental benefits to convince decision-makers of the opportunities of investing in green infrastructure; lack of pre-planning mentality and poor use of integr</w:t>
      </w:r>
      <w:r>
        <w:rPr>
          <w:noProof/>
          <w:sz w:val="20"/>
          <w:lang w:eastAsia="en-GB"/>
        </w:rPr>
        <w:t>ated spatial planning processes. If the large investment in infrastructure (motorways, speedways, railways, water and sewage networks, waste management facilities, etc.) needed in the near future is not properly planned, integrated and assessed, it will th</w:t>
      </w:r>
      <w:r>
        <w:rPr>
          <w:noProof/>
          <w:sz w:val="20"/>
          <w:lang w:eastAsia="en-GB"/>
        </w:rPr>
        <w:t>reaten habitat connectivity. In this respect, a thorough development and implementation of Operational Programmes taking Green Infrastructure into account should be envisaged. For example, the new Regional Operation Programme for the Western Region is cons</w:t>
      </w:r>
      <w:r>
        <w:rPr>
          <w:noProof/>
          <w:sz w:val="20"/>
          <w:lang w:eastAsia="en-GB"/>
        </w:rPr>
        <w:t>idering smart growth, but fails to take into account Green Infrastructure and the functionality and coherence of the Natura 2000 network</w:t>
      </w:r>
      <w:r>
        <w:rPr>
          <w:noProof/>
          <w:sz w:val="20"/>
          <w:vertAlign w:val="superscript"/>
          <w:lang w:eastAsia="en-GB"/>
        </w:rPr>
        <w:footnoteReference w:id="48"/>
      </w:r>
      <w:r>
        <w:rPr>
          <w:noProof/>
          <w:sz w:val="20"/>
          <w:lang w:eastAsia="en-GB"/>
        </w:rPr>
        <w:t>.</w:t>
      </w:r>
    </w:p>
    <w:p w:rsidR="00A22C37" w:rsidRDefault="000B1CC4">
      <w:pPr>
        <w:widowControl w:val="0"/>
        <w:spacing w:after="120" w:line="240" w:lineRule="auto"/>
        <w:jc w:val="both"/>
        <w:rPr>
          <w:rFonts w:ascii="MyriadPro-Cond" w:hAnsi="MyriadPro-Cond" w:cs="MyriadPro-Cond"/>
          <w:noProof/>
          <w:color w:val="4B4C4E"/>
          <w:sz w:val="20"/>
          <w:szCs w:val="20"/>
        </w:rPr>
      </w:pPr>
      <w:r>
        <w:rPr>
          <w:noProof/>
          <w:sz w:val="20"/>
        </w:rPr>
        <w:t>Benefits of green infrastructure are for instance illustrated through the following initiative:</w:t>
      </w:r>
      <w:r>
        <w:rPr>
          <w:bCs/>
          <w:noProof/>
          <w:sz w:val="20"/>
        </w:rPr>
        <w:t xml:space="preserve"> </w:t>
      </w:r>
      <w:r>
        <w:rPr>
          <w:noProof/>
          <w:sz w:val="20"/>
        </w:rPr>
        <w:t>WWF in partnership wi</w:t>
      </w:r>
      <w:r>
        <w:rPr>
          <w:noProof/>
          <w:sz w:val="20"/>
        </w:rPr>
        <w:t xml:space="preserve">th the Ukrainian NGO RachivEcoTur implemented the "Open Borders for Bears between Romanian and Ukrainian Carpathians" project in the regions of Maramures, Romania, and Ivano-Frankivsk and Zakarpatska, Ukraine. The goal of the project was to reduce habitat </w:t>
      </w:r>
      <w:r>
        <w:rPr>
          <w:noProof/>
          <w:sz w:val="20"/>
        </w:rPr>
        <w:t>fragmentation, identify the critical corridors and the related reconstruction needs and secure sustainable use of natural resources. The critical habitats and wild life corridors are components of a Green Infrastructure delivering multiple benefits.</w:t>
      </w:r>
      <w:r>
        <w:rPr>
          <w:rFonts w:ascii="MyriadPro-Cond" w:hAnsi="MyriadPro-Cond" w:cs="MyriadPro-Cond"/>
          <w:noProof/>
          <w:color w:val="4B4C4E"/>
          <w:sz w:val="20"/>
          <w:szCs w:val="20"/>
        </w:rPr>
        <w:t xml:space="preserve"> </w:t>
      </w:r>
    </w:p>
    <w:p w:rsidR="00A22C37" w:rsidRDefault="000B1CC4">
      <w:pPr>
        <w:widowControl w:val="0"/>
        <w:spacing w:after="120" w:line="240" w:lineRule="auto"/>
        <w:jc w:val="both"/>
        <w:rPr>
          <w:noProof/>
          <w:sz w:val="20"/>
        </w:rPr>
      </w:pPr>
      <w:r>
        <w:rPr>
          <w:noProof/>
          <w:sz w:val="20"/>
        </w:rPr>
        <w:t xml:space="preserve">The </w:t>
      </w:r>
      <w:r>
        <w:rPr>
          <w:noProof/>
          <w:sz w:val="20"/>
        </w:rPr>
        <w:t>benefits from the project include e.g. identification and implementation of tools to effectively manage natural resources that contribute to the conservation of the critical habitats and corridors for bears, and for sustainable development of the communiti</w:t>
      </w:r>
      <w:r>
        <w:rPr>
          <w:noProof/>
          <w:sz w:val="20"/>
        </w:rPr>
        <w:t>es.</w:t>
      </w:r>
    </w:p>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25" w:name="_Toc469484783"/>
      <w:r>
        <w:rPr>
          <w:rFonts w:eastAsia="Times New Roman"/>
          <w:b/>
          <w:noProof/>
          <w:color w:val="1F497D" w:themeColor="text2"/>
          <w:sz w:val="24"/>
          <w:lang w:eastAsia="en-GB"/>
        </w:rPr>
        <w:t>Soil protection</w:t>
      </w:r>
      <w:bookmarkEnd w:id="25"/>
      <w:r>
        <w:rPr>
          <w:rFonts w:eastAsia="Times New Roman"/>
          <w:b/>
          <w:noProof/>
          <w:color w:val="1F497D" w:themeColor="text2"/>
          <w:sz w:val="24"/>
          <w:lang w:eastAsia="en-GB"/>
        </w:rPr>
        <w:t xml:space="preserve"> </w:t>
      </w:r>
    </w:p>
    <w:p w:rsidR="00A22C37" w:rsidRDefault="000B1CC4">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EU Soil Thematic Strategy highlights the need to ensure a sustainable use of soils. This requires the prevention of further soil degradation and the preservation of its functions, as well as the restoration of degraded soils. The 2</w:t>
      </w:r>
      <w:r>
        <w:rPr>
          <w:rFonts w:cs="Times New Roman"/>
          <w:noProof/>
          <w:color w:val="FFFFFF" w:themeColor="background1"/>
          <w:sz w:val="20"/>
        </w:rPr>
        <w:t xml:space="preserve">011 Road Map for Resource-Efficient Europe, part of Europe 2020 Strategy provides that by 2020, EU policies take into account their direct and indirect impact on land use in the EU and globally, and the rate of land take is on track with an aim to achieve </w:t>
      </w:r>
      <w:r>
        <w:rPr>
          <w:rFonts w:cs="Times New Roman"/>
          <w:noProof/>
          <w:color w:val="FFFFFF" w:themeColor="background1"/>
          <w:sz w:val="20"/>
        </w:rPr>
        <w:t>no net land take by 2050.</w:t>
      </w:r>
    </w:p>
    <w:p w:rsidR="00A22C37" w:rsidRDefault="000B1CC4">
      <w:pPr>
        <w:widowControl w:val="0"/>
        <w:shd w:val="clear" w:color="auto" w:fill="4F81BD"/>
        <w:suppressAutoHyphens/>
        <w:spacing w:after="120" w:line="240" w:lineRule="auto"/>
        <w:jc w:val="both"/>
        <w:rPr>
          <w:rFonts w:ascii="Calibri" w:eastAsia="Calibri" w:hAnsi="Calibri"/>
          <w:noProof/>
          <w:color w:val="FFFFFF"/>
          <w:sz w:val="20"/>
          <w:szCs w:val="20"/>
          <w:lang w:eastAsia="ar-SA"/>
        </w:rPr>
      </w:pPr>
      <w:r>
        <w:rPr>
          <w:rFonts w:ascii="Calibri" w:eastAsia="Calibri" w:hAnsi="Calibri"/>
          <w:noProof/>
          <w:color w:val="FFFFFF"/>
          <w:sz w:val="20"/>
          <w:lang w:eastAsia="ar-SA"/>
        </w:rPr>
        <w:t>SDG 15 requires countries to combat desertification, restore degraded land and soil, including land affected by desertification, drought and floods, and strive to achieve a land-degradation-neutral world by 2030.</w:t>
      </w:r>
    </w:p>
    <w:p w:rsidR="00A22C37" w:rsidRDefault="000B1CC4">
      <w:pPr>
        <w:widowControl w:val="0"/>
        <w:spacing w:before="120" w:after="120" w:line="240" w:lineRule="auto"/>
        <w:jc w:val="both"/>
        <w:rPr>
          <w:noProof/>
          <w:sz w:val="20"/>
          <w:lang w:eastAsia="en-GB"/>
        </w:rPr>
      </w:pPr>
      <w:r>
        <w:rPr>
          <w:noProof/>
          <w:sz w:val="20"/>
          <w:lang w:eastAsia="en-GB"/>
        </w:rPr>
        <w:t xml:space="preserve">Soil is an </w:t>
      </w:r>
      <w:r>
        <w:rPr>
          <w:noProof/>
          <w:sz w:val="20"/>
          <w:lang w:eastAsia="en-GB"/>
        </w:rPr>
        <w:t>important resource for life and the economy. It provides key ecosystem services including the provision of food, fibre and biomass for renewable energy, carbon sequestration, water purification and flood regulation, the provision of raw and building materi</w:t>
      </w:r>
      <w:r>
        <w:rPr>
          <w:noProof/>
          <w:sz w:val="20"/>
          <w:lang w:eastAsia="en-GB"/>
        </w:rPr>
        <w:t>al. Soil is a finite and extremely fragile resource and increasingly degrading in the EU. Land taken by urban development and infrastructure is highly unlikely to be reverted to its natural state; it consumes mostly agricultural land and increases fragment</w:t>
      </w:r>
      <w:r>
        <w:rPr>
          <w:noProof/>
          <w:sz w:val="20"/>
          <w:lang w:eastAsia="en-GB"/>
        </w:rPr>
        <w:t>ation of habitats. Soil protection is indirectly addressed in existing EU policies in areas such as agriculture, water, waste, chemicals, and prevention of industrial pollution.</w:t>
      </w:r>
    </w:p>
    <w:p w:rsidR="00A22C37" w:rsidRDefault="000B1CC4">
      <w:pPr>
        <w:widowControl w:val="0"/>
        <w:spacing w:after="120" w:line="240" w:lineRule="auto"/>
        <w:jc w:val="both"/>
        <w:rPr>
          <w:noProof/>
          <w:sz w:val="20"/>
        </w:rPr>
      </w:pPr>
      <w:r>
        <w:rPr>
          <w:noProof/>
          <w:sz w:val="20"/>
        </w:rPr>
        <w:t>Figure 8 shows the different land cover types in Romania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A22C37">
        <w:tc>
          <w:tcPr>
            <w:tcW w:w="4910" w:type="dxa"/>
            <w:hideMark/>
          </w:tcPr>
          <w:p w:rsidR="00A22C37" w:rsidRDefault="000B1CC4">
            <w:pPr>
              <w:widowControl w:val="0"/>
              <w:spacing w:after="120"/>
              <w:rPr>
                <w:b/>
                <w:bCs/>
                <w:noProof/>
                <w:color w:val="1F497D" w:themeColor="text2"/>
              </w:rPr>
            </w:pPr>
            <w:r>
              <w:rPr>
                <w:b/>
                <w:bCs/>
                <w:noProof/>
                <w:color w:val="1F497D" w:themeColor="text2"/>
                <w:sz w:val="20"/>
              </w:rPr>
              <w:t>Figure 8: La</w:t>
            </w:r>
            <w:r>
              <w:rPr>
                <w:b/>
                <w:bCs/>
                <w:noProof/>
                <w:color w:val="1F497D" w:themeColor="text2"/>
                <w:sz w:val="20"/>
              </w:rPr>
              <w:t>nd Cover types in Romania 2012</w:t>
            </w:r>
            <w:r>
              <w:rPr>
                <w:rFonts w:cs="Times New Roman"/>
                <w:b/>
                <w:bCs/>
                <w:noProof/>
                <w:color w:val="1F497D" w:themeColor="text2"/>
                <w:sz w:val="20"/>
                <w:vertAlign w:val="superscript"/>
              </w:rPr>
              <w:footnoteReference w:id="49"/>
            </w:r>
          </w:p>
        </w:tc>
      </w:tr>
      <w:tr w:rsidR="00A22C37">
        <w:tc>
          <w:tcPr>
            <w:tcW w:w="4910" w:type="dxa"/>
          </w:tcPr>
          <w:p w:rsidR="00A22C37" w:rsidRDefault="000B1CC4">
            <w:pPr>
              <w:widowControl w:val="0"/>
              <w:spacing w:after="120"/>
              <w:rPr>
                <w:rFonts w:ascii="Times New Roman" w:hAnsi="Times New Roman"/>
                <w:noProof/>
              </w:rPr>
            </w:pPr>
            <w:r>
              <w:rPr>
                <w:rFonts w:ascii="Arial" w:hAnsi="Arial" w:cs="Arial"/>
                <w:noProof/>
                <w:lang w:eastAsia="en-GB"/>
              </w:rPr>
              <w:drawing>
                <wp:inline distT="0" distB="0" distL="0" distR="0">
                  <wp:extent cx="3061970" cy="3646805"/>
                  <wp:effectExtent l="0" t="0" r="5080" b="0"/>
                  <wp:docPr id="31" name="Picture 31" descr="RO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_CS_CLC_typ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61970" cy="3646805"/>
                          </a:xfrm>
                          <a:prstGeom prst="rect">
                            <a:avLst/>
                          </a:prstGeom>
                          <a:noFill/>
                          <a:ln>
                            <a:noFill/>
                          </a:ln>
                        </pic:spPr>
                      </pic:pic>
                    </a:graphicData>
                  </a:graphic>
                </wp:inline>
              </w:drawing>
            </w:r>
          </w:p>
        </w:tc>
      </w:tr>
    </w:tbl>
    <w:p w:rsidR="00A22C37" w:rsidRDefault="000B1CC4">
      <w:pPr>
        <w:widowControl w:val="0"/>
        <w:spacing w:after="120" w:line="240" w:lineRule="auto"/>
        <w:jc w:val="both"/>
        <w:rPr>
          <w:noProof/>
          <w:sz w:val="20"/>
          <w:lang w:eastAsia="en-GB"/>
        </w:rPr>
      </w:pPr>
      <w:bookmarkStart w:id="26" w:name="_Toc454813113"/>
      <w:r>
        <w:rPr>
          <w:noProof/>
          <w:sz w:val="20"/>
          <w:lang w:eastAsia="en-GB"/>
        </w:rPr>
        <w:t xml:space="preserve">Artificial land cover is used for settlements, production systems and infrastructure. It may itself be split between built-up areas (buildings) and non-built-up areas (such as linear transport networks and associated </w:t>
      </w:r>
      <w:r>
        <w:rPr>
          <w:noProof/>
          <w:sz w:val="20"/>
          <w:lang w:eastAsia="en-GB"/>
        </w:rPr>
        <w:t>areas).</w:t>
      </w:r>
    </w:p>
    <w:p w:rsidR="00A22C37" w:rsidRDefault="000B1CC4">
      <w:pPr>
        <w:widowControl w:val="0"/>
        <w:spacing w:after="120" w:line="240" w:lineRule="auto"/>
        <w:jc w:val="both"/>
        <w:rPr>
          <w:noProof/>
          <w:sz w:val="20"/>
          <w:lang w:eastAsia="en-GB"/>
        </w:rPr>
      </w:pPr>
      <w:r>
        <w:rPr>
          <w:noProof/>
          <w:sz w:val="20"/>
          <w:lang w:eastAsia="en-GB"/>
        </w:rPr>
        <w:t>The annual land take rate (growth of artificial areas) was 0.15% over the period 2006-2012, well below the EU average (0.41%). It represented 1,917 hectares per year and was mainly driven by housing, services and recreation as well as industrial an</w:t>
      </w:r>
      <w:r>
        <w:rPr>
          <w:noProof/>
          <w:sz w:val="20"/>
          <w:lang w:eastAsia="en-GB"/>
        </w:rPr>
        <w:t>d commercial sites</w:t>
      </w:r>
      <w:r>
        <w:rPr>
          <w:rFonts w:ascii="Calibri" w:eastAsia="Calibri" w:hAnsi="Calibri" w:cs="Times New Roman"/>
          <w:noProof/>
          <w:sz w:val="20"/>
          <w:szCs w:val="20"/>
          <w:vertAlign w:val="superscript"/>
        </w:rPr>
        <w:footnoteReference w:id="50"/>
      </w:r>
      <w:r>
        <w:rPr>
          <w:rFonts w:ascii="Calibri" w:eastAsia="Calibri" w:hAnsi="Calibri" w:cs="Times New Roman"/>
          <w:noProof/>
          <w:sz w:val="20"/>
          <w:szCs w:val="20"/>
        </w:rPr>
        <w:t>.</w:t>
      </w:r>
    </w:p>
    <w:p w:rsidR="00A22C37" w:rsidRDefault="000B1CC4">
      <w:pPr>
        <w:widowControl w:val="0"/>
        <w:spacing w:after="120" w:line="240" w:lineRule="auto"/>
        <w:jc w:val="both"/>
        <w:rPr>
          <w:noProof/>
          <w:sz w:val="20"/>
          <w:lang w:eastAsia="en-GB"/>
        </w:rPr>
      </w:pPr>
      <w:r>
        <w:rPr>
          <w:noProof/>
          <w:sz w:val="20"/>
          <w:lang w:eastAsia="en-GB"/>
        </w:rPr>
        <w:t>The percentage of built up land in 2009 was 1.58%, well below the EU average (3.23%)</w:t>
      </w:r>
      <w:r>
        <w:rPr>
          <w:rFonts w:cs="Times New Roman"/>
          <w:noProof/>
          <w:sz w:val="20"/>
          <w:szCs w:val="20"/>
          <w:vertAlign w:val="superscript"/>
        </w:rPr>
        <w:footnoteReference w:id="51"/>
      </w:r>
      <w:r>
        <w:rPr>
          <w:rFonts w:cs="Times New Roman"/>
          <w:noProof/>
          <w:sz w:val="20"/>
          <w:szCs w:val="20"/>
        </w:rPr>
        <w:t>.</w:t>
      </w:r>
    </w:p>
    <w:p w:rsidR="00A22C37" w:rsidRDefault="000B1CC4">
      <w:pPr>
        <w:widowControl w:val="0"/>
        <w:spacing w:after="120" w:line="240" w:lineRule="auto"/>
        <w:jc w:val="both"/>
        <w:rPr>
          <w:noProof/>
          <w:sz w:val="20"/>
          <w:szCs w:val="20"/>
        </w:rPr>
      </w:pPr>
      <w:r>
        <w:rPr>
          <w:noProof/>
          <w:sz w:val="20"/>
          <w:lang w:eastAsia="en-GB"/>
        </w:rPr>
        <w:t>The soil water erosion rate in 2010 was 2.84 tonnes per ha per year, close to EU</w:t>
      </w:r>
      <w:r>
        <w:rPr>
          <w:noProof/>
          <w:sz w:val="20"/>
          <w:szCs w:val="20"/>
        </w:rPr>
        <w:t>28 average (2.46 tonnes)</w:t>
      </w:r>
      <w:r>
        <w:rPr>
          <w:noProof/>
          <w:sz w:val="20"/>
          <w:szCs w:val="20"/>
          <w:vertAlign w:val="superscript"/>
        </w:rPr>
        <w:t xml:space="preserve"> </w:t>
      </w:r>
      <w:r>
        <w:rPr>
          <w:noProof/>
          <w:sz w:val="20"/>
          <w:szCs w:val="20"/>
          <w:vertAlign w:val="superscript"/>
        </w:rPr>
        <w:footnoteReference w:id="52"/>
      </w:r>
      <w:r>
        <w:rPr>
          <w:noProof/>
          <w:color w:val="FF0000"/>
          <w:sz w:val="20"/>
          <w:szCs w:val="20"/>
        </w:rPr>
        <w:t>.</w:t>
      </w:r>
    </w:p>
    <w:p w:rsidR="00A22C37" w:rsidRDefault="000B1CC4">
      <w:pPr>
        <w:widowControl w:val="0"/>
        <w:spacing w:after="120" w:line="240" w:lineRule="auto"/>
        <w:jc w:val="both"/>
        <w:rPr>
          <w:noProof/>
          <w:sz w:val="20"/>
          <w:lang w:eastAsia="en-GB"/>
        </w:rPr>
      </w:pPr>
      <w:r>
        <w:rPr>
          <w:noProof/>
          <w:sz w:val="20"/>
          <w:lang w:eastAsia="en-GB"/>
        </w:rPr>
        <w:t xml:space="preserve">There are still not EU-wide datasets </w:t>
      </w:r>
      <w:r>
        <w:rPr>
          <w:noProof/>
          <w:sz w:val="20"/>
          <w:lang w:eastAsia="en-GB"/>
        </w:rPr>
        <w:t>enabling the provision of benchmark indicators for soil organic matter decline, contaminated sites, pressures on soil biology and diffuse pollution.</w:t>
      </w:r>
    </w:p>
    <w:p w:rsidR="00A22C37" w:rsidRDefault="000B1CC4">
      <w:pPr>
        <w:widowControl w:val="0"/>
        <w:spacing w:after="120" w:line="240" w:lineRule="auto"/>
        <w:jc w:val="both"/>
        <w:rPr>
          <w:noProof/>
          <w:sz w:val="20"/>
          <w:lang w:eastAsia="en-GB"/>
        </w:rPr>
      </w:pPr>
      <w:r>
        <w:rPr>
          <w:noProof/>
          <w:sz w:val="20"/>
          <w:lang w:eastAsia="en-GB"/>
        </w:rPr>
        <w:t>An updated inventory and assessment of soil protection policy instruments in Romania and other EU Member St</w:t>
      </w:r>
      <w:r>
        <w:rPr>
          <w:noProof/>
          <w:sz w:val="20"/>
          <w:lang w:eastAsia="en-GB"/>
        </w:rPr>
        <w:t>ates is being performed by the EU Expert Group on Soil Protection.</w:t>
      </w:r>
    </w:p>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27" w:name="_Toc469484784"/>
      <w:r>
        <w:rPr>
          <w:rFonts w:eastAsia="Times New Roman"/>
          <w:b/>
          <w:noProof/>
          <w:color w:val="1F497D" w:themeColor="text2"/>
          <w:sz w:val="24"/>
          <w:lang w:eastAsia="en-GB"/>
        </w:rPr>
        <w:t>Marine protection</w:t>
      </w:r>
      <w:bookmarkEnd w:id="26"/>
      <w:bookmarkEnd w:id="27"/>
    </w:p>
    <w:p w:rsidR="00A22C37" w:rsidRDefault="000B1CC4">
      <w:pPr>
        <w:widowControl w:val="0"/>
        <w:shd w:val="clear" w:color="auto" w:fill="4F81BD" w:themeFill="accent1"/>
        <w:spacing w:after="0" w:line="240" w:lineRule="auto"/>
        <w:jc w:val="both"/>
        <w:rPr>
          <w:rFonts w:cs="Times New Roman"/>
          <w:noProof/>
          <w:color w:val="FFFFFF" w:themeColor="background1"/>
          <w:sz w:val="20"/>
        </w:rPr>
      </w:pPr>
      <w:r>
        <w:rPr>
          <w:rFonts w:cs="Times New Roman"/>
          <w:noProof/>
          <w:color w:val="FFFFFF" w:themeColor="background1"/>
          <w:sz w:val="20"/>
        </w:rPr>
        <w:t xml:space="preserve">The EU Coastal and Marine Policy and legislation require that by 2020 the impact of pressures on marine waters is reduced to achieve or maintain good environmental status </w:t>
      </w:r>
      <w:r>
        <w:rPr>
          <w:rFonts w:cs="Times New Roman"/>
          <w:noProof/>
          <w:color w:val="FFFFFF" w:themeColor="background1"/>
          <w:sz w:val="20"/>
        </w:rPr>
        <w:t>and coastal zones are managed sustainably.</w:t>
      </w:r>
    </w:p>
    <w:p w:rsidR="00A22C37" w:rsidRDefault="000B1CC4">
      <w:pPr>
        <w:widowControl w:val="0"/>
        <w:shd w:val="clear" w:color="auto" w:fill="4F81BD" w:themeFill="accent1"/>
        <w:spacing w:after="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for sustainable development.</w:t>
      </w:r>
    </w:p>
    <w:p w:rsidR="00A22C37" w:rsidRDefault="000B1CC4">
      <w:pPr>
        <w:widowControl w:val="0"/>
        <w:spacing w:after="120" w:line="240" w:lineRule="auto"/>
        <w:jc w:val="both"/>
        <w:rPr>
          <w:noProof/>
          <w:sz w:val="20"/>
        </w:rPr>
      </w:pPr>
      <w:r>
        <w:rPr>
          <w:noProof/>
          <w:sz w:val="20"/>
        </w:rPr>
        <w:t>The Marine Strategy Framework Directive (MSFD)</w:t>
      </w:r>
      <w:r>
        <w:rPr>
          <w:noProof/>
          <w:sz w:val="20"/>
          <w:vertAlign w:val="superscript"/>
        </w:rPr>
        <w:footnoteReference w:id="53"/>
      </w:r>
      <w:r>
        <w:rPr>
          <w:noProof/>
          <w:sz w:val="20"/>
        </w:rPr>
        <w:t xml:space="preserve"> aims to achieve Good Environmental Statu</w:t>
      </w:r>
      <w:r>
        <w:rPr>
          <w:noProof/>
          <w:sz w:val="20"/>
        </w:rPr>
        <w:t>s (GES) of the EU's marine waters by 2020 by</w:t>
      </w:r>
      <w:r>
        <w:rPr>
          <w:noProof/>
          <w:sz w:val="20"/>
          <w:lang w:val="en"/>
        </w:rPr>
        <w:t xml:space="preserve"> providing an ecosystem approach to the management of human activities with impact on the marine environment</w:t>
      </w:r>
      <w:r>
        <w:rPr>
          <w:noProof/>
          <w:sz w:val="20"/>
        </w:rPr>
        <w:t>. The Directive requires Member States to develop and implement a marine strategy for their marine water</w:t>
      </w:r>
      <w:r>
        <w:rPr>
          <w:noProof/>
          <w:sz w:val="20"/>
        </w:rPr>
        <w:t>s, and cooperate with Member States sharing the same marine region or subregion.</w:t>
      </w:r>
    </w:p>
    <w:p w:rsidR="00A22C37" w:rsidRDefault="000B1CC4">
      <w:pPr>
        <w:widowControl w:val="0"/>
        <w:spacing w:after="120" w:line="240" w:lineRule="auto"/>
        <w:jc w:val="both"/>
        <w:rPr>
          <w:noProof/>
          <w:sz w:val="20"/>
        </w:rPr>
      </w:pPr>
      <w:r>
        <w:rPr>
          <w:noProof/>
          <w:sz w:val="20"/>
        </w:rPr>
        <w:t>As part of their marine strategies, Member States had to make an initial assessment of their marine waters, determine GES</w:t>
      </w:r>
      <w:r>
        <w:rPr>
          <w:noProof/>
          <w:sz w:val="20"/>
          <w:vertAlign w:val="superscript"/>
        </w:rPr>
        <w:footnoteReference w:id="54"/>
      </w:r>
      <w:r>
        <w:rPr>
          <w:noProof/>
          <w:sz w:val="20"/>
        </w:rPr>
        <w:t xml:space="preserve"> and establish environmental targets by July 2012. Th</w:t>
      </w:r>
      <w:r>
        <w:rPr>
          <w:noProof/>
          <w:sz w:val="20"/>
        </w:rPr>
        <w:t xml:space="preserve">ey also had to establish monitoring programmes for the on-going assessment of their marine waters by July 2014. The next element of their marine strategy is to establish a Programme of Measures (2016). </w:t>
      </w:r>
      <w:r>
        <w:rPr>
          <w:rFonts w:eastAsia="Times New Roman"/>
          <w:noProof/>
          <w:sz w:val="20"/>
        </w:rPr>
        <w:t xml:space="preserve">All these different elements of their marine strategy </w:t>
      </w:r>
      <w:r>
        <w:rPr>
          <w:rFonts w:eastAsia="Times New Roman"/>
          <w:noProof/>
          <w:sz w:val="20"/>
        </w:rPr>
        <w:t xml:space="preserve">have to be reported to the Commission, which, in turn, assessed </w:t>
      </w:r>
      <w:r>
        <w:rPr>
          <w:noProof/>
          <w:sz w:val="20"/>
        </w:rPr>
        <w:t>whether these elements constitute an appropriate framework to meet the requirements of the MSFD.</w:t>
      </w:r>
    </w:p>
    <w:p w:rsidR="00A22C37" w:rsidRDefault="000B1CC4">
      <w:pPr>
        <w:widowControl w:val="0"/>
        <w:spacing w:after="120" w:line="240" w:lineRule="auto"/>
        <w:jc w:val="both"/>
        <w:rPr>
          <w:noProof/>
          <w:sz w:val="20"/>
        </w:rPr>
      </w:pPr>
      <w:r>
        <w:rPr>
          <w:noProof/>
          <w:sz w:val="20"/>
        </w:rPr>
        <w:t>Romania's marine waters are part of the Black Sea marine region and the country is party to the</w:t>
      </w:r>
      <w:r>
        <w:rPr>
          <w:noProof/>
          <w:sz w:val="20"/>
        </w:rPr>
        <w:t xml:space="preserve"> Black Sea Convention. The main threats to the Black Sea region are land-based sources of pollution (e.g. nutrients coming from the River Danube). In addition, given the role of the Black Sea region as a transit route for major oil and gas exports, oil spi</w:t>
      </w:r>
      <w:r>
        <w:rPr>
          <w:noProof/>
          <w:sz w:val="20"/>
        </w:rPr>
        <w:t xml:space="preserve">lls or accidental pollution may also become increasingly important. Finally, the Black Sea's fish stock has deteriorated dramatically over the past three decades, with the diversity of commercial fish caught shrinking from about 26 species to six. This is </w:t>
      </w:r>
      <w:r>
        <w:rPr>
          <w:noProof/>
          <w:sz w:val="20"/>
        </w:rPr>
        <w:t>due to eutrophication, the introduction of alien species and overfishing</w:t>
      </w:r>
      <w:r>
        <w:rPr>
          <w:noProof/>
          <w:sz w:val="20"/>
          <w:szCs w:val="20"/>
          <w:vertAlign w:val="superscript"/>
        </w:rPr>
        <w:footnoteReference w:id="55"/>
      </w:r>
      <w:r>
        <w:rPr>
          <w:noProof/>
          <w:sz w:val="20"/>
        </w:rPr>
        <w:t xml:space="preserve">. </w:t>
      </w:r>
    </w:p>
    <w:p w:rsidR="00A22C37" w:rsidRDefault="000B1CC4">
      <w:pPr>
        <w:widowControl w:val="0"/>
        <w:spacing w:after="120" w:line="240" w:lineRule="auto"/>
        <w:jc w:val="both"/>
        <w:rPr>
          <w:rFonts w:cs="Times New Roman"/>
          <w:noProof/>
          <w:sz w:val="20"/>
        </w:rPr>
      </w:pPr>
      <w:r>
        <w:rPr>
          <w:rFonts w:cs="Times New Roman"/>
          <w:noProof/>
          <w:sz w:val="20"/>
        </w:rPr>
        <w:t xml:space="preserve">Romania has been diligent with the implementation of the MSFD. Regarding the last deliverables under the MSFD (initial assessment, determination of GES and environmental targets), </w:t>
      </w:r>
      <w:r>
        <w:rPr>
          <w:rFonts w:cs="Times New Roman"/>
          <w:noProof/>
          <w:sz w:val="20"/>
        </w:rPr>
        <w:t>Romania made considerable efforts to set quantitative targets when data was available and to give a GES description consistent with other EU legislation. However, weaknesses were identified in the definition of GES: for instance Romania initially only defi</w:t>
      </w:r>
      <w:r>
        <w:rPr>
          <w:rFonts w:cs="Times New Roman"/>
          <w:noProof/>
          <w:sz w:val="20"/>
        </w:rPr>
        <w:t xml:space="preserve">ned GES for 5 out of the 11 MSFD descriptors. </w:t>
      </w:r>
    </w:p>
    <w:p w:rsidR="00A22C37" w:rsidRDefault="000B1CC4">
      <w:pPr>
        <w:widowControl w:val="0"/>
        <w:spacing w:after="120" w:line="240" w:lineRule="auto"/>
        <w:jc w:val="both"/>
        <w:rPr>
          <w:rFonts w:cs="Times New Roman"/>
          <w:noProof/>
          <w:sz w:val="20"/>
        </w:rPr>
      </w:pPr>
      <w:r>
        <w:rPr>
          <w:rFonts w:cs="Times New Roman"/>
          <w:noProof/>
          <w:sz w:val="20"/>
        </w:rPr>
        <w:t>A number of EU-financed projects facilitate cooperation and support implementation of the MSFD in the Black Sea region. Romania should continue to pursue coordination at regional level to improve the quality o</w:t>
      </w:r>
      <w:r>
        <w:rPr>
          <w:rFonts w:cs="Times New Roman"/>
          <w:noProof/>
          <w:sz w:val="20"/>
        </w:rPr>
        <w:t>f its next deliverables under the MSFD.</w:t>
      </w:r>
    </w:p>
    <w:p w:rsidR="00A22C37" w:rsidRDefault="000B1CC4">
      <w:pPr>
        <w:widowControl w:val="0"/>
        <w:spacing w:after="120" w:line="240" w:lineRule="auto"/>
        <w:jc w:val="both"/>
        <w:rPr>
          <w:rFonts w:cs="Times New Roman"/>
          <w:noProof/>
          <w:sz w:val="20"/>
        </w:rPr>
      </w:pPr>
      <w:r>
        <w:rPr>
          <w:rFonts w:cs="Times New Roman"/>
          <w:noProof/>
          <w:sz w:val="20"/>
        </w:rPr>
        <w:t>Romania established a monitoring programme of its marine waters in 2014. However, the monitoring programmes for all descriptors apart from eutrophication, contaminants and contaminants in seafood need further refinem</w:t>
      </w:r>
      <w:r>
        <w:rPr>
          <w:rFonts w:cs="Times New Roman"/>
          <w:noProof/>
          <w:sz w:val="20"/>
        </w:rPr>
        <w:t>ent to constitute an appropriate framework to monitor progress towards the GES. In addition, Romania reports that its monitoring programme will not be in place before 2018, the date by which the next assessment of Romania's marine waters is due.</w:t>
      </w:r>
    </w:p>
    <w:p w:rsidR="00A22C37" w:rsidRDefault="000B1CC4">
      <w:pPr>
        <w:widowControl w:val="0"/>
        <w:spacing w:after="120" w:line="240" w:lineRule="auto"/>
        <w:jc w:val="both"/>
        <w:rPr>
          <w:rFonts w:cs="Times New Roman"/>
          <w:noProof/>
          <w:sz w:val="20"/>
        </w:rPr>
      </w:pPr>
      <w:r>
        <w:rPr>
          <w:rFonts w:cs="Times New Roman"/>
          <w:noProof/>
          <w:sz w:val="20"/>
        </w:rPr>
        <w:t>In 2012, R</w:t>
      </w:r>
      <w:r>
        <w:rPr>
          <w:rFonts w:cs="Times New Roman"/>
          <w:noProof/>
          <w:sz w:val="20"/>
        </w:rPr>
        <w:t>omanian marine protected areas covered 1887.5 square kilometres of their marine waters in the Black Sea. The country's six nationally designated Marine Protected Area sites almost entirely overlapped with the Natura 2000 sites</w:t>
      </w:r>
      <w:r>
        <w:rPr>
          <w:rFonts w:cs="Times New Roman"/>
          <w:noProof/>
          <w:sz w:val="20"/>
          <w:vertAlign w:val="superscript"/>
        </w:rPr>
        <w:footnoteReference w:id="56"/>
      </w:r>
      <w:r>
        <w:rPr>
          <w:rFonts w:cs="Times New Roman"/>
          <w:noProof/>
          <w:sz w:val="20"/>
        </w:rPr>
        <w:t xml:space="preserve">. </w:t>
      </w:r>
    </w:p>
    <w:p w:rsidR="00A22C37" w:rsidRDefault="000B1CC4">
      <w:pPr>
        <w:widowControl w:val="0"/>
        <w:spacing w:after="120" w:line="240" w:lineRule="auto"/>
        <w:jc w:val="both"/>
        <w:rPr>
          <w:rFonts w:cs="Times New Roman"/>
          <w:noProof/>
          <w:sz w:val="20"/>
        </w:rPr>
      </w:pPr>
      <w:r>
        <w:rPr>
          <w:rFonts w:cs="Times New Roman"/>
          <w:noProof/>
          <w:sz w:val="20"/>
        </w:rPr>
        <w:t>The Transboundary Diagnost</w:t>
      </w:r>
      <w:r>
        <w:rPr>
          <w:rFonts w:cs="Times New Roman"/>
          <w:noProof/>
          <w:sz w:val="20"/>
        </w:rPr>
        <w:t>ic Analysis of the Black Sea confirms (2007) that isolation from the flushing effects of the open ocean, coupled with its huge catchment, has made the Black Sea particularly susceptible to eutrophication. On the basis of this analysis, eutrophication/nutri</w:t>
      </w:r>
      <w:r>
        <w:rPr>
          <w:rFonts w:cs="Times New Roman"/>
          <w:noProof/>
          <w:sz w:val="20"/>
        </w:rPr>
        <w:t>ent enrichment is acknowledged by the Strategic Action Plan for the Environmental Protection and Rehabilitation of the Black Sea adopted in Sofia, on 17 April 2009 as one of the four priority transboundary problems and one of the Ecological Quality Objecti</w:t>
      </w:r>
      <w:r>
        <w:rPr>
          <w:rFonts w:cs="Times New Roman"/>
          <w:noProof/>
          <w:sz w:val="20"/>
        </w:rPr>
        <w:t>ves of this Plan is therefore to reduce it.</w:t>
      </w:r>
    </w:p>
    <w:p w:rsidR="00A22C37" w:rsidRDefault="000B1CC4">
      <w:pPr>
        <w:widowControl w:val="0"/>
        <w:spacing w:after="120" w:line="240" w:lineRule="auto"/>
        <w:jc w:val="both"/>
        <w:rPr>
          <w:rFonts w:cs="Times New Roman"/>
          <w:noProof/>
          <w:sz w:val="20"/>
        </w:rPr>
      </w:pPr>
      <w:r>
        <w:rPr>
          <w:rFonts w:cs="Times New Roman"/>
          <w:noProof/>
          <w:sz w:val="20"/>
        </w:rPr>
        <w:t>The Commission financed a project to help the Black Sea countries address this problem, in cooperation with HELCOM</w:t>
      </w:r>
      <w:r>
        <w:rPr>
          <w:rFonts w:cs="Times New Roman"/>
          <w:noProof/>
          <w:sz w:val="20"/>
          <w:vertAlign w:val="superscript"/>
        </w:rPr>
        <w:footnoteReference w:id="57"/>
      </w:r>
      <w:r>
        <w:rPr>
          <w:rFonts w:cs="Times New Roman"/>
          <w:noProof/>
          <w:sz w:val="20"/>
        </w:rPr>
        <w:t>.</w:t>
      </w:r>
    </w:p>
    <w:p w:rsidR="00A22C37" w:rsidRDefault="000B1CC4">
      <w:pPr>
        <w:widowControl w:val="0"/>
        <w:spacing w:after="120" w:line="240" w:lineRule="auto"/>
        <w:jc w:val="both"/>
        <w:rPr>
          <w:noProof/>
          <w:sz w:val="20"/>
        </w:rPr>
      </w:pPr>
      <w:r>
        <w:rPr>
          <w:noProof/>
          <w:sz w:val="20"/>
        </w:rPr>
        <w:t>In its reports on the implementation of the MSFD</w:t>
      </w:r>
      <w:r>
        <w:rPr>
          <w:noProof/>
          <w:sz w:val="20"/>
          <w:vertAlign w:val="superscript"/>
        </w:rPr>
        <w:footnoteReference w:id="58"/>
      </w:r>
      <w:r>
        <w:rPr>
          <w:noProof/>
          <w:sz w:val="20"/>
        </w:rPr>
        <w:t xml:space="preserve">, the Commission provided guidance to assist </w:t>
      </w:r>
      <w:r>
        <w:rPr>
          <w:noProof/>
          <w:sz w:val="20"/>
        </w:rPr>
        <w:t>Romania in its implementation of the Marine Strategy Framework Directive.</w:t>
      </w:r>
    </w:p>
    <w:p w:rsidR="00A22C37" w:rsidRDefault="000B1CC4">
      <w:pPr>
        <w:widowControl w:val="0"/>
        <w:spacing w:after="120" w:line="240" w:lineRule="auto"/>
        <w:jc w:val="both"/>
        <w:rPr>
          <w:bCs/>
          <w:noProof/>
          <w:color w:val="1F497D" w:themeColor="text2"/>
        </w:rPr>
      </w:pPr>
      <w:r>
        <w:rPr>
          <w:bCs/>
          <w:noProof/>
          <w:color w:val="1F497D" w:themeColor="text2"/>
        </w:rPr>
        <w:t xml:space="preserve">Suggested action </w:t>
      </w:r>
    </w:p>
    <w:p w:rsidR="00A22C37" w:rsidRDefault="000B1CC4">
      <w:pPr>
        <w:pStyle w:val="NoSpacing"/>
        <w:rPr>
          <w:noProof/>
        </w:rPr>
      </w:pPr>
      <w:r>
        <w:rPr>
          <w:noProof/>
        </w:rPr>
        <w:t>Continue work to improve the definitions of GES in particular for biodiversity descriptors, including through regional cooperation by using the work of the relevant</w:t>
      </w:r>
      <w:r>
        <w:rPr>
          <w:noProof/>
        </w:rPr>
        <w:t xml:space="preserve"> Regional Sea Convention.</w:t>
      </w:r>
    </w:p>
    <w:p w:rsidR="00A22C37" w:rsidRDefault="000B1CC4">
      <w:pPr>
        <w:pStyle w:val="NoSpacing"/>
        <w:rPr>
          <w:noProof/>
        </w:rPr>
      </w:pPr>
      <w:r>
        <w:rPr>
          <w:noProof/>
        </w:rPr>
        <w:t>Identify and address knowledge and information gaps.</w:t>
      </w:r>
    </w:p>
    <w:p w:rsidR="00A22C37" w:rsidRDefault="000B1CC4">
      <w:pPr>
        <w:pStyle w:val="NoSpacing"/>
        <w:rPr>
          <w:noProof/>
        </w:rPr>
      </w:pPr>
      <w:r>
        <w:rPr>
          <w:noProof/>
        </w:rPr>
        <w:t>Further develop approaches assessing (and quantifying) impacts from the main pressures in order to lead to improved and more conclusive assessment results for 2018 reporting.</w:t>
      </w:r>
    </w:p>
    <w:p w:rsidR="00A22C37" w:rsidRDefault="000B1CC4">
      <w:pPr>
        <w:pStyle w:val="NoSpacing"/>
        <w:rPr>
          <w:noProof/>
        </w:rPr>
      </w:pPr>
      <w:r>
        <w:rPr>
          <w:noProof/>
        </w:rPr>
        <w:t>Co</w:t>
      </w:r>
      <w:r>
        <w:rPr>
          <w:noProof/>
        </w:rPr>
        <w:t xml:space="preserve">ntinue to integrate monitoring programmes already existing under other EU legislation and to implement joint monitoring programmes developed at (sub)regional level. </w:t>
      </w:r>
    </w:p>
    <w:p w:rsidR="00A22C37" w:rsidRDefault="000B1CC4">
      <w:pPr>
        <w:pStyle w:val="NoSpacing"/>
        <w:rPr>
          <w:noProof/>
        </w:rPr>
      </w:pPr>
      <w:r>
        <w:rPr>
          <w:noProof/>
        </w:rPr>
        <w:t>Enhance, in cooperation with Bulgaria, the comparability and consistency of monitoring met</w:t>
      </w:r>
      <w:r>
        <w:rPr>
          <w:noProof/>
        </w:rPr>
        <w:t xml:space="preserve">hods within its marine region. </w:t>
      </w:r>
    </w:p>
    <w:p w:rsidR="00A22C37" w:rsidRDefault="000B1CC4">
      <w:pPr>
        <w:pStyle w:val="NoSpacing"/>
        <w:rPr>
          <w:noProof/>
        </w:rPr>
      </w:pPr>
      <w:r>
        <w:rPr>
          <w:noProof/>
        </w:rPr>
        <w:t>Urgently report and implement the national programme of measures.</w:t>
      </w:r>
    </w:p>
    <w:p w:rsidR="00A22C37" w:rsidRDefault="000B1CC4">
      <w:pPr>
        <w:pStyle w:val="NoSpacing"/>
        <w:rPr>
          <w:noProof/>
        </w:rPr>
      </w:pPr>
      <w:r>
        <w:rPr>
          <w:noProof/>
        </w:rPr>
        <w:t>Ensure that its monitoring programme is implemented without delay and is appropriate to monitor progress towards its GES.</w:t>
      </w:r>
    </w:p>
    <w:p w:rsidR="00A22C37" w:rsidRDefault="00A22C37">
      <w:pPr>
        <w:widowControl w:val="0"/>
        <w:spacing w:after="120" w:line="240" w:lineRule="auto"/>
        <w:jc w:val="both"/>
        <w:rPr>
          <w:noProof/>
          <w:sz w:val="20"/>
        </w:rPr>
      </w:pPr>
    </w:p>
    <w:p w:rsidR="00A22C37" w:rsidRDefault="000B1CC4">
      <w:pPr>
        <w:widowControl w:val="0"/>
        <w:spacing w:line="240" w:lineRule="auto"/>
        <w:jc w:val="both"/>
        <w:rPr>
          <w:rFonts w:cs="Times New Roman"/>
          <w:noProof/>
          <w:sz w:val="20"/>
        </w:rPr>
      </w:pPr>
      <w:r>
        <w:rPr>
          <w:rFonts w:cs="Times New Roman"/>
          <w:noProof/>
          <w:sz w:val="20"/>
        </w:rPr>
        <w:br w:type="page"/>
      </w:r>
    </w:p>
    <w:p w:rsidR="00A22C37" w:rsidRDefault="00A22C37">
      <w:pPr>
        <w:widowControl w:val="0"/>
        <w:spacing w:after="0" w:line="240" w:lineRule="auto"/>
        <w:jc w:val="both"/>
        <w:outlineLvl w:val="0"/>
        <w:rPr>
          <w:rFonts w:eastAsiaTheme="majorEastAsia" w:cstheme="majorBidi"/>
          <w:b/>
          <w:bCs/>
          <w:noProof/>
          <w:color w:val="1F497D" w:themeColor="text2"/>
          <w:sz w:val="32"/>
          <w:szCs w:val="32"/>
        </w:rPr>
        <w:sectPr w:rsidR="00A22C37">
          <w:headerReference w:type="even" r:id="rId65"/>
          <w:headerReference w:type="default" r:id="rId66"/>
          <w:footerReference w:type="even" r:id="rId67"/>
          <w:footerReference w:type="default" r:id="rId68"/>
          <w:headerReference w:type="first" r:id="rId69"/>
          <w:footerReference w:type="first" r:id="rId70"/>
          <w:type w:val="continuous"/>
          <w:pgSz w:w="11906" w:h="16838"/>
          <w:pgMar w:top="1440" w:right="1080" w:bottom="1440" w:left="1080" w:header="708" w:footer="708" w:gutter="0"/>
          <w:cols w:num="2" w:space="357"/>
          <w:docGrid w:linePitch="360"/>
        </w:sectPr>
      </w:pPr>
    </w:p>
    <w:p w:rsidR="00A22C37" w:rsidRDefault="000B1CC4">
      <w:pPr>
        <w:widowControl w:val="0"/>
        <w:numPr>
          <w:ilvl w:val="0"/>
          <w:numId w:val="32"/>
        </w:numPr>
        <w:spacing w:after="0" w:line="240" w:lineRule="auto"/>
        <w:jc w:val="center"/>
        <w:outlineLvl w:val="0"/>
        <w:rPr>
          <w:rFonts w:cstheme="majorBidi"/>
          <w:b/>
          <w:bCs/>
          <w:noProof/>
          <w:color w:val="1F497D" w:themeColor="text2"/>
          <w:sz w:val="32"/>
          <w:szCs w:val="32"/>
        </w:rPr>
      </w:pPr>
      <w:bookmarkStart w:id="28" w:name="_Toc469484785"/>
      <w:r>
        <w:rPr>
          <w:rFonts w:cstheme="majorBidi"/>
          <w:b/>
          <w:bCs/>
          <w:noProof/>
          <w:color w:val="1F497D" w:themeColor="text2"/>
          <w:sz w:val="32"/>
          <w:szCs w:val="32"/>
        </w:rPr>
        <w:t>Ensuring citizens' health and quality of life</w:t>
      </w:r>
      <w:bookmarkEnd w:id="28"/>
    </w:p>
    <w:p w:rsidR="00A22C37" w:rsidRDefault="00A22C37">
      <w:pPr>
        <w:widowControl w:val="0"/>
        <w:spacing w:line="240" w:lineRule="auto"/>
        <w:jc w:val="both"/>
        <w:rPr>
          <w:noProof/>
          <w:sz w:val="20"/>
        </w:rPr>
      </w:pPr>
    </w:p>
    <w:p w:rsidR="00A22C37" w:rsidRDefault="00A22C37">
      <w:pPr>
        <w:widowControl w:val="0"/>
        <w:spacing w:line="240" w:lineRule="auto"/>
        <w:jc w:val="both"/>
        <w:rPr>
          <w:noProof/>
          <w:sz w:val="20"/>
        </w:rPr>
        <w:sectPr w:rsidR="00A22C37">
          <w:headerReference w:type="even" r:id="rId71"/>
          <w:headerReference w:type="default" r:id="rId72"/>
          <w:footerReference w:type="even" r:id="rId73"/>
          <w:footerReference w:type="default" r:id="rId74"/>
          <w:headerReference w:type="first" r:id="rId75"/>
          <w:footerReference w:type="first" r:id="rId76"/>
          <w:type w:val="continuous"/>
          <w:pgSz w:w="11906" w:h="16838"/>
          <w:pgMar w:top="1440" w:right="1080" w:bottom="1440" w:left="1080" w:header="708" w:footer="708" w:gutter="0"/>
          <w:cols w:space="566"/>
          <w:docGrid w:linePitch="360"/>
        </w:sectPr>
      </w:pPr>
    </w:p>
    <w:p w:rsidR="00A22C37" w:rsidRDefault="000B1CC4">
      <w:pPr>
        <w:widowControl w:val="0"/>
        <w:spacing w:after="0" w:line="240" w:lineRule="auto"/>
        <w:jc w:val="both"/>
        <w:outlineLvl w:val="1"/>
        <w:rPr>
          <w:rFonts w:eastAsia="Times New Roman"/>
          <w:b/>
          <w:noProof/>
          <w:color w:val="FF0000"/>
          <w:sz w:val="24"/>
          <w:lang w:eastAsia="en-GB"/>
        </w:rPr>
      </w:pPr>
      <w:bookmarkStart w:id="29" w:name="_Toc469484786"/>
      <w:r>
        <w:rPr>
          <w:rFonts w:eastAsia="Times New Roman"/>
          <w:b/>
          <w:noProof/>
          <w:color w:val="1F497D" w:themeColor="text2"/>
          <w:sz w:val="24"/>
          <w:lang w:eastAsia="en-GB"/>
        </w:rPr>
        <w:t>Air quality</w:t>
      </w:r>
      <w:bookmarkEnd w:id="29"/>
      <w:r>
        <w:rPr>
          <w:rFonts w:eastAsia="Times New Roman"/>
          <w:b/>
          <w:noProof/>
          <w:color w:val="1F497D" w:themeColor="text2"/>
          <w:sz w:val="24"/>
          <w:lang w:eastAsia="en-GB"/>
        </w:rPr>
        <w:t xml:space="preserve"> </w:t>
      </w:r>
    </w:p>
    <w:tbl>
      <w:tblPr>
        <w:tblStyle w:val="TableGrid2"/>
        <w:tblpPr w:leftFromText="180" w:rightFromText="180" w:vertAnchor="text" w:horzAnchor="margin" w:tblpY="3277"/>
        <w:tblW w:w="100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A22C37">
        <w:trPr>
          <w:trHeight w:val="328"/>
        </w:trPr>
        <w:tc>
          <w:tcPr>
            <w:tcW w:w="10086" w:type="dxa"/>
          </w:tcPr>
          <w:p w:rsidR="00A22C37" w:rsidRDefault="000B1CC4">
            <w:pPr>
              <w:spacing w:after="120"/>
              <w:rPr>
                <w:b/>
                <w:bCs/>
                <w:noProof/>
                <w:color w:val="1F497D" w:themeColor="text2"/>
              </w:rPr>
            </w:pPr>
            <w:r>
              <w:rPr>
                <w:b/>
                <w:bCs/>
                <w:noProof/>
                <w:color w:val="1F497D" w:themeColor="text2"/>
                <w:sz w:val="20"/>
              </w:rPr>
              <w:t>Figure 9: Attainment situation for PM10, NO2 and O3 in 2014</w:t>
            </w:r>
          </w:p>
        </w:tc>
      </w:tr>
      <w:tr w:rsidR="00A22C37">
        <w:trPr>
          <w:trHeight w:val="4030"/>
        </w:trPr>
        <w:tc>
          <w:tcPr>
            <w:tcW w:w="10086" w:type="dxa"/>
          </w:tcPr>
          <w:p w:rsidR="00A22C37" w:rsidRDefault="000B1CC4">
            <w:pPr>
              <w:spacing w:after="120"/>
              <w:rPr>
                <w:noProof/>
              </w:rPr>
            </w:pPr>
            <w:r>
              <w:rPr>
                <w:noProof/>
                <w:lang w:eastAsia="en-GB"/>
              </w:rPr>
              <w:drawing>
                <wp:inline distT="0" distB="0" distL="0" distR="0">
                  <wp:extent cx="6198782" cy="3063499"/>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00103" cy="3064152"/>
                          </a:xfrm>
                          <a:prstGeom prst="rect">
                            <a:avLst/>
                          </a:prstGeom>
                          <a:noFill/>
                        </pic:spPr>
                      </pic:pic>
                    </a:graphicData>
                  </a:graphic>
                </wp:inline>
              </w:drawing>
            </w:r>
          </w:p>
        </w:tc>
      </w:tr>
    </w:tbl>
    <w:p w:rsidR="00A22C37" w:rsidRDefault="000B1CC4">
      <w:pPr>
        <w:widowControl w:val="0"/>
        <w:shd w:val="clear" w:color="auto" w:fill="4F81BD" w:themeFill="accent1"/>
        <w:spacing w:before="240" w:after="120" w:line="240" w:lineRule="auto"/>
        <w:jc w:val="both"/>
        <w:rPr>
          <w:rFonts w:cs="Times New Roman"/>
          <w:noProof/>
          <w:color w:val="FFFFFF" w:themeColor="background1"/>
          <w:sz w:val="20"/>
          <w:szCs w:val="20"/>
        </w:rPr>
      </w:pPr>
      <w:r>
        <w:rPr>
          <w:rFonts w:cs="Times New Roman"/>
          <w:noProof/>
          <w:color w:val="FFFFFF" w:themeColor="background1"/>
          <w:sz w:val="20"/>
          <w:szCs w:val="20"/>
        </w:rPr>
        <w:t xml:space="preserve">The EU Clean Air Policy and legislation require that air quality in the Union is significantly improved, moving closer to the WHO recommended levels. Air pollution and its impacts on </w:t>
      </w:r>
      <w:r>
        <w:rPr>
          <w:rFonts w:cs="Times New Roman"/>
          <w:noProof/>
          <w:color w:val="FFFFFF" w:themeColor="background1"/>
          <w:sz w:val="20"/>
          <w:szCs w:val="20"/>
        </w:rPr>
        <w:t>ecosystems and biodiversity should be further reduced with the long-term aim of not exceeding critical loads and levels. This requires strengthening efforts to reach full compliance with Union air quality legislation and defining strategic targets and acti</w:t>
      </w:r>
      <w:r>
        <w:rPr>
          <w:rFonts w:cs="Times New Roman"/>
          <w:noProof/>
          <w:color w:val="FFFFFF" w:themeColor="background1"/>
          <w:sz w:val="20"/>
          <w:szCs w:val="20"/>
        </w:rPr>
        <w:t>ons beyond 2020.</w:t>
      </w:r>
    </w:p>
    <w:p w:rsidR="00A22C37" w:rsidRDefault="000B1CC4">
      <w:pPr>
        <w:widowControl w:val="0"/>
        <w:spacing w:after="120" w:line="240" w:lineRule="auto"/>
        <w:jc w:val="both"/>
        <w:rPr>
          <w:noProof/>
          <w:sz w:val="20"/>
          <w:szCs w:val="20"/>
        </w:rPr>
      </w:pPr>
      <w:r>
        <w:rPr>
          <w:noProof/>
          <w:sz w:val="20"/>
          <w:szCs w:val="20"/>
        </w:rPr>
        <w:t>The EU has developed a comprehensive suite of air quality legislation</w:t>
      </w:r>
      <w:r>
        <w:rPr>
          <w:noProof/>
          <w:sz w:val="20"/>
          <w:szCs w:val="20"/>
          <w:vertAlign w:val="superscript"/>
        </w:rPr>
        <w:footnoteReference w:id="59"/>
      </w:r>
      <w:r>
        <w:rPr>
          <w:noProof/>
          <w:sz w:val="20"/>
          <w:szCs w:val="20"/>
        </w:rPr>
        <w:t>, which establishes health-based standards and objectives for a number of air pollutants. As part of this, Member States are also required to ensure that up-to-date info</w:t>
      </w:r>
      <w:r>
        <w:rPr>
          <w:noProof/>
          <w:sz w:val="20"/>
          <w:szCs w:val="20"/>
        </w:rPr>
        <w:t>rmation on ambient concentrations of different air pollutants is routinely made available to the public. In addition, the National Emission Ceilings Directive provides for emission reductions at national level that should be achieved for main pollutants.</w:t>
      </w:r>
    </w:p>
    <w:p w:rsidR="00A22C37" w:rsidRDefault="000B1CC4">
      <w:pPr>
        <w:widowControl w:val="0"/>
        <w:spacing w:after="120" w:line="240" w:lineRule="auto"/>
        <w:jc w:val="both"/>
        <w:rPr>
          <w:rFonts w:cs="Times New Roman"/>
          <w:noProof/>
          <w:sz w:val="20"/>
          <w:szCs w:val="20"/>
        </w:rPr>
      </w:pPr>
      <w:r>
        <w:rPr>
          <w:rFonts w:cs="Times New Roman"/>
          <w:noProof/>
          <w:sz w:val="20"/>
          <w:szCs w:val="20"/>
        </w:rPr>
        <w:t>T</w:t>
      </w:r>
      <w:r>
        <w:rPr>
          <w:rFonts w:cs="Times New Roman"/>
          <w:noProof/>
          <w:sz w:val="20"/>
          <w:szCs w:val="20"/>
        </w:rPr>
        <w:t>he emission of several air pollutants has decreased significantly in Romania</w:t>
      </w:r>
      <w:r>
        <w:rPr>
          <w:rFonts w:cs="Times New Roman"/>
          <w:noProof/>
          <w:sz w:val="20"/>
          <w:szCs w:val="20"/>
          <w:vertAlign w:val="superscript"/>
        </w:rPr>
        <w:footnoteReference w:id="60"/>
      </w:r>
      <w:r>
        <w:rPr>
          <w:rFonts w:cs="Times New Roman"/>
          <w:noProof/>
          <w:sz w:val="20"/>
          <w:szCs w:val="20"/>
        </w:rPr>
        <w:t>. Reductions between 1990 and 2014 for sulphur oxides (</w:t>
      </w:r>
      <w:r>
        <w:rPr>
          <w:rFonts w:cs="Times New Roman"/>
          <w:noProof/>
          <w:sz w:val="20"/>
          <w:szCs w:val="20"/>
        </w:rPr>
        <w:noBreakHyphen/>
        <w:t>79%), nitrogen oxides (-53%), ammonia (-46%) as well as volatile organic compounds (</w:t>
      </w:r>
      <w:r>
        <w:rPr>
          <w:rFonts w:cs="Times New Roman"/>
          <w:noProof/>
          <w:sz w:val="20"/>
          <w:szCs w:val="20"/>
        </w:rPr>
        <w:noBreakHyphen/>
        <w:t>10%) ensure emissions from these pollu</w:t>
      </w:r>
      <w:r>
        <w:rPr>
          <w:rFonts w:cs="Times New Roman"/>
          <w:noProof/>
          <w:sz w:val="20"/>
          <w:szCs w:val="20"/>
        </w:rPr>
        <w:t>tants are within the currently applicable national emission ceilings.</w:t>
      </w:r>
      <w:r>
        <w:rPr>
          <w:rFonts w:cs="Times New Roman"/>
          <w:noProof/>
          <w:sz w:val="20"/>
          <w:szCs w:val="20"/>
          <w:vertAlign w:val="superscript"/>
        </w:rPr>
        <w:footnoteReference w:id="61"/>
      </w:r>
      <w:r>
        <w:rPr>
          <w:rFonts w:cs="Times New Roman"/>
          <w:noProof/>
          <w:sz w:val="20"/>
          <w:szCs w:val="20"/>
        </w:rPr>
        <w:t xml:space="preserve"> These trends must continue if Romania is to achieve compliance with air quality standards, too.</w:t>
      </w:r>
    </w:p>
    <w:p w:rsidR="00A22C37" w:rsidRDefault="000B1CC4">
      <w:pPr>
        <w:widowControl w:val="0"/>
        <w:spacing w:after="120" w:line="240" w:lineRule="auto"/>
        <w:jc w:val="both"/>
        <w:rPr>
          <w:rFonts w:cs="Times New Roman"/>
          <w:noProof/>
          <w:sz w:val="20"/>
          <w:szCs w:val="20"/>
        </w:rPr>
      </w:pPr>
      <w:r>
        <w:rPr>
          <w:rFonts w:cs="Times New Roman"/>
          <w:noProof/>
          <w:sz w:val="20"/>
          <w:szCs w:val="20"/>
        </w:rPr>
        <w:t>At the same time, air quality in Romania continues to cause concern. For 2013, the Europe</w:t>
      </w:r>
      <w:r>
        <w:rPr>
          <w:rFonts w:cs="Times New Roman"/>
          <w:noProof/>
          <w:sz w:val="20"/>
          <w:szCs w:val="20"/>
        </w:rPr>
        <w:t>an Environment Agency estimated that about 25 330 premature deaths were attributable to concentrations of fine particulate matter</w:t>
      </w:r>
      <w:r>
        <w:rPr>
          <w:rFonts w:cs="Times New Roman"/>
          <w:noProof/>
          <w:sz w:val="20"/>
          <w:szCs w:val="20"/>
          <w:vertAlign w:val="superscript"/>
        </w:rPr>
        <w:footnoteReference w:id="62"/>
      </w:r>
      <w:r>
        <w:rPr>
          <w:rFonts w:cs="Times New Roman"/>
          <w:noProof/>
          <w:sz w:val="20"/>
          <w:szCs w:val="20"/>
        </w:rPr>
        <w:t>, 430 to ozone concentrations and 1 900 to nitrogen dioxide concentrations</w:t>
      </w:r>
      <w:r>
        <w:rPr>
          <w:rFonts w:cs="Times New Roman"/>
          <w:noProof/>
          <w:sz w:val="20"/>
          <w:szCs w:val="20"/>
          <w:vertAlign w:val="superscript"/>
        </w:rPr>
        <w:footnoteReference w:id="63"/>
      </w:r>
      <w:r>
        <w:rPr>
          <w:rFonts w:cs="Times New Roman"/>
          <w:noProof/>
          <w:sz w:val="20"/>
          <w:szCs w:val="20"/>
        </w:rPr>
        <w:t>. This is also due to exceedances above the EU's ai</w:t>
      </w:r>
      <w:r>
        <w:rPr>
          <w:rFonts w:cs="Times New Roman"/>
          <w:noProof/>
          <w:sz w:val="20"/>
          <w:szCs w:val="20"/>
        </w:rPr>
        <w:t>r quality standards as shown in Figure 9</w:t>
      </w:r>
      <w:r>
        <w:rPr>
          <w:rFonts w:cs="Times New Roman"/>
          <w:noProof/>
          <w:sz w:val="20"/>
          <w:szCs w:val="20"/>
          <w:vertAlign w:val="superscript"/>
        </w:rPr>
        <w:footnoteReference w:id="64"/>
      </w:r>
      <w:r>
        <w:rPr>
          <w:rFonts w:cs="Times New Roman"/>
          <w:noProof/>
          <w:sz w:val="20"/>
          <w:szCs w:val="20"/>
        </w:rPr>
        <w:t>.</w:t>
      </w:r>
    </w:p>
    <w:p w:rsidR="00A22C37" w:rsidRDefault="000B1CC4">
      <w:pPr>
        <w:widowControl w:val="0"/>
        <w:spacing w:after="120" w:line="240" w:lineRule="auto"/>
        <w:jc w:val="both"/>
        <w:rPr>
          <w:rFonts w:cs="Times New Roman"/>
          <w:noProof/>
          <w:sz w:val="20"/>
          <w:szCs w:val="20"/>
        </w:rPr>
      </w:pPr>
      <w:r>
        <w:rPr>
          <w:rFonts w:cs="Times New Roman"/>
          <w:noProof/>
          <w:sz w:val="20"/>
          <w:szCs w:val="20"/>
        </w:rPr>
        <w:t>For 2013, exceedances above the EU air quality standards have been registered related to nitrogen dioxide in two air quality zones (Bucharest and Brasov), and related to particulate matter(PM</w:t>
      </w:r>
      <w:r>
        <w:rPr>
          <w:rFonts w:cs="Times New Roman"/>
          <w:noProof/>
          <w:sz w:val="20"/>
          <w:szCs w:val="20"/>
          <w:vertAlign w:val="subscript"/>
        </w:rPr>
        <w:t>10</w:t>
      </w:r>
      <w:r>
        <w:rPr>
          <w:rFonts w:cs="Times New Roman"/>
          <w:noProof/>
          <w:sz w:val="20"/>
          <w:szCs w:val="20"/>
        </w:rPr>
        <w:t>) in three air quali</w:t>
      </w:r>
      <w:r>
        <w:rPr>
          <w:rFonts w:cs="Times New Roman"/>
          <w:noProof/>
          <w:sz w:val="20"/>
          <w:szCs w:val="20"/>
        </w:rPr>
        <w:t xml:space="preserve">ty zone (Bucharest, Iasi and Ilfov). </w:t>
      </w:r>
    </w:p>
    <w:p w:rsidR="00A22C37" w:rsidRDefault="000B1CC4">
      <w:pPr>
        <w:widowControl w:val="0"/>
        <w:spacing w:after="120" w:line="240" w:lineRule="auto"/>
        <w:jc w:val="both"/>
        <w:rPr>
          <w:rFonts w:cs="Times New Roman"/>
          <w:noProof/>
          <w:sz w:val="20"/>
          <w:szCs w:val="20"/>
        </w:rPr>
      </w:pPr>
      <w:r>
        <w:rPr>
          <w:rFonts w:cs="Times New Roman"/>
          <w:noProof/>
          <w:sz w:val="20"/>
          <w:szCs w:val="20"/>
        </w:rPr>
        <w:t xml:space="preserve">For 2014, </w:t>
      </w:r>
      <w:r>
        <w:rPr>
          <w:rFonts w:cs="Times New Roman"/>
          <w:noProof/>
          <w:sz w:val="20"/>
          <w:szCs w:val="20"/>
          <w:lang w:eastAsia="en-GB"/>
        </w:rPr>
        <w:t xml:space="preserve">the Romanan authorities have communicated </w:t>
      </w:r>
      <w:r>
        <w:rPr>
          <w:rFonts w:cs="Times New Roman"/>
          <w:noProof/>
          <w:sz w:val="20"/>
          <w:szCs w:val="20"/>
        </w:rPr>
        <w:t>exceedances above the EU air quality standards related to particulate matter (PM</w:t>
      </w:r>
      <w:r>
        <w:rPr>
          <w:rFonts w:cs="Times New Roman"/>
          <w:noProof/>
          <w:sz w:val="20"/>
          <w:szCs w:val="20"/>
          <w:vertAlign w:val="subscript"/>
        </w:rPr>
        <w:t>10</w:t>
      </w:r>
      <w:r>
        <w:rPr>
          <w:rFonts w:cs="Times New Roman"/>
          <w:noProof/>
          <w:sz w:val="20"/>
          <w:szCs w:val="20"/>
        </w:rPr>
        <w:t xml:space="preserve">) in one zone (Bucharest). Furthermore, the target values and long-term objectives </w:t>
      </w:r>
      <w:r>
        <w:rPr>
          <w:rFonts w:cs="Times New Roman"/>
          <w:noProof/>
          <w:sz w:val="20"/>
          <w:szCs w:val="20"/>
        </w:rPr>
        <w:t>regarding ozone concentrations are not being met in several air quality zones</w:t>
      </w:r>
      <w:r>
        <w:rPr>
          <w:rFonts w:cs="Times New Roman"/>
          <w:noProof/>
          <w:sz w:val="20"/>
          <w:szCs w:val="20"/>
          <w:vertAlign w:val="superscript"/>
        </w:rPr>
        <w:footnoteReference w:id="65"/>
      </w:r>
      <w:r>
        <w:rPr>
          <w:rFonts w:cs="Times New Roman"/>
          <w:noProof/>
          <w:sz w:val="20"/>
          <w:szCs w:val="20"/>
        </w:rPr>
        <w:t>.</w:t>
      </w:r>
    </w:p>
    <w:p w:rsidR="00A22C37" w:rsidRDefault="000B1CC4">
      <w:pPr>
        <w:widowControl w:val="0"/>
        <w:spacing w:after="120" w:line="240" w:lineRule="auto"/>
        <w:jc w:val="both"/>
        <w:rPr>
          <w:noProof/>
          <w:sz w:val="20"/>
          <w:szCs w:val="20"/>
          <w:lang w:eastAsia="en-GB"/>
        </w:rPr>
      </w:pPr>
      <w:r>
        <w:rPr>
          <w:noProof/>
          <w:sz w:val="20"/>
          <w:szCs w:val="20"/>
          <w:lang w:eastAsia="en-GB"/>
        </w:rPr>
        <w:t>The persistent breaches of air quality requirements (for PM</w:t>
      </w:r>
      <w:r>
        <w:rPr>
          <w:noProof/>
          <w:sz w:val="20"/>
          <w:szCs w:val="20"/>
          <w:vertAlign w:val="subscript"/>
          <w:lang w:eastAsia="en-GB"/>
        </w:rPr>
        <w:t>10</w:t>
      </w:r>
      <w:r>
        <w:rPr>
          <w:noProof/>
          <w:sz w:val="20"/>
          <w:szCs w:val="20"/>
          <w:lang w:eastAsia="en-GB"/>
        </w:rPr>
        <w:t>), which have severe negative effects on health and environment, are being followed up by the European Commission t</w:t>
      </w:r>
      <w:r>
        <w:rPr>
          <w:noProof/>
          <w:sz w:val="20"/>
          <w:szCs w:val="20"/>
          <w:lang w:eastAsia="en-GB"/>
        </w:rPr>
        <w:t>hrough infringement procedures covering all the Member States concerned, including Romania. The aim is that adequate measures are put in place to bring all zones into compliance.</w:t>
      </w:r>
    </w:p>
    <w:p w:rsidR="00A22C37" w:rsidRDefault="000B1CC4">
      <w:pPr>
        <w:spacing w:after="120" w:line="240" w:lineRule="auto"/>
        <w:jc w:val="both"/>
        <w:rPr>
          <w:rFonts w:cs="Times New Roman"/>
          <w:noProof/>
          <w:sz w:val="20"/>
          <w:szCs w:val="20"/>
          <w:lang w:eastAsia="en-GB"/>
        </w:rPr>
      </w:pPr>
      <w:r>
        <w:rPr>
          <w:rFonts w:cs="Times New Roman"/>
          <w:noProof/>
          <w:sz w:val="20"/>
          <w:szCs w:val="20"/>
          <w:lang w:eastAsia="en-GB"/>
        </w:rPr>
        <w:t xml:space="preserve">It is estimated that the health-related external costs from air pollution in </w:t>
      </w:r>
      <w:r>
        <w:rPr>
          <w:rFonts w:cs="Times New Roman"/>
          <w:noProof/>
          <w:sz w:val="20"/>
          <w:szCs w:val="20"/>
          <w:lang w:eastAsia="en-GB"/>
        </w:rPr>
        <w:t>Romania are above EUR 10 billion/year (income adjusted, 2010), which include not only the intrinsic value of living a full health life but also direct costs to the economy. These direct economic costs relate to 4.5 million workdays lost each year due to si</w:t>
      </w:r>
      <w:r>
        <w:rPr>
          <w:rFonts w:cs="Times New Roman"/>
          <w:noProof/>
          <w:sz w:val="20"/>
          <w:szCs w:val="20"/>
          <w:lang w:eastAsia="en-GB"/>
        </w:rPr>
        <w:t>ckness related to air pollution, with associated costs for employers of EUR 257 million/year (income adjusted, 2010), for healthcare of above EUR 31 million/year (income adjusted, 2010), and for agriculture (crop losses) of EUR 106 million/year (2010)</w:t>
      </w:r>
      <w:r>
        <w:rPr>
          <w:rFonts w:cs="Times New Roman"/>
          <w:noProof/>
          <w:sz w:val="20"/>
          <w:szCs w:val="20"/>
          <w:vertAlign w:val="superscript"/>
          <w:lang w:eastAsia="en-GB"/>
        </w:rPr>
        <w:footnoteReference w:id="66"/>
      </w:r>
      <w:r>
        <w:rPr>
          <w:rFonts w:cs="Times New Roman"/>
          <w:noProof/>
          <w:sz w:val="20"/>
          <w:szCs w:val="20"/>
          <w:lang w:eastAsia="en-GB"/>
        </w:rPr>
        <w:t>.</w:t>
      </w:r>
    </w:p>
    <w:p w:rsidR="00A22C37" w:rsidRDefault="000B1CC4">
      <w:pPr>
        <w:widowControl w:val="0"/>
        <w:spacing w:after="120" w:line="240" w:lineRule="auto"/>
        <w:jc w:val="both"/>
        <w:rPr>
          <w:bCs/>
          <w:noProof/>
          <w:color w:val="1F497D" w:themeColor="text2"/>
          <w:sz w:val="20"/>
          <w:szCs w:val="20"/>
        </w:rPr>
      </w:pPr>
      <w:r>
        <w:rPr>
          <w:bCs/>
          <w:noProof/>
          <w:color w:val="1F497D" w:themeColor="text2"/>
          <w:sz w:val="20"/>
          <w:szCs w:val="20"/>
        </w:rPr>
        <w:t>Su</w:t>
      </w:r>
      <w:r>
        <w:rPr>
          <w:bCs/>
          <w:noProof/>
          <w:color w:val="1F497D" w:themeColor="text2"/>
          <w:sz w:val="20"/>
          <w:szCs w:val="20"/>
        </w:rPr>
        <w:t>ggested action</w:t>
      </w:r>
    </w:p>
    <w:p w:rsidR="00A22C37" w:rsidRDefault="000B1CC4">
      <w:pPr>
        <w:pStyle w:val="NoSpacing"/>
        <w:rPr>
          <w:noProof/>
        </w:rPr>
      </w:pPr>
      <w:r>
        <w:rPr>
          <w:noProof/>
        </w:rPr>
        <w:t>Maintain downward emissions trends of air pollutants in order to achieve full compliance with air quality limit values - and reduce adverse air pollution impacts on health, environment and economy.</w:t>
      </w:r>
    </w:p>
    <w:p w:rsidR="00A22C37" w:rsidRDefault="000B1CC4">
      <w:pPr>
        <w:pStyle w:val="NoSpacing"/>
        <w:rPr>
          <w:noProof/>
        </w:rPr>
      </w:pPr>
      <w:r>
        <w:rPr>
          <w:noProof/>
        </w:rPr>
        <w:t>Reduce nitrogen oxide (NO</w:t>
      </w:r>
      <w:r>
        <w:rPr>
          <w:noProof/>
          <w:vertAlign w:val="subscript"/>
        </w:rPr>
        <w:t>x</w:t>
      </w:r>
      <w:r>
        <w:rPr>
          <w:noProof/>
        </w:rPr>
        <w:t>) emissions to co</w:t>
      </w:r>
      <w:r>
        <w:rPr>
          <w:noProof/>
        </w:rPr>
        <w:t>mply with currently applicable national emission ceilings</w:t>
      </w:r>
      <w:r>
        <w:rPr>
          <w:noProof/>
          <w:vertAlign w:val="superscript"/>
        </w:rPr>
        <w:footnoteReference w:id="67"/>
      </w:r>
      <w:r>
        <w:rPr>
          <w:noProof/>
        </w:rPr>
        <w:t xml:space="preserve"> and/or to reduce nitrogen dioxide (NO</w:t>
      </w:r>
      <w:r>
        <w:rPr>
          <w:noProof/>
          <w:vertAlign w:val="subscript"/>
        </w:rPr>
        <w:t>2</w:t>
      </w:r>
      <w:r>
        <w:rPr>
          <w:noProof/>
        </w:rPr>
        <w:t>) (and ozone concentrations), inter alia, by reducing transport related emissions - in particular in urban areas.</w:t>
      </w:r>
    </w:p>
    <w:p w:rsidR="00A22C37" w:rsidRDefault="000B1CC4">
      <w:pPr>
        <w:pStyle w:val="NoSpacing"/>
        <w:spacing w:after="240"/>
        <w:rPr>
          <w:noProof/>
        </w:rPr>
      </w:pPr>
      <w:r>
        <w:rPr>
          <w:noProof/>
        </w:rPr>
        <w:t>Reduce PM</w:t>
      </w:r>
      <w:r>
        <w:rPr>
          <w:noProof/>
          <w:vertAlign w:val="subscript"/>
        </w:rPr>
        <w:t>10</w:t>
      </w:r>
      <w:r>
        <w:rPr>
          <w:noProof/>
        </w:rPr>
        <w:t xml:space="preserve"> emission and concentration, inter</w:t>
      </w:r>
      <w:r>
        <w:rPr>
          <w:noProof/>
        </w:rPr>
        <w:t xml:space="preserve"> alia, by reducing emissions related to energy and heat generation using solid fuels, to transport and to agriculture.</w:t>
      </w:r>
    </w:p>
    <w:p w:rsidR="00A22C37" w:rsidRDefault="00A22C37">
      <w:pPr>
        <w:widowControl w:val="0"/>
        <w:spacing w:after="120" w:line="240" w:lineRule="auto"/>
        <w:jc w:val="both"/>
        <w:outlineLvl w:val="1"/>
        <w:rPr>
          <w:rFonts w:eastAsia="Times New Roman"/>
          <w:b/>
          <w:noProof/>
          <w:color w:val="1F497D" w:themeColor="text2"/>
          <w:sz w:val="24"/>
          <w:lang w:eastAsia="en-GB"/>
        </w:rPr>
      </w:pPr>
      <w:bookmarkStart w:id="30" w:name="_Toc469484787"/>
    </w:p>
    <w:p w:rsidR="00A22C37" w:rsidRDefault="00A22C37">
      <w:pPr>
        <w:widowControl w:val="0"/>
        <w:spacing w:after="120" w:line="240" w:lineRule="auto"/>
        <w:jc w:val="both"/>
        <w:outlineLvl w:val="1"/>
        <w:rPr>
          <w:rFonts w:eastAsia="Times New Roman"/>
          <w:b/>
          <w:noProof/>
          <w:color w:val="1F497D" w:themeColor="text2"/>
          <w:sz w:val="24"/>
          <w:lang w:eastAsia="en-GB"/>
        </w:rPr>
      </w:pPr>
    </w:p>
    <w:p w:rsidR="00A22C37" w:rsidRDefault="00A22C37">
      <w:pPr>
        <w:widowControl w:val="0"/>
        <w:spacing w:after="120" w:line="240" w:lineRule="auto"/>
        <w:jc w:val="both"/>
        <w:outlineLvl w:val="1"/>
        <w:rPr>
          <w:rFonts w:eastAsia="Times New Roman"/>
          <w:b/>
          <w:noProof/>
          <w:color w:val="1F497D" w:themeColor="text2"/>
          <w:sz w:val="24"/>
          <w:lang w:eastAsia="en-GB"/>
        </w:rPr>
      </w:pPr>
    </w:p>
    <w:p w:rsidR="00A22C37" w:rsidRDefault="000B1CC4">
      <w:pPr>
        <w:widowControl w:val="0"/>
        <w:spacing w:after="120" w:line="240" w:lineRule="auto"/>
        <w:jc w:val="both"/>
        <w:outlineLvl w:val="1"/>
        <w:rPr>
          <w:rFonts w:eastAsia="Times New Roman"/>
          <w:b/>
          <w:noProof/>
          <w:color w:val="FF0000"/>
          <w:sz w:val="24"/>
          <w:lang w:eastAsia="en-GB"/>
        </w:rPr>
      </w:pPr>
      <w:r>
        <w:rPr>
          <w:rFonts w:eastAsia="Times New Roman"/>
          <w:b/>
          <w:noProof/>
          <w:color w:val="1F497D" w:themeColor="text2"/>
          <w:sz w:val="24"/>
          <w:lang w:eastAsia="en-GB"/>
        </w:rPr>
        <w:t>Noise</w:t>
      </w:r>
      <w:bookmarkEnd w:id="30"/>
    </w:p>
    <w:p w:rsidR="00A22C37" w:rsidRDefault="000B1CC4">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 xml:space="preserve">The Environmental Noise Directive provides for a common approach for the avoidance, prevention and reduction of harmful effects </w:t>
      </w:r>
      <w:r>
        <w:rPr>
          <w:rFonts w:cs="Times New Roman"/>
          <w:noProof/>
          <w:color w:val="FFFFFF" w:themeColor="background1"/>
          <w:sz w:val="20"/>
        </w:rPr>
        <w:t>due to exposure to environmental noise.</w:t>
      </w:r>
    </w:p>
    <w:p w:rsidR="00A22C37" w:rsidRDefault="000B1CC4">
      <w:pPr>
        <w:widowControl w:val="0"/>
        <w:spacing w:after="120" w:line="240" w:lineRule="auto"/>
        <w:jc w:val="both"/>
        <w:rPr>
          <w:noProof/>
          <w:sz w:val="20"/>
        </w:rPr>
      </w:pPr>
      <w:r>
        <w:rPr>
          <w:noProof/>
          <w:sz w:val="20"/>
        </w:rPr>
        <w:t>Excessive noise is one of the main causes of health issues</w:t>
      </w:r>
      <w:r>
        <w:rPr>
          <w:rFonts w:eastAsia="Calibri"/>
          <w:noProof/>
          <w:sz w:val="20"/>
          <w:vertAlign w:val="superscript"/>
        </w:rPr>
        <w:footnoteReference w:id="68"/>
      </w:r>
      <w:r>
        <w:rPr>
          <w:noProof/>
          <w:sz w:val="20"/>
        </w:rPr>
        <w:t xml:space="preserve">. To alleviate this, the EU </w:t>
      </w:r>
      <w:r>
        <w:rPr>
          <w:i/>
          <w:noProof/>
          <w:sz w:val="20"/>
        </w:rPr>
        <w:t>acquis</w:t>
      </w:r>
      <w:r>
        <w:rPr>
          <w:noProof/>
          <w:sz w:val="20"/>
        </w:rPr>
        <w:t xml:space="preserve"> sets out several requirements, including assessing the exposure to environmental noise through noise mapping, ensuring tha</w:t>
      </w:r>
      <w:r>
        <w:rPr>
          <w:noProof/>
          <w:sz w:val="20"/>
        </w:rPr>
        <w:t>t information on environmental noise and its effects is made available to the public, and adopting action plans with a view to preventing and reducing environmental noise where necessary and to preserving the acoustic environment quality where it is good.</w:t>
      </w:r>
    </w:p>
    <w:p w:rsidR="00A22C37" w:rsidRDefault="000B1CC4">
      <w:pPr>
        <w:widowControl w:val="0"/>
        <w:spacing w:after="120" w:line="240" w:lineRule="auto"/>
        <w:jc w:val="both"/>
        <w:rPr>
          <w:rFonts w:cs="Times New Roman"/>
          <w:noProof/>
          <w:sz w:val="20"/>
        </w:rPr>
      </w:pPr>
      <w:r>
        <w:rPr>
          <w:noProof/>
          <w:sz w:val="20"/>
        </w:rPr>
        <w:t>Romania's implementation of the Environmental Noise Directive</w:t>
      </w:r>
      <w:r>
        <w:rPr>
          <w:noProof/>
          <w:sz w:val="20"/>
          <w:vertAlign w:val="superscript"/>
        </w:rPr>
        <w:footnoteReference w:id="69"/>
      </w:r>
      <w:r>
        <w:rPr>
          <w:noProof/>
          <w:sz w:val="20"/>
        </w:rPr>
        <w:t xml:space="preserve"> is delayed. The noise mapping for the most recent reporting round, for the reference year 2011, is mostly complete. Action plans for noise management in the current period have been adopted for</w:t>
      </w:r>
      <w:r>
        <w:rPr>
          <w:noProof/>
          <w:sz w:val="20"/>
        </w:rPr>
        <w:t xml:space="preserve"> 53% of agglomerations, 3.7% of major roads and 33.33% of major railways. For airports, the Romanian authorities have fulfilled all their obligations.</w:t>
      </w:r>
    </w:p>
    <w:p w:rsidR="00A22C37" w:rsidRDefault="000B1CC4">
      <w:pPr>
        <w:widowControl w:val="0"/>
        <w:spacing w:after="120" w:line="240" w:lineRule="auto"/>
        <w:jc w:val="both"/>
        <w:rPr>
          <w:bCs/>
          <w:noProof/>
          <w:color w:val="1F497D" w:themeColor="text2"/>
        </w:rPr>
      </w:pPr>
      <w:r>
        <w:rPr>
          <w:bCs/>
          <w:noProof/>
          <w:color w:val="1F497D" w:themeColor="text2"/>
        </w:rPr>
        <w:t>Suggested action</w:t>
      </w:r>
    </w:p>
    <w:p w:rsidR="00A22C37" w:rsidRDefault="000B1CC4">
      <w:pPr>
        <w:pStyle w:val="NoSpacing"/>
        <w:spacing w:after="240"/>
        <w:rPr>
          <w:noProof/>
        </w:rPr>
      </w:pPr>
      <w:r>
        <w:rPr>
          <w:noProof/>
        </w:rPr>
        <w:t>Complete the missing noise maps and action plans.</w:t>
      </w:r>
    </w:p>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31" w:name="_Toc454460685"/>
      <w:bookmarkStart w:id="32" w:name="_Toc469484788"/>
      <w:bookmarkStart w:id="33" w:name="_Toc433184092"/>
      <w:r>
        <w:rPr>
          <w:rFonts w:eastAsia="Times New Roman"/>
          <w:b/>
          <w:noProof/>
          <w:color w:val="1F497D" w:themeColor="text2"/>
          <w:sz w:val="24"/>
          <w:lang w:eastAsia="en-GB"/>
        </w:rPr>
        <w:t>Water quality and management</w:t>
      </w:r>
      <w:bookmarkEnd w:id="31"/>
      <w:bookmarkEnd w:id="32"/>
    </w:p>
    <w:p w:rsidR="00A22C37" w:rsidRDefault="000B1CC4">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EU wa</w:t>
      </w:r>
      <w:r>
        <w:rPr>
          <w:rFonts w:cs="Times New Roman"/>
          <w:noProof/>
          <w:color w:val="FFFFFF" w:themeColor="background1"/>
          <w:sz w:val="20"/>
        </w:rPr>
        <w:t>ter policy and legislation require that the impact of pressures on transitional, coastal and fresh waters (including surface and ground waters) is significantly reduced to achieve, maintain or enhance good status of water bodies, as defined by the Water Fr</w:t>
      </w:r>
      <w:r>
        <w:rPr>
          <w:rFonts w:cs="Times New Roman"/>
          <w:noProof/>
          <w:color w:val="FFFFFF" w:themeColor="background1"/>
          <w:sz w:val="20"/>
        </w:rPr>
        <w:t>amework Directive; that citizens throughout the Union benefit from high standards for safe drinking and bathing water; and that the nutrient cycle (nitrogen and phosphorus) is managed in a more sustainable and resource-efficient way.</w:t>
      </w:r>
    </w:p>
    <w:p w:rsidR="00A22C37" w:rsidRDefault="000B1CC4">
      <w:pPr>
        <w:widowControl w:val="0"/>
        <w:shd w:val="clear" w:color="auto" w:fill="4F81BD" w:themeFill="accent1"/>
        <w:spacing w:before="240"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w:t>
      </w:r>
      <w:r>
        <w:rPr>
          <w:rFonts w:cs="Times New Roman"/>
          <w:noProof/>
          <w:color w:val="FFFFFF" w:themeColor="background1"/>
          <w:sz w:val="20"/>
        </w:rPr>
        <w:t>ries to ensure availability and sustainable management of water and sanitation for all.</w:t>
      </w:r>
    </w:p>
    <w:p w:rsidR="00A22C37" w:rsidRDefault="000B1CC4">
      <w:pPr>
        <w:widowControl w:val="0"/>
        <w:autoSpaceDE w:val="0"/>
        <w:spacing w:after="120" w:line="240" w:lineRule="auto"/>
        <w:jc w:val="both"/>
        <w:rPr>
          <w:rFonts w:eastAsia="Times New Roman"/>
          <w:noProof/>
          <w:color w:val="000000"/>
          <w:sz w:val="20"/>
          <w:szCs w:val="20"/>
        </w:rPr>
      </w:pPr>
      <w:r>
        <w:rPr>
          <w:rFonts w:eastAsia="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i/>
          <w:noProof/>
          <w:color w:val="000000"/>
          <w:sz w:val="20"/>
          <w:szCs w:val="20"/>
        </w:rPr>
        <w:t>acquis</w:t>
      </w:r>
      <w:r>
        <w:rPr>
          <w:rFonts w:eastAsia="Times New Roman"/>
          <w:noProof/>
          <w:color w:val="000000"/>
          <w:sz w:val="20"/>
          <w:szCs w:val="20"/>
          <w:vertAlign w:val="superscript"/>
        </w:rPr>
        <w:footnoteReference w:id="70"/>
      </w:r>
      <w:r>
        <w:rPr>
          <w:rFonts w:eastAsia="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 </w:t>
      </w:r>
    </w:p>
    <w:p w:rsidR="00A22C37" w:rsidRDefault="000B1CC4">
      <w:pPr>
        <w:widowControl w:val="0"/>
        <w:autoSpaceDE w:val="0"/>
        <w:spacing w:after="120" w:line="240" w:lineRule="auto"/>
        <w:jc w:val="both"/>
        <w:rPr>
          <w:noProof/>
          <w:sz w:val="20"/>
        </w:rPr>
      </w:pPr>
      <w:r>
        <w:rPr>
          <w:noProof/>
          <w:sz w:val="20"/>
        </w:rPr>
        <w:t xml:space="preserve">River Basin Management Plans (RBMPs) are a requirement of the Water Framework Directive and a means of achieving the protection, improvement and sustainable use of the water environment across Europe. This includes surface freshwaters such as lakes and </w:t>
      </w:r>
      <w:r>
        <w:rPr>
          <w:noProof/>
          <w:sz w:val="20"/>
        </w:rPr>
        <w:t>rivers, groundwater, estuaries and coastal waters up to one nautical mile.</w:t>
      </w:r>
    </w:p>
    <w:p w:rsidR="00A22C37" w:rsidRDefault="000B1CC4">
      <w:pPr>
        <w:widowControl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In its first River Basin Management Plans</w:t>
      </w:r>
      <w:r>
        <w:rPr>
          <w:rFonts w:cs="Times New Roman"/>
          <w:noProof/>
          <w:sz w:val="20"/>
          <w:vertAlign w:val="superscript"/>
          <w:lang w:val="en"/>
        </w:rPr>
        <w:footnoteReference w:id="71"/>
      </w:r>
      <w:r>
        <w:rPr>
          <w:rFonts w:cs="Times New Roman"/>
          <w:noProof/>
          <w:sz w:val="20"/>
          <w:lang w:val="en"/>
        </w:rPr>
        <w:t xml:space="preserve"> </w:t>
      </w:r>
      <w:r>
        <w:rPr>
          <w:rFonts w:eastAsia="Times New Roman" w:cs="Times New Roman"/>
          <w:noProof/>
          <w:color w:val="000000"/>
          <w:sz w:val="20"/>
          <w:szCs w:val="20"/>
        </w:rPr>
        <w:t xml:space="preserve">Romania reported the status of 3262 rivers, 131 lakes, 2 transitional, 4 coastal and 142 groundwater bodies. 64% of natural surface water </w:t>
      </w:r>
      <w:r>
        <w:rPr>
          <w:rFonts w:eastAsia="Times New Roman" w:cs="Times New Roman"/>
          <w:noProof/>
          <w:color w:val="000000"/>
          <w:sz w:val="20"/>
          <w:szCs w:val="20"/>
        </w:rPr>
        <w:t>bodies achieve a good or high ecological status and only 38% of heavily modified or artificial water bodies achieve a good or high ecological potential. 94% of surface water bodies, 90% of heavily modified and artificial water bodies and 87% of groundwater</w:t>
      </w:r>
      <w:r>
        <w:rPr>
          <w:rFonts w:eastAsia="Times New Roman" w:cs="Times New Roman"/>
          <w:noProof/>
          <w:color w:val="000000"/>
          <w:sz w:val="20"/>
          <w:szCs w:val="20"/>
        </w:rPr>
        <w:t xml:space="preserve"> bodies achieve good chemical status. 100% of groundwater bodies are in good quantitative status.</w:t>
      </w:r>
    </w:p>
    <w:p w:rsidR="00A22C37" w:rsidRDefault="000B1CC4">
      <w:pPr>
        <w:widowControl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main pressure on Romanian surface waters is diffuse pollution that affects 33% of water bodies. Flow regulation and morphological alterations affect 13% a</w:t>
      </w:r>
      <w:r>
        <w:rPr>
          <w:rFonts w:eastAsia="Times New Roman" w:cs="Times New Roman"/>
          <w:noProof/>
          <w:color w:val="000000"/>
          <w:sz w:val="20"/>
          <w:szCs w:val="20"/>
        </w:rPr>
        <w:t>nd point sources of pollution affect 8% of water bodies.</w:t>
      </w:r>
      <w:r>
        <w:rPr>
          <w:rFonts w:eastAsia="Times New Roman" w:cs="Times New Roman"/>
          <w:noProof/>
          <w:color w:val="000000"/>
          <w:sz w:val="20"/>
          <w:szCs w:val="20"/>
          <w:vertAlign w:val="superscript"/>
        </w:rPr>
        <w:footnoteReference w:id="72"/>
      </w:r>
      <w:r>
        <w:rPr>
          <w:rFonts w:eastAsia="Times New Roman" w:cs="Times New Roman"/>
          <w:noProof/>
          <w:color w:val="000000"/>
          <w:sz w:val="20"/>
          <w:szCs w:val="20"/>
        </w:rPr>
        <w:t xml:space="preserve"> </w:t>
      </w:r>
    </w:p>
    <w:p w:rsidR="00A22C37" w:rsidRDefault="000B1CC4">
      <w:pPr>
        <w:widowControl w:val="0"/>
        <w:spacing w:after="120" w:line="240" w:lineRule="auto"/>
        <w:jc w:val="both"/>
        <w:rPr>
          <w:rFonts w:cs="Myriad Pro"/>
          <w:noProof/>
          <w:color w:val="000000"/>
          <w:sz w:val="20"/>
          <w:szCs w:val="20"/>
        </w:rPr>
      </w:pPr>
      <w:r>
        <w:rPr>
          <w:rFonts w:eastAsia="Times New Roman" w:cs="Times New Roman"/>
          <w:noProof/>
          <w:color w:val="000000"/>
          <w:sz w:val="20"/>
          <w:szCs w:val="20"/>
        </w:rPr>
        <w:t>The Romanian River Basin Management Plan has a number of deficiencies that result in uncertainties about the status, and the link between identified pressures, objectives and measures is not always</w:t>
      </w:r>
      <w:r>
        <w:rPr>
          <w:rFonts w:eastAsia="Times New Roman" w:cs="Times New Roman"/>
          <w:noProof/>
          <w:color w:val="000000"/>
          <w:sz w:val="20"/>
          <w:szCs w:val="20"/>
        </w:rPr>
        <w:t xml:space="preserve"> clear. In particular there are weaknesses in methods for assessment and classification of the status. A number of exemptions were applied without transparent justification. The planned measures are expected to result in improvement of ecological and chemi</w:t>
      </w:r>
      <w:r>
        <w:rPr>
          <w:rFonts w:eastAsia="Times New Roman" w:cs="Times New Roman"/>
          <w:noProof/>
          <w:color w:val="000000"/>
          <w:sz w:val="20"/>
          <w:szCs w:val="20"/>
        </w:rPr>
        <w:t xml:space="preserve">cal status of surface water bodies by 4% and 1% respectively. The measures should also bring improvement of ecological potential of artificial and heavily modified water bodies by 9% and improvement of chemical status by 3%. In terms of ecological status, </w:t>
      </w:r>
      <w:r>
        <w:rPr>
          <w:rFonts w:eastAsia="Times New Roman" w:cs="Times New Roman"/>
          <w:noProof/>
          <w:color w:val="000000"/>
          <w:sz w:val="20"/>
          <w:szCs w:val="20"/>
        </w:rPr>
        <w:t>i</w:t>
      </w:r>
      <w:r>
        <w:rPr>
          <w:rFonts w:cs="Myriad Pro"/>
          <w:noProof/>
          <w:color w:val="000000"/>
          <w:sz w:val="20"/>
          <w:szCs w:val="20"/>
        </w:rPr>
        <w:t xml:space="preserve">t has to be noted that the progress regarding individual status quality elements may be masked due to the application of the ‘one-out all-out’ rule. This level of improvement of ecological status has also to be seen in relation to the fact that </w:t>
      </w:r>
      <w:r>
        <w:rPr>
          <w:noProof/>
          <w:sz w:val="20"/>
        </w:rPr>
        <w:t>Romania is</w:t>
      </w:r>
      <w:r>
        <w:rPr>
          <w:noProof/>
          <w:sz w:val="20"/>
        </w:rPr>
        <w:t xml:space="preserve"> still under transitional periods for the implementation of the Urban Waste Water Treatment Directive which has driven to a large number of exemptions.</w:t>
      </w:r>
    </w:p>
    <w:p w:rsidR="00A22C37" w:rsidRDefault="000B1CC4">
      <w:pPr>
        <w:widowControl w:val="0"/>
        <w:spacing w:after="120" w:line="240" w:lineRule="auto"/>
        <w:jc w:val="both"/>
        <w:rPr>
          <w:rFonts w:cs="Myriad Pro"/>
          <w:noProof/>
          <w:color w:val="000000"/>
          <w:sz w:val="20"/>
          <w:szCs w:val="20"/>
        </w:rPr>
      </w:pPr>
      <w:r>
        <w:rPr>
          <w:rFonts w:eastAsia="Times New Roman" w:cs="Times New Roman"/>
          <w:noProof/>
          <w:color w:val="000000"/>
          <w:sz w:val="20"/>
          <w:szCs w:val="20"/>
        </w:rPr>
        <w:t>No change in chemical and quantitative status of groundwater can be expected.</w:t>
      </w:r>
      <w:r>
        <w:rPr>
          <w:rFonts w:cs="Myriad Pro"/>
          <w:noProof/>
          <w:color w:val="000000"/>
          <w:sz w:val="20"/>
          <w:szCs w:val="20"/>
        </w:rPr>
        <w:t xml:space="preserve"> </w:t>
      </w:r>
    </w:p>
    <w:p w:rsidR="00A22C37" w:rsidRDefault="000B1CC4">
      <w:pPr>
        <w:widowControl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No change in chemical and</w:t>
      </w:r>
      <w:r>
        <w:rPr>
          <w:rFonts w:eastAsia="Times New Roman" w:cs="Times New Roman"/>
          <w:noProof/>
          <w:color w:val="000000"/>
          <w:sz w:val="20"/>
          <w:szCs w:val="20"/>
        </w:rPr>
        <w:t xml:space="preserve"> quantitative status of groundwater can be expected.</w:t>
      </w:r>
    </w:p>
    <w:p w:rsidR="00A22C37" w:rsidRDefault="000B1CC4">
      <w:pPr>
        <w:widowControl w:val="0"/>
        <w:spacing w:after="120" w:line="240" w:lineRule="auto"/>
        <w:jc w:val="both"/>
        <w:rPr>
          <w:rFonts w:eastAsia="Calibri" w:cs="Times New Roman"/>
          <w:noProof/>
          <w:sz w:val="20"/>
        </w:rPr>
      </w:pPr>
      <w:r>
        <w:rPr>
          <w:rFonts w:cs="Times New Roman"/>
          <w:noProof/>
          <w:sz w:val="20"/>
          <w:lang w:val="en"/>
        </w:rPr>
        <w:t xml:space="preserve">Romania is considered rich in water resources as it has a much higher theoretical availability of freshwater resources than the European average. </w:t>
      </w:r>
      <w:r>
        <w:rPr>
          <w:rFonts w:eastAsia="Calibri" w:cs="Times New Roman"/>
          <w:noProof/>
          <w:sz w:val="20"/>
        </w:rPr>
        <w:t>The water exploitation index for the period 1998-2007 was</w:t>
      </w:r>
      <w:r>
        <w:rPr>
          <w:rFonts w:eastAsia="Calibri" w:cs="Times New Roman"/>
          <w:noProof/>
          <w:sz w:val="20"/>
        </w:rPr>
        <w:t xml:space="preserve"> less than 5% of available water resources, which means that it is not a water stressed country (around 20%)</w:t>
      </w:r>
      <w:r>
        <w:rPr>
          <w:rFonts w:eastAsia="Calibri" w:cs="Times New Roman"/>
          <w:noProof/>
          <w:sz w:val="20"/>
          <w:vertAlign w:val="superscript"/>
        </w:rPr>
        <w:footnoteReference w:id="73"/>
      </w:r>
      <w:r>
        <w:rPr>
          <w:rFonts w:eastAsia="Calibri" w:cs="Times New Roman"/>
          <w:noProof/>
          <w:sz w:val="20"/>
        </w:rPr>
        <w:t>.</w:t>
      </w:r>
    </w:p>
    <w:p w:rsidR="00A22C37" w:rsidRDefault="000B1CC4">
      <w:pPr>
        <w:widowControl w:val="0"/>
        <w:spacing w:after="120" w:line="240" w:lineRule="auto"/>
        <w:jc w:val="both"/>
        <w:rPr>
          <w:rFonts w:cs="Times New Roman"/>
          <w:noProof/>
          <w:sz w:val="20"/>
          <w:lang w:val="en"/>
        </w:rPr>
      </w:pPr>
      <w:r>
        <w:rPr>
          <w:rFonts w:cs="Times New Roman"/>
          <w:noProof/>
          <w:sz w:val="20"/>
          <w:lang w:val="en"/>
        </w:rPr>
        <w:t>However, the actual usable water resource is one third of this, which makes Romania a country with relatively scarce usable water resources</w:t>
      </w:r>
      <w:r>
        <w:rPr>
          <w:rFonts w:cs="Times New Roman"/>
          <w:noProof/>
          <w:sz w:val="20"/>
          <w:vertAlign w:val="superscript"/>
          <w:lang w:val="en"/>
        </w:rPr>
        <w:footnoteReference w:id="74"/>
      </w:r>
      <w:r>
        <w:rPr>
          <w:rFonts w:cs="Times New Roman"/>
          <w:noProof/>
          <w:sz w:val="20"/>
          <w:lang w:val="en"/>
        </w:rPr>
        <w:t>. Thi</w:t>
      </w:r>
      <w:r>
        <w:rPr>
          <w:rFonts w:cs="Times New Roman"/>
          <w:noProof/>
          <w:sz w:val="20"/>
          <w:lang w:val="en"/>
        </w:rPr>
        <w:t>s is largely due to the widespread contamination of water reserves caused by the domestic, industrial as well as agricultural sectors, and it is aggravated by the severe drought events of the past years</w:t>
      </w:r>
      <w:r>
        <w:rPr>
          <w:rFonts w:cs="Times New Roman"/>
          <w:noProof/>
          <w:sz w:val="20"/>
          <w:vertAlign w:val="superscript"/>
          <w:lang w:val="en"/>
        </w:rPr>
        <w:footnoteReference w:id="75"/>
      </w:r>
      <w:r>
        <w:rPr>
          <w:rFonts w:cs="Times New Roman"/>
          <w:noProof/>
          <w:sz w:val="20"/>
        </w:rPr>
        <w:t xml:space="preserve">. </w:t>
      </w:r>
    </w:p>
    <w:p w:rsidR="00A22C37" w:rsidRDefault="000B1CC4">
      <w:pPr>
        <w:widowControl w:val="0"/>
        <w:spacing w:after="120" w:line="240" w:lineRule="auto"/>
        <w:jc w:val="both"/>
        <w:rPr>
          <w:rFonts w:eastAsia="Calibri" w:cs="Times New Roman"/>
          <w:strike/>
          <w:noProof/>
          <w:sz w:val="20"/>
          <w:szCs w:val="20"/>
          <w:lang w:eastAsia="en-GB"/>
        </w:rPr>
      </w:pPr>
      <w:r>
        <w:rPr>
          <w:rFonts w:cs="Times New Roman"/>
          <w:noProof/>
          <w:sz w:val="20"/>
          <w:lang w:val="en"/>
        </w:rPr>
        <w:t>Romania has an integrated water strategy for the p</w:t>
      </w:r>
      <w:r>
        <w:rPr>
          <w:rFonts w:cs="Times New Roman"/>
          <w:noProof/>
          <w:sz w:val="20"/>
          <w:lang w:val="en"/>
        </w:rPr>
        <w:t xml:space="preserve">eriod 2010–2035, which covers various policy areas affecting water resources, such as urban development, environmental protection, agricultural and forest development, transport infrastructure, tourism and construction. </w:t>
      </w:r>
    </w:p>
    <w:p w:rsidR="00A22C37" w:rsidRDefault="000B1CC4">
      <w:pPr>
        <w:widowControl w:val="0"/>
        <w:spacing w:after="120" w:line="240" w:lineRule="auto"/>
        <w:jc w:val="both"/>
        <w:rPr>
          <w:rFonts w:cs="Times New Roman"/>
          <w:i/>
          <w:noProof/>
          <w:sz w:val="20"/>
        </w:rPr>
      </w:pPr>
      <w:r>
        <w:rPr>
          <w:rFonts w:cs="Times New Roman"/>
          <w:noProof/>
          <w:sz w:val="20"/>
        </w:rPr>
        <w:t>Since 2013, Romania has a revised a</w:t>
      </w:r>
      <w:r>
        <w:rPr>
          <w:rFonts w:cs="Times New Roman"/>
          <w:noProof/>
          <w:sz w:val="20"/>
        </w:rPr>
        <w:t>ction programme in place implementing the nitrates directive and applying to the whole national territory. The revised legislation has brought significant improvements as compared to the previous action programme implementing the Nitrates Directive. The Ro</w:t>
      </w:r>
      <w:r>
        <w:rPr>
          <w:rFonts w:cs="Times New Roman"/>
          <w:noProof/>
          <w:sz w:val="20"/>
        </w:rPr>
        <w:t>manian authorities decided to apply whole territory approach instead of nitrate vulnerable zones designation and changed some measures of the Action Programme, with significant improvements.</w:t>
      </w:r>
    </w:p>
    <w:p w:rsidR="00A22C37" w:rsidRDefault="000B1CC4">
      <w:pPr>
        <w:widowControl w:val="0"/>
        <w:spacing w:after="120" w:line="240" w:lineRule="auto"/>
        <w:jc w:val="both"/>
        <w:rPr>
          <w:noProof/>
          <w:sz w:val="20"/>
        </w:rPr>
      </w:pPr>
      <w:r>
        <w:rPr>
          <w:noProof/>
          <w:sz w:val="20"/>
        </w:rPr>
        <w:t>At the same time, the enlargement of the agricultural territory s</w:t>
      </w:r>
      <w:r>
        <w:rPr>
          <w:noProof/>
          <w:sz w:val="20"/>
        </w:rPr>
        <w:t>ubject to mandatory rules/measures brings some challenges in terms of effective implementation and enforcement of measures, which is key also in view of the possible intensification of the agricultural sector. A recent Court of Auditors report "Danube rive</w:t>
      </w:r>
      <w:r>
        <w:rPr>
          <w:noProof/>
          <w:sz w:val="20"/>
        </w:rPr>
        <w:t>r basin II: Quality of water" stated there is a lack of ambition in the Member States concerned including Romania to address causes of pollution. It stated that Member States are not using all the possibilities offered by the Nitrates Directive.</w:t>
      </w:r>
    </w:p>
    <w:p w:rsidR="00A22C37" w:rsidRDefault="000B1CC4">
      <w:pPr>
        <w:widowControl w:val="0"/>
        <w:spacing w:after="120" w:line="240" w:lineRule="auto"/>
        <w:jc w:val="both"/>
        <w:rPr>
          <w:noProof/>
          <w:sz w:val="20"/>
        </w:rPr>
      </w:pPr>
      <w:r>
        <w:rPr>
          <w:noProof/>
          <w:sz w:val="20"/>
        </w:rPr>
        <w:t>The implem</w:t>
      </w:r>
      <w:r>
        <w:rPr>
          <w:noProof/>
          <w:sz w:val="20"/>
        </w:rPr>
        <w:t>entation level of the Drinking Water Directive is low</w:t>
      </w:r>
      <w:r>
        <w:rPr>
          <w:noProof/>
          <w:sz w:val="20"/>
          <w:vertAlign w:val="superscript"/>
          <w:lang w:val="en-US"/>
        </w:rPr>
        <w:footnoteReference w:id="76"/>
      </w:r>
      <w:r>
        <w:rPr>
          <w:noProof/>
          <w:color w:val="FF0000"/>
          <w:sz w:val="20"/>
        </w:rPr>
        <w:t>.</w:t>
      </w:r>
      <w:r>
        <w:rPr>
          <w:noProof/>
          <w:sz w:val="20"/>
        </w:rPr>
        <w:t xml:space="preserve"> For example, 72% of the large water supply zones were not sufficiently monitored (2010). However, the drinking water quality is overall acceptable, and enforcement is, in general, working, i.e. remedi</w:t>
      </w:r>
      <w:r>
        <w:rPr>
          <w:noProof/>
          <w:sz w:val="20"/>
        </w:rPr>
        <w:t>al actions in case of non-compliance are taken. Nevertheless, in rural areas, missing infrastructures lead to the absence of distribution systems. In addition, there have been Accession Treaty exemptions on several parameters until the end of 2015</w:t>
      </w:r>
      <w:r>
        <w:rPr>
          <w:noProof/>
          <w:sz w:val="20"/>
          <w:vertAlign w:val="superscript"/>
        </w:rPr>
        <w:footnoteReference w:id="77"/>
      </w:r>
      <w:r>
        <w:rPr>
          <w:noProof/>
          <w:sz w:val="20"/>
        </w:rPr>
        <w:t xml:space="preserve">. </w:t>
      </w:r>
    </w:p>
    <w:p w:rsidR="00A22C37" w:rsidRDefault="000B1CC4">
      <w:pPr>
        <w:widowControl w:val="0"/>
        <w:spacing w:after="120" w:line="240" w:lineRule="auto"/>
        <w:jc w:val="both"/>
        <w:rPr>
          <w:rFonts w:eastAsia="Times New Roman"/>
          <w:noProof/>
          <w:sz w:val="20"/>
          <w:szCs w:val="20"/>
          <w:lang w:val="en-US"/>
        </w:rPr>
      </w:pPr>
      <w:r>
        <w:rPr>
          <w:rFonts w:eastAsia="Times New Roman"/>
          <w:noProof/>
          <w:sz w:val="20"/>
          <w:szCs w:val="20"/>
          <w:lang w:val="en-US"/>
        </w:rPr>
        <w:t>As sh</w:t>
      </w:r>
      <w:r>
        <w:rPr>
          <w:rFonts w:eastAsia="Times New Roman"/>
          <w:noProof/>
          <w:sz w:val="20"/>
          <w:szCs w:val="20"/>
          <w:lang w:val="en-US"/>
        </w:rPr>
        <w:t>own in Figure 10, in 2015, in Romania out of 50 bathing waters, 32.0% were of excellent quality, 46.0% of good quality and 20% of sufficient quality. One bathing water was of poor quality or non- compliant</w:t>
      </w:r>
      <w:r>
        <w:rPr>
          <w:rFonts w:eastAsia="Times New Roman"/>
          <w:noProof/>
          <w:sz w:val="20"/>
          <w:szCs w:val="20"/>
          <w:vertAlign w:val="superscript"/>
          <w:lang w:val="en-US"/>
        </w:rPr>
        <w:footnoteReference w:id="78"/>
      </w:r>
      <w:r>
        <w:rPr>
          <w:rFonts w:eastAsia="Times New Roman"/>
          <w:noProof/>
          <w:sz w:val="20"/>
          <w:szCs w:val="20"/>
          <w:lang w:val="en-US"/>
        </w:rPr>
        <w:t>.</w:t>
      </w:r>
    </w:p>
    <w:p w:rsidR="00A22C37" w:rsidRDefault="000B1CC4">
      <w:pPr>
        <w:widowControl w:val="0"/>
        <w:spacing w:after="120" w:line="240" w:lineRule="auto"/>
        <w:jc w:val="both"/>
        <w:rPr>
          <w:rFonts w:eastAsia="Times New Roman"/>
          <w:noProof/>
          <w:sz w:val="20"/>
          <w:szCs w:val="20"/>
        </w:rPr>
      </w:pPr>
      <w:r>
        <w:rPr>
          <w:rFonts w:eastAsia="Times New Roman"/>
          <w:noProof/>
          <w:sz w:val="20"/>
          <w:szCs w:val="20"/>
        </w:rPr>
        <w:t xml:space="preserve">It shows that the number of bathing waters with </w:t>
      </w:r>
      <w:r>
        <w:rPr>
          <w:rFonts w:eastAsia="Times New Roman"/>
          <w:noProof/>
          <w:sz w:val="20"/>
          <w:szCs w:val="20"/>
        </w:rPr>
        <w:t>excellent water quality status has slightly improved since 2014.</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tblGrid>
      <w:tr w:rsidR="00A22C37">
        <w:tc>
          <w:tcPr>
            <w:tcW w:w="4693" w:type="dxa"/>
            <w:hideMark/>
          </w:tcPr>
          <w:p w:rsidR="00A22C37" w:rsidRDefault="000B1CC4">
            <w:pPr>
              <w:widowControl w:val="0"/>
              <w:spacing w:after="120"/>
              <w:rPr>
                <w:b/>
                <w:bCs/>
                <w:noProof/>
                <w:color w:val="1F497D" w:themeColor="text2"/>
              </w:rPr>
            </w:pPr>
            <w:r>
              <w:rPr>
                <w:b/>
                <w:bCs/>
                <w:noProof/>
                <w:color w:val="1F497D" w:themeColor="text2"/>
                <w:sz w:val="20"/>
              </w:rPr>
              <w:t>Figure 10: Bathing water quality 2012 – 2015</w:t>
            </w:r>
            <w:r>
              <w:rPr>
                <w:b/>
                <w:bCs/>
                <w:noProof/>
                <w:color w:val="1F497D" w:themeColor="text2"/>
                <w:sz w:val="20"/>
                <w:vertAlign w:val="superscript"/>
              </w:rPr>
              <w:footnoteReference w:id="79"/>
            </w:r>
          </w:p>
        </w:tc>
      </w:tr>
      <w:tr w:rsidR="00A22C37">
        <w:tc>
          <w:tcPr>
            <w:tcW w:w="4693" w:type="dxa"/>
          </w:tcPr>
          <w:p w:rsidR="00A22C37" w:rsidRDefault="000B1CC4">
            <w:pPr>
              <w:widowControl w:val="0"/>
              <w:spacing w:after="120"/>
              <w:rPr>
                <w:rFonts w:ascii="Times New Roman" w:hAnsi="Times New Roman"/>
                <w:noProof/>
              </w:rPr>
            </w:pPr>
            <w:r>
              <w:rPr>
                <w:rFonts w:ascii="Times New Roman" w:hAnsi="Times New Roman"/>
                <w:noProof/>
                <w:lang w:eastAsia="en-GB"/>
              </w:rPr>
              <w:drawing>
                <wp:inline distT="0" distB="0" distL="0" distR="0">
                  <wp:extent cx="2853267" cy="2399053"/>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52909" cy="2398752"/>
                          </a:xfrm>
                          <a:prstGeom prst="rect">
                            <a:avLst/>
                          </a:prstGeom>
                          <a:noFill/>
                        </pic:spPr>
                      </pic:pic>
                    </a:graphicData>
                  </a:graphic>
                </wp:inline>
              </w:drawing>
            </w:r>
          </w:p>
        </w:tc>
      </w:tr>
    </w:tbl>
    <w:p w:rsidR="00A22C37" w:rsidRDefault="000B1CC4">
      <w:pPr>
        <w:widowControl w:val="0"/>
        <w:spacing w:after="120" w:line="240" w:lineRule="auto"/>
        <w:jc w:val="both"/>
        <w:rPr>
          <w:noProof/>
          <w:sz w:val="20"/>
          <w:lang w:val="en"/>
        </w:rPr>
      </w:pPr>
      <w:r>
        <w:rPr>
          <w:noProof/>
          <w:sz w:val="20"/>
          <w:lang w:val="en"/>
        </w:rPr>
        <w:t>Only slightly more than half of the population has access to water supply (55% of the population). In most of the installations used for water supply and treatment are based on outdated and ineffective technologies. As a result, such publicly supplied wate</w:t>
      </w:r>
      <w:r>
        <w:rPr>
          <w:noProof/>
          <w:sz w:val="20"/>
          <w:lang w:val="en"/>
        </w:rPr>
        <w:t xml:space="preserve">r may suffer from bacteriological infestation, turbidity, and ammonia, nitrates and iron content. </w:t>
      </w:r>
    </w:p>
    <w:p w:rsidR="00A22C37" w:rsidRDefault="000B1CC4">
      <w:pPr>
        <w:widowControl w:val="0"/>
        <w:spacing w:after="120" w:line="240" w:lineRule="auto"/>
        <w:jc w:val="both"/>
        <w:rPr>
          <w:noProof/>
          <w:sz w:val="20"/>
        </w:rPr>
      </w:pPr>
      <w:r>
        <w:rPr>
          <w:noProof/>
          <w:sz w:val="20"/>
        </w:rPr>
        <w:t>Romania is also still under transitional periods for the implementation of the Urban Waste Water Treatment Directive, therefore with limited compliance oblig</w:t>
      </w:r>
      <w:r>
        <w:rPr>
          <w:noProof/>
          <w:sz w:val="20"/>
        </w:rPr>
        <w:t>ations. The outcome of the last reporting exercise – even though it only concerned the expiry of the first transitional deadline in 2010 – was not promising, as only one out of 1852 agglomerations in Romania was reported to be in full compliance. Romania w</w:t>
      </w:r>
      <w:r>
        <w:rPr>
          <w:noProof/>
          <w:sz w:val="20"/>
        </w:rPr>
        <w:t xml:space="preserve">ill therefore have to make a considerable effort to improve compliance in the coming years, as the final deadline in the Accession Treaty is end of 2018.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22C37">
        <w:tc>
          <w:tcPr>
            <w:tcW w:w="4909" w:type="dxa"/>
          </w:tcPr>
          <w:p w:rsidR="00A22C37" w:rsidRDefault="000B1CC4">
            <w:pPr>
              <w:widowControl w:val="0"/>
              <w:spacing w:after="120"/>
              <w:rPr>
                <w:b/>
                <w:bCs/>
                <w:noProof/>
                <w:color w:val="1F497D" w:themeColor="text2"/>
              </w:rPr>
            </w:pPr>
            <w:r>
              <w:rPr>
                <w:b/>
                <w:bCs/>
                <w:noProof/>
                <w:color w:val="1F497D" w:themeColor="text2"/>
                <w:sz w:val="20"/>
              </w:rPr>
              <w:t>Figure 11: Urban waste water Romanian situation 2012 – Final deadline 2018</w:t>
            </w:r>
            <w:r>
              <w:rPr>
                <w:b/>
                <w:bCs/>
                <w:noProof/>
                <w:color w:val="1F497D" w:themeColor="text2"/>
                <w:sz w:val="20"/>
                <w:vertAlign w:val="superscript"/>
              </w:rPr>
              <w:footnoteReference w:id="80"/>
            </w:r>
          </w:p>
        </w:tc>
      </w:tr>
      <w:tr w:rsidR="00A22C37">
        <w:tc>
          <w:tcPr>
            <w:tcW w:w="4909" w:type="dxa"/>
          </w:tcPr>
          <w:p w:rsidR="00A22C37" w:rsidRDefault="000B1CC4">
            <w:pPr>
              <w:widowControl w:val="0"/>
              <w:spacing w:after="120"/>
              <w:rPr>
                <w:noProof/>
              </w:rPr>
            </w:pPr>
            <w:r>
              <w:rPr>
                <w:noProof/>
                <w:lang w:eastAsia="en-GB"/>
              </w:rPr>
              <w:drawing>
                <wp:inline distT="0" distB="0" distL="0" distR="0">
                  <wp:extent cx="3064861" cy="300990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68725" cy="3013695"/>
                          </a:xfrm>
                          <a:prstGeom prst="rect">
                            <a:avLst/>
                          </a:prstGeom>
                          <a:noFill/>
                        </pic:spPr>
                      </pic:pic>
                    </a:graphicData>
                  </a:graphic>
                </wp:inline>
              </w:drawing>
            </w:r>
          </w:p>
        </w:tc>
      </w:tr>
    </w:tbl>
    <w:p w:rsidR="00A22C37" w:rsidRDefault="000B1CC4">
      <w:pPr>
        <w:widowControl w:val="0"/>
        <w:spacing w:after="120" w:line="240" w:lineRule="auto"/>
        <w:jc w:val="both"/>
        <w:rPr>
          <w:noProof/>
          <w:sz w:val="20"/>
        </w:rPr>
      </w:pPr>
      <w:r>
        <w:rPr>
          <w:noProof/>
          <w:sz w:val="20"/>
        </w:rPr>
        <w:t>Figure 11 shows the t</w:t>
      </w:r>
      <w:r>
        <w:rPr>
          <w:noProof/>
          <w:sz w:val="20"/>
        </w:rPr>
        <w:t xml:space="preserve">otal generated load at Member State level (in population equivalent and regardless of agglomerations) and the load that remains to be addressed by Romania. </w:t>
      </w:r>
    </w:p>
    <w:p w:rsidR="00A22C37" w:rsidRDefault="000B1CC4">
      <w:pPr>
        <w:widowControl w:val="0"/>
        <w:spacing w:after="120" w:line="240" w:lineRule="auto"/>
        <w:jc w:val="both"/>
        <w:rPr>
          <w:noProof/>
          <w:color w:val="FF0000"/>
          <w:sz w:val="20"/>
        </w:rPr>
      </w:pPr>
      <w:r>
        <w:rPr>
          <w:noProof/>
          <w:sz w:val="20"/>
        </w:rPr>
        <w:t xml:space="preserve">An adequate and targeted use of EU funds would be desirable in order to facilitate reaching </w:t>
      </w:r>
      <w:r>
        <w:rPr>
          <w:noProof/>
          <w:sz w:val="20"/>
        </w:rPr>
        <w:t>compliance, not only as regards construction/improvement of treatment plants but also on renewal/enlargement/construction of collecting systems.</w:t>
      </w:r>
    </w:p>
    <w:p w:rsidR="00A22C37" w:rsidRDefault="000B1CC4">
      <w:pPr>
        <w:widowControl w:val="0"/>
        <w:spacing w:after="120" w:line="240" w:lineRule="auto"/>
        <w:jc w:val="both"/>
        <w:rPr>
          <w:noProof/>
          <w:sz w:val="20"/>
        </w:rPr>
      </w:pPr>
      <w:r>
        <w:rPr>
          <w:noProof/>
          <w:sz w:val="20"/>
        </w:rPr>
        <w:t>The most significant water management issues are related to the organic pollution caused by untreated wastewate</w:t>
      </w:r>
      <w:r>
        <w:rPr>
          <w:noProof/>
          <w:sz w:val="20"/>
        </w:rPr>
        <w:t>r from agglomerations</w:t>
      </w:r>
      <w:r>
        <w:rPr>
          <w:noProof/>
          <w:sz w:val="20"/>
          <w:vertAlign w:val="superscript"/>
        </w:rPr>
        <w:footnoteReference w:id="81"/>
      </w:r>
      <w:r>
        <w:rPr>
          <w:noProof/>
          <w:sz w:val="20"/>
        </w:rPr>
        <w:t>, industrial units and agricultural farms, by nutrient pollution, caused mainly by agglomerations and agricultural activities, by hazardous substances pollution due to industrial or agricultural activities, and the pressures from hydr</w:t>
      </w:r>
      <w:r>
        <w:rPr>
          <w:noProof/>
          <w:sz w:val="20"/>
        </w:rPr>
        <w:t>omorphological alterations. The implementation of the UWWTD is the most important measure to reduce both organic and nutrient pollution.</w:t>
      </w:r>
    </w:p>
    <w:p w:rsidR="00A22C37" w:rsidRDefault="000B1CC4">
      <w:pPr>
        <w:widowControl w:val="0"/>
        <w:spacing w:after="120" w:line="240" w:lineRule="auto"/>
        <w:jc w:val="both"/>
        <w:rPr>
          <w:i/>
          <w:noProof/>
          <w:sz w:val="20"/>
          <w:szCs w:val="20"/>
        </w:rPr>
      </w:pPr>
      <w:r>
        <w:rPr>
          <w:noProof/>
          <w:sz w:val="20"/>
          <w:szCs w:val="20"/>
        </w:rPr>
        <w:t>Romania is one of the seven countries taking part in the "Structured Implementation and Information Framework", which h</w:t>
      </w:r>
      <w:r>
        <w:rPr>
          <w:noProof/>
          <w:sz w:val="20"/>
          <w:szCs w:val="20"/>
        </w:rPr>
        <w:t xml:space="preserve">elps Member States with the implementation of the UWWTD and more particularly with reporting of information for the next reporting exercise. </w:t>
      </w:r>
    </w:p>
    <w:p w:rsidR="00A22C37" w:rsidRDefault="000B1CC4">
      <w:pPr>
        <w:widowControl w:val="0"/>
        <w:spacing w:after="120" w:line="240" w:lineRule="auto"/>
        <w:jc w:val="both"/>
        <w:rPr>
          <w:noProof/>
          <w:sz w:val="20"/>
        </w:rPr>
      </w:pPr>
      <w:r>
        <w:rPr>
          <w:noProof/>
          <w:sz w:val="20"/>
        </w:rPr>
        <w:t>The flood protection and control activities represent also one of main water management issue in Romania.  12.7% o</w:t>
      </w:r>
      <w:r>
        <w:rPr>
          <w:noProof/>
          <w:sz w:val="20"/>
        </w:rPr>
        <w:t xml:space="preserve">f Romania’s territory is covered by floodplains which are prone to flood events. </w:t>
      </w:r>
      <w:r>
        <w:rPr>
          <w:noProof/>
          <w:sz w:val="20"/>
          <w:lang w:val="en"/>
        </w:rPr>
        <w:t xml:space="preserve">The country's flood management activities involve a mixture of short-, medium- and long-term policies to protect life, assets and the environment. Most of </w:t>
      </w:r>
      <w:r>
        <w:rPr>
          <w:noProof/>
          <w:sz w:val="20"/>
        </w:rPr>
        <w:t>flood hazard maps fo</w:t>
      </w:r>
      <w:r>
        <w:rPr>
          <w:noProof/>
          <w:sz w:val="20"/>
        </w:rPr>
        <w:t>r the river basins were prepared with EU funds and became available in March 2014. Technical studies identifying the measures required to further reduce the exposure to the flood risks of the vulnerable activities are under preparation and are subject of t</w:t>
      </w:r>
      <w:r>
        <w:rPr>
          <w:noProof/>
          <w:sz w:val="20"/>
        </w:rPr>
        <w:t>he first Flood Risk Management Plans of the river basins. Between 2002 and 2013, for the 20 floods recorded the total direct costs were EUR 3.6 billion (damages found for 10 out of 19 floods)</w:t>
      </w:r>
      <w:r>
        <w:rPr>
          <w:noProof/>
          <w:sz w:val="20"/>
          <w:vertAlign w:val="superscript"/>
        </w:rPr>
        <w:footnoteReference w:id="82"/>
      </w:r>
      <w:r>
        <w:rPr>
          <w:noProof/>
          <w:sz w:val="20"/>
        </w:rPr>
        <w:t xml:space="preserve">. </w:t>
      </w:r>
    </w:p>
    <w:p w:rsidR="00A22C37" w:rsidRDefault="000B1CC4">
      <w:pPr>
        <w:widowControl w:val="0"/>
        <w:spacing w:after="120" w:line="240" w:lineRule="auto"/>
        <w:jc w:val="both"/>
        <w:rPr>
          <w:noProof/>
          <w:sz w:val="20"/>
        </w:rPr>
      </w:pPr>
      <w:r>
        <w:rPr>
          <w:noProof/>
          <w:sz w:val="20"/>
        </w:rPr>
        <w:t xml:space="preserve">Romania is called to address flood management including with </w:t>
      </w:r>
      <w:r>
        <w:rPr>
          <w:noProof/>
          <w:sz w:val="20"/>
        </w:rPr>
        <w:t>Green Infrastructure approaches under the ERDF, Rural funds and state budget. Green Infrastructure can play an important role regarding flood management as it represents a cost-effective solution to flood protection compared to traditional 'grey' measures.</w:t>
      </w:r>
      <w:r>
        <w:rPr>
          <w:noProof/>
          <w:sz w:val="20"/>
        </w:rPr>
        <w:t xml:space="preserve"> Given the natural capacity of floodplains to absorb large quantities of water, maintaining or restoring wetlands should be pursued as a logical response against flood risk besides classical measures.</w:t>
      </w:r>
    </w:p>
    <w:p w:rsidR="00A22C37" w:rsidRDefault="000B1CC4">
      <w:pPr>
        <w:widowControl w:val="0"/>
        <w:spacing w:after="120" w:line="240" w:lineRule="auto"/>
        <w:jc w:val="both"/>
        <w:rPr>
          <w:bCs/>
          <w:noProof/>
          <w:color w:val="1F497D" w:themeColor="text2"/>
        </w:rPr>
      </w:pPr>
      <w:r>
        <w:rPr>
          <w:bCs/>
          <w:noProof/>
          <w:color w:val="1F497D" w:themeColor="text2"/>
        </w:rPr>
        <w:t>Suggested action</w:t>
      </w:r>
    </w:p>
    <w:p w:rsidR="00A22C37" w:rsidRDefault="000B1CC4">
      <w:pPr>
        <w:pStyle w:val="NoSpacing"/>
        <w:rPr>
          <w:noProof/>
        </w:rPr>
      </w:pPr>
      <w:r>
        <w:rPr>
          <w:noProof/>
        </w:rPr>
        <w:t>Improve the water policy in line with the intervention logic of the Water Framework Directive, i.e. to do a more detailed assessment of the link starting from the significant pressures identification to improve monitoring to know the status of water bodies</w:t>
      </w:r>
      <w:r>
        <w:rPr>
          <w:noProof/>
        </w:rPr>
        <w:t xml:space="preserve"> and design effective Programmes of Measures. </w:t>
      </w:r>
    </w:p>
    <w:p w:rsidR="00A22C37" w:rsidRDefault="000B1CC4">
      <w:pPr>
        <w:pStyle w:val="NoSpacing"/>
        <w:rPr>
          <w:noProof/>
          <w:szCs w:val="20"/>
        </w:rPr>
      </w:pPr>
      <w:r>
        <w:rPr>
          <w:noProof/>
        </w:rPr>
        <w:t>Continue to prioritise the investments for urban waste water treatment plants in order to meet the transitional deadlines set in the Accession Treaty.</w:t>
      </w:r>
    </w:p>
    <w:p w:rsidR="00A22C37" w:rsidRDefault="000B1CC4">
      <w:pPr>
        <w:pStyle w:val="NoSpacing"/>
        <w:spacing w:after="240"/>
        <w:rPr>
          <w:noProof/>
        </w:rPr>
      </w:pPr>
      <w:r>
        <w:rPr>
          <w:noProof/>
          <w:szCs w:val="20"/>
        </w:rPr>
        <w:t>Better define the basic/mandatory measures that all farmer</w:t>
      </w:r>
      <w:r>
        <w:rPr>
          <w:noProof/>
          <w:szCs w:val="20"/>
        </w:rPr>
        <w:t>s should adhere to and the additional supplementary measures that can be financed to reduce pressures from agriculture</w:t>
      </w:r>
      <w:r>
        <w:rPr>
          <w:noProof/>
          <w:vertAlign w:val="superscript"/>
        </w:rPr>
        <w:footnoteReference w:id="83"/>
      </w:r>
      <w:r>
        <w:rPr>
          <w:noProof/>
          <w:szCs w:val="20"/>
        </w:rPr>
        <w:t>.</w:t>
      </w:r>
    </w:p>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34" w:name="_Toc436815691"/>
      <w:bookmarkStart w:id="35" w:name="_Toc454460686"/>
      <w:bookmarkStart w:id="36" w:name="_Toc469484789"/>
      <w:bookmarkEnd w:id="33"/>
      <w:r>
        <w:rPr>
          <w:rFonts w:eastAsia="Times New Roman"/>
          <w:b/>
          <w:noProof/>
          <w:color w:val="1F497D" w:themeColor="text2"/>
          <w:sz w:val="24"/>
          <w:lang w:eastAsia="en-GB"/>
        </w:rPr>
        <w:t>Enhancing the sustainability of cities</w:t>
      </w:r>
      <w:bookmarkEnd w:id="34"/>
      <w:bookmarkEnd w:id="35"/>
      <w:bookmarkEnd w:id="36"/>
      <w:r>
        <w:rPr>
          <w:rFonts w:eastAsia="Times New Roman"/>
          <w:b/>
          <w:noProof/>
          <w:color w:val="1F497D" w:themeColor="text2"/>
          <w:sz w:val="24"/>
          <w:lang w:eastAsia="en-GB"/>
        </w:rPr>
        <w:t xml:space="preserve"> </w:t>
      </w:r>
    </w:p>
    <w:p w:rsidR="00A22C37" w:rsidRDefault="000B1CC4">
      <w:pPr>
        <w:widowControl w:val="0"/>
        <w:shd w:val="clear" w:color="auto" w:fill="4F81BD" w:themeFill="accent1"/>
        <w:spacing w:after="120" w:line="240" w:lineRule="auto"/>
        <w:jc w:val="both"/>
        <w:rPr>
          <w:noProof/>
          <w:color w:val="FFFFFF" w:themeColor="background1"/>
          <w:sz w:val="20"/>
        </w:rPr>
      </w:pPr>
      <w:r>
        <w:rPr>
          <w:noProof/>
          <w:color w:val="FFFFFF" w:themeColor="background1"/>
          <w:sz w:val="20"/>
        </w:rPr>
        <w:t xml:space="preserve">The EU Policy on the urban environment encourages cities to implement policies for sustainable </w:t>
      </w:r>
      <w:r>
        <w:rPr>
          <w:noProof/>
          <w:color w:val="FFFFFF" w:themeColor="background1"/>
          <w:sz w:val="20"/>
        </w:rPr>
        <w:t xml:space="preserve">urban planning and design, including innovative approaches for urban public transport and mobility, sustainable buildings, energy efficiency and urban biodiversity conservation. </w:t>
      </w:r>
    </w:p>
    <w:p w:rsidR="00A22C37" w:rsidRDefault="000B1CC4">
      <w:pPr>
        <w:widowControl w:val="0"/>
        <w:shd w:val="clear" w:color="auto" w:fill="4F81BD" w:themeFill="accent1"/>
        <w:spacing w:after="120" w:line="240" w:lineRule="auto"/>
        <w:jc w:val="both"/>
        <w:rPr>
          <w:i/>
          <w:noProof/>
          <w:color w:val="FFFFFF" w:themeColor="background1"/>
          <w:sz w:val="20"/>
        </w:rPr>
      </w:pPr>
      <w:r>
        <w:rPr>
          <w:noProof/>
          <w:color w:val="FFFFFF" w:themeColor="background1"/>
          <w:sz w:val="20"/>
        </w:rPr>
        <w:t xml:space="preserve">SDG11 aims at making cities and human settlements inclusive, safe, resilient </w:t>
      </w:r>
      <w:r>
        <w:rPr>
          <w:noProof/>
          <w:color w:val="FFFFFF" w:themeColor="background1"/>
          <w:sz w:val="20"/>
        </w:rPr>
        <w:t>and sustainable.</w:t>
      </w:r>
    </w:p>
    <w:p w:rsidR="00A22C37" w:rsidRDefault="000B1CC4">
      <w:pPr>
        <w:widowControl w:val="0"/>
        <w:spacing w:after="120" w:line="240" w:lineRule="auto"/>
        <w:jc w:val="both"/>
        <w:rPr>
          <w:noProof/>
          <w:sz w:val="20"/>
        </w:rPr>
      </w:pPr>
      <w:r>
        <w:rPr>
          <w:noProof/>
          <w:sz w:val="20"/>
        </w:rPr>
        <w:t>Europe is a Union of cities and towns; around 75% of the EU population are living in urban areas.</w:t>
      </w:r>
      <w:r>
        <w:rPr>
          <w:noProof/>
          <w:sz w:val="20"/>
          <w:vertAlign w:val="superscript"/>
        </w:rPr>
        <w:footnoteReference w:id="84"/>
      </w:r>
      <w:r>
        <w:rPr>
          <w:noProof/>
          <w:sz w:val="20"/>
        </w:rPr>
        <w:t xml:space="preserve"> The urban environment poses particular challenges for the environment and human health, whilst also providing opportunities and efficiency g</w:t>
      </w:r>
      <w:r>
        <w:rPr>
          <w:noProof/>
          <w:sz w:val="20"/>
        </w:rPr>
        <w:t xml:space="preserve">ains in the use of resources. </w:t>
      </w:r>
    </w:p>
    <w:p w:rsidR="00A22C37" w:rsidRDefault="000B1CC4">
      <w:pPr>
        <w:widowControl w:val="0"/>
        <w:spacing w:after="120" w:line="240" w:lineRule="auto"/>
        <w:jc w:val="both"/>
        <w:rPr>
          <w:rFonts w:cs="Times New Roman"/>
          <w:noProof/>
          <w:sz w:val="20"/>
        </w:rPr>
      </w:pPr>
      <w:r>
        <w:rPr>
          <w:noProof/>
          <w:sz w:val="20"/>
          <w:lang w:eastAsia="en-GB"/>
        </w:rPr>
        <w:drawing>
          <wp:inline distT="0" distB="0" distL="0" distR="0">
            <wp:extent cx="2980055" cy="4473284"/>
            <wp:effectExtent l="0" t="0" r="0" b="3810"/>
            <wp:docPr id="68" name="Picture 68" descr="C:\Users\schwemi\AppData\Local\Microsoft\Windows\Temporary Internet Files\Content.Word\iStock_9764949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wemi\AppData\Local\Microsoft\Windows\Temporary Internet Files\Content.Word\iStock_97649495_LARG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80055" cy="4473284"/>
                    </a:xfrm>
                    <a:prstGeom prst="rect">
                      <a:avLst/>
                    </a:prstGeom>
                    <a:noFill/>
                    <a:ln>
                      <a:noFill/>
                    </a:ln>
                  </pic:spPr>
                </pic:pic>
              </a:graphicData>
            </a:graphic>
          </wp:inline>
        </w:drawing>
      </w:r>
      <w:r>
        <w:rPr>
          <w:rFonts w:cs="Times New Roman"/>
          <w:noProof/>
          <w:sz w:val="20"/>
        </w:rPr>
        <w:t xml:space="preserve"> The Member States, European institutions, cities and stakeholders have prepared a new Urban Agenda for the EU (incorporating the Smart Cities initiative) to tackle these issues in a comprehensive way, including their connec</w:t>
      </w:r>
      <w:r>
        <w:rPr>
          <w:rFonts w:cs="Times New Roman"/>
          <w:noProof/>
          <w:sz w:val="20"/>
        </w:rPr>
        <w:t>tions with social and economic challenges. At the heart of this Urban Agenda will be the development of twelve partnerships on the identified urban challenges, including air quality and housing</w:t>
      </w:r>
      <w:r>
        <w:rPr>
          <w:rFonts w:cs="Times New Roman"/>
          <w:noProof/>
          <w:sz w:val="20"/>
          <w:vertAlign w:val="superscript"/>
        </w:rPr>
        <w:footnoteReference w:id="85"/>
      </w:r>
      <w:r>
        <w:rPr>
          <w:rFonts w:cs="Times New Roman"/>
          <w:noProof/>
          <w:sz w:val="20"/>
        </w:rPr>
        <w:t xml:space="preserve">. </w:t>
      </w:r>
    </w:p>
    <w:p w:rsidR="00A22C37" w:rsidRDefault="000B1CC4">
      <w:pPr>
        <w:widowControl w:val="0"/>
        <w:spacing w:after="120" w:line="240" w:lineRule="auto"/>
        <w:jc w:val="both"/>
        <w:rPr>
          <w:rFonts w:cs="Times New Roman"/>
          <w:noProof/>
          <w:sz w:val="20"/>
        </w:rPr>
      </w:pPr>
      <w:r>
        <w:rPr>
          <w:rFonts w:cs="Times New Roman"/>
          <w:noProof/>
          <w:sz w:val="20"/>
        </w:rPr>
        <w:t>The European Commission will launch a new EU benchmark syst</w:t>
      </w:r>
      <w:r>
        <w:rPr>
          <w:rFonts w:cs="Times New Roman"/>
          <w:noProof/>
          <w:sz w:val="20"/>
        </w:rPr>
        <w:t>em in 2017</w:t>
      </w:r>
      <w:r>
        <w:rPr>
          <w:rFonts w:cs="Times New Roman"/>
          <w:noProof/>
          <w:sz w:val="20"/>
          <w:vertAlign w:val="superscript"/>
        </w:rPr>
        <w:footnoteReference w:id="86"/>
      </w:r>
      <w:r>
        <w:rPr>
          <w:rFonts w:cs="Times New Roman"/>
          <w:noProof/>
          <w:sz w:val="20"/>
        </w:rPr>
        <w:t>.</w:t>
      </w:r>
    </w:p>
    <w:p w:rsidR="00A22C37" w:rsidRDefault="000B1CC4">
      <w:pPr>
        <w:widowControl w:val="0"/>
        <w:spacing w:after="120" w:line="240" w:lineRule="auto"/>
        <w:jc w:val="both"/>
        <w:rPr>
          <w:noProof/>
          <w:sz w:val="20"/>
        </w:rPr>
      </w:pPr>
      <w:r>
        <w:rPr>
          <w:noProof/>
          <w:sz w:val="20"/>
        </w:rPr>
        <w:t>The EU stimulates green cities through awards and funding, such as the EU Green Capital Award aimed at cities with more than 100,000 inhabitants and the EU Green Leaf initiative aimed at cities and towns, with between 20,000 and 100,000 inhabi</w:t>
      </w:r>
      <w:r>
        <w:rPr>
          <w:noProof/>
          <w:sz w:val="20"/>
        </w:rPr>
        <w:t xml:space="preserve">tants. </w:t>
      </w:r>
    </w:p>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37" w:name="_Toc454460687"/>
      <w:bookmarkStart w:id="38" w:name="_Toc469484790"/>
      <w:r>
        <w:rPr>
          <w:rFonts w:eastAsia="Times New Roman"/>
          <w:b/>
          <w:noProof/>
          <w:color w:val="1F497D" w:themeColor="text2"/>
          <w:sz w:val="24"/>
          <w:lang w:eastAsia="en-GB"/>
        </w:rPr>
        <w:t>International agreements</w:t>
      </w:r>
      <w:bookmarkEnd w:id="37"/>
      <w:bookmarkEnd w:id="38"/>
      <w:r>
        <w:rPr>
          <w:rFonts w:eastAsia="Times New Roman"/>
          <w:b/>
          <w:noProof/>
          <w:color w:val="1F497D" w:themeColor="text2"/>
          <w:sz w:val="24"/>
          <w:lang w:eastAsia="en-GB"/>
        </w:rPr>
        <w:t xml:space="preserve"> </w:t>
      </w:r>
    </w:p>
    <w:p w:rsidR="00A22C37" w:rsidRDefault="000B1CC4">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 the international level to deal with regional or worldwide environmental problems.</w:t>
      </w:r>
    </w:p>
    <w:p w:rsidR="00A22C37" w:rsidRDefault="000B1CC4">
      <w:pPr>
        <w:widowControl w:val="0"/>
        <w:spacing w:before="120" w:after="120" w:line="240" w:lineRule="auto"/>
        <w:jc w:val="both"/>
        <w:rPr>
          <w:rFonts w:cs="Times New Roman"/>
          <w:noProof/>
          <w:sz w:val="20"/>
        </w:rPr>
      </w:pPr>
      <w:r>
        <w:rPr>
          <w:rFonts w:cs="Times New Roman"/>
          <w:noProof/>
          <w:sz w:val="20"/>
        </w:rPr>
        <w:t>Most environmental problems have a transboundary natu</w:t>
      </w:r>
      <w:r>
        <w:rPr>
          <w:rFonts w:cs="Times New Roman"/>
          <w:noProof/>
          <w:sz w:val="20"/>
        </w:rPr>
        <w:t xml:space="preserve">re and often a global scope and they can only be addressed effectively through international co-operation. International environmental agreements concluded by the Union are binding upon the institutions of the Union and on its Member States. This requires </w:t>
      </w:r>
      <w:r>
        <w:rPr>
          <w:rFonts w:cs="Times New Roman"/>
          <w:noProof/>
          <w:sz w:val="20"/>
        </w:rPr>
        <w:t>the EU and the Member States to sign, ratify and effectively implement all relevant multilateral environmental agreements (MEAs) in a timely manner. This will also be an important contribution towards the achievement of the SDGs, which Member States commit</w:t>
      </w:r>
      <w:r>
        <w:rPr>
          <w:rFonts w:cs="Times New Roman"/>
          <w:noProof/>
          <w:sz w:val="20"/>
        </w:rPr>
        <w:t>ted to in 2015 and include many commitments contained already in legally binding agreements.</w:t>
      </w:r>
    </w:p>
    <w:p w:rsidR="00A22C37" w:rsidRDefault="000B1CC4">
      <w:pPr>
        <w:widowControl w:val="0"/>
        <w:spacing w:after="120" w:line="240" w:lineRule="auto"/>
        <w:jc w:val="both"/>
        <w:rPr>
          <w:rFonts w:cs="Times New Roman"/>
          <w:noProof/>
          <w:sz w:val="20"/>
        </w:rPr>
      </w:pPr>
      <w:r>
        <w:rPr>
          <w:rFonts w:cs="Times New Roman"/>
          <w:noProof/>
          <w:sz w:val="20"/>
        </w:rPr>
        <w:t>The fact that some Member States did not sign and/or ratify a number of MEAs compromises environmental implementation, including within the Union, as well as the U</w:t>
      </w:r>
      <w:r>
        <w:rPr>
          <w:rFonts w:cs="Times New Roman"/>
          <w:noProof/>
          <w:sz w:val="20"/>
        </w:rPr>
        <w:t>nion’s credibility in related negotiations and international meetings where supporting the participation of third countries to such agreements is an established EU policy objective. In agreements where voting takes place it has a direct impact on the numbe</w:t>
      </w:r>
      <w:r>
        <w:rPr>
          <w:rFonts w:cs="Times New Roman"/>
          <w:noProof/>
          <w:sz w:val="20"/>
        </w:rPr>
        <w:t xml:space="preserve">r of votes to be cast by the EU. </w:t>
      </w:r>
    </w:p>
    <w:p w:rsidR="00A22C37" w:rsidRDefault="000B1CC4">
      <w:pPr>
        <w:widowControl w:val="0"/>
        <w:spacing w:after="120" w:line="240" w:lineRule="auto"/>
        <w:jc w:val="both"/>
        <w:rPr>
          <w:noProof/>
          <w:sz w:val="20"/>
        </w:rPr>
        <w:sectPr w:rsidR="00A22C37">
          <w:headerReference w:type="even" r:id="rId81"/>
          <w:headerReference w:type="default" r:id="rId82"/>
          <w:footerReference w:type="even" r:id="rId83"/>
          <w:footerReference w:type="default" r:id="rId84"/>
          <w:headerReference w:type="first" r:id="rId85"/>
          <w:footerReference w:type="first" r:id="rId86"/>
          <w:type w:val="continuous"/>
          <w:pgSz w:w="11906" w:h="16838"/>
          <w:pgMar w:top="1440" w:right="1080" w:bottom="1440" w:left="1080" w:header="708" w:footer="708" w:gutter="0"/>
          <w:cols w:num="2" w:space="360"/>
          <w:docGrid w:linePitch="360"/>
        </w:sectPr>
      </w:pPr>
      <w:r>
        <w:rPr>
          <w:noProof/>
          <w:sz w:val="20"/>
        </w:rPr>
        <w:t>Romania has signed and ratified almost all MEAs. It has signed but not yet ratified the Nagoya Protocol</w:t>
      </w:r>
      <w:r>
        <w:rPr>
          <w:noProof/>
          <w:sz w:val="20"/>
          <w:vertAlign w:val="superscript"/>
        </w:rPr>
        <w:footnoteReference w:id="87"/>
      </w:r>
      <w:r>
        <w:rPr>
          <w:noProof/>
          <w:sz w:val="20"/>
        </w:rPr>
        <w:t>.</w:t>
      </w:r>
    </w:p>
    <w:p w:rsidR="00A22C37" w:rsidRDefault="000B1CC4">
      <w:pPr>
        <w:widowControl w:val="0"/>
        <w:spacing w:line="240" w:lineRule="auto"/>
        <w:jc w:val="center"/>
        <w:outlineLvl w:val="0"/>
        <w:rPr>
          <w:rFonts w:eastAsiaTheme="majorEastAsia" w:cstheme="majorBidi"/>
          <w:b/>
          <w:bCs/>
          <w:noProof/>
          <w:color w:val="1F497D" w:themeColor="text2"/>
          <w:sz w:val="32"/>
          <w:szCs w:val="32"/>
        </w:rPr>
      </w:pPr>
      <w:bookmarkStart w:id="39" w:name="_Toc433184098"/>
      <w:bookmarkStart w:id="40" w:name="_Toc469484791"/>
      <w:r>
        <w:rPr>
          <w:rFonts w:eastAsiaTheme="majorEastAsia" w:cstheme="majorBidi"/>
          <w:b/>
          <w:bCs/>
          <w:noProof/>
          <w:color w:val="1F497D" w:themeColor="text2"/>
          <w:sz w:val="32"/>
          <w:szCs w:val="32"/>
        </w:rPr>
        <w:t>Part II: Enabling Framework: Implementation Tools</w:t>
      </w:r>
      <w:bookmarkEnd w:id="39"/>
      <w:bookmarkEnd w:id="40"/>
    </w:p>
    <w:p w:rsidR="00A22C37" w:rsidRDefault="00A22C37">
      <w:pPr>
        <w:widowControl w:val="0"/>
        <w:spacing w:after="0" w:line="240" w:lineRule="auto"/>
        <w:outlineLvl w:val="0"/>
        <w:rPr>
          <w:rFonts w:cstheme="majorBidi"/>
          <w:b/>
          <w:bCs/>
          <w:noProof/>
          <w:color w:val="1F497D" w:themeColor="text2"/>
          <w:sz w:val="32"/>
          <w:szCs w:val="32"/>
        </w:rPr>
        <w:sectPr w:rsidR="00A22C37">
          <w:headerReference w:type="even" r:id="rId87"/>
          <w:headerReference w:type="default" r:id="rId88"/>
          <w:footerReference w:type="even" r:id="rId89"/>
          <w:footerReference w:type="default" r:id="rId90"/>
          <w:headerReference w:type="first" r:id="rId91"/>
          <w:footerReference w:type="first" r:id="rId92"/>
          <w:pgSz w:w="11906" w:h="16838"/>
          <w:pgMar w:top="1080" w:right="1440" w:bottom="1080" w:left="1440" w:header="708" w:footer="708" w:gutter="0"/>
          <w:cols w:space="708"/>
          <w:docGrid w:linePitch="360"/>
        </w:sectPr>
      </w:pPr>
    </w:p>
    <w:p w:rsidR="00A22C37" w:rsidRDefault="000B1CC4">
      <w:pPr>
        <w:pStyle w:val="ListParagraph"/>
        <w:widowControl w:val="0"/>
        <w:numPr>
          <w:ilvl w:val="0"/>
          <w:numId w:val="32"/>
        </w:numPr>
        <w:spacing w:after="0"/>
        <w:jc w:val="center"/>
        <w:outlineLvl w:val="0"/>
        <w:rPr>
          <w:rFonts w:cstheme="majorBidi"/>
          <w:b/>
          <w:bCs/>
          <w:noProof/>
          <w:color w:val="1F497D" w:themeColor="text2"/>
          <w:sz w:val="32"/>
          <w:szCs w:val="32"/>
        </w:rPr>
      </w:pPr>
      <w:bookmarkStart w:id="41" w:name="_Toc469484792"/>
      <w:r>
        <w:rPr>
          <w:rFonts w:cstheme="majorBidi"/>
          <w:b/>
          <w:bCs/>
          <w:noProof/>
          <w:color w:val="1F497D" w:themeColor="text2"/>
          <w:sz w:val="32"/>
          <w:szCs w:val="32"/>
        </w:rPr>
        <w:t>Market based instruments and investment</w:t>
      </w:r>
      <w:bookmarkEnd w:id="41"/>
    </w:p>
    <w:p w:rsidR="00A22C37" w:rsidRDefault="00A22C37">
      <w:pPr>
        <w:widowControl w:val="0"/>
        <w:spacing w:after="120" w:line="240" w:lineRule="auto"/>
        <w:jc w:val="both"/>
        <w:rPr>
          <w:noProof/>
          <w:sz w:val="20"/>
        </w:rPr>
      </w:pPr>
    </w:p>
    <w:p w:rsidR="00A22C37" w:rsidRDefault="00A22C37">
      <w:pPr>
        <w:widowControl w:val="0"/>
        <w:spacing w:after="120" w:line="240" w:lineRule="auto"/>
        <w:jc w:val="both"/>
        <w:rPr>
          <w:noProof/>
          <w:sz w:val="20"/>
        </w:rPr>
        <w:sectPr w:rsidR="00A22C37">
          <w:headerReference w:type="even" r:id="rId93"/>
          <w:headerReference w:type="default" r:id="rId94"/>
          <w:footerReference w:type="even" r:id="rId95"/>
          <w:footerReference w:type="default" r:id="rId96"/>
          <w:headerReference w:type="first" r:id="rId97"/>
          <w:footerReference w:type="first" r:id="rId98"/>
          <w:type w:val="continuous"/>
          <w:pgSz w:w="11906" w:h="16838"/>
          <w:pgMar w:top="1080" w:right="1440" w:bottom="1080" w:left="1440" w:header="708" w:footer="708" w:gutter="0"/>
          <w:cols w:space="708"/>
          <w:docGrid w:linePitch="360"/>
        </w:sectPr>
      </w:pPr>
    </w:p>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42" w:name="_Toc469484793"/>
      <w:r>
        <w:rPr>
          <w:rFonts w:eastAsia="Times New Roman"/>
          <w:b/>
          <w:noProof/>
          <w:color w:val="1F497D" w:themeColor="text2"/>
          <w:sz w:val="24"/>
          <w:lang w:eastAsia="en-GB"/>
        </w:rPr>
        <w:t>Green taxation and environmentally harmful subsidies</w:t>
      </w:r>
      <w:bookmarkEnd w:id="42"/>
    </w:p>
    <w:p w:rsidR="00A22C37" w:rsidRDefault="000B1CC4">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Circular Economy Action Plan encourages the use of financial incentives and economic instruments, such as taxation to </w:t>
      </w:r>
      <w:r>
        <w:rPr>
          <w:rFonts w:ascii="Calibri" w:eastAsia="Calibri" w:hAnsi="Calibri" w:cs="Times New Roman"/>
          <w:noProof/>
          <w:color w:val="FFFFFF"/>
          <w:sz w:val="20"/>
          <w:lang w:eastAsia="ar-SA"/>
        </w:rPr>
        <w:t>ensure that product prices better reflect environmental costs. The phasing out of environmentally harmful subsidies is monitored in the context of the European Semester and in national reform programmes submitted by Member States.</w:t>
      </w:r>
    </w:p>
    <w:p w:rsidR="00A22C37" w:rsidRDefault="000B1CC4">
      <w:pPr>
        <w:widowControl w:val="0"/>
        <w:spacing w:after="120" w:line="240" w:lineRule="auto"/>
        <w:jc w:val="both"/>
        <w:rPr>
          <w:noProof/>
          <w:sz w:val="20"/>
        </w:rPr>
      </w:pPr>
      <w:r>
        <w:rPr>
          <w:noProof/>
          <w:sz w:val="20"/>
        </w:rPr>
        <w:t>Taxing pollution and reso</w:t>
      </w:r>
      <w:r>
        <w:rPr>
          <w:noProof/>
          <w:sz w:val="20"/>
        </w:rPr>
        <w:t>urce use can generate increased revenue and bring important social and environmental benefits.</w:t>
      </w:r>
    </w:p>
    <w:p w:rsidR="00A22C37" w:rsidRDefault="000B1CC4">
      <w:pPr>
        <w:widowControl w:val="0"/>
        <w:spacing w:after="120" w:line="240" w:lineRule="auto"/>
        <w:jc w:val="both"/>
        <w:rPr>
          <w:rFonts w:cs="Times New Roman"/>
          <w:noProof/>
          <w:sz w:val="20"/>
        </w:rPr>
      </w:pPr>
      <w:r>
        <w:rPr>
          <w:rFonts w:cs="Times New Roman"/>
          <w:noProof/>
          <w:sz w:val="20"/>
        </w:rPr>
        <w:t>The latest ESTAT data for Romania has environmental tax revenues amounting to 2.42% of GDP in 2014 (EU28 average: 2.46% of GDP).</w:t>
      </w:r>
      <w:r>
        <w:rPr>
          <w:rFonts w:cs="Times New Roman"/>
          <w:noProof/>
          <w:sz w:val="20"/>
          <w:vertAlign w:val="superscript"/>
        </w:rPr>
        <w:footnoteReference w:id="88"/>
      </w:r>
      <w:r>
        <w:rPr>
          <w:rFonts w:cs="Times New Roman"/>
          <w:noProof/>
          <w:sz w:val="20"/>
        </w:rPr>
        <w:t xml:space="preserve"> In the same year environmental </w:t>
      </w:r>
      <w:r>
        <w:rPr>
          <w:rFonts w:cs="Times New Roman"/>
          <w:noProof/>
          <w:sz w:val="20"/>
        </w:rPr>
        <w:t xml:space="preserve">tax revenues accounted for 8.76% of total revenues from taxes and social security contributions (up from 7.47% in the preceding year and much higher than the EU28 average of 6.35%) as shown in Figure 12. Romania's environmental tax revenues have increased </w:t>
      </w:r>
      <w:r>
        <w:rPr>
          <w:rFonts w:cs="Times New Roman"/>
          <w:noProof/>
          <w:sz w:val="20"/>
        </w:rPr>
        <w:t>continuously since 2011. The implicit tax rate on energy remains lower than the EU average (136 versus 233), indicating an energy-intensive economy and scope for improving energy efficiency.</w:t>
      </w:r>
    </w:p>
    <w:p w:rsidR="00A22C37" w:rsidRDefault="000B1CC4">
      <w:pPr>
        <w:widowControl w:val="0"/>
        <w:spacing w:after="120" w:line="240" w:lineRule="auto"/>
        <w:jc w:val="both"/>
        <w:rPr>
          <w:rFonts w:cs="Times New Roman"/>
          <w:noProof/>
          <w:sz w:val="20"/>
        </w:rPr>
      </w:pPr>
      <w:r>
        <w:rPr>
          <w:rFonts w:cs="Times New Roman"/>
          <w:noProof/>
          <w:sz w:val="20"/>
        </w:rPr>
        <w:t>Given that Romania faces problems with achieving environmental go</w:t>
      </w:r>
      <w:r>
        <w:rPr>
          <w:rFonts w:cs="Times New Roman"/>
          <w:noProof/>
          <w:sz w:val="20"/>
        </w:rPr>
        <w:t>als for water, waste and air, further actions in the area of environmental taxation are justified due to the considerable potential for additional revenue from environmental taxes</w:t>
      </w:r>
      <w:r>
        <w:rPr>
          <w:rFonts w:cs="Times New Roman"/>
          <w:noProof/>
          <w:sz w:val="20"/>
          <w:vertAlign w:val="superscript"/>
        </w:rPr>
        <w:footnoteReference w:id="89"/>
      </w:r>
      <w:r>
        <w:rPr>
          <w:rFonts w:cs="Times New Roman"/>
          <w:noProof/>
          <w:sz w:val="20"/>
        </w:rPr>
        <w:t xml:space="preserve">. </w:t>
      </w:r>
    </w:p>
    <w:p w:rsidR="00A22C37" w:rsidRDefault="000B1CC4">
      <w:pPr>
        <w:widowControl w:val="0"/>
        <w:spacing w:after="120" w:line="240" w:lineRule="auto"/>
        <w:jc w:val="both"/>
        <w:rPr>
          <w:rFonts w:cs="Times New Roman"/>
          <w:noProof/>
          <w:sz w:val="20"/>
        </w:rPr>
      </w:pPr>
      <w:r>
        <w:rPr>
          <w:rFonts w:cs="Times New Roman"/>
          <w:noProof/>
          <w:sz w:val="20"/>
        </w:rPr>
        <w:t>A 2016 study suggests that there is considerable potential for shifting t</w:t>
      </w:r>
      <w:r>
        <w:rPr>
          <w:rFonts w:cs="Times New Roman"/>
          <w:noProof/>
          <w:sz w:val="20"/>
        </w:rPr>
        <w:t>axes from labour to environmental taxes</w:t>
      </w:r>
      <w:r>
        <w:rPr>
          <w:rFonts w:cs="Times New Roman"/>
          <w:noProof/>
          <w:sz w:val="20"/>
          <w:vertAlign w:val="superscript"/>
        </w:rPr>
        <w:footnoteReference w:id="90"/>
      </w:r>
      <w:r>
        <w:rPr>
          <w:rFonts w:cs="Times New Roman"/>
          <w:noProof/>
          <w:sz w:val="20"/>
        </w:rPr>
        <w:t>. Under a good practice scenario</w:t>
      </w:r>
      <w:r>
        <w:rPr>
          <w:rFonts w:cs="Times New Roman"/>
          <w:noProof/>
          <w:sz w:val="20"/>
          <w:vertAlign w:val="superscript"/>
        </w:rPr>
        <w:footnoteReference w:id="91"/>
      </w:r>
      <w:r>
        <w:rPr>
          <w:rFonts w:cs="Times New Roman"/>
          <w:noProof/>
          <w:sz w:val="20"/>
          <w:vertAlign w:val="superscript"/>
        </w:rPr>
        <w:t xml:space="preserve"> </w:t>
      </w:r>
      <w:r>
        <w:rPr>
          <w:rFonts w:cs="Times New Roman"/>
          <w:noProof/>
          <w:sz w:val="20"/>
        </w:rPr>
        <w:t>these could</w:t>
      </w:r>
      <w:r>
        <w:rPr>
          <w:i/>
          <w:noProof/>
        </w:rPr>
        <w:t xml:space="preserve"> </w:t>
      </w:r>
      <w:r>
        <w:rPr>
          <w:rFonts w:cs="Times New Roman"/>
          <w:noProof/>
          <w:sz w:val="20"/>
        </w:rPr>
        <w:t>generate an additional EUR 2.19 billion by 2018, rising to EUR 4.38 billion by 2030 (both in real 2015 terms). This is equivalent to an increase by 1.26 and 1.7% of GDP i</w:t>
      </w:r>
      <w:r>
        <w:rPr>
          <w:rFonts w:cs="Times New Roman"/>
          <w:noProof/>
          <w:sz w:val="20"/>
        </w:rPr>
        <w:t>n 2018 and 2030, respectively. The largest potential source of revenue would come from increases in vehicle taxation. The suggested increase of vehicle taxation could account for EUR 2.6 billion of additional revenue by 2030 (real 2015 terms), equivalent t</w:t>
      </w:r>
      <w:r>
        <w:rPr>
          <w:rFonts w:cs="Times New Roman"/>
          <w:noProof/>
          <w:sz w:val="20"/>
        </w:rPr>
        <w:t xml:space="preserve">o 1.26% of GDP.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22C37">
        <w:tc>
          <w:tcPr>
            <w:tcW w:w="4909" w:type="dxa"/>
            <w:hideMark/>
          </w:tcPr>
          <w:p w:rsidR="00A22C37" w:rsidRDefault="000B1CC4">
            <w:pPr>
              <w:widowControl w:val="0"/>
              <w:spacing w:after="120"/>
              <w:rPr>
                <w:b/>
                <w:bCs/>
                <w:noProof/>
                <w:color w:val="1F497D" w:themeColor="text2"/>
              </w:rPr>
            </w:pPr>
            <w:r>
              <w:rPr>
                <w:b/>
                <w:bCs/>
                <w:noProof/>
                <w:color w:val="1F497D" w:themeColor="text2"/>
                <w:sz w:val="20"/>
              </w:rPr>
              <w:t>Figure 12: Environmental tax revenues as a share of total revenues from taxes and social contributions (excluding imputed social contributions) in 2014</w:t>
            </w:r>
            <w:r>
              <w:rPr>
                <w:b/>
                <w:bCs/>
                <w:noProof/>
                <w:color w:val="1F497D" w:themeColor="text2"/>
                <w:sz w:val="20"/>
                <w:vertAlign w:val="superscript"/>
              </w:rPr>
              <w:footnoteReference w:id="92"/>
            </w:r>
          </w:p>
        </w:tc>
      </w:tr>
      <w:tr w:rsidR="00A22C37">
        <w:tc>
          <w:tcPr>
            <w:tcW w:w="4909" w:type="dxa"/>
          </w:tcPr>
          <w:p w:rsidR="00A22C37" w:rsidRDefault="000B1CC4">
            <w:pPr>
              <w:widowControl w:val="0"/>
              <w:spacing w:after="120"/>
              <w:rPr>
                <w:rFonts w:ascii="Times New Roman" w:hAnsi="Times New Roman"/>
                <w:noProof/>
              </w:rPr>
            </w:pPr>
            <w:r>
              <w:rPr>
                <w:rFonts w:ascii="Times New Roman" w:hAnsi="Times New Roman"/>
                <w:noProof/>
                <w:lang w:eastAsia="en-GB"/>
              </w:rPr>
              <w:drawing>
                <wp:inline distT="0" distB="0" distL="0" distR="0">
                  <wp:extent cx="2934586" cy="41735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37485" cy="4177707"/>
                          </a:xfrm>
                          <a:prstGeom prst="rect">
                            <a:avLst/>
                          </a:prstGeom>
                          <a:noFill/>
                        </pic:spPr>
                      </pic:pic>
                    </a:graphicData>
                  </a:graphic>
                </wp:inline>
              </w:drawing>
            </w:r>
          </w:p>
        </w:tc>
      </w:tr>
    </w:tbl>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43" w:name="_Toc454460691"/>
      <w:bookmarkStart w:id="44" w:name="_Toc469484794"/>
      <w:bookmarkStart w:id="45" w:name="_Toc448925421"/>
      <w:r>
        <w:rPr>
          <w:rFonts w:eastAsia="Times New Roman"/>
          <w:b/>
          <w:noProof/>
          <w:color w:val="1F497D" w:themeColor="text2"/>
          <w:sz w:val="24"/>
          <w:lang w:eastAsia="en-GB"/>
        </w:rPr>
        <w:t>Green Public Procurement</w:t>
      </w:r>
      <w:bookmarkEnd w:id="43"/>
      <w:bookmarkEnd w:id="44"/>
      <w:r>
        <w:rPr>
          <w:rFonts w:eastAsia="Times New Roman"/>
          <w:b/>
          <w:noProof/>
          <w:color w:val="1F497D" w:themeColor="text2"/>
          <w:sz w:val="24"/>
          <w:lang w:eastAsia="en-GB"/>
        </w:rPr>
        <w:t xml:space="preserve"> </w:t>
      </w:r>
    </w:p>
    <w:bookmarkEnd w:id="45"/>
    <w:p w:rsidR="00A22C37" w:rsidRDefault="000B1CC4">
      <w:pPr>
        <w:widowControl w:val="0"/>
        <w:shd w:val="clear" w:color="auto" w:fill="4F81BD" w:themeFill="accent1"/>
        <w:spacing w:before="240" w:after="120" w:line="240" w:lineRule="auto"/>
        <w:contextualSpacing/>
        <w:jc w:val="both"/>
        <w:rPr>
          <w:noProof/>
          <w:color w:val="FFFFFF" w:themeColor="background1"/>
          <w:sz w:val="20"/>
        </w:rPr>
      </w:pPr>
      <w:r>
        <w:rPr>
          <w:noProof/>
          <w:color w:val="FFFFFF" w:themeColor="background1"/>
          <w:sz w:val="20"/>
        </w:rPr>
        <w:t xml:space="preserve">The EU green public procurement policies encourage </w:t>
      </w:r>
      <w:r>
        <w:rPr>
          <w:noProof/>
          <w:color w:val="FFFFFF" w:themeColor="background1"/>
          <w:sz w:val="20"/>
        </w:rPr>
        <w:t>Member States to take further steps to reach the target of applying green procurement criteria to at least 50% of public tenders.</w:t>
      </w:r>
    </w:p>
    <w:p w:rsidR="00A22C37" w:rsidRDefault="000B1CC4">
      <w:pPr>
        <w:widowControl w:val="0"/>
        <w:spacing w:before="240" w:after="120" w:line="240" w:lineRule="auto"/>
        <w:jc w:val="both"/>
        <w:rPr>
          <w:rFonts w:cs="Times New Roman"/>
          <w:noProof/>
          <w:sz w:val="20"/>
        </w:rPr>
      </w:pPr>
      <w:r>
        <w:rPr>
          <w:rFonts w:cs="Times New Roman"/>
          <w:noProof/>
          <w:sz w:val="20"/>
        </w:rPr>
        <w:t>Green Public Procurement (GPP) is a process whereby public authorities seek to procure goods, services and works with a reduce</w:t>
      </w:r>
      <w:r>
        <w:rPr>
          <w:rFonts w:cs="Times New Roman"/>
          <w:noProof/>
          <w:sz w:val="20"/>
        </w:rPr>
        <w:t xml:space="preserve">d environmental impact throughout their life-cycle when compared to goods, services and works with the same primary function that would otherwise be procured. </w:t>
      </w:r>
    </w:p>
    <w:p w:rsidR="00A22C37" w:rsidRDefault="000B1CC4">
      <w:pPr>
        <w:widowControl w:val="0"/>
        <w:spacing w:after="120" w:line="240" w:lineRule="auto"/>
        <w:jc w:val="both"/>
        <w:rPr>
          <w:rFonts w:cs="Times New Roman"/>
          <w:noProof/>
          <w:sz w:val="20"/>
        </w:rPr>
      </w:pPr>
      <w:r>
        <w:rPr>
          <w:rFonts w:cs="Times New Roman"/>
          <w:noProof/>
          <w:sz w:val="20"/>
        </w:rPr>
        <w:t>The purchasing power of public procurement in the EU equals to approximately 14% of GDP</w:t>
      </w:r>
      <w:r>
        <w:rPr>
          <w:rFonts w:cs="Times New Roman"/>
          <w:noProof/>
          <w:sz w:val="20"/>
          <w:vertAlign w:val="superscript"/>
        </w:rPr>
        <w:footnoteReference w:id="93"/>
      </w:r>
      <w:r>
        <w:rPr>
          <w:rFonts w:cs="Times New Roman"/>
          <w:noProof/>
          <w:sz w:val="20"/>
        </w:rPr>
        <w:t>. A subs</w:t>
      </w:r>
      <w:r>
        <w:rPr>
          <w:rFonts w:cs="Times New Roman"/>
          <w:noProof/>
          <w:sz w:val="20"/>
        </w:rPr>
        <w:t xml:space="preserve">tantial part of this money is spent on sectors with high environmental impact such as construction or transport, so GPP can help to significantly lower the impact of public spending and foster sustainable innovative businesses. The Commission has proposed </w:t>
      </w:r>
      <w:r>
        <w:rPr>
          <w:rFonts w:cs="Times New Roman"/>
          <w:noProof/>
          <w:sz w:val="20"/>
        </w:rPr>
        <w:t>EU GPP criteria</w:t>
      </w:r>
      <w:r>
        <w:rPr>
          <w:rFonts w:cs="Times New Roman"/>
          <w:noProof/>
          <w:sz w:val="20"/>
          <w:vertAlign w:val="superscript"/>
        </w:rPr>
        <w:footnoteReference w:id="94"/>
      </w:r>
      <w:r>
        <w:rPr>
          <w:rFonts w:cs="Times New Roman"/>
          <w:noProof/>
          <w:sz w:val="20"/>
        </w:rPr>
        <w:t>.</w:t>
      </w:r>
    </w:p>
    <w:p w:rsidR="00A22C37" w:rsidRDefault="000B1CC4">
      <w:pPr>
        <w:widowControl w:val="0"/>
        <w:spacing w:after="120" w:line="240" w:lineRule="auto"/>
        <w:jc w:val="both"/>
        <w:rPr>
          <w:rFonts w:cs="Times New Roman"/>
          <w:noProof/>
          <w:sz w:val="20"/>
        </w:rPr>
      </w:pPr>
      <w:r>
        <w:rPr>
          <w:rFonts w:cs="Times New Roman"/>
          <w:noProof/>
          <w:sz w:val="20"/>
        </w:rPr>
        <w:t>Romania had adopted in April 2016 a law dedicated to green public procurement and a set of criteria in the procurement of green products and services categories will be further established.</w:t>
      </w:r>
    </w:p>
    <w:p w:rsidR="00A22C37" w:rsidRDefault="000B1CC4">
      <w:pPr>
        <w:widowControl w:val="0"/>
        <w:spacing w:after="120" w:line="240" w:lineRule="auto"/>
        <w:jc w:val="both"/>
        <w:rPr>
          <w:rFonts w:cs="Times New Roman"/>
          <w:noProof/>
          <w:sz w:val="20"/>
        </w:rPr>
      </w:pPr>
      <w:r>
        <w:rPr>
          <w:rFonts w:cs="Times New Roman"/>
          <w:noProof/>
          <w:sz w:val="20"/>
        </w:rPr>
        <w:t>In 2017, the Ministry of Environment, Waters and</w:t>
      </w:r>
      <w:r>
        <w:rPr>
          <w:rFonts w:cs="Times New Roman"/>
          <w:noProof/>
          <w:sz w:val="20"/>
        </w:rPr>
        <w:t xml:space="preserve"> Forests will start a consultation with stakeholders for the selected categories for developing and set the strategically directions of the National Action Plan for Green Public Procurement (GPP).</w:t>
      </w:r>
    </w:p>
    <w:p w:rsidR="00A22C37" w:rsidRDefault="000B1CC4">
      <w:pPr>
        <w:widowControl w:val="0"/>
        <w:spacing w:after="120" w:line="240" w:lineRule="auto"/>
        <w:jc w:val="both"/>
        <w:rPr>
          <w:rFonts w:cs="Times New Roman"/>
          <w:noProof/>
          <w:sz w:val="20"/>
        </w:rPr>
      </w:pPr>
      <w:r>
        <w:rPr>
          <w:rFonts w:cs="Times New Roman"/>
          <w:noProof/>
          <w:sz w:val="20"/>
        </w:rPr>
        <w:t xml:space="preserve">Currently, the Ministry of Environment in partnership with </w:t>
      </w:r>
      <w:r>
        <w:rPr>
          <w:rFonts w:cs="Times New Roman"/>
          <w:noProof/>
          <w:sz w:val="20"/>
        </w:rPr>
        <w:t xml:space="preserve">Regione Basilicata (IT), Fondazione Ecosistemi (IT), Regione Lazio (IT), and Regione Sardegna (IT) are developing a LIFE project to promote instruments and actions for planning, improving, and best practice transfers for green public procurement </w:t>
      </w:r>
    </w:p>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46" w:name="_Toc454460692"/>
      <w:bookmarkStart w:id="47" w:name="_Toc469484795"/>
      <w:r>
        <w:rPr>
          <w:rFonts w:eastAsia="Times New Roman"/>
          <w:b/>
          <w:noProof/>
          <w:color w:val="1F497D" w:themeColor="text2"/>
          <w:sz w:val="24"/>
          <w:lang w:eastAsia="en-GB"/>
        </w:rPr>
        <w:t>Investmen</w:t>
      </w:r>
      <w:r>
        <w:rPr>
          <w:rFonts w:eastAsia="Times New Roman"/>
          <w:b/>
          <w:noProof/>
          <w:color w:val="1F497D" w:themeColor="text2"/>
          <w:sz w:val="24"/>
          <w:lang w:eastAsia="en-GB"/>
        </w:rPr>
        <w:t>ts: the contribution of EU funds</w:t>
      </w:r>
      <w:bookmarkEnd w:id="46"/>
      <w:bookmarkEnd w:id="47"/>
      <w:r>
        <w:rPr>
          <w:rFonts w:eastAsia="Times New Roman"/>
          <w:b/>
          <w:noProof/>
          <w:color w:val="1F497D" w:themeColor="text2"/>
          <w:sz w:val="24"/>
          <w:lang w:eastAsia="en-GB"/>
        </w:rPr>
        <w:t xml:space="preserve"> </w:t>
      </w:r>
    </w:p>
    <w:p w:rsidR="00A22C37" w:rsidRDefault="000B1CC4">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European Structural and Investment Funds Regulations provide that Member States promote environment and climate objectives in their funding strategies and programmes for economic, social and territorial cohesion, rural dev</w:t>
      </w:r>
      <w:r>
        <w:rPr>
          <w:rFonts w:cs="Times New Roman"/>
          <w:noProof/>
          <w:color w:val="FFFFFF" w:themeColor="background1"/>
          <w:sz w:val="20"/>
        </w:rPr>
        <w:t>elopment and maritime policy, and reinforce the capacity of implementing bodies to deliver cost-effective and sustainable investments in these areas.</w:t>
      </w:r>
    </w:p>
    <w:p w:rsidR="00A22C37" w:rsidRDefault="000B1CC4">
      <w:pPr>
        <w:widowControl w:val="0"/>
        <w:spacing w:after="120" w:line="240" w:lineRule="auto"/>
        <w:jc w:val="both"/>
        <w:rPr>
          <w:noProof/>
          <w:sz w:val="20"/>
        </w:rPr>
      </w:pPr>
      <w:r>
        <w:rPr>
          <w:noProof/>
          <w:sz w:val="20"/>
        </w:rPr>
        <w:t xml:space="preserve">Making good use of the </w:t>
      </w:r>
      <w:r>
        <w:rPr>
          <w:noProof/>
          <w:sz w:val="20"/>
          <w:szCs w:val="24"/>
        </w:rPr>
        <w:t>European Structural and Investment Funds (ESIF)</w:t>
      </w:r>
      <w:r>
        <w:rPr>
          <w:noProof/>
          <w:sz w:val="20"/>
          <w:szCs w:val="24"/>
          <w:vertAlign w:val="superscript"/>
        </w:rPr>
        <w:footnoteReference w:id="95"/>
      </w:r>
      <w:r>
        <w:rPr>
          <w:noProof/>
          <w:sz w:val="20"/>
          <w:szCs w:val="24"/>
        </w:rPr>
        <w:t xml:space="preserve"> </w:t>
      </w:r>
      <w:r>
        <w:rPr>
          <w:noProof/>
          <w:sz w:val="20"/>
        </w:rPr>
        <w:t>is essential to achieve the enviro</w:t>
      </w:r>
      <w:r>
        <w:rPr>
          <w:noProof/>
          <w:sz w:val="20"/>
        </w:rPr>
        <w:t>nmental goals and integrate these into other policy areas. Other instruments such as the Horizon 2020, the LIFE programme and European Fund for Strategic Investment</w:t>
      </w:r>
      <w:r>
        <w:rPr>
          <w:noProof/>
          <w:sz w:val="20"/>
          <w:vertAlign w:val="superscript"/>
        </w:rPr>
        <w:footnoteReference w:id="96"/>
      </w:r>
      <w:r>
        <w:rPr>
          <w:noProof/>
          <w:sz w:val="20"/>
        </w:rPr>
        <w:t xml:space="preserve"> (EFSI) may also support implementation and spread off best practice.</w:t>
      </w:r>
    </w:p>
    <w:p w:rsidR="00A22C37" w:rsidRDefault="00A22C37">
      <w:pPr>
        <w:widowControl w:val="0"/>
        <w:spacing w:after="120" w:line="240" w:lineRule="auto"/>
        <w:jc w:val="both"/>
        <w:rPr>
          <w:noProof/>
          <w:sz w:val="20"/>
        </w:rPr>
      </w:pPr>
    </w:p>
    <w:tbl>
      <w:tblPr>
        <w:tblStyle w:val="TableGrid2"/>
        <w:tblpPr w:leftFromText="180" w:rightFromText="180" w:vertAnchor="text" w:horzAnchor="margin" w:tblpXSpec="right"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22C37">
        <w:trPr>
          <w:trHeight w:val="541"/>
        </w:trPr>
        <w:tc>
          <w:tcPr>
            <w:tcW w:w="4909" w:type="dxa"/>
          </w:tcPr>
          <w:p w:rsidR="00A22C37" w:rsidRDefault="000B1CC4">
            <w:pPr>
              <w:spacing w:after="120"/>
              <w:rPr>
                <w:noProof/>
              </w:rPr>
            </w:pPr>
            <w:r>
              <w:rPr>
                <w:b/>
                <w:bCs/>
                <w:noProof/>
                <w:color w:val="1F497D" w:themeColor="text2"/>
                <w:sz w:val="20"/>
              </w:rPr>
              <w:t xml:space="preserve">Figure 13: European </w:t>
            </w:r>
            <w:r>
              <w:rPr>
                <w:b/>
                <w:bCs/>
                <w:noProof/>
                <w:color w:val="1F497D" w:themeColor="text2"/>
                <w:sz w:val="20"/>
              </w:rPr>
              <w:t>Structural and Investment Funds 2014-2020: Budget Romania by theme, EUR billion</w:t>
            </w:r>
            <w:r>
              <w:rPr>
                <w:b/>
                <w:bCs/>
                <w:noProof/>
                <w:color w:val="1F497D" w:themeColor="text2"/>
                <w:sz w:val="20"/>
                <w:vertAlign w:val="superscript"/>
              </w:rPr>
              <w:footnoteReference w:id="97"/>
            </w:r>
          </w:p>
        </w:tc>
      </w:tr>
      <w:tr w:rsidR="00A22C37">
        <w:trPr>
          <w:trHeight w:val="558"/>
        </w:trPr>
        <w:tc>
          <w:tcPr>
            <w:tcW w:w="4909" w:type="dxa"/>
          </w:tcPr>
          <w:p w:rsidR="00A22C37" w:rsidRDefault="000B1CC4">
            <w:pPr>
              <w:spacing w:after="120"/>
              <w:rPr>
                <w:noProof/>
              </w:rPr>
            </w:pPr>
            <w:r>
              <w:rPr>
                <w:noProof/>
                <w:lang w:eastAsia="en-GB"/>
              </w:rPr>
              <w:drawing>
                <wp:inline distT="0" distB="0" distL="0" distR="0">
                  <wp:extent cx="3048398" cy="37229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052724" cy="3728198"/>
                          </a:xfrm>
                          <a:prstGeom prst="rect">
                            <a:avLst/>
                          </a:prstGeom>
                        </pic:spPr>
                      </pic:pic>
                    </a:graphicData>
                  </a:graphic>
                </wp:inline>
              </w:drawing>
            </w:r>
          </w:p>
        </w:tc>
      </w:tr>
    </w:tbl>
    <w:p w:rsidR="00A22C37" w:rsidRDefault="000B1CC4">
      <w:pPr>
        <w:widowControl w:val="0"/>
        <w:spacing w:after="120" w:line="240" w:lineRule="auto"/>
        <w:jc w:val="both"/>
        <w:rPr>
          <w:rFonts w:cs="Times New Roman"/>
          <w:noProof/>
          <w:sz w:val="20"/>
        </w:rPr>
      </w:pPr>
      <w:r>
        <w:rPr>
          <w:rFonts w:cs="Times New Roman"/>
          <w:noProof/>
          <w:sz w:val="20"/>
        </w:rPr>
        <w:t>The lack of stability of the administrative structures coupled with insufficient implementation capacity often delay structural reforms and affect the effective use of EU funds. Based on the last available information from the 2007-2013 period, the expecte</w:t>
      </w:r>
      <w:r>
        <w:rPr>
          <w:rFonts w:cs="Times New Roman"/>
          <w:noProof/>
          <w:sz w:val="20"/>
        </w:rPr>
        <w:t xml:space="preserve">d investments approved under the Operational Programme (OP) Environment were not fully implemented and a relevant number of projects were not completed. </w:t>
      </w:r>
    </w:p>
    <w:p w:rsidR="00A22C37" w:rsidRDefault="000B1CC4">
      <w:pPr>
        <w:widowControl w:val="0"/>
        <w:spacing w:after="120" w:line="240" w:lineRule="auto"/>
        <w:jc w:val="both"/>
        <w:rPr>
          <w:rFonts w:cs="Times New Roman"/>
          <w:noProof/>
          <w:sz w:val="20"/>
        </w:rPr>
      </w:pPr>
      <w:r>
        <w:rPr>
          <w:rFonts w:cs="Times New Roman"/>
          <w:noProof/>
          <w:sz w:val="20"/>
        </w:rPr>
        <w:t>Under the 2014-2020 period, investments will continue supporting Romania to improve the quality of env</w:t>
      </w:r>
      <w:r>
        <w:rPr>
          <w:rFonts w:cs="Times New Roman"/>
          <w:noProof/>
          <w:sz w:val="20"/>
        </w:rPr>
        <w:t xml:space="preserve">ironment and promote the sustainable use of natural resources.  Waste management, water supply and wastewater treatment, biodiversity and nature protection, risks prevention and management will be the main sectors targeted by the investments. </w:t>
      </w:r>
    </w:p>
    <w:p w:rsidR="00A22C37" w:rsidRDefault="000B1CC4">
      <w:pPr>
        <w:widowControl w:val="0"/>
        <w:spacing w:after="120" w:line="240" w:lineRule="auto"/>
        <w:jc w:val="both"/>
        <w:rPr>
          <w:rFonts w:cs="Times New Roman"/>
          <w:noProof/>
          <w:sz w:val="20"/>
        </w:rPr>
      </w:pPr>
      <w:r>
        <w:rPr>
          <w:rFonts w:cs="Times New Roman"/>
          <w:noProof/>
          <w:sz w:val="20"/>
        </w:rPr>
        <w:t>The global b</w:t>
      </w:r>
      <w:r>
        <w:rPr>
          <w:rFonts w:cs="Times New Roman"/>
          <w:noProof/>
          <w:sz w:val="20"/>
        </w:rPr>
        <w:t xml:space="preserve">udget allocation for Cohesion Policy for the 2014-2020 period is EUR 22.4 billion, out of which EUR  3.8 billion are allocated for environmental investment (see Figure 13). For the period 2014-20 there is no separate OP for environment as was the case for </w:t>
      </w:r>
      <w:r>
        <w:rPr>
          <w:rFonts w:cs="Times New Roman"/>
          <w:noProof/>
          <w:sz w:val="20"/>
        </w:rPr>
        <w:t>the period 2007-13, but environment is part of the Large Infrastructure OP, together with transport and energy, for which the Managing authority is the Ministry of European Funds. Romania is also targeting environmental implementation gaps with its ESIF in</w:t>
      </w:r>
      <w:r>
        <w:rPr>
          <w:rFonts w:cs="Times New Roman"/>
          <w:noProof/>
          <w:sz w:val="20"/>
        </w:rPr>
        <w:t>vestment OPs.</w:t>
      </w:r>
    </w:p>
    <w:p w:rsidR="00A22C37" w:rsidRDefault="000B1CC4">
      <w:pPr>
        <w:widowControl w:val="0"/>
        <w:spacing w:after="120" w:line="240" w:lineRule="auto"/>
        <w:jc w:val="both"/>
        <w:rPr>
          <w:rFonts w:cs="Times New Roman"/>
          <w:noProof/>
          <w:sz w:val="20"/>
        </w:rPr>
      </w:pPr>
      <w:r>
        <w:rPr>
          <w:rFonts w:cs="Times New Roman"/>
          <w:noProof/>
          <w:sz w:val="20"/>
        </w:rPr>
        <w:t>The EIA/SEA and water ex-ante conditionalities, which are preconditions to access EU funding, were expected to be fulfilled by the end of 2016. The waste ex-ante conditionality is not fulfilled as the waste management plan (WMP) and the waste</w:t>
      </w:r>
      <w:r>
        <w:rPr>
          <w:rFonts w:cs="Times New Roman"/>
          <w:noProof/>
          <w:sz w:val="20"/>
        </w:rPr>
        <w:t xml:space="preserve"> prevention programmes (WPP) are not yet available. Effective economic instruments are also missing, i.e. the lack of transparent and effective Extended Producer Responsibility (EPR) or equivalent system is in place to cover the operational costs of separa</w:t>
      </w:r>
      <w:r>
        <w:rPr>
          <w:rFonts w:cs="Times New Roman"/>
          <w:noProof/>
          <w:sz w:val="20"/>
        </w:rPr>
        <w:t>te collection and recycling of the main waste streams. The Action Plan included in the Roadmap is the minimum necessary to ensure achievement of the targets on preparation for reuse and recycling.</w:t>
      </w:r>
    </w:p>
    <w:p w:rsidR="00A22C37" w:rsidRDefault="000B1CC4">
      <w:pPr>
        <w:widowControl w:val="0"/>
        <w:spacing w:after="120" w:line="240" w:lineRule="auto"/>
        <w:jc w:val="both"/>
        <w:rPr>
          <w:rFonts w:cs="Times New Roman"/>
          <w:noProof/>
          <w:sz w:val="20"/>
        </w:rPr>
      </w:pPr>
      <w:r>
        <w:rPr>
          <w:rFonts w:cs="Times New Roman"/>
          <w:noProof/>
          <w:sz w:val="20"/>
        </w:rPr>
        <w:t>The planned environmental investments are focused on the ri</w:t>
      </w:r>
      <w:r>
        <w:rPr>
          <w:rFonts w:cs="Times New Roman"/>
          <w:noProof/>
          <w:sz w:val="20"/>
        </w:rPr>
        <w:t>ght priorities, such as building the necessary environmental infrastructure, depolluting and rehabilitation, the development of the tools to meet the management and monitoring requirements, increasing urban green areas and improving mobility.</w:t>
      </w:r>
    </w:p>
    <w:p w:rsidR="00A22C37" w:rsidRDefault="000B1CC4">
      <w:pPr>
        <w:widowControl w:val="0"/>
        <w:spacing w:after="120" w:line="240" w:lineRule="auto"/>
        <w:jc w:val="both"/>
        <w:rPr>
          <w:rFonts w:cs="Times New Roman"/>
          <w:noProof/>
          <w:sz w:val="20"/>
        </w:rPr>
      </w:pPr>
      <w:r>
        <w:rPr>
          <w:rFonts w:cs="Times New Roman"/>
          <w:noProof/>
          <w:sz w:val="20"/>
        </w:rPr>
        <w:t xml:space="preserve">However, due </w:t>
      </w:r>
      <w:r>
        <w:rPr>
          <w:rFonts w:cs="Times New Roman"/>
          <w:noProof/>
          <w:sz w:val="20"/>
        </w:rPr>
        <w:t>attention should be paid to the fact that most of the environmental major projects have not yet been completed and should be finalized under the 2014-20 programming period.</w:t>
      </w:r>
    </w:p>
    <w:p w:rsidR="00A22C37" w:rsidRDefault="000B1CC4">
      <w:pPr>
        <w:widowControl w:val="0"/>
        <w:spacing w:after="120" w:line="240" w:lineRule="auto"/>
        <w:jc w:val="both"/>
        <w:rPr>
          <w:rFonts w:cs="Times New Roman"/>
          <w:noProof/>
          <w:sz w:val="20"/>
        </w:rPr>
      </w:pPr>
      <w:r>
        <w:rPr>
          <w:rFonts w:cs="Times New Roman"/>
          <w:noProof/>
          <w:sz w:val="20"/>
        </w:rPr>
        <w:t xml:space="preserve">The National Rural Development Program (EARDF amounts overall to EUR 3.252 billion </w:t>
      </w:r>
      <w:r>
        <w:rPr>
          <w:rFonts w:cs="Times New Roman"/>
          <w:noProof/>
          <w:sz w:val="20"/>
        </w:rPr>
        <w:t xml:space="preserve">- 40% of the total budget to environmental measures), but only 11% is dedicated to agri-environment-Climate measures. The RDP has a sound intervention logic which makes the link with its contribution for implementing the environmental legislation. Romania </w:t>
      </w:r>
      <w:r>
        <w:rPr>
          <w:rFonts w:cs="Times New Roman"/>
          <w:noProof/>
          <w:sz w:val="20"/>
        </w:rPr>
        <w:t>should still complete the RDP with adequate environmental safeguards, make adjustment to the agri-environment climate measure and make sure the RDP covers proper funding and coverage once</w:t>
      </w:r>
      <w:r>
        <w:rPr>
          <w:noProof/>
          <w:sz w:val="20"/>
        </w:rPr>
        <w:t xml:space="preserve"> </w:t>
      </w:r>
      <w:r>
        <w:rPr>
          <w:rFonts w:cs="Times New Roman"/>
          <w:noProof/>
          <w:sz w:val="20"/>
        </w:rPr>
        <w:t>Natura 2000 management plans and the 2nd RBMPs are approved.</w:t>
      </w:r>
    </w:p>
    <w:p w:rsidR="00A22C37" w:rsidRDefault="000B1CC4">
      <w:pPr>
        <w:widowControl w:val="0"/>
        <w:spacing w:after="120" w:line="240" w:lineRule="auto"/>
        <w:jc w:val="both"/>
        <w:rPr>
          <w:noProof/>
          <w:sz w:val="20"/>
        </w:rPr>
      </w:pPr>
      <w:r>
        <w:rPr>
          <w:noProof/>
          <w:sz w:val="20"/>
        </w:rPr>
        <w:t xml:space="preserve">With </w:t>
      </w:r>
      <w:r>
        <w:rPr>
          <w:noProof/>
          <w:sz w:val="20"/>
        </w:rPr>
        <w:t>regard to the integration of environmental concerns into the Common Agricultural Policy (CAP), the two key areas for Romania (as for all Member States) are, first, using Rural Development funds to pay for environmental land management and other environment</w:t>
      </w:r>
      <w:r>
        <w:rPr>
          <w:noProof/>
          <w:sz w:val="20"/>
        </w:rPr>
        <w:t>al measures, while avoiding financing measures which could damage the environment; and secondly, ensuring an effective implementation of the first pillar of the CAP with regard to cross compliance and 1st pillar 'greening'. The Direct Payment envelope of R</w:t>
      </w:r>
      <w:r>
        <w:rPr>
          <w:noProof/>
          <w:sz w:val="20"/>
        </w:rPr>
        <w:t>omania is EUR 8 949 million</w:t>
      </w:r>
      <w:r>
        <w:rPr>
          <w:noProof/>
          <w:sz w:val="20"/>
          <w:vertAlign w:val="superscript"/>
        </w:rPr>
        <w:footnoteReference w:id="98"/>
      </w:r>
      <w:r>
        <w:rPr>
          <w:noProof/>
          <w:sz w:val="20"/>
        </w:rPr>
        <w:t>), 30 % of which (2 740) is allocated to greening practices beneficial for the environment. An environmentally ambitious implementation of 1st pillar greening would clearly help to improve the environmental situation in areas no</w:t>
      </w:r>
      <w:r>
        <w:rPr>
          <w:noProof/>
          <w:sz w:val="20"/>
        </w:rPr>
        <w:t>t covered by rural development, including intensive area, and if appropriate the Romania could review its implementation of this.</w:t>
      </w:r>
    </w:p>
    <w:p w:rsidR="00A22C37" w:rsidRDefault="00A22C37">
      <w:pPr>
        <w:widowControl w:val="0"/>
        <w:spacing w:line="240" w:lineRule="auto"/>
        <w:jc w:val="both"/>
        <w:rPr>
          <w:noProof/>
          <w:sz w:val="20"/>
        </w:rPr>
      </w:pPr>
    </w:p>
    <w:p w:rsidR="00A22C37" w:rsidRDefault="00A22C37">
      <w:pPr>
        <w:widowControl w:val="0"/>
        <w:spacing w:line="240" w:lineRule="auto"/>
        <w:jc w:val="both"/>
        <w:rPr>
          <w:noProof/>
          <w:sz w:val="20"/>
        </w:rPr>
        <w:sectPr w:rsidR="00A22C37">
          <w:headerReference w:type="even" r:id="rId101"/>
          <w:headerReference w:type="default" r:id="rId102"/>
          <w:footerReference w:type="even" r:id="rId103"/>
          <w:footerReference w:type="default" r:id="rId104"/>
          <w:headerReference w:type="first" r:id="rId105"/>
          <w:footerReference w:type="first" r:id="rId106"/>
          <w:type w:val="continuous"/>
          <w:pgSz w:w="11906" w:h="16838"/>
          <w:pgMar w:top="1440" w:right="1080" w:bottom="1440" w:left="1080" w:header="708" w:footer="708" w:gutter="0"/>
          <w:cols w:num="2" w:space="360"/>
          <w:docGrid w:linePitch="360"/>
        </w:sectPr>
      </w:pPr>
    </w:p>
    <w:p w:rsidR="00A22C37" w:rsidRDefault="000B1CC4">
      <w:pPr>
        <w:pStyle w:val="ListParagraph"/>
        <w:widowControl w:val="0"/>
        <w:numPr>
          <w:ilvl w:val="0"/>
          <w:numId w:val="32"/>
        </w:numPr>
        <w:spacing w:after="0"/>
        <w:jc w:val="center"/>
        <w:outlineLvl w:val="0"/>
        <w:rPr>
          <w:rFonts w:cstheme="majorBidi"/>
          <w:b/>
          <w:bCs/>
          <w:noProof/>
          <w:color w:val="1F497D" w:themeColor="text2"/>
          <w:sz w:val="32"/>
          <w:szCs w:val="32"/>
        </w:rPr>
      </w:pPr>
      <w:bookmarkStart w:id="48" w:name="_Toc469484796"/>
      <w:r>
        <w:rPr>
          <w:rFonts w:cstheme="majorBidi"/>
          <w:b/>
          <w:bCs/>
          <w:noProof/>
          <w:color w:val="1F497D" w:themeColor="text2"/>
          <w:sz w:val="32"/>
          <w:szCs w:val="32"/>
        </w:rPr>
        <w:t>Effective</w:t>
      </w:r>
      <w:r>
        <w:rPr>
          <w:rFonts w:cstheme="majorBidi"/>
          <w:b/>
          <w:bCs/>
          <w:noProof/>
          <w:color w:val="1F497D" w:themeColor="text2"/>
          <w:sz w:val="32"/>
          <w:szCs w:val="32"/>
        </w:rPr>
        <w:t xml:space="preserve"> governance and knowledge</w:t>
      </w:r>
      <w:bookmarkEnd w:id="48"/>
    </w:p>
    <w:p w:rsidR="00A22C37" w:rsidRDefault="00A22C37">
      <w:pPr>
        <w:widowControl w:val="0"/>
        <w:spacing w:line="240" w:lineRule="auto"/>
        <w:jc w:val="both"/>
        <w:rPr>
          <w:noProof/>
          <w:sz w:val="20"/>
        </w:rPr>
        <w:sectPr w:rsidR="00A22C37">
          <w:headerReference w:type="even" r:id="rId107"/>
          <w:headerReference w:type="default" r:id="rId108"/>
          <w:footerReference w:type="even" r:id="rId109"/>
          <w:footerReference w:type="default" r:id="rId110"/>
          <w:headerReference w:type="first" r:id="rId111"/>
          <w:footerReference w:type="first" r:id="rId112"/>
          <w:pgSz w:w="11906" w:h="16838"/>
          <w:pgMar w:top="1440" w:right="1080" w:bottom="1440" w:left="1080" w:header="708" w:footer="708" w:gutter="0"/>
          <w:cols w:space="566"/>
          <w:docGrid w:linePitch="360"/>
        </w:sectPr>
      </w:pPr>
    </w:p>
    <w:p w:rsidR="00A22C37" w:rsidRDefault="00A22C37">
      <w:pPr>
        <w:widowControl w:val="0"/>
        <w:spacing w:line="240" w:lineRule="auto"/>
        <w:jc w:val="both"/>
        <w:rPr>
          <w:noProof/>
          <w:sz w:val="20"/>
        </w:rPr>
      </w:pPr>
    </w:p>
    <w:p w:rsidR="00A22C37" w:rsidRDefault="00A22C37">
      <w:pPr>
        <w:widowControl w:val="0"/>
        <w:spacing w:line="240" w:lineRule="auto"/>
        <w:jc w:val="both"/>
        <w:rPr>
          <w:noProof/>
          <w:sz w:val="20"/>
        </w:rPr>
        <w:sectPr w:rsidR="00A22C37">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440" w:right="1080" w:bottom="1440" w:left="1080" w:header="708" w:footer="708" w:gutter="0"/>
          <w:cols w:space="566"/>
          <w:docGrid w:linePitch="360"/>
        </w:sectPr>
      </w:pPr>
    </w:p>
    <w:p w:rsidR="00A22C37" w:rsidRDefault="000B1CC4">
      <w:pPr>
        <w:widowControl w:val="0"/>
        <w:shd w:val="clear" w:color="auto" w:fill="4F81BD" w:themeFill="accent1"/>
        <w:spacing w:before="240" w:after="120" w:line="240" w:lineRule="auto"/>
        <w:jc w:val="both"/>
        <w:rPr>
          <w:rFonts w:cs="Times New Roman"/>
          <w:noProof/>
          <w:color w:val="FFFFFF" w:themeColor="background1"/>
          <w:sz w:val="20"/>
        </w:rPr>
      </w:pPr>
      <w:bookmarkStart w:id="49" w:name="_Toc435536267"/>
      <w:bookmarkStart w:id="50" w:name="_Toc436815694"/>
      <w:r>
        <w:rPr>
          <w:rFonts w:cs="Times New Roman"/>
          <w:noProof/>
          <w:color w:val="FFFFFF" w:themeColor="background1"/>
          <w:sz w:val="20"/>
        </w:rPr>
        <w:t>SDG 16 aims at providing access to justice and building effective, accountable and inclusive institutions at all levels. SDG 17 aims at better implementation, improving policy coordination and policy coherence, stimulating science,</w:t>
      </w:r>
      <w:r>
        <w:rPr>
          <w:rFonts w:cs="Times New Roman"/>
          <w:noProof/>
          <w:color w:val="FFFFFF" w:themeColor="background1"/>
          <w:sz w:val="20"/>
        </w:rPr>
        <w:t xml:space="preserve"> technology and innovation, establishing partnerships and developing measurements of progress.</w:t>
      </w:r>
    </w:p>
    <w:p w:rsidR="00A22C37" w:rsidRDefault="000B1CC4">
      <w:pPr>
        <w:widowControl w:val="0"/>
        <w:spacing w:after="120" w:line="240" w:lineRule="auto"/>
        <w:jc w:val="both"/>
        <w:rPr>
          <w:noProof/>
          <w:sz w:val="20"/>
        </w:rPr>
      </w:pPr>
      <w:r>
        <w:rPr>
          <w:noProof/>
          <w:sz w:val="20"/>
        </w:rPr>
        <w:t>Effective governance of EU environmental legislation and policies requires having an appropriate institutional framework, policy coherence and coordination, appl</w:t>
      </w:r>
      <w:r>
        <w:rPr>
          <w:noProof/>
          <w:sz w:val="20"/>
        </w:rPr>
        <w:t>ying legal and non-legal instruments, engaging with non-governmental stakeholders, and having adequate levels of knowledge and skills</w:t>
      </w:r>
      <w:r>
        <w:rPr>
          <w:noProof/>
          <w:sz w:val="20"/>
          <w:vertAlign w:val="superscript"/>
        </w:rPr>
        <w:footnoteReference w:id="99"/>
      </w:r>
      <w:r>
        <w:rPr>
          <w:noProof/>
          <w:sz w:val="20"/>
        </w:rPr>
        <w:t>. Successful implementation depends, to a large extent, on central, regional and local government fulfilling key legislati</w:t>
      </w:r>
      <w:r>
        <w:rPr>
          <w:noProof/>
          <w:sz w:val="20"/>
        </w:rPr>
        <w:t>ve and administrative tasks, notably adoption of sound implementing legislation, co-ordinated action to meet environmental objectives and correct decision-making on matters such as industrial permits. Beyond fulfilment of these tasks, government must inter</w:t>
      </w:r>
      <w:r>
        <w:rPr>
          <w:noProof/>
          <w:sz w:val="20"/>
        </w:rPr>
        <w:t>vene to ensure day-to-day compliance by economic operators, utilities and individuals ("compliance assurance"). Civil society also has a role to play, including through legal action. To underpin the roles of all actors, it is crucial to collect and share k</w:t>
      </w:r>
      <w:r>
        <w:rPr>
          <w:noProof/>
          <w:sz w:val="20"/>
        </w:rPr>
        <w:t>nowledge and evidence on the state of the environment and on environmental pressures, drivers and impacts.</w:t>
      </w:r>
    </w:p>
    <w:p w:rsidR="00A22C37" w:rsidRDefault="000B1CC4">
      <w:pPr>
        <w:widowControl w:val="0"/>
        <w:spacing w:after="120" w:line="240" w:lineRule="auto"/>
        <w:jc w:val="both"/>
        <w:rPr>
          <w:noProof/>
          <w:sz w:val="20"/>
        </w:rPr>
      </w:pPr>
      <w:r>
        <w:rPr>
          <w:noProof/>
          <w:sz w:val="20"/>
          <w:szCs w:val="20"/>
          <w:lang w:val="en-US"/>
        </w:rPr>
        <w:t>Equally, effective governance of EU environmental legislation and policies benefits from a dialogue within Member States and between Member States an</w:t>
      </w:r>
      <w:r>
        <w:rPr>
          <w:noProof/>
          <w:sz w:val="20"/>
          <w:szCs w:val="20"/>
          <w:lang w:val="en-US"/>
        </w:rPr>
        <w:t>d the Commission on whether the current EU environmental legislation is fit for purpose. Legislation can only be properly implemented when it takes into account experiences at Member State level with putting EU commitments into effect. The "Make it Work in</w:t>
      </w:r>
      <w:r>
        <w:rPr>
          <w:noProof/>
          <w:sz w:val="20"/>
          <w:szCs w:val="20"/>
          <w:lang w:val="en-US"/>
        </w:rPr>
        <w:t>itiative", a Member State driven project, established in 2014, organizes a discussion on how the clarity, coherence and structure of EU environmental legislation can be improved without lowering existing protection standards.</w:t>
      </w:r>
    </w:p>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51" w:name="_Toc469484797"/>
      <w:r>
        <w:rPr>
          <w:rFonts w:eastAsia="Times New Roman"/>
          <w:b/>
          <w:noProof/>
          <w:color w:val="1F497D" w:themeColor="text2"/>
          <w:sz w:val="24"/>
          <w:lang w:eastAsia="en-GB"/>
        </w:rPr>
        <w:t>Effective governance within ce</w:t>
      </w:r>
      <w:r>
        <w:rPr>
          <w:rFonts w:eastAsia="Times New Roman"/>
          <w:b/>
          <w:noProof/>
          <w:color w:val="1F497D" w:themeColor="text2"/>
          <w:sz w:val="24"/>
          <w:lang w:eastAsia="en-GB"/>
        </w:rPr>
        <w:t>ntral, regional and local government</w:t>
      </w:r>
      <w:bookmarkEnd w:id="49"/>
      <w:bookmarkEnd w:id="50"/>
      <w:bookmarkEnd w:id="51"/>
    </w:p>
    <w:p w:rsidR="00A22C37" w:rsidRDefault="000B1CC4">
      <w:pPr>
        <w:widowControl w:val="0"/>
        <w:shd w:val="clear" w:color="auto" w:fill="4F81BD" w:themeFill="accent1"/>
        <w:spacing w:after="120" w:line="240" w:lineRule="auto"/>
        <w:jc w:val="both"/>
        <w:rPr>
          <w:noProof/>
          <w:color w:val="FFFFFF" w:themeColor="background1"/>
          <w:sz w:val="20"/>
        </w:rPr>
      </w:pPr>
      <w:r>
        <w:rPr>
          <w:noProof/>
          <w:color w:val="FFFFFF" w:themeColor="background1"/>
          <w:sz w:val="20"/>
        </w:rPr>
        <w:t xml:space="preserve">Those involved in implementing environment legislation at Union, national, regional and local levels need to be equipped with the knowledge, tools and capacity to improve the delivery of benefits from that legislation, </w:t>
      </w:r>
      <w:r>
        <w:rPr>
          <w:noProof/>
          <w:color w:val="FFFFFF" w:themeColor="background1"/>
          <w:sz w:val="20"/>
        </w:rPr>
        <w:t>and the governance of the enforcement process.</w:t>
      </w:r>
    </w:p>
    <w:p w:rsidR="00A22C37" w:rsidRDefault="000B1CC4">
      <w:pPr>
        <w:widowControl w:val="0"/>
        <w:spacing w:after="120" w:line="240" w:lineRule="auto"/>
        <w:jc w:val="both"/>
        <w:outlineLvl w:val="2"/>
        <w:rPr>
          <w:b/>
          <w:noProof/>
          <w:color w:val="1F497D" w:themeColor="text2"/>
        </w:rPr>
      </w:pPr>
      <w:r>
        <w:rPr>
          <w:b/>
          <w:noProof/>
          <w:color w:val="1F497D" w:themeColor="text2"/>
        </w:rPr>
        <w:t>Capacity to implement rules</w:t>
      </w:r>
    </w:p>
    <w:p w:rsidR="00A22C37" w:rsidRDefault="000B1CC4">
      <w:pPr>
        <w:widowControl w:val="0"/>
        <w:spacing w:after="120" w:line="240" w:lineRule="auto"/>
        <w:jc w:val="both"/>
        <w:rPr>
          <w:noProof/>
          <w:sz w:val="20"/>
        </w:rPr>
      </w:pPr>
      <w:r>
        <w:rPr>
          <w:noProof/>
          <w:sz w:val="20"/>
        </w:rPr>
        <w:t>It is crucial that central, regional and local administrations have the necessary capacities, skills and training to carry out their own tasks while cooperating and coordinating eff</w:t>
      </w:r>
      <w:r>
        <w:rPr>
          <w:noProof/>
          <w:sz w:val="20"/>
        </w:rPr>
        <w:t>ectively with each other, within a system of multi-level governance.</w:t>
      </w:r>
    </w:p>
    <w:p w:rsidR="00A22C37" w:rsidRDefault="000B1CC4">
      <w:pPr>
        <w:widowControl w:val="0"/>
        <w:spacing w:after="120" w:line="240" w:lineRule="auto"/>
        <w:jc w:val="both"/>
        <w:rPr>
          <w:noProof/>
          <w:sz w:val="20"/>
        </w:rPr>
      </w:pPr>
      <w:r>
        <w:rPr>
          <w:noProof/>
          <w:sz w:val="20"/>
        </w:rPr>
        <w:t>In 2000, a study showed that significant changes were required to achieve adequate levels of cooperation between ministries and coordination between the national and county level in Roman</w:t>
      </w:r>
      <w:r>
        <w:rPr>
          <w:noProof/>
          <w:sz w:val="20"/>
        </w:rPr>
        <w:t>ia, to achieve adequate implementation of the EU environmental legislation</w:t>
      </w:r>
      <w:r>
        <w:rPr>
          <w:noProof/>
          <w:sz w:val="20"/>
          <w:vertAlign w:val="superscript"/>
        </w:rPr>
        <w:footnoteReference w:id="100"/>
      </w:r>
      <w:r>
        <w:rPr>
          <w:noProof/>
          <w:sz w:val="20"/>
        </w:rPr>
        <w:t>. Although since then substantial EU funds have been made available to improve environmental and other Cohesion Funds-related themes in particular in the 2007-2013 programming perio</w:t>
      </w:r>
      <w:r>
        <w:rPr>
          <w:noProof/>
          <w:sz w:val="20"/>
        </w:rPr>
        <w:t>d</w:t>
      </w:r>
      <w:r>
        <w:rPr>
          <w:noProof/>
          <w:sz w:val="20"/>
          <w:vertAlign w:val="superscript"/>
        </w:rPr>
        <w:footnoteReference w:id="101"/>
      </w:r>
      <w:r>
        <w:rPr>
          <w:noProof/>
          <w:sz w:val="20"/>
        </w:rPr>
        <w:t xml:space="preserve">, it seems that, overall, there is considerable room for improvement in terms of administrative capacity. To tackle the structural weaknesses, a strategy for strengthening public administration was adopted in 2014 together with an action plan for its </w:t>
      </w:r>
      <w:r>
        <w:rPr>
          <w:noProof/>
          <w:sz w:val="20"/>
        </w:rPr>
        <w:t>implementation in 2014-2020</w:t>
      </w:r>
      <w:r>
        <w:rPr>
          <w:noProof/>
          <w:sz w:val="20"/>
          <w:vertAlign w:val="superscript"/>
        </w:rPr>
        <w:footnoteReference w:id="102"/>
      </w:r>
      <w:r>
        <w:rPr>
          <w:noProof/>
          <w:sz w:val="20"/>
        </w:rPr>
        <w:t xml:space="preserve">. The strategy addresses the dedicated </w:t>
      </w:r>
      <w:r>
        <w:rPr>
          <w:i/>
          <w:noProof/>
          <w:sz w:val="20"/>
        </w:rPr>
        <w:t>ex ante</w:t>
      </w:r>
      <w:r>
        <w:rPr>
          <w:noProof/>
          <w:sz w:val="20"/>
        </w:rPr>
        <w:t xml:space="preserve"> conditionality for the new programming period of the EU structural and investment funds</w:t>
      </w:r>
      <w:r>
        <w:rPr>
          <w:noProof/>
          <w:sz w:val="20"/>
          <w:vertAlign w:val="superscript"/>
        </w:rPr>
        <w:footnoteReference w:id="103"/>
      </w:r>
      <w:r>
        <w:rPr>
          <w:noProof/>
          <w:sz w:val="20"/>
        </w:rPr>
        <w:t xml:space="preserve">. Implementation seems, however, starting with substantial delay. </w:t>
      </w:r>
    </w:p>
    <w:p w:rsidR="00A22C37" w:rsidRDefault="000B1CC4">
      <w:pPr>
        <w:widowControl w:val="0"/>
        <w:spacing w:after="120" w:line="240" w:lineRule="auto"/>
        <w:jc w:val="both"/>
        <w:rPr>
          <w:noProof/>
          <w:sz w:val="20"/>
        </w:rPr>
      </w:pPr>
      <w:r>
        <w:rPr>
          <w:noProof/>
          <w:sz w:val="20"/>
          <w:lang w:eastAsia="en-GB"/>
        </w:rPr>
        <w:drawing>
          <wp:inline distT="0" distB="0" distL="0" distR="0">
            <wp:extent cx="2980690" cy="1986995"/>
            <wp:effectExtent l="0" t="0" r="0" b="0"/>
            <wp:docPr id="1" name="Picture 1" descr="P:\ENV-E2\1. ENV IMPLEMENTATION REVIEW\EIR Data management\Pictures\remaining pictures istock\clean\RO court of appeal iStock-61015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remaining pictures istock\clean\RO court of appeal iStock-61015393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80690" cy="1986995"/>
                    </a:xfrm>
                    <a:prstGeom prst="rect">
                      <a:avLst/>
                    </a:prstGeom>
                    <a:noFill/>
                    <a:ln>
                      <a:noFill/>
                    </a:ln>
                  </pic:spPr>
                </pic:pic>
              </a:graphicData>
            </a:graphic>
          </wp:inline>
        </w:drawing>
      </w:r>
      <w:r>
        <w:rPr>
          <w:noProof/>
          <w:sz w:val="20"/>
        </w:rPr>
        <w:t>Perceptions on the qualit</w:t>
      </w:r>
      <w:r>
        <w:rPr>
          <w:noProof/>
          <w:sz w:val="20"/>
        </w:rPr>
        <w:t>y of public services, the civil service, policy-making and implementation, as well as the credibility of the government’s commitment to policies, which are captured by the 'government effectiveness' indicator, are well below the EU average.</w:t>
      </w:r>
      <w:r>
        <w:rPr>
          <w:noProof/>
          <w:sz w:val="20"/>
          <w:vertAlign w:val="superscript"/>
        </w:rPr>
        <w:footnoteReference w:id="104"/>
      </w:r>
      <w:r>
        <w:rPr>
          <w:noProof/>
          <w:sz w:val="20"/>
          <w:vertAlign w:val="superscript"/>
        </w:rPr>
        <w:t xml:space="preserve"> </w:t>
      </w:r>
      <w:r>
        <w:rPr>
          <w:noProof/>
          <w:sz w:val="20"/>
        </w:rPr>
        <w:t>There is a lac</w:t>
      </w:r>
      <w:r>
        <w:rPr>
          <w:noProof/>
          <w:sz w:val="20"/>
        </w:rPr>
        <w:t>k of trust among political and administrative layers, resulting in weak ownership of decisions and policies.</w:t>
      </w:r>
    </w:p>
    <w:p w:rsidR="00A22C37" w:rsidRDefault="000B1CC4">
      <w:pPr>
        <w:widowControl w:val="0"/>
        <w:spacing w:after="120" w:line="240" w:lineRule="auto"/>
        <w:jc w:val="both"/>
        <w:rPr>
          <w:noProof/>
          <w:sz w:val="20"/>
        </w:rPr>
      </w:pPr>
      <w:r>
        <w:rPr>
          <w:noProof/>
          <w:sz w:val="20"/>
        </w:rPr>
        <w:t xml:space="preserve">Environmental policy developments in Romania are mainly driven by EU Regulations and Directives. An important part of the implementation challenge </w:t>
      </w:r>
      <w:r>
        <w:rPr>
          <w:noProof/>
          <w:sz w:val="20"/>
        </w:rPr>
        <w:t>is timely transposition of EU environmental law by national authorities into national legislation. Romania sometimes transposes environmental directives belatedly. The legislation is generally correctly transposed and when instances of non-conformity occur</w:t>
      </w:r>
      <w:r>
        <w:rPr>
          <w:noProof/>
          <w:sz w:val="20"/>
        </w:rPr>
        <w:t>, the country cooperates and amends its legislation accordingly.</w:t>
      </w:r>
    </w:p>
    <w:p w:rsidR="00A22C37" w:rsidRDefault="000B1CC4">
      <w:pPr>
        <w:widowControl w:val="0"/>
        <w:spacing w:after="120" w:line="240" w:lineRule="auto"/>
        <w:jc w:val="both"/>
        <w:rPr>
          <w:noProof/>
          <w:sz w:val="20"/>
        </w:rPr>
      </w:pPr>
      <w:r>
        <w:rPr>
          <w:noProof/>
          <w:sz w:val="20"/>
        </w:rPr>
        <w:t>Implementation remains however the real challenge as indicated by the fact that Romania, although a new Member State, is among the countries with the highest number of environmental infringem</w:t>
      </w:r>
      <w:r>
        <w:rPr>
          <w:noProof/>
          <w:sz w:val="20"/>
        </w:rPr>
        <w:t xml:space="preserve">ents mainly in the areas of waste management (e.g. operation of substandard landfills), air pollution (e.g. exceedances of PM10 emission limit values), non-adaptation of </w:t>
      </w:r>
      <w:r>
        <w:rPr>
          <w:noProof/>
          <w:sz w:val="20"/>
          <w:szCs w:val="20"/>
        </w:rPr>
        <w:t>old large combustion plants to EU standards,</w:t>
      </w:r>
      <w:r>
        <w:rPr>
          <w:noProof/>
          <w:sz w:val="20"/>
        </w:rPr>
        <w:t xml:space="preserve"> and authorisation of projects without the</w:t>
      </w:r>
      <w:r>
        <w:rPr>
          <w:noProof/>
          <w:sz w:val="20"/>
        </w:rPr>
        <w:t xml:space="preserve"> necessary assessments and permits. </w:t>
      </w:r>
    </w:p>
    <w:p w:rsidR="00A22C37" w:rsidRDefault="000B1CC4">
      <w:pPr>
        <w:widowControl w:val="0"/>
        <w:spacing w:after="120" w:line="240" w:lineRule="auto"/>
        <w:jc w:val="both"/>
        <w:rPr>
          <w:noProof/>
          <w:sz w:val="20"/>
        </w:rPr>
      </w:pPr>
      <w:r>
        <w:rPr>
          <w:noProof/>
          <w:sz w:val="20"/>
        </w:rPr>
        <w:t>The number of complaints is increasing. Complaints and petitions received are often related to the authorisation of energy projects (wind farms in Dobrogea region, micro-hydropower plants in Natura 2000 areas) and the o</w:t>
      </w:r>
      <w:r>
        <w:rPr>
          <w:noProof/>
          <w:sz w:val="20"/>
        </w:rPr>
        <w:t>peration of industrial installations.</w:t>
      </w:r>
    </w:p>
    <w:p w:rsidR="00A22C37" w:rsidRDefault="000B1CC4">
      <w:pPr>
        <w:widowControl w:val="0"/>
        <w:spacing w:after="120" w:line="240" w:lineRule="auto"/>
        <w:jc w:val="both"/>
        <w:rPr>
          <w:bCs/>
          <w:noProof/>
          <w:color w:val="1F497D" w:themeColor="text2"/>
        </w:rPr>
      </w:pPr>
      <w:r>
        <w:rPr>
          <w:bCs/>
          <w:noProof/>
          <w:color w:val="1F497D" w:themeColor="text2"/>
        </w:rPr>
        <w:t>Suggested action</w:t>
      </w:r>
    </w:p>
    <w:p w:rsidR="00A22C37" w:rsidRDefault="000B1CC4">
      <w:pPr>
        <w:pStyle w:val="NoSpacing"/>
        <w:rPr>
          <w:noProof/>
        </w:rPr>
      </w:pPr>
      <w:r>
        <w:rPr>
          <w:noProof/>
        </w:rPr>
        <w:t>Improving the administrative capacity and the coordination of the agencies involved in implementation is urgently needed to reverse this trend and avoid hefty penalties in medium and long term. This wi</w:t>
      </w:r>
      <w:r>
        <w:rPr>
          <w:noProof/>
        </w:rPr>
        <w:t>ll also contribute towards addressing such implementation gaps.</w:t>
      </w:r>
    </w:p>
    <w:p w:rsidR="00A22C37" w:rsidRDefault="000B1CC4">
      <w:pPr>
        <w:pStyle w:val="NoSpacing"/>
        <w:spacing w:after="240"/>
        <w:rPr>
          <w:noProof/>
        </w:rPr>
      </w:pPr>
      <w:r>
        <w:rPr>
          <w:noProof/>
        </w:rPr>
        <w:t>Romania should speed up the implementation of the strategy for strengthening public administration, within which environment should be given due attention.</w:t>
      </w:r>
    </w:p>
    <w:p w:rsidR="00A22C37" w:rsidRDefault="000B1CC4">
      <w:pPr>
        <w:widowControl w:val="0"/>
        <w:spacing w:after="120" w:line="240" w:lineRule="auto"/>
        <w:jc w:val="both"/>
        <w:outlineLvl w:val="2"/>
        <w:rPr>
          <w:b/>
          <w:noProof/>
          <w:color w:val="1F497D" w:themeColor="text2"/>
        </w:rPr>
      </w:pPr>
      <w:r>
        <w:rPr>
          <w:b/>
          <w:noProof/>
          <w:color w:val="1F497D" w:themeColor="text2"/>
        </w:rPr>
        <w:t>Coordination and integration</w:t>
      </w:r>
    </w:p>
    <w:p w:rsidR="00A22C37" w:rsidRDefault="000B1CC4">
      <w:pPr>
        <w:widowControl w:val="0"/>
        <w:spacing w:after="120" w:line="240" w:lineRule="auto"/>
        <w:jc w:val="both"/>
        <w:rPr>
          <w:noProof/>
          <w:sz w:val="20"/>
        </w:rPr>
      </w:pPr>
      <w:bookmarkStart w:id="52" w:name="_Toc435536268"/>
      <w:r>
        <w:rPr>
          <w:noProof/>
          <w:sz w:val="20"/>
        </w:rPr>
        <w:t>There i</w:t>
      </w:r>
      <w:r>
        <w:rPr>
          <w:noProof/>
          <w:sz w:val="20"/>
        </w:rPr>
        <w:t>s a need to enforce coordinated implementation. For example, water supply is frequently given higher priority than sanitation. However, households can only be connected to the water supply network if they are already hooked up to a sewerage disposal system</w:t>
      </w:r>
      <w:r>
        <w:rPr>
          <w:noProof/>
          <w:sz w:val="20"/>
        </w:rPr>
        <w:t>. These discrepancies often lead to illegal household connections, in addition to which the lack of sewage disposal places intense stress on groundwater and surface water.</w:t>
      </w:r>
      <w:r>
        <w:rPr>
          <w:noProof/>
          <w:sz w:val="20"/>
          <w:vertAlign w:val="superscript"/>
        </w:rPr>
        <w:footnoteReference w:id="105"/>
      </w:r>
    </w:p>
    <w:p w:rsidR="00A22C37" w:rsidRDefault="000B1CC4">
      <w:pPr>
        <w:widowControl w:val="0"/>
        <w:spacing w:after="120" w:line="240" w:lineRule="auto"/>
        <w:jc w:val="both"/>
        <w:rPr>
          <w:noProof/>
          <w:sz w:val="20"/>
        </w:rPr>
      </w:pPr>
      <w:r>
        <w:rPr>
          <w:noProof/>
          <w:sz w:val="20"/>
        </w:rPr>
        <w:t xml:space="preserve">In the area of waste services, the introduction of contracts at county level would </w:t>
      </w:r>
      <w:r>
        <w:rPr>
          <w:noProof/>
          <w:sz w:val="20"/>
        </w:rPr>
        <w:t>allow better planning of waste collection services for the entire municipality or region, including rural areas.</w:t>
      </w:r>
    </w:p>
    <w:p w:rsidR="00A22C37" w:rsidRDefault="000B1CC4">
      <w:pPr>
        <w:widowControl w:val="0"/>
        <w:spacing w:after="120" w:line="240" w:lineRule="auto"/>
        <w:jc w:val="both"/>
        <w:rPr>
          <w:noProof/>
          <w:sz w:val="20"/>
        </w:rPr>
      </w:pPr>
      <w:r>
        <w:rPr>
          <w:noProof/>
          <w:sz w:val="20"/>
        </w:rPr>
        <w:t>Impact assessments are important tools to ensure environmental integration in all government policies.</w:t>
      </w:r>
      <w:r>
        <w:rPr>
          <w:noProof/>
          <w:sz w:val="20"/>
          <w:vertAlign w:val="superscript"/>
        </w:rPr>
        <w:footnoteReference w:id="106"/>
      </w:r>
      <w:r>
        <w:rPr>
          <w:noProof/>
          <w:sz w:val="20"/>
        </w:rPr>
        <w:t xml:space="preserve"> Romania uses regulatory impact analysis</w:t>
      </w:r>
      <w:r>
        <w:rPr>
          <w:noProof/>
          <w:sz w:val="20"/>
        </w:rPr>
        <w:t xml:space="preserve"> (RIA) on all legislative projects to be approved by the Government.</w:t>
      </w:r>
      <w:r>
        <w:rPr>
          <w:noProof/>
          <w:sz w:val="20"/>
          <w:vertAlign w:val="superscript"/>
        </w:rPr>
        <w:t xml:space="preserve"> </w:t>
      </w:r>
      <w:r>
        <w:rPr>
          <w:noProof/>
          <w:sz w:val="20"/>
        </w:rPr>
        <w:t xml:space="preserve">The RIA in principle covers also environmental impacts. In practice, it seems that such impacts are usually only presented qualitatively and not in-depth, and there is no quality control </w:t>
      </w:r>
      <w:r>
        <w:rPr>
          <w:noProof/>
          <w:sz w:val="20"/>
        </w:rPr>
        <w:t>in place.</w:t>
      </w:r>
      <w:r>
        <w:rPr>
          <w:noProof/>
          <w:sz w:val="20"/>
          <w:vertAlign w:val="superscript"/>
        </w:rPr>
        <w:footnoteReference w:id="107"/>
      </w:r>
      <w:r>
        <w:rPr>
          <w:noProof/>
          <w:sz w:val="20"/>
        </w:rPr>
        <w:t xml:space="preserve"> Romania has fully aligned the strategic environmental assessment for plans and programmes (SEA) and environmental impact assessment for projects (EIA). The transposition of the revised EIA Directive will be an opportunity to streamline the regul</w:t>
      </w:r>
      <w:r>
        <w:rPr>
          <w:noProof/>
          <w:sz w:val="20"/>
        </w:rPr>
        <w:t xml:space="preserve">atory framework on environmental assessments, and enhance the quality of the impact assessments carried out. </w:t>
      </w:r>
    </w:p>
    <w:p w:rsidR="00A22C37" w:rsidRDefault="000B1CC4">
      <w:pPr>
        <w:widowControl w:val="0"/>
        <w:spacing w:after="120" w:line="240" w:lineRule="auto"/>
        <w:jc w:val="both"/>
        <w:rPr>
          <w:noProof/>
          <w:color w:val="FF0000"/>
          <w:sz w:val="20"/>
        </w:rPr>
      </w:pPr>
      <w:r>
        <w:rPr>
          <w:noProof/>
          <w:sz w:val="20"/>
        </w:rPr>
        <w:t xml:space="preserve">The Commission encourages the streamlining of the environmental assessments to avoid overlaps in environmental assessments and accelerate </w:t>
      </w:r>
      <w:r>
        <w:rPr>
          <w:noProof/>
          <w:sz w:val="20"/>
        </w:rPr>
        <w:t>decision-making, without compromising the quality of the environmental assessment procedure. The Commission has issued a guidance document in 2016</w:t>
      </w:r>
      <w:r>
        <w:rPr>
          <w:noProof/>
          <w:sz w:val="20"/>
        </w:rPr>
        <w:footnoteReference w:id="108"/>
      </w:r>
      <w:r>
        <w:rPr>
          <w:noProof/>
          <w:sz w:val="20"/>
        </w:rPr>
        <w:t xml:space="preserve"> regarding the setting up of coordinated and/or joint procedures that are simultaneously subject to assessmen</w:t>
      </w:r>
      <w:r>
        <w:rPr>
          <w:noProof/>
          <w:sz w:val="20"/>
        </w:rPr>
        <w:t>ts under the EIA Directive, Habitats Directive, Water Framework Directive, and the Industrial Emissions Directive</w:t>
      </w:r>
      <w:r>
        <w:rPr>
          <w:noProof/>
          <w:color w:val="FF0000"/>
          <w:sz w:val="20"/>
        </w:rPr>
        <w:t xml:space="preserve">. </w:t>
      </w:r>
    </w:p>
    <w:p w:rsidR="00A22C37" w:rsidRDefault="000B1CC4">
      <w:pPr>
        <w:widowControl w:val="0"/>
        <w:spacing w:after="120" w:line="240" w:lineRule="auto"/>
        <w:jc w:val="both"/>
        <w:rPr>
          <w:bCs/>
          <w:noProof/>
          <w:color w:val="1F497D" w:themeColor="text2"/>
        </w:rPr>
      </w:pPr>
      <w:r>
        <w:rPr>
          <w:bCs/>
          <w:noProof/>
          <w:color w:val="1F497D" w:themeColor="text2"/>
        </w:rPr>
        <w:t>Suggested action</w:t>
      </w:r>
    </w:p>
    <w:p w:rsidR="00A22C37" w:rsidRDefault="000B1CC4">
      <w:pPr>
        <w:pStyle w:val="NoSpacing"/>
        <w:spacing w:after="240"/>
        <w:rPr>
          <w:noProof/>
        </w:rPr>
      </w:pPr>
      <w:r>
        <w:rPr>
          <w:noProof/>
        </w:rPr>
        <w:t xml:space="preserve">Romania should further enforce coordinated implementation, in particular with regard to water and waste management as well </w:t>
      </w:r>
      <w:r>
        <w:rPr>
          <w:noProof/>
        </w:rPr>
        <w:t>as to the quality of the impact assessments.</w:t>
      </w:r>
    </w:p>
    <w:p w:rsidR="00A22C37" w:rsidRDefault="000B1CC4">
      <w:pPr>
        <w:widowControl w:val="0"/>
        <w:spacing w:after="120" w:line="240" w:lineRule="auto"/>
        <w:jc w:val="both"/>
        <w:outlineLvl w:val="1"/>
        <w:rPr>
          <w:rFonts w:eastAsia="Times New Roman"/>
          <w:b/>
          <w:noProof/>
          <w:color w:val="000000" w:themeColor="text1"/>
          <w:sz w:val="24"/>
          <w:lang w:eastAsia="en-GB"/>
        </w:rPr>
      </w:pPr>
      <w:bookmarkStart w:id="53" w:name="_Toc469484798"/>
      <w:bookmarkEnd w:id="52"/>
      <w:r>
        <w:rPr>
          <w:rFonts w:eastAsia="Times New Roman"/>
          <w:b/>
          <w:noProof/>
          <w:color w:val="1F497D" w:themeColor="text2"/>
          <w:sz w:val="24"/>
          <w:lang w:eastAsia="en-GB"/>
        </w:rPr>
        <w:t>Compliance assurance</w:t>
      </w:r>
      <w:bookmarkEnd w:id="53"/>
    </w:p>
    <w:p w:rsidR="00A22C37" w:rsidRDefault="000B1CC4">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 xml:space="preserve">EU law generally and specific provisions on inspections, other checks, penalties and environmental liability help lay the basis for the systems Member States need to have in place to secure </w:t>
      </w:r>
      <w:r>
        <w:rPr>
          <w:rFonts w:cs="Times New Roman"/>
          <w:noProof/>
          <w:color w:val="FFFFFF" w:themeColor="background1"/>
          <w:sz w:val="20"/>
        </w:rPr>
        <w:t>compliance with EU environmental rules.</w:t>
      </w:r>
    </w:p>
    <w:p w:rsidR="00A22C37" w:rsidRDefault="000B1CC4">
      <w:pPr>
        <w:widowControl w:val="0"/>
        <w:spacing w:after="120" w:line="240" w:lineRule="auto"/>
        <w:jc w:val="both"/>
        <w:rPr>
          <w:noProof/>
          <w:sz w:val="20"/>
        </w:rPr>
      </w:pPr>
      <w:r>
        <w:rPr>
          <w:noProof/>
          <w:sz w:val="20"/>
        </w:rPr>
        <w:t>Public authorities help ensure accountability of duty-holders by monitoring and promoting compliance and by taking credible follow-up action (i.e. enforcement) when breaches occur or liabilities arise. Compliance mon</w:t>
      </w:r>
      <w:r>
        <w:rPr>
          <w:noProof/>
          <w:sz w:val="20"/>
        </w:rPr>
        <w:t>itoring can be done both on the initiative of authorities themselves and in response to citizen complaints. It can involve using various kinds of checks, including inspections for permitted activities, surveillance for possible illegal activities, investig</w:t>
      </w:r>
      <w:r>
        <w:rPr>
          <w:noProof/>
          <w:sz w:val="20"/>
        </w:rPr>
        <w:t>ations for crimes and audits for systemic weaknesses. Similarly, there is a range of means to promote compliance, including awareness-raising campaigns and use of guidance documents and online information tools. Follow-up to breaches and liabilities can in</w:t>
      </w:r>
      <w:r>
        <w:rPr>
          <w:noProof/>
          <w:sz w:val="20"/>
        </w:rPr>
        <w:t>clude administrative action (e.g. withdrawal of a permit), use of criminal law</w:t>
      </w:r>
      <w:r>
        <w:rPr>
          <w:noProof/>
          <w:sz w:val="20"/>
          <w:vertAlign w:val="superscript"/>
        </w:rPr>
        <w:footnoteReference w:id="109"/>
      </w:r>
      <w:r>
        <w:rPr>
          <w:noProof/>
          <w:sz w:val="20"/>
        </w:rPr>
        <w:t xml:space="preserve"> and action under liability law (e.g. required remediation after damage from an accident using liability rules) and contractual law (e.g. measures to require compliance with nat</w:t>
      </w:r>
      <w:r>
        <w:rPr>
          <w:noProof/>
          <w:sz w:val="20"/>
        </w:rPr>
        <w:t xml:space="preserve">ure conservation contracts). Taken together, all of these interventions represent "compliance assurance" as shown in Figure 14.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22C37">
        <w:tc>
          <w:tcPr>
            <w:tcW w:w="4909" w:type="dxa"/>
          </w:tcPr>
          <w:p w:rsidR="00A22C37" w:rsidRDefault="000B1CC4">
            <w:pPr>
              <w:widowControl w:val="0"/>
              <w:spacing w:after="120"/>
              <w:rPr>
                <w:b/>
                <w:bCs/>
                <w:noProof/>
                <w:color w:val="1F497D" w:themeColor="text2"/>
                <w:sz w:val="20"/>
              </w:rPr>
            </w:pPr>
            <w:r>
              <w:rPr>
                <w:b/>
                <w:bCs/>
                <w:noProof/>
                <w:color w:val="1F497D" w:themeColor="text2"/>
                <w:sz w:val="20"/>
              </w:rPr>
              <w:t>Figure 14: Environmental compliance assurance</w:t>
            </w:r>
          </w:p>
          <w:p w:rsidR="00A22C37" w:rsidRDefault="000B1CC4">
            <w:pPr>
              <w:widowControl w:val="0"/>
              <w:spacing w:after="120"/>
              <w:rPr>
                <w:b/>
                <w:bCs/>
                <w:noProof/>
                <w:color w:val="1F497D" w:themeColor="text2"/>
              </w:rPr>
            </w:pPr>
            <w:r>
              <w:rPr>
                <w:noProof/>
                <w:lang w:eastAsia="en-GB"/>
              </w:rPr>
              <w:drawing>
                <wp:inline distT="0" distB="0" distL="0" distR="0">
                  <wp:extent cx="2980055" cy="210566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A22C37" w:rsidRDefault="000B1CC4">
      <w:pPr>
        <w:widowControl w:val="0"/>
        <w:spacing w:after="120" w:line="240" w:lineRule="auto"/>
        <w:jc w:val="both"/>
        <w:rPr>
          <w:noProof/>
          <w:sz w:val="20"/>
        </w:rPr>
      </w:pPr>
      <w:r>
        <w:rPr>
          <w:noProof/>
          <w:sz w:val="20"/>
        </w:rPr>
        <w:t>Best practice has moved towards a risk-based approach at strategic and operati</w:t>
      </w:r>
      <w:r>
        <w:rPr>
          <w:noProof/>
          <w:sz w:val="20"/>
        </w:rPr>
        <w:t>onal levels in which the best mix of compliance monitoring, promotion and enforcement is directed at the most serious problems. Best practice also recognises the need for coordination and cooperation between different authorities to ensure consistency, avo</w:t>
      </w:r>
      <w:r>
        <w:rPr>
          <w:noProof/>
          <w:sz w:val="20"/>
        </w:rPr>
        <w:t>id duplication of work and reduce administrative burden. Active participation in established pan-European networks of inspectors, police, prosecutors and judges, such as</w:t>
      </w:r>
      <w:r>
        <w:rPr>
          <w:i/>
          <w:noProof/>
          <w:sz w:val="20"/>
        </w:rPr>
        <w:t xml:space="preserve"> IMPEL</w:t>
      </w:r>
      <w:r>
        <w:rPr>
          <w:i/>
          <w:noProof/>
          <w:sz w:val="20"/>
          <w:vertAlign w:val="superscript"/>
        </w:rPr>
        <w:footnoteReference w:id="110"/>
      </w:r>
      <w:r>
        <w:rPr>
          <w:i/>
          <w:noProof/>
          <w:sz w:val="20"/>
        </w:rPr>
        <w:t>, EUFJE</w:t>
      </w:r>
      <w:r>
        <w:rPr>
          <w:i/>
          <w:noProof/>
          <w:sz w:val="20"/>
          <w:vertAlign w:val="superscript"/>
        </w:rPr>
        <w:footnoteReference w:id="111"/>
      </w:r>
      <w:r>
        <w:rPr>
          <w:i/>
          <w:noProof/>
          <w:sz w:val="20"/>
        </w:rPr>
        <w:t>, ENPE</w:t>
      </w:r>
      <w:r>
        <w:rPr>
          <w:i/>
          <w:noProof/>
          <w:sz w:val="20"/>
          <w:vertAlign w:val="superscript"/>
        </w:rPr>
        <w:footnoteReference w:id="112"/>
      </w:r>
      <w:r>
        <w:rPr>
          <w:i/>
          <w:noProof/>
          <w:sz w:val="20"/>
        </w:rPr>
        <w:t xml:space="preserve"> and EnviCrimeNet</w:t>
      </w:r>
      <w:r>
        <w:rPr>
          <w:i/>
          <w:noProof/>
          <w:sz w:val="20"/>
          <w:vertAlign w:val="superscript"/>
        </w:rPr>
        <w:footnoteReference w:id="113"/>
      </w:r>
      <w:r>
        <w:rPr>
          <w:noProof/>
          <w:sz w:val="20"/>
        </w:rPr>
        <w:t>, is a valuable tool for sharing experience and</w:t>
      </w:r>
      <w:r>
        <w:rPr>
          <w:noProof/>
          <w:sz w:val="20"/>
        </w:rPr>
        <w:t xml:space="preserve"> good practices.</w:t>
      </w:r>
    </w:p>
    <w:p w:rsidR="00A22C37" w:rsidRDefault="000B1CC4">
      <w:pPr>
        <w:widowControl w:val="0"/>
        <w:spacing w:after="120" w:line="240" w:lineRule="auto"/>
        <w:jc w:val="both"/>
        <w:rPr>
          <w:noProof/>
          <w:sz w:val="20"/>
        </w:rPr>
      </w:pPr>
      <w:r>
        <w:rPr>
          <w:noProof/>
          <w:sz w:val="20"/>
        </w:rPr>
        <w:t>Currently, there exist a number of sectoral obligations on inspections and the EU directive on environmental liability (ELD)</w:t>
      </w:r>
      <w:r>
        <w:rPr>
          <w:noProof/>
          <w:sz w:val="20"/>
          <w:vertAlign w:val="superscript"/>
        </w:rPr>
        <w:t xml:space="preserve"> </w:t>
      </w:r>
      <w:r>
        <w:rPr>
          <w:noProof/>
          <w:sz w:val="20"/>
          <w:vertAlign w:val="superscript"/>
        </w:rPr>
        <w:footnoteReference w:id="114"/>
      </w:r>
      <w:r>
        <w:rPr>
          <w:noProof/>
          <w:sz w:val="20"/>
        </w:rPr>
        <w:t xml:space="preserve"> provides a means of ensuring that the "polluter-pays principle" is applied when there are accidents and incident</w:t>
      </w:r>
      <w:r>
        <w:rPr>
          <w:noProof/>
          <w:sz w:val="20"/>
        </w:rPr>
        <w:t xml:space="preserve">s that harm the environment. There is also publically available information giving insights into existing strengths and weaknesses in each Member State. </w:t>
      </w:r>
    </w:p>
    <w:p w:rsidR="00A22C37" w:rsidRDefault="000B1CC4">
      <w:pPr>
        <w:widowControl w:val="0"/>
        <w:spacing w:after="120" w:line="240" w:lineRule="auto"/>
        <w:jc w:val="both"/>
        <w:rPr>
          <w:noProof/>
          <w:sz w:val="20"/>
        </w:rPr>
      </w:pPr>
      <w:r>
        <w:rPr>
          <w:noProof/>
          <w:sz w:val="20"/>
        </w:rPr>
        <w:t xml:space="preserve">For each Member State, the following were therefore reviewed: use of risk-based compliance assurance; </w:t>
      </w:r>
      <w:r>
        <w:rPr>
          <w:noProof/>
          <w:sz w:val="20"/>
        </w:rPr>
        <w:t>coordination and co-operation between authorities and participation in pan-European networks; and key aspects of implementation of the ELD based on the Commission's recently published implementation report and REFIT evaluation</w:t>
      </w:r>
      <w:r>
        <w:rPr>
          <w:noProof/>
          <w:sz w:val="20"/>
          <w:vertAlign w:val="superscript"/>
        </w:rPr>
        <w:footnoteReference w:id="115"/>
      </w:r>
      <w:r>
        <w:rPr>
          <w:noProof/>
          <w:sz w:val="20"/>
        </w:rPr>
        <w:t xml:space="preserve"> . </w:t>
      </w:r>
    </w:p>
    <w:p w:rsidR="00A22C37" w:rsidRDefault="000B1CC4">
      <w:pPr>
        <w:widowControl w:val="0"/>
        <w:spacing w:before="240" w:line="240" w:lineRule="auto"/>
        <w:jc w:val="both"/>
        <w:rPr>
          <w:rFonts w:cs="Times New Roman"/>
          <w:noProof/>
          <w:sz w:val="20"/>
          <w:szCs w:val="20"/>
        </w:rPr>
      </w:pPr>
      <w:r>
        <w:rPr>
          <w:rFonts w:cs="Times New Roman"/>
          <w:noProof/>
          <w:sz w:val="20"/>
          <w:szCs w:val="20"/>
        </w:rPr>
        <w:t>Romania has taken some si</w:t>
      </w:r>
      <w:r>
        <w:rPr>
          <w:rFonts w:cs="Times New Roman"/>
          <w:noProof/>
          <w:sz w:val="20"/>
          <w:szCs w:val="20"/>
        </w:rPr>
        <w:t>gnificant steps to underpin risk-based compliance assurance:</w:t>
      </w:r>
    </w:p>
    <w:p w:rsidR="00A22C37" w:rsidRDefault="000B1CC4">
      <w:pPr>
        <w:widowControl w:val="0"/>
        <w:numPr>
          <w:ilvl w:val="0"/>
          <w:numId w:val="29"/>
        </w:numPr>
        <w:spacing w:before="240" w:after="120" w:line="240" w:lineRule="auto"/>
        <w:contextualSpacing/>
        <w:jc w:val="both"/>
        <w:rPr>
          <w:rFonts w:cs="Times New Roman"/>
          <w:noProof/>
          <w:sz w:val="20"/>
          <w:szCs w:val="20"/>
        </w:rPr>
      </w:pPr>
      <w:r>
        <w:rPr>
          <w:rFonts w:cs="Times New Roman"/>
          <w:noProof/>
          <w:sz w:val="20"/>
          <w:szCs w:val="20"/>
        </w:rPr>
        <w:t>The main pillar, the National Environmental Guard (NEG) has ISO 9001 and ISO 14001 certification.</w:t>
      </w:r>
    </w:p>
    <w:p w:rsidR="00A22C37" w:rsidRDefault="000B1CC4">
      <w:pPr>
        <w:widowControl w:val="0"/>
        <w:numPr>
          <w:ilvl w:val="0"/>
          <w:numId w:val="29"/>
        </w:numPr>
        <w:spacing w:before="240" w:after="120" w:line="240" w:lineRule="auto"/>
        <w:contextualSpacing/>
        <w:jc w:val="both"/>
        <w:rPr>
          <w:rFonts w:cs="Times New Roman"/>
          <w:noProof/>
          <w:sz w:val="20"/>
          <w:szCs w:val="20"/>
        </w:rPr>
      </w:pPr>
      <w:r>
        <w:rPr>
          <w:rFonts w:cs="Times New Roman"/>
          <w:noProof/>
          <w:sz w:val="20"/>
          <w:szCs w:val="20"/>
        </w:rPr>
        <w:t>NEG has established a risk-based approach to environmental inspections</w:t>
      </w:r>
      <w:r>
        <w:rPr>
          <w:noProof/>
          <w:sz w:val="20"/>
          <w:vertAlign w:val="superscript"/>
        </w:rPr>
        <w:footnoteReference w:id="116"/>
      </w:r>
      <w:r>
        <w:rPr>
          <w:rFonts w:cs="Times New Roman"/>
          <w:noProof/>
          <w:sz w:val="20"/>
          <w:szCs w:val="20"/>
        </w:rPr>
        <w:t>.</w:t>
      </w:r>
    </w:p>
    <w:p w:rsidR="00A22C37" w:rsidRDefault="000B1CC4">
      <w:pPr>
        <w:widowControl w:val="0"/>
        <w:spacing w:before="240" w:line="240" w:lineRule="auto"/>
        <w:jc w:val="both"/>
        <w:rPr>
          <w:rFonts w:cs="Times New Roman"/>
          <w:noProof/>
          <w:sz w:val="20"/>
          <w:szCs w:val="20"/>
        </w:rPr>
      </w:pPr>
      <w:r>
        <w:rPr>
          <w:rFonts w:cs="Times New Roman"/>
          <w:noProof/>
          <w:sz w:val="20"/>
          <w:szCs w:val="20"/>
        </w:rPr>
        <w:t xml:space="preserve">The NEG coordinates a </w:t>
      </w:r>
      <w:r>
        <w:rPr>
          <w:rFonts w:cs="Times New Roman"/>
          <w:noProof/>
          <w:sz w:val="20"/>
          <w:szCs w:val="20"/>
        </w:rPr>
        <w:t xml:space="preserve">network of environmental volunteers (Environmental Volunteer Corps) which consists of about 1000 registered volunteers and is an innovative tool for citizens' involvement in compliance assurance work. The main functions of the Corps relate to notification </w:t>
      </w:r>
      <w:r>
        <w:rPr>
          <w:rFonts w:cs="Times New Roman"/>
          <w:noProof/>
          <w:sz w:val="20"/>
          <w:szCs w:val="20"/>
        </w:rPr>
        <w:t>of identified breaches of environmental law to the competent authorities, awareness raising, participation in compliance assurance activities carried-out by the NEG and provision of specific technical expertise.</w:t>
      </w:r>
    </w:p>
    <w:p w:rsidR="00A22C37" w:rsidRDefault="000B1CC4">
      <w:pPr>
        <w:widowControl w:val="0"/>
        <w:spacing w:before="240" w:line="240" w:lineRule="auto"/>
        <w:jc w:val="both"/>
        <w:rPr>
          <w:rFonts w:cs="Times New Roman"/>
          <w:noProof/>
          <w:sz w:val="20"/>
          <w:szCs w:val="20"/>
        </w:rPr>
      </w:pPr>
      <w:r>
        <w:rPr>
          <w:rFonts w:cs="Times New Roman"/>
          <w:noProof/>
          <w:sz w:val="20"/>
          <w:szCs w:val="20"/>
        </w:rPr>
        <w:t>Up-to-date information would is lacking in r</w:t>
      </w:r>
      <w:r>
        <w:rPr>
          <w:rFonts w:cs="Times New Roman"/>
          <w:noProof/>
          <w:sz w:val="20"/>
          <w:szCs w:val="20"/>
        </w:rPr>
        <w:t>elation to the following:</w:t>
      </w:r>
    </w:p>
    <w:p w:rsidR="00A22C37" w:rsidRDefault="000B1CC4">
      <w:pPr>
        <w:widowControl w:val="0"/>
        <w:numPr>
          <w:ilvl w:val="0"/>
          <w:numId w:val="29"/>
        </w:numPr>
        <w:spacing w:before="240" w:after="120" w:line="240" w:lineRule="auto"/>
        <w:contextualSpacing/>
        <w:jc w:val="both"/>
        <w:rPr>
          <w:rFonts w:cs="Times New Roman"/>
          <w:noProof/>
          <w:sz w:val="20"/>
          <w:szCs w:val="20"/>
        </w:rPr>
      </w:pPr>
      <w:r>
        <w:rPr>
          <w:rFonts w:cs="Times New Roman"/>
          <w:noProof/>
          <w:sz w:val="20"/>
          <w:szCs w:val="20"/>
        </w:rPr>
        <w:t>data collection arrangements to track the use and effectiveness of different compliance assurance interventions;</w:t>
      </w:r>
    </w:p>
    <w:p w:rsidR="00A22C37" w:rsidRDefault="000B1CC4">
      <w:pPr>
        <w:widowControl w:val="0"/>
        <w:numPr>
          <w:ilvl w:val="0"/>
          <w:numId w:val="29"/>
        </w:numPr>
        <w:spacing w:before="240" w:after="120" w:line="240" w:lineRule="auto"/>
        <w:contextualSpacing/>
        <w:jc w:val="both"/>
        <w:rPr>
          <w:rFonts w:cs="Times New Roman"/>
          <w:noProof/>
          <w:sz w:val="20"/>
          <w:szCs w:val="20"/>
        </w:rPr>
      </w:pPr>
      <w:r>
        <w:rPr>
          <w:rFonts w:cs="Times New Roman"/>
          <w:noProof/>
          <w:sz w:val="20"/>
          <w:szCs w:val="20"/>
        </w:rPr>
        <w:t>the extent to which risk-based methods are used to direct compliance assurance both at the strategic level and in spe</w:t>
      </w:r>
      <w:r>
        <w:rPr>
          <w:rFonts w:cs="Times New Roman"/>
          <w:noProof/>
          <w:sz w:val="20"/>
          <w:szCs w:val="20"/>
        </w:rPr>
        <w:t>cific problem-areas highlighted elsewhere in this Country Report, i.e. non-compliant landfills, the threats to protected habitat types and species, poor air quality, poor drinking water and the pressures on water quality from diffuse water pollution and in</w:t>
      </w:r>
      <w:r>
        <w:rPr>
          <w:rFonts w:cs="Times New Roman"/>
          <w:noProof/>
          <w:sz w:val="20"/>
          <w:szCs w:val="20"/>
        </w:rPr>
        <w:t>adequate waste-water treatment;</w:t>
      </w:r>
    </w:p>
    <w:p w:rsidR="00A22C37" w:rsidRDefault="000B1CC4">
      <w:pPr>
        <w:widowControl w:val="0"/>
        <w:numPr>
          <w:ilvl w:val="0"/>
          <w:numId w:val="29"/>
        </w:numPr>
        <w:spacing w:before="240" w:after="120" w:line="240" w:lineRule="auto"/>
        <w:contextualSpacing/>
        <w:jc w:val="both"/>
        <w:rPr>
          <w:rFonts w:cs="Times New Roman"/>
          <w:noProof/>
          <w:sz w:val="20"/>
          <w:szCs w:val="20"/>
        </w:rPr>
      </w:pPr>
      <w:r>
        <w:rPr>
          <w:rFonts w:cs="Times New Roman"/>
          <w:noProof/>
          <w:sz w:val="20"/>
          <w:szCs w:val="20"/>
        </w:rPr>
        <w:t>tools for ensuring cooperation and coordination between NEG and other relevant authorities, such as memoranda of understanding and protocols, are in place. However, evidence indicates that the potential for data collection a</w:t>
      </w:r>
      <w:r>
        <w:rPr>
          <w:rFonts w:cs="Times New Roman"/>
          <w:noProof/>
          <w:sz w:val="20"/>
          <w:szCs w:val="20"/>
        </w:rPr>
        <w:t>nd sharing and joint compliance monitoring and enforcement actions is not sufficiently used</w:t>
      </w:r>
      <w:r>
        <w:rPr>
          <w:noProof/>
          <w:sz w:val="20"/>
          <w:vertAlign w:val="superscript"/>
        </w:rPr>
        <w:footnoteReference w:id="117"/>
      </w:r>
      <w:r>
        <w:rPr>
          <w:rFonts w:cs="Times New Roman"/>
          <w:noProof/>
          <w:sz w:val="20"/>
          <w:szCs w:val="20"/>
        </w:rPr>
        <w:t>. Romania is very active within IMPEL. It was the first Member State to have been the host of two Impel Review Initiative (IRI) projects and it has hosted the first</w:t>
      </w:r>
      <w:r>
        <w:rPr>
          <w:rFonts w:cs="Times New Roman"/>
          <w:noProof/>
          <w:sz w:val="20"/>
          <w:szCs w:val="20"/>
        </w:rPr>
        <w:t xml:space="preserve"> IMPEL IRI on nature protection inspections. </w:t>
      </w:r>
    </w:p>
    <w:p w:rsidR="00A22C37" w:rsidRDefault="000B1CC4">
      <w:pPr>
        <w:widowControl w:val="0"/>
        <w:spacing w:after="120" w:line="240" w:lineRule="auto"/>
        <w:jc w:val="both"/>
        <w:rPr>
          <w:noProof/>
          <w:sz w:val="20"/>
        </w:rPr>
      </w:pPr>
      <w:r>
        <w:rPr>
          <w:noProof/>
          <w:sz w:val="20"/>
        </w:rPr>
        <w:t>For the period 2007-2013, Romania reported four cases of environmental damage handled under the Environmental Liability Directive. Romania shows an interest in implementing the Directive effectively, as demonst</w:t>
      </w:r>
      <w:r>
        <w:rPr>
          <w:noProof/>
          <w:sz w:val="20"/>
        </w:rPr>
        <w:t xml:space="preserve">rated by a pioneering role in setting up a training programme. However, more support measures are needed. There is no mandatory financial security (to pay for remediation where an operator cannot) and there is insufficient insurance on offer. </w:t>
      </w:r>
    </w:p>
    <w:p w:rsidR="00A22C37" w:rsidRDefault="000B1CC4">
      <w:pPr>
        <w:widowControl w:val="0"/>
        <w:spacing w:after="120" w:line="240" w:lineRule="auto"/>
        <w:jc w:val="both"/>
        <w:rPr>
          <w:bCs/>
          <w:noProof/>
          <w:color w:val="1F497D" w:themeColor="text2"/>
        </w:rPr>
      </w:pPr>
      <w:r>
        <w:rPr>
          <w:bCs/>
          <w:noProof/>
          <w:color w:val="1F497D" w:themeColor="text2"/>
        </w:rPr>
        <w:t>Suggested ac</w:t>
      </w:r>
      <w:r>
        <w:rPr>
          <w:bCs/>
          <w:noProof/>
          <w:color w:val="1F497D" w:themeColor="text2"/>
        </w:rPr>
        <w:t>tion</w:t>
      </w:r>
    </w:p>
    <w:p w:rsidR="00A22C37" w:rsidRDefault="000B1CC4">
      <w:pPr>
        <w:pStyle w:val="NoSpacing"/>
        <w:rPr>
          <w:noProof/>
        </w:rPr>
      </w:pPr>
      <w:r>
        <w:rPr>
          <w:noProof/>
        </w:rPr>
        <w:t>Improve transparency on the organisation and functioning of compliance assurance and on how significant risks are addressed, as outlined above.</w:t>
      </w:r>
    </w:p>
    <w:p w:rsidR="00A22C37" w:rsidRDefault="000B1CC4">
      <w:pPr>
        <w:pStyle w:val="NoSpacing"/>
        <w:rPr>
          <w:noProof/>
        </w:rPr>
      </w:pPr>
      <w:r>
        <w:rPr>
          <w:noProof/>
        </w:rPr>
        <w:t>Encourage greater participation of competent authorities in the activities of ENPE, EUFJE and EnviCrimeNet.</w:t>
      </w:r>
      <w:r>
        <w:rPr>
          <w:noProof/>
        </w:rPr>
        <w:t xml:space="preserve"> </w:t>
      </w:r>
    </w:p>
    <w:p w:rsidR="00A22C37" w:rsidRDefault="000B1CC4">
      <w:pPr>
        <w:pStyle w:val="NoSpacing"/>
        <w:rPr>
          <w:noProof/>
          <w:szCs w:val="20"/>
        </w:rPr>
      </w:pPr>
      <w:r>
        <w:rPr>
          <w:noProof/>
          <w:szCs w:val="20"/>
        </w:rPr>
        <w:t>Step up efforts in the implementation of the Environmental Liability Directive (ELD) with proactive initiatives, in particular by setting up a national register of ELD incidents and drafting national guidance. It should moreover take further steps to ens</w:t>
      </w:r>
      <w:r>
        <w:rPr>
          <w:noProof/>
          <w:szCs w:val="20"/>
        </w:rPr>
        <w:t>ure an effective system of financial security for environmental liabilities (so that operators not only have insurance cover available to them but actually take it up).</w:t>
      </w:r>
    </w:p>
    <w:p w:rsidR="00A22C37" w:rsidRDefault="00A22C37">
      <w:pPr>
        <w:widowControl w:val="0"/>
        <w:spacing w:after="120" w:line="240" w:lineRule="auto"/>
        <w:jc w:val="both"/>
        <w:outlineLvl w:val="1"/>
        <w:rPr>
          <w:rFonts w:eastAsia="Times New Roman"/>
          <w:b/>
          <w:noProof/>
          <w:color w:val="1F497D" w:themeColor="text2"/>
          <w:sz w:val="24"/>
          <w:lang w:eastAsia="en-GB"/>
        </w:rPr>
      </w:pPr>
      <w:bookmarkStart w:id="54" w:name="_Toc439678163"/>
      <w:bookmarkStart w:id="55" w:name="_Toc454457667"/>
      <w:bookmarkStart w:id="56" w:name="_Toc469484799"/>
    </w:p>
    <w:p w:rsidR="00A22C37" w:rsidRDefault="000B1CC4">
      <w:pPr>
        <w:widowControl w:val="0"/>
        <w:spacing w:after="120" w:line="240" w:lineRule="auto"/>
        <w:jc w:val="both"/>
        <w:outlineLvl w:val="1"/>
        <w:rPr>
          <w:rFonts w:eastAsia="Times New Roman"/>
          <w:b/>
          <w:noProof/>
          <w:color w:val="1F497D" w:themeColor="text2"/>
          <w:sz w:val="24"/>
          <w:lang w:eastAsia="en-GB"/>
        </w:rPr>
      </w:pPr>
      <w:r>
        <w:rPr>
          <w:rFonts w:eastAsia="Times New Roman"/>
          <w:b/>
          <w:noProof/>
          <w:color w:val="1F497D" w:themeColor="text2"/>
          <w:sz w:val="24"/>
          <w:lang w:eastAsia="en-GB"/>
        </w:rPr>
        <w:t>Public participation and access to justice</w:t>
      </w:r>
      <w:bookmarkEnd w:id="54"/>
      <w:bookmarkEnd w:id="55"/>
      <w:bookmarkEnd w:id="56"/>
    </w:p>
    <w:p w:rsidR="00A22C37" w:rsidRDefault="000B1CC4">
      <w:pPr>
        <w:widowControl w:val="0"/>
        <w:shd w:val="clear" w:color="auto" w:fill="4F81BD" w:themeFill="accent1"/>
        <w:spacing w:after="120" w:line="240" w:lineRule="auto"/>
        <w:jc w:val="both"/>
        <w:rPr>
          <w:noProof/>
          <w:color w:val="FFFFFF" w:themeColor="background1"/>
          <w:sz w:val="20"/>
        </w:rPr>
      </w:pPr>
      <w:r>
        <w:rPr>
          <w:noProof/>
          <w:color w:val="FFFFFF" w:themeColor="background1"/>
          <w:sz w:val="20"/>
        </w:rPr>
        <w:t xml:space="preserve">The Aarhus Convention, related EU </w:t>
      </w:r>
      <w:r>
        <w:rPr>
          <w:noProof/>
          <w:color w:val="FFFFFF" w:themeColor="background1"/>
          <w:sz w:val="20"/>
        </w:rPr>
        <w:t>legislation on public participation and environmental impact assessment, and the case-law of the Court of Justice require that citizens and their associations should be able to participate in decision-making on projects and plans and should enjoy effective</w:t>
      </w:r>
      <w:r>
        <w:rPr>
          <w:noProof/>
          <w:color w:val="FFFFFF" w:themeColor="background1"/>
          <w:sz w:val="20"/>
        </w:rPr>
        <w:t xml:space="preserve"> environmental access to justice.</w:t>
      </w:r>
    </w:p>
    <w:p w:rsidR="00A22C37" w:rsidRDefault="000B1CC4">
      <w:pPr>
        <w:widowControl w:val="0"/>
        <w:spacing w:after="120" w:line="240" w:lineRule="auto"/>
        <w:jc w:val="both"/>
        <w:rPr>
          <w:noProof/>
          <w:sz w:val="20"/>
        </w:rPr>
      </w:pPr>
      <w:r>
        <w:rPr>
          <w:noProof/>
          <w:color w:val="000000" w:themeColor="text1"/>
          <w:sz w:val="20"/>
        </w:rPr>
        <w:t>Citizens can more effectively protect the environment if they can rely on the three "pillars" of the</w:t>
      </w:r>
      <w:r>
        <w:rPr>
          <w:noProof/>
          <w:sz w:val="20"/>
        </w:rPr>
        <w:t xml:space="preserve"> Convention on Access to Information, Public Participation in Decision-making and Access to Justice in Environmental Matte</w:t>
      </w:r>
      <w:r>
        <w:rPr>
          <w:noProof/>
          <w:sz w:val="20"/>
        </w:rPr>
        <w:t>rs ("the</w:t>
      </w:r>
      <w:r>
        <w:rPr>
          <w:b/>
          <w:noProof/>
          <w:sz w:val="20"/>
        </w:rPr>
        <w:t xml:space="preserve"> </w:t>
      </w:r>
      <w:r>
        <w:rPr>
          <w:noProof/>
          <w:color w:val="000000" w:themeColor="text1"/>
          <w:sz w:val="20"/>
        </w:rPr>
        <w:t xml:space="preserve">Aarhus Convention"). </w:t>
      </w:r>
      <w:r>
        <w:rPr>
          <w:noProof/>
          <w:sz w:val="20"/>
        </w:rPr>
        <w:t>Public participation in the administrative decision making process is an important element to ensure that the authority takes its decision on the best possible basis. The Commission intends to examine compliance with mandatory</w:t>
      </w:r>
      <w:r>
        <w:rPr>
          <w:noProof/>
          <w:sz w:val="20"/>
        </w:rPr>
        <w:t xml:space="preserve"> public participation requirements more systematically at a later stage.</w:t>
      </w:r>
    </w:p>
    <w:p w:rsidR="00A22C37" w:rsidRDefault="000B1CC4">
      <w:pPr>
        <w:widowControl w:val="0"/>
        <w:spacing w:after="120" w:line="240" w:lineRule="auto"/>
        <w:jc w:val="both"/>
        <w:rPr>
          <w:noProof/>
          <w:sz w:val="20"/>
        </w:rPr>
      </w:pPr>
      <w:r>
        <w:rPr>
          <w:noProof/>
          <w:sz w:val="20"/>
        </w:rPr>
        <w:t>Access to justice in environmental matters is a set of guarantees that allows citizens and their associations to challenge acts or omissions of the public administration before a cour</w:t>
      </w:r>
      <w:r>
        <w:rPr>
          <w:noProof/>
          <w:sz w:val="20"/>
        </w:rPr>
        <w:t>t. It is a tool for decentralised implementation of EU environmental law.</w:t>
      </w:r>
    </w:p>
    <w:p w:rsidR="00A22C37" w:rsidRDefault="000B1CC4">
      <w:pPr>
        <w:widowControl w:val="0"/>
        <w:spacing w:after="120" w:line="240" w:lineRule="auto"/>
        <w:jc w:val="both"/>
        <w:rPr>
          <w:noProof/>
          <w:sz w:val="20"/>
        </w:rPr>
      </w:pPr>
      <w:r>
        <w:rPr>
          <w:noProof/>
          <w:sz w:val="20"/>
        </w:rPr>
        <w:t>For each Member State, two crucial elements for effective access to justice have been systematically reviewed: the legal standing for the public, including NGOs and the extent to whi</w:t>
      </w:r>
      <w:r>
        <w:rPr>
          <w:noProof/>
          <w:sz w:val="20"/>
        </w:rPr>
        <w:t>ch prohibitive costs represent a barrier.</w:t>
      </w:r>
    </w:p>
    <w:p w:rsidR="00A22C37" w:rsidRDefault="000B1CC4">
      <w:pPr>
        <w:widowControl w:val="0"/>
        <w:spacing w:after="120" w:line="240" w:lineRule="auto"/>
        <w:jc w:val="both"/>
        <w:rPr>
          <w:noProof/>
          <w:sz w:val="20"/>
        </w:rPr>
      </w:pPr>
      <w:r>
        <w:rPr>
          <w:noProof/>
          <w:sz w:val="20"/>
        </w:rPr>
        <w:t>The Romanian legal review system, including court actions in environmental matters, is clear and predictable. The legislation grants broad standing to individuals and groups, including NGOs, by requiring only a leg</w:t>
      </w:r>
      <w:r>
        <w:rPr>
          <w:noProof/>
          <w:sz w:val="20"/>
        </w:rPr>
        <w:t>itimate public interest in order to take an environmental case to the court. However, one shortcoming seems to be the lack of timely judicial proceedings, an issue which concerns, however, all areas of law. This problem could only be tackled with a general</w:t>
      </w:r>
      <w:r>
        <w:rPr>
          <w:noProof/>
          <w:sz w:val="20"/>
        </w:rPr>
        <w:t xml:space="preserve"> reform of the judicial system, making it in particular more efficient. However, the costs of judicial proceedings are considered as prohibitively high. In Romania no legal aid is available for environmental cases</w:t>
      </w:r>
      <w:r>
        <w:rPr>
          <w:noProof/>
          <w:sz w:val="20"/>
          <w:vertAlign w:val="superscript"/>
        </w:rPr>
        <w:footnoteReference w:id="118"/>
      </w:r>
      <w:r>
        <w:rPr>
          <w:noProof/>
          <w:sz w:val="20"/>
        </w:rPr>
        <w:t xml:space="preserve">. </w:t>
      </w:r>
    </w:p>
    <w:p w:rsidR="00A22C37" w:rsidRDefault="000B1CC4">
      <w:pPr>
        <w:widowControl w:val="0"/>
        <w:spacing w:after="120" w:line="240" w:lineRule="auto"/>
        <w:jc w:val="both"/>
        <w:rPr>
          <w:noProof/>
          <w:sz w:val="20"/>
        </w:rPr>
      </w:pPr>
      <w:r>
        <w:rPr>
          <w:bCs/>
          <w:noProof/>
          <w:color w:val="1F497D" w:themeColor="text2"/>
        </w:rPr>
        <w:t>Suggested action</w:t>
      </w:r>
    </w:p>
    <w:p w:rsidR="00A22C37" w:rsidRDefault="000B1CC4">
      <w:pPr>
        <w:pStyle w:val="NoSpacing"/>
        <w:spacing w:after="240"/>
        <w:rPr>
          <w:noProof/>
        </w:rPr>
      </w:pPr>
      <w:r>
        <w:rPr>
          <w:noProof/>
        </w:rPr>
        <w:t xml:space="preserve">Take the necessary </w:t>
      </w:r>
      <w:r>
        <w:rPr>
          <w:noProof/>
        </w:rPr>
        <w:t>measures to ensure that the costs of legal challenges involving EU environmental law are not prohibitively expensive, and in line with the requirements of EU law as</w:t>
      </w:r>
      <w:bookmarkStart w:id="57" w:name="_Toc439678165"/>
      <w:r>
        <w:rPr>
          <w:noProof/>
        </w:rPr>
        <w:t xml:space="preserve"> well as the Aarhus Convention.</w:t>
      </w:r>
    </w:p>
    <w:p w:rsidR="00A22C37" w:rsidRDefault="000B1CC4">
      <w:pPr>
        <w:widowControl w:val="0"/>
        <w:spacing w:after="120" w:line="240" w:lineRule="auto"/>
        <w:jc w:val="both"/>
        <w:outlineLvl w:val="1"/>
        <w:rPr>
          <w:rFonts w:eastAsia="Times New Roman"/>
          <w:b/>
          <w:noProof/>
          <w:color w:val="1F497D" w:themeColor="text2"/>
          <w:sz w:val="24"/>
          <w:lang w:eastAsia="en-GB"/>
        </w:rPr>
      </w:pPr>
      <w:bookmarkStart w:id="58" w:name="_Toc454457668"/>
      <w:bookmarkStart w:id="59" w:name="_Toc469484800"/>
      <w:bookmarkEnd w:id="57"/>
      <w:r>
        <w:rPr>
          <w:rFonts w:eastAsia="Times New Roman"/>
          <w:b/>
          <w:noProof/>
          <w:color w:val="1F497D" w:themeColor="text2"/>
          <w:sz w:val="24"/>
          <w:lang w:eastAsia="en-GB"/>
        </w:rPr>
        <w:t>Access to information, knowledge and evidence</w:t>
      </w:r>
      <w:bookmarkEnd w:id="58"/>
      <w:bookmarkEnd w:id="59"/>
    </w:p>
    <w:p w:rsidR="00A22C37" w:rsidRDefault="000B1CC4">
      <w:pPr>
        <w:widowControl w:val="0"/>
        <w:shd w:val="clear" w:color="auto" w:fill="4F81BD" w:themeFill="accent1"/>
        <w:spacing w:after="120" w:line="240" w:lineRule="auto"/>
        <w:jc w:val="both"/>
        <w:rPr>
          <w:noProof/>
          <w:color w:val="FFFFFF" w:themeColor="background1"/>
          <w:sz w:val="20"/>
        </w:rPr>
      </w:pPr>
      <w:r>
        <w:rPr>
          <w:noProof/>
          <w:color w:val="FFFFFF" w:themeColor="background1"/>
          <w:sz w:val="20"/>
        </w:rPr>
        <w:t>The Aarhus Con</w:t>
      </w:r>
      <w:r>
        <w:rPr>
          <w:noProof/>
          <w:color w:val="FFFFFF" w:themeColor="background1"/>
          <w:sz w:val="20"/>
        </w:rPr>
        <w:t>vention and related EU legislation on access to information and the sharing of spatial data require that the public has access to clear information on the environment, including on how Union environmental law is being implemented.</w:t>
      </w:r>
    </w:p>
    <w:p w:rsidR="00A22C37" w:rsidRDefault="000B1CC4">
      <w:pPr>
        <w:widowControl w:val="0"/>
        <w:spacing w:after="120" w:line="240" w:lineRule="auto"/>
        <w:jc w:val="both"/>
        <w:rPr>
          <w:noProof/>
          <w:sz w:val="20"/>
        </w:rPr>
      </w:pPr>
      <w:r>
        <w:rPr>
          <w:noProof/>
          <w:sz w:val="20"/>
        </w:rPr>
        <w:t>It is of crucial importan</w:t>
      </w:r>
      <w:r>
        <w:rPr>
          <w:noProof/>
          <w:sz w:val="20"/>
        </w:rPr>
        <w:t>ce to public authorities, the public and business that environmental information is shared in an efficient and effective way. This covers reporting by businesses and public authorities and active dissemination to the public, increasingly through electronic</w:t>
      </w:r>
      <w:r>
        <w:rPr>
          <w:noProof/>
          <w:sz w:val="20"/>
        </w:rPr>
        <w:t xml:space="preserve"> means.</w:t>
      </w:r>
    </w:p>
    <w:p w:rsidR="00A22C37" w:rsidRDefault="000B1CC4">
      <w:pPr>
        <w:widowControl w:val="0"/>
        <w:spacing w:after="120" w:line="240" w:lineRule="auto"/>
        <w:jc w:val="both"/>
        <w:rPr>
          <w:noProof/>
          <w:sz w:val="20"/>
        </w:rPr>
      </w:pPr>
      <w:r>
        <w:rPr>
          <w:noProof/>
          <w:sz w:val="20"/>
        </w:rPr>
        <w:t>The Aarhus Convention</w:t>
      </w:r>
      <w:r>
        <w:rPr>
          <w:noProof/>
          <w:sz w:val="20"/>
          <w:vertAlign w:val="superscript"/>
        </w:rPr>
        <w:footnoteReference w:id="119"/>
      </w:r>
      <w:r>
        <w:rPr>
          <w:noProof/>
          <w:sz w:val="20"/>
        </w:rPr>
        <w:t>, the Access to Environmental Information Directive</w:t>
      </w:r>
      <w:r>
        <w:rPr>
          <w:noProof/>
          <w:sz w:val="20"/>
          <w:vertAlign w:val="superscript"/>
        </w:rPr>
        <w:footnoteReference w:id="120"/>
      </w:r>
      <w:r>
        <w:rPr>
          <w:noProof/>
          <w:sz w:val="20"/>
        </w:rPr>
        <w:t xml:space="preserve"> and the INSPIRE Directive</w:t>
      </w:r>
      <w:r>
        <w:rPr>
          <w:noProof/>
          <w:sz w:val="20"/>
          <w:vertAlign w:val="superscript"/>
        </w:rPr>
        <w:footnoteReference w:id="121"/>
      </w:r>
      <w:r>
        <w:rPr>
          <w:noProof/>
          <w:sz w:val="20"/>
        </w:rPr>
        <w:t xml:space="preserve"> together create a legal foundation for the sharing of environmental information between public authorities and with the public. They also represen</w:t>
      </w:r>
      <w:r>
        <w:rPr>
          <w:noProof/>
          <w:sz w:val="20"/>
        </w:rPr>
        <w:t>t the green part of the ongoing EU e-Government Action Plan</w:t>
      </w:r>
      <w:r>
        <w:rPr>
          <w:noProof/>
          <w:sz w:val="20"/>
          <w:vertAlign w:val="superscript"/>
        </w:rPr>
        <w:footnoteReference w:id="122"/>
      </w:r>
      <w:r>
        <w:rPr>
          <w:noProof/>
          <w:sz w:val="20"/>
        </w:rPr>
        <w:t>. The first two instruments create obligations to provide information to the public, both on request and actively. The INSPIRE Directive is a pioneering instrument for electronic data-sharing betw</w:t>
      </w:r>
      <w:r>
        <w:rPr>
          <w:noProof/>
          <w:sz w:val="20"/>
        </w:rPr>
        <w:t xml:space="preserve">een public authorities who can vary in their data-sharing policies, e.g. on whether access to data is for free. The INSPIRE Directive sets up a geoportal which indicates the level of shared spatial data in each Member State – i.e. data related to specific </w:t>
      </w:r>
      <w:r>
        <w:rPr>
          <w:noProof/>
          <w:sz w:val="20"/>
        </w:rPr>
        <w:t xml:space="preserve">locations, such as air quality monitoring data. Amongst other benefits it facilitates the public authorities' reporting obligations. </w:t>
      </w:r>
    </w:p>
    <w:p w:rsidR="00A22C37" w:rsidRDefault="000B1CC4">
      <w:pPr>
        <w:widowControl w:val="0"/>
        <w:spacing w:after="120" w:line="240" w:lineRule="auto"/>
        <w:jc w:val="both"/>
        <w:rPr>
          <w:noProof/>
          <w:sz w:val="20"/>
        </w:rPr>
      </w:pPr>
      <w:r>
        <w:rPr>
          <w:noProof/>
          <w:sz w:val="20"/>
        </w:rPr>
        <w:t xml:space="preserve">For each Member State, the accessibility of environmental data (based on what the INSPIRE Directive envisages) as well as </w:t>
      </w:r>
      <w:r>
        <w:rPr>
          <w:noProof/>
          <w:sz w:val="20"/>
        </w:rPr>
        <w:t xml:space="preserve">data-sharing policies ('open data') have been systematically reviewed. </w:t>
      </w:r>
    </w:p>
    <w:p w:rsidR="00A22C37" w:rsidRDefault="000B1CC4">
      <w:pPr>
        <w:widowControl w:val="0"/>
        <w:spacing w:after="120" w:line="240" w:lineRule="auto"/>
        <w:jc w:val="both"/>
        <w:rPr>
          <w:rFonts w:cs="Times New Roman"/>
          <w:noProof/>
          <w:sz w:val="20"/>
          <w:szCs w:val="20"/>
        </w:rPr>
      </w:pPr>
      <w:r>
        <w:rPr>
          <w:rFonts w:cs="Times New Roman"/>
          <w:noProof/>
          <w:sz w:val="20"/>
          <w:szCs w:val="20"/>
        </w:rPr>
        <w:t xml:space="preserve">Romania's performance on the implementation of the INSPIRE Directive as enabling framework to actively disseminate environmental information to the public leaves room for improvement. </w:t>
      </w:r>
      <w:r>
        <w:rPr>
          <w:rFonts w:cs="Times New Roman"/>
          <w:noProof/>
          <w:sz w:val="20"/>
          <w:szCs w:val="20"/>
        </w:rPr>
        <w:t>Romania has indicated in the 3-yearly INSPIRE implementation report</w:t>
      </w:r>
      <w:r>
        <w:rPr>
          <w:noProof/>
          <w:sz w:val="20"/>
          <w:vertAlign w:val="superscript"/>
        </w:rPr>
        <w:footnoteReference w:id="123"/>
      </w:r>
      <w:r>
        <w:rPr>
          <w:noProof/>
          <w:sz w:val="20"/>
          <w:vertAlign w:val="superscript"/>
        </w:rPr>
        <w:t xml:space="preserve"> </w:t>
      </w:r>
      <w:r>
        <w:rPr>
          <w:rFonts w:cs="Times New Roman"/>
          <w:noProof/>
          <w:sz w:val="20"/>
          <w:szCs w:val="20"/>
        </w:rPr>
        <w:t>that the necessary data-sharing policies allowing access and use of spatial data by national administrations, other Member States' administrations and EU institutions without procedural obstacles are available but not yet fully implemented. Romanian public</w:t>
      </w:r>
      <w:r>
        <w:rPr>
          <w:rFonts w:cs="Times New Roman"/>
          <w:noProof/>
          <w:sz w:val="20"/>
          <w:szCs w:val="20"/>
        </w:rPr>
        <w:t xml:space="preserve"> authorities are obliged to share spatial data free of charge between public administrations. Lack of resources, knowledge and collaboration has delayed the implementation. A recent update of the legal framework for the National Infrastructure for Spatial </w:t>
      </w:r>
      <w:r>
        <w:rPr>
          <w:rFonts w:cs="Times New Roman"/>
          <w:noProof/>
          <w:sz w:val="20"/>
          <w:szCs w:val="20"/>
        </w:rPr>
        <w:t xml:space="preserve">Information, backed-up by the necessary funding for implementation should address the existing bottlenecks and implementation gaps.    </w:t>
      </w:r>
    </w:p>
    <w:p w:rsidR="00A22C37" w:rsidRDefault="000B1CC4">
      <w:pPr>
        <w:widowControl w:val="0"/>
        <w:spacing w:after="120" w:line="240" w:lineRule="auto"/>
        <w:jc w:val="both"/>
        <w:rPr>
          <w:rFonts w:cs="Times New Roman"/>
          <w:noProof/>
          <w:sz w:val="20"/>
          <w:szCs w:val="20"/>
        </w:rPr>
      </w:pPr>
      <w:r>
        <w:rPr>
          <w:rFonts w:cs="Times New Roman"/>
          <w:noProof/>
          <w:sz w:val="20"/>
          <w:szCs w:val="20"/>
        </w:rPr>
        <w:t>Assessments of monitoring reports</w:t>
      </w:r>
      <w:r>
        <w:rPr>
          <w:noProof/>
          <w:sz w:val="20"/>
          <w:vertAlign w:val="superscript"/>
        </w:rPr>
        <w:footnoteReference w:id="124"/>
      </w:r>
      <w:r>
        <w:rPr>
          <w:rFonts w:cs="Times New Roman"/>
          <w:noProof/>
          <w:sz w:val="20"/>
          <w:szCs w:val="20"/>
        </w:rPr>
        <w:t xml:space="preserve"> issued by Romania and the spatial information that Romania has published on the INSPI</w:t>
      </w:r>
      <w:r>
        <w:rPr>
          <w:rFonts w:cs="Times New Roman"/>
          <w:noProof/>
          <w:sz w:val="20"/>
          <w:szCs w:val="20"/>
        </w:rPr>
        <w:t>RE geoportal</w:t>
      </w:r>
      <w:r>
        <w:rPr>
          <w:noProof/>
          <w:sz w:val="20"/>
          <w:vertAlign w:val="superscript"/>
        </w:rPr>
        <w:footnoteReference w:id="125"/>
      </w:r>
      <w:r>
        <w:rPr>
          <w:noProof/>
          <w:sz w:val="20"/>
          <w:vertAlign w:val="superscript"/>
        </w:rPr>
        <w:t xml:space="preserve"> </w:t>
      </w:r>
      <w:r>
        <w:rPr>
          <w:rFonts w:cs="Times New Roman"/>
          <w:noProof/>
          <w:sz w:val="20"/>
          <w:szCs w:val="20"/>
        </w:rPr>
        <w:t>indicate that not all spatial information needed for the evaluation and implementation of EU environmental law has been made available or is accessible. The larger part of this missing spatial information consists of the environmental data re</w:t>
      </w:r>
      <w:r>
        <w:rPr>
          <w:rFonts w:cs="Times New Roman"/>
          <w:noProof/>
          <w:sz w:val="20"/>
          <w:szCs w:val="20"/>
        </w:rPr>
        <w:t>quired to be made available under the existing reporting and monitoring regulations of EU environmental law.</w:t>
      </w:r>
    </w:p>
    <w:p w:rsidR="00A22C37" w:rsidRDefault="000B1CC4">
      <w:pPr>
        <w:widowControl w:val="0"/>
        <w:spacing w:after="120" w:line="240" w:lineRule="auto"/>
        <w:jc w:val="both"/>
        <w:rPr>
          <w:bCs/>
          <w:noProof/>
          <w:color w:val="1F497D" w:themeColor="text2"/>
        </w:rPr>
      </w:pPr>
      <w:r>
        <w:rPr>
          <w:bCs/>
          <w:noProof/>
          <w:color w:val="1F497D" w:themeColor="text2"/>
        </w:rPr>
        <w:t>Suggested action</w:t>
      </w:r>
    </w:p>
    <w:p w:rsidR="00A22C37" w:rsidRDefault="000B1CC4">
      <w:pPr>
        <w:pStyle w:val="NoSpacing"/>
        <w:rPr>
          <w:noProof/>
        </w:rPr>
      </w:pPr>
      <w:r>
        <w:rPr>
          <w:noProof/>
        </w:rPr>
        <w:t xml:space="preserve">Critically review the effectiveness of its data policies and amend them, taking 'best practices' into consideration. </w:t>
      </w:r>
    </w:p>
    <w:p w:rsidR="00A22C37" w:rsidRDefault="000B1CC4">
      <w:pPr>
        <w:pStyle w:val="NoSpacing"/>
        <w:rPr>
          <w:noProof/>
        </w:rPr>
      </w:pPr>
      <w:r>
        <w:rPr>
          <w:noProof/>
        </w:rPr>
        <w:t>Identify and</w:t>
      </w:r>
      <w:r>
        <w:rPr>
          <w:noProof/>
        </w:rPr>
        <w:t xml:space="preserve"> document all spatial data sets required for the implementation of environmental law, and make the data and documentation at least accessible 'as is' to other public authorities and the public through the digital services foreseen in the INSPIRE Directive.</w:t>
      </w:r>
      <w:r>
        <w:rPr>
          <w:noProof/>
        </w:rPr>
        <w:t xml:space="preserve"> </w:t>
      </w:r>
    </w:p>
    <w:p w:rsidR="00A22C37" w:rsidRDefault="00A22C37">
      <w:pPr>
        <w:widowControl w:val="0"/>
        <w:spacing w:before="240" w:line="240" w:lineRule="auto"/>
        <w:jc w:val="both"/>
        <w:rPr>
          <w:rFonts w:cs="Times New Roman"/>
          <w:noProof/>
          <w:sz w:val="20"/>
          <w:szCs w:val="20"/>
        </w:rPr>
      </w:pPr>
    </w:p>
    <w:p w:rsidR="00A22C37" w:rsidRDefault="00A22C37">
      <w:pPr>
        <w:widowControl w:val="0"/>
        <w:spacing w:before="240" w:line="240" w:lineRule="auto"/>
        <w:jc w:val="both"/>
        <w:rPr>
          <w:noProof/>
          <w:sz w:val="20"/>
        </w:rPr>
      </w:pPr>
    </w:p>
    <w:p w:rsidR="00A22C37" w:rsidRDefault="00A22C37">
      <w:pPr>
        <w:widowControl w:val="0"/>
        <w:suppressLineNumbers/>
        <w:spacing w:line="240" w:lineRule="auto"/>
        <w:jc w:val="center"/>
        <w:rPr>
          <w:noProof/>
        </w:rPr>
      </w:pPr>
    </w:p>
    <w:sectPr w:rsidR="00A22C37">
      <w:headerReference w:type="even" r:id="rId121"/>
      <w:headerReference w:type="default" r:id="rId122"/>
      <w:footerReference w:type="even" r:id="rId123"/>
      <w:footerReference w:type="default" r:id="rId124"/>
      <w:headerReference w:type="first" r:id="rId125"/>
      <w:footerReference w:type="first" r:id="rId126"/>
      <w:type w:val="continuous"/>
      <w:pgSz w:w="11906" w:h="16838"/>
      <w:pgMar w:top="1440" w:right="1080" w:bottom="1440" w:left="1080" w:header="708" w:footer="708"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C37" w:rsidRDefault="000B1CC4">
      <w:pPr>
        <w:spacing w:after="0" w:line="240" w:lineRule="auto"/>
      </w:pPr>
      <w:r>
        <w:separator/>
      </w:r>
    </w:p>
  </w:endnote>
  <w:endnote w:type="continuationSeparator" w:id="0">
    <w:p w:rsidR="00A22C37" w:rsidRDefault="000B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MyriadPro-Cond">
    <w:altName w:val="Arial Unicode MS"/>
    <w:panose1 w:val="00000000000000000000"/>
    <w:charset w:val="00"/>
    <w:family w:val="swiss"/>
    <w:notTrueType/>
    <w:pitch w:val="default"/>
    <w:sig w:usb0="00000000" w:usb1="09060000" w:usb2="00000010" w:usb3="00000000" w:csb0="00080003"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CC4" w:rsidRPr="000B1CC4" w:rsidRDefault="000B1CC4" w:rsidP="000B1CC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2016 – Romania</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 Romania</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 Romania</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CC4" w:rsidRPr="000B1CC4" w:rsidRDefault="000B1CC4" w:rsidP="000B1CC4">
    <w:pPr>
      <w:pStyle w:val="FooterCoverPage"/>
      <w:rPr>
        <w:rFonts w:ascii="Arial" w:hAnsi="Arial" w:cs="Arial"/>
        <w:b/>
        <w:sz w:val="48"/>
      </w:rPr>
    </w:pPr>
    <w:r w:rsidRPr="000B1CC4">
      <w:rPr>
        <w:rFonts w:ascii="Arial" w:hAnsi="Arial" w:cs="Arial"/>
        <w:b/>
        <w:sz w:val="48"/>
      </w:rPr>
      <w:t>EN</w:t>
    </w:r>
    <w:r w:rsidRPr="000B1CC4">
      <w:rPr>
        <w:rFonts w:ascii="Arial" w:hAnsi="Arial" w:cs="Arial"/>
        <w:b/>
        <w:sz w:val="48"/>
      </w:rPr>
      <w:tab/>
    </w:r>
    <w:r w:rsidRPr="000B1CC4">
      <w:rPr>
        <w:rFonts w:ascii="Arial" w:hAnsi="Arial" w:cs="Arial"/>
        <w:b/>
        <w:sz w:val="48"/>
      </w:rPr>
      <w:tab/>
    </w:r>
    <w:fldSimple w:instr=" DOCVARIABLE &quot;LW_Confidence&quot; \* MERGEFORMAT ">
      <w:r>
        <w:t xml:space="preserve"> </w:t>
      </w:r>
    </w:fldSimple>
    <w:r w:rsidRPr="000B1CC4">
      <w:tab/>
    </w:r>
    <w:proofErr w:type="spellStart"/>
    <w:r w:rsidRPr="000B1CC4">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 Romania</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 Romania</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 Romania</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 Romania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CC4" w:rsidRPr="000B1CC4" w:rsidRDefault="000B1CC4" w:rsidP="000B1CC4">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 Romania</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2016 – Romania</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 Romania</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 Romania</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2016 – Romania</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 Romania</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 Romania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0B1CC4">
    <w:pPr>
      <w:pStyle w:val="Footer"/>
      <w:jc w:val="center"/>
    </w:pPr>
    <w:r>
      <w:t>Environmental Implementation Report – Romania</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C37" w:rsidRDefault="000B1CC4">
      <w:pPr>
        <w:spacing w:after="0" w:line="240" w:lineRule="auto"/>
      </w:pPr>
      <w:r>
        <w:separator/>
      </w:r>
    </w:p>
  </w:footnote>
  <w:footnote w:type="continuationSeparator" w:id="0">
    <w:p w:rsidR="00A22C37" w:rsidRDefault="000B1CC4">
      <w:pPr>
        <w:spacing w:after="0" w:line="240" w:lineRule="auto"/>
      </w:pPr>
      <w:r>
        <w:continuationSeparator/>
      </w:r>
    </w:p>
  </w:footnote>
  <w:footnote w:id="1">
    <w:p w:rsidR="00A22C37" w:rsidRDefault="000B1CC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roofErr w:type="gramEnd"/>
    </w:p>
  </w:footnote>
  <w:footnote w:id="2">
    <w:p w:rsidR="00A22C37" w:rsidRDefault="000B1CC4">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Decision No. 1386/2013/EU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roofErr w:type="gramEnd"/>
    </w:p>
  </w:footnote>
  <w:footnote w:id="3">
    <w:p w:rsidR="00A22C37" w:rsidRDefault="000B1CC4">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United Nations, 2015.</w:t>
      </w:r>
      <w:proofErr w:type="gramEnd"/>
      <w:r>
        <w:rPr>
          <w:rFonts w:asciiTheme="minorHAnsi" w:hAnsiTheme="minorHAnsi"/>
          <w:sz w:val="16"/>
          <w:szCs w:val="16"/>
        </w:rPr>
        <w:t xml:space="preserve">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A22C37" w:rsidRDefault="000B1CC4">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4" w:history="1">
        <w:r>
          <w:rPr>
            <w:rStyle w:val="Hyperlink"/>
            <w:rFonts w:asciiTheme="minorHAnsi" w:hAnsiTheme="minorHAnsi"/>
            <w:sz w:val="16"/>
            <w:szCs w:val="16"/>
          </w:rPr>
          <w:t>Proposed Circular Economy Package</w:t>
        </w:r>
      </w:hyperlink>
    </w:p>
  </w:footnote>
  <w:footnote w:id="6">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 as the ratio betw</w:t>
      </w:r>
      <w:r>
        <w:rPr>
          <w:rFonts w:asciiTheme="minorHAnsi" w:hAnsiTheme="minorHAnsi"/>
          <w:sz w:val="16"/>
          <w:szCs w:val="16"/>
        </w:rPr>
        <w:t>een gross domestic product (GDP) and domestic material consumption (DMC).</w:t>
      </w:r>
    </w:p>
  </w:footnote>
  <w:footnote w:id="7">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Schwab, WEF. </w:t>
      </w:r>
      <w:hyperlink r:id="rId5" w:history="1">
        <w:r>
          <w:rPr>
            <w:rStyle w:val="Hyperlink"/>
            <w:rFonts w:asciiTheme="minorHAnsi" w:hAnsiTheme="minorHAnsi"/>
            <w:sz w:val="16"/>
            <w:szCs w:val="16"/>
          </w:rPr>
          <w:t>The Global Competitiveness Report</w:t>
        </w:r>
      </w:hyperlink>
      <w:r>
        <w:rPr>
          <w:rFonts w:asciiTheme="minorHAnsi" w:hAnsiTheme="minorHAnsi"/>
          <w:sz w:val="16"/>
          <w:szCs w:val="16"/>
        </w:rPr>
        <w:t xml:space="preserve">, 2014-2015 </w:t>
      </w:r>
    </w:p>
  </w:footnote>
  <w:footnote w:id="8">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Eco-Innovation Observatory, </w:t>
      </w:r>
      <w:hyperlink r:id="rId6" w:history="1">
        <w:r>
          <w:rPr>
            <w:rStyle w:val="Hyperlink"/>
            <w:rFonts w:asciiTheme="minorHAnsi" w:hAnsiTheme="minorHAnsi"/>
            <w:sz w:val="16"/>
            <w:szCs w:val="16"/>
          </w:rPr>
          <w:t xml:space="preserve">Country Brief 2013 </w:t>
        </w:r>
        <w:proofErr w:type="spellStart"/>
        <w:r>
          <w:rPr>
            <w:rStyle w:val="Hyperlink"/>
            <w:rFonts w:asciiTheme="minorHAnsi" w:hAnsiTheme="minorHAnsi"/>
            <w:sz w:val="16"/>
            <w:szCs w:val="16"/>
          </w:rPr>
          <w:t>Romania</w:t>
        </w:r>
      </w:hyperlink>
      <w:r>
        <w:rPr>
          <w:rFonts w:asciiTheme="minorHAnsi" w:hAnsiTheme="minorHAnsi"/>
          <w:sz w:val="16"/>
          <w:szCs w:val="16"/>
        </w:rPr>
        <w:t>,p</w:t>
      </w:r>
      <w:proofErr w:type="spellEnd"/>
      <w:r>
        <w:rPr>
          <w:rFonts w:asciiTheme="minorHAnsi" w:hAnsiTheme="minorHAnsi"/>
          <w:sz w:val="16"/>
          <w:szCs w:val="16"/>
        </w:rPr>
        <w:t>. 6</w:t>
      </w:r>
    </w:p>
  </w:footnote>
  <w:footnote w:id="9">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w:t>
      </w:r>
    </w:p>
  </w:footnote>
  <w:footnote w:id="10">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7"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u w:val="none"/>
        </w:rPr>
        <w:t xml:space="preserve"> </w:t>
      </w:r>
      <w:r>
        <w:rPr>
          <w:rStyle w:val="Hyperlink"/>
          <w:rFonts w:asciiTheme="minorHAnsi" w:hAnsiTheme="minorHAnsi" w:cstheme="minorHAnsi"/>
          <w:color w:val="auto"/>
          <w:sz w:val="16"/>
          <w:szCs w:val="16"/>
          <w:u w:val="none"/>
        </w:rPr>
        <w:t>accessed October 2016</w:t>
      </w:r>
    </w:p>
  </w:footnote>
  <w:footnote w:id="11">
    <w:p w:rsidR="00A22C37" w:rsidRDefault="000B1CC4">
      <w:pPr>
        <w:widowControl w:val="0"/>
        <w:spacing w:after="0" w:line="240" w:lineRule="auto"/>
        <w:ind w:left="170" w:hanging="170"/>
        <w:rPr>
          <w:rFonts w:cs="Times New Roman"/>
          <w:sz w:val="16"/>
          <w:szCs w:val="16"/>
        </w:rPr>
      </w:pPr>
      <w:r>
        <w:rPr>
          <w:rStyle w:val="FootnoteReference"/>
          <w:sz w:val="16"/>
          <w:szCs w:val="16"/>
        </w:rPr>
        <w:footnoteRef/>
      </w:r>
      <w:r>
        <w:rPr>
          <w:rFonts w:cs="Times New Roman"/>
          <w:sz w:val="16"/>
          <w:szCs w:val="16"/>
        </w:rPr>
        <w:t xml:space="preserve"> </w:t>
      </w:r>
      <w:r>
        <w:rPr>
          <w:sz w:val="16"/>
          <w:szCs w:val="16"/>
        </w:rPr>
        <w:t xml:space="preserve">Eco-Innovation Observatory, </w:t>
      </w:r>
      <w:hyperlink r:id="rId8" w:history="1">
        <w:r>
          <w:rPr>
            <w:rStyle w:val="Hyperlink"/>
            <w:sz w:val="16"/>
            <w:szCs w:val="16"/>
          </w:rPr>
          <w:t>Country Brief 2013 Romania</w:t>
        </w:r>
      </w:hyperlink>
    </w:p>
  </w:footnote>
  <w:footnote w:id="12">
    <w:p w:rsidR="00A22C37" w:rsidRDefault="000B1CC4">
      <w:pPr>
        <w:pStyle w:val="FootnoteText"/>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US"/>
        </w:rPr>
        <w:t xml:space="preserve">Law no. 211/2011 on waste regime as </w:t>
      </w:r>
      <w:r>
        <w:rPr>
          <w:rFonts w:asciiTheme="minorHAnsi" w:hAnsiTheme="minorHAnsi"/>
          <w:sz w:val="16"/>
          <w:szCs w:val="16"/>
          <w:lang w:val="en-US"/>
        </w:rPr>
        <w:t>amended, republished in the March 28</w:t>
      </w:r>
      <w:r>
        <w:rPr>
          <w:rFonts w:asciiTheme="minorHAnsi" w:hAnsiTheme="minorHAnsi"/>
          <w:sz w:val="16"/>
          <w:szCs w:val="16"/>
          <w:vertAlign w:val="superscript"/>
          <w:lang w:val="en-US"/>
        </w:rPr>
        <w:t>th</w:t>
      </w:r>
      <w:r>
        <w:rPr>
          <w:rFonts w:asciiTheme="minorHAnsi" w:hAnsiTheme="minorHAnsi"/>
          <w:sz w:val="16"/>
          <w:szCs w:val="16"/>
          <w:lang w:val="en-US"/>
        </w:rPr>
        <w:t>, 2014</w:t>
      </w:r>
    </w:p>
  </w:footnote>
  <w:footnote w:id="13">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Eco-Innovation Observatory, </w:t>
      </w:r>
      <w:hyperlink r:id="rId9" w:history="1">
        <w:r>
          <w:rPr>
            <w:rStyle w:val="Hyperlink"/>
            <w:rFonts w:asciiTheme="minorHAnsi" w:hAnsiTheme="minorHAnsi"/>
            <w:sz w:val="16"/>
            <w:szCs w:val="16"/>
          </w:rPr>
          <w:t>Country Brief 2013 Romania</w:t>
        </w:r>
      </w:hyperlink>
      <w:r>
        <w:rPr>
          <w:rStyle w:val="Hyperlink"/>
          <w:rFonts w:asciiTheme="minorHAnsi" w:hAnsiTheme="minorHAnsi"/>
          <w:color w:val="auto"/>
          <w:sz w:val="16"/>
          <w:szCs w:val="16"/>
        </w:rPr>
        <w:t>,</w:t>
      </w:r>
      <w:r>
        <w:rPr>
          <w:rFonts w:asciiTheme="minorHAnsi" w:hAnsiTheme="minorHAnsi"/>
          <w:sz w:val="16"/>
          <w:szCs w:val="16"/>
        </w:rPr>
        <w:t xml:space="preserve"> p. 11</w:t>
      </w:r>
    </w:p>
  </w:footnote>
  <w:footnote w:id="14">
    <w:p w:rsidR="00A22C37" w:rsidRDefault="000B1CC4">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rPr>
        <w:footnoteRef/>
      </w:r>
      <w:r>
        <w:rPr>
          <w:rFonts w:asciiTheme="minorHAnsi" w:hAnsiTheme="minorHAnsi"/>
          <w:sz w:val="16"/>
          <w:szCs w:val="16"/>
          <w:lang w:val="it-IT"/>
        </w:rPr>
        <w:t xml:space="preserve"> </w:t>
      </w:r>
      <w:proofErr w:type="spellStart"/>
      <w:r>
        <w:rPr>
          <w:rFonts w:asciiTheme="minorHAnsi" w:hAnsiTheme="minorHAnsi"/>
          <w:sz w:val="16"/>
          <w:szCs w:val="16"/>
          <w:lang w:val="it-IT"/>
        </w:rPr>
        <w:t>Ecomagazin</w:t>
      </w:r>
      <w:proofErr w:type="spellEnd"/>
      <w:r>
        <w:rPr>
          <w:rFonts w:asciiTheme="minorHAnsi" w:hAnsiTheme="minorHAnsi"/>
          <w:sz w:val="16"/>
          <w:szCs w:val="16"/>
          <w:lang w:val="it-IT"/>
        </w:rPr>
        <w:t xml:space="preserve">, 2013. </w:t>
      </w:r>
      <w:hyperlink r:id="rId10" w:history="1">
        <w:proofErr w:type="spellStart"/>
        <w:r>
          <w:rPr>
            <w:rStyle w:val="Hyperlink"/>
            <w:rFonts w:asciiTheme="minorHAnsi" w:hAnsiTheme="minorHAnsi"/>
            <w:sz w:val="16"/>
            <w:szCs w:val="16"/>
            <w:lang w:val="it-IT"/>
          </w:rPr>
          <w:t>Parghii</w:t>
        </w:r>
        <w:proofErr w:type="spellEnd"/>
        <w:r>
          <w:rPr>
            <w:rStyle w:val="Hyperlink"/>
            <w:rFonts w:asciiTheme="minorHAnsi" w:hAnsiTheme="minorHAnsi"/>
            <w:sz w:val="16"/>
            <w:szCs w:val="16"/>
            <w:lang w:val="it-IT"/>
          </w:rPr>
          <w:t xml:space="preserve"> fiscale de </w:t>
        </w:r>
        <w:proofErr w:type="spellStart"/>
        <w:r>
          <w:rPr>
            <w:rStyle w:val="Hyperlink"/>
            <w:rFonts w:asciiTheme="minorHAnsi" w:hAnsiTheme="minorHAnsi"/>
            <w:sz w:val="16"/>
            <w:szCs w:val="16"/>
            <w:lang w:val="it-IT"/>
          </w:rPr>
          <w:t>protectie</w:t>
        </w:r>
        <w:proofErr w:type="spellEnd"/>
        <w:r>
          <w:rPr>
            <w:rStyle w:val="Hyperlink"/>
            <w:rFonts w:asciiTheme="minorHAnsi" w:hAnsiTheme="minorHAnsi"/>
            <w:sz w:val="16"/>
            <w:szCs w:val="16"/>
            <w:lang w:val="it-IT"/>
          </w:rPr>
          <w:t xml:space="preserve"> a </w:t>
        </w:r>
        <w:proofErr w:type="spellStart"/>
        <w:r>
          <w:rPr>
            <w:rStyle w:val="Hyperlink"/>
            <w:rFonts w:asciiTheme="minorHAnsi" w:hAnsiTheme="minorHAnsi"/>
            <w:sz w:val="16"/>
            <w:szCs w:val="16"/>
            <w:lang w:val="it-IT"/>
          </w:rPr>
          <w:t>mediului</w:t>
        </w:r>
        <w:proofErr w:type="spellEnd"/>
        <w:r>
          <w:rPr>
            <w:rStyle w:val="Hyperlink"/>
            <w:rFonts w:asciiTheme="minorHAnsi" w:hAnsiTheme="minorHAnsi"/>
            <w:sz w:val="16"/>
            <w:szCs w:val="16"/>
            <w:lang w:val="it-IT"/>
          </w:rPr>
          <w:t xml:space="preserve"> – </w:t>
        </w:r>
        <w:proofErr w:type="spellStart"/>
        <w:r>
          <w:rPr>
            <w:rStyle w:val="Hyperlink"/>
            <w:rFonts w:asciiTheme="minorHAnsi" w:hAnsiTheme="minorHAnsi"/>
            <w:sz w:val="16"/>
            <w:szCs w:val="16"/>
            <w:lang w:val="it-IT"/>
          </w:rPr>
          <w:t>noutati</w:t>
        </w:r>
        <w:proofErr w:type="spellEnd"/>
        <w:r>
          <w:rPr>
            <w:rStyle w:val="Hyperlink"/>
            <w:rFonts w:asciiTheme="minorHAnsi" w:hAnsiTheme="minorHAnsi"/>
            <w:sz w:val="16"/>
            <w:szCs w:val="16"/>
            <w:lang w:val="it-IT"/>
          </w:rPr>
          <w:t xml:space="preserve"> </w:t>
        </w:r>
        <w:proofErr w:type="gramStart"/>
        <w:r>
          <w:rPr>
            <w:rStyle w:val="Hyperlink"/>
            <w:rFonts w:asciiTheme="minorHAnsi" w:hAnsiTheme="minorHAnsi"/>
            <w:sz w:val="16"/>
            <w:szCs w:val="16"/>
            <w:lang w:val="it-IT"/>
          </w:rPr>
          <w:t>2014</w:t>
        </w:r>
      </w:hyperlink>
      <w:proofErr w:type="gramEnd"/>
    </w:p>
  </w:footnote>
  <w:footnote w:id="15">
    <w:p w:rsidR="00A22C37" w:rsidRDefault="000B1CC4">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rPr>
        <w:footnoteRef/>
      </w:r>
      <w:r>
        <w:rPr>
          <w:rFonts w:asciiTheme="minorHAnsi" w:hAnsiTheme="minorHAnsi"/>
          <w:sz w:val="16"/>
          <w:szCs w:val="16"/>
          <w:lang w:val="it-IT"/>
        </w:rPr>
        <w:t xml:space="preserve"> </w:t>
      </w:r>
      <w:proofErr w:type="spellStart"/>
      <w:r>
        <w:rPr>
          <w:rFonts w:asciiTheme="minorHAnsi" w:hAnsiTheme="minorHAnsi"/>
          <w:sz w:val="16"/>
          <w:szCs w:val="16"/>
          <w:lang w:val="it-IT"/>
        </w:rPr>
        <w:t>Ecomagazin</w:t>
      </w:r>
      <w:proofErr w:type="spellEnd"/>
      <w:r>
        <w:rPr>
          <w:rFonts w:asciiTheme="minorHAnsi" w:hAnsiTheme="minorHAnsi"/>
          <w:sz w:val="16"/>
          <w:szCs w:val="16"/>
          <w:lang w:val="it-IT"/>
        </w:rPr>
        <w:t xml:space="preserve">, 2013. </w:t>
      </w:r>
      <w:hyperlink r:id="rId11" w:history="1">
        <w:proofErr w:type="spellStart"/>
        <w:r>
          <w:rPr>
            <w:rStyle w:val="Hyperlink"/>
            <w:rFonts w:asciiTheme="minorHAnsi" w:hAnsiTheme="minorHAnsi"/>
            <w:sz w:val="16"/>
            <w:szCs w:val="16"/>
            <w:lang w:val="it-IT"/>
          </w:rPr>
          <w:t>Parghii</w:t>
        </w:r>
        <w:proofErr w:type="spellEnd"/>
        <w:r>
          <w:rPr>
            <w:rStyle w:val="Hyperlink"/>
            <w:rFonts w:asciiTheme="minorHAnsi" w:hAnsiTheme="minorHAnsi"/>
            <w:sz w:val="16"/>
            <w:szCs w:val="16"/>
            <w:lang w:val="it-IT"/>
          </w:rPr>
          <w:t xml:space="preserve"> fiscale de </w:t>
        </w:r>
        <w:proofErr w:type="spellStart"/>
        <w:r>
          <w:rPr>
            <w:rStyle w:val="Hyperlink"/>
            <w:rFonts w:asciiTheme="minorHAnsi" w:hAnsiTheme="minorHAnsi"/>
            <w:sz w:val="16"/>
            <w:szCs w:val="16"/>
            <w:lang w:val="it-IT"/>
          </w:rPr>
          <w:t>protectie</w:t>
        </w:r>
        <w:proofErr w:type="spellEnd"/>
        <w:r>
          <w:rPr>
            <w:rStyle w:val="Hyperlink"/>
            <w:rFonts w:asciiTheme="minorHAnsi" w:hAnsiTheme="minorHAnsi"/>
            <w:sz w:val="16"/>
            <w:szCs w:val="16"/>
            <w:lang w:val="it-IT"/>
          </w:rPr>
          <w:t xml:space="preserve"> a </w:t>
        </w:r>
        <w:proofErr w:type="spellStart"/>
        <w:r>
          <w:rPr>
            <w:rStyle w:val="Hyperlink"/>
            <w:rFonts w:asciiTheme="minorHAnsi" w:hAnsiTheme="minorHAnsi"/>
            <w:sz w:val="16"/>
            <w:szCs w:val="16"/>
            <w:lang w:val="it-IT"/>
          </w:rPr>
          <w:t>mediului</w:t>
        </w:r>
        <w:proofErr w:type="spellEnd"/>
        <w:r>
          <w:rPr>
            <w:rStyle w:val="Hyperlink"/>
            <w:rFonts w:asciiTheme="minorHAnsi" w:hAnsiTheme="minorHAnsi"/>
            <w:sz w:val="16"/>
            <w:szCs w:val="16"/>
            <w:lang w:val="it-IT"/>
          </w:rPr>
          <w:t xml:space="preserve"> – </w:t>
        </w:r>
        <w:proofErr w:type="spellStart"/>
        <w:r>
          <w:rPr>
            <w:rStyle w:val="Hyperlink"/>
            <w:rFonts w:asciiTheme="minorHAnsi" w:hAnsiTheme="minorHAnsi"/>
            <w:sz w:val="16"/>
            <w:szCs w:val="16"/>
            <w:lang w:val="it-IT"/>
          </w:rPr>
          <w:t>noutati</w:t>
        </w:r>
        <w:proofErr w:type="spellEnd"/>
        <w:r>
          <w:rPr>
            <w:rStyle w:val="Hyperlink"/>
            <w:rFonts w:asciiTheme="minorHAnsi" w:hAnsiTheme="minorHAnsi"/>
            <w:sz w:val="16"/>
            <w:szCs w:val="16"/>
            <w:lang w:val="it-IT"/>
          </w:rPr>
          <w:t xml:space="preserve"> </w:t>
        </w:r>
        <w:proofErr w:type="gramStart"/>
        <w:r>
          <w:rPr>
            <w:rStyle w:val="Hyperlink"/>
            <w:rFonts w:asciiTheme="minorHAnsi" w:hAnsiTheme="minorHAnsi"/>
            <w:sz w:val="16"/>
            <w:szCs w:val="16"/>
            <w:lang w:val="it-IT"/>
          </w:rPr>
          <w:t>2014</w:t>
        </w:r>
      </w:hyperlink>
      <w:proofErr w:type="gramEnd"/>
    </w:p>
  </w:footnote>
  <w:footnote w:id="16">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12" w:history="1">
        <w:r>
          <w:rPr>
            <w:rStyle w:val="Hyperlink"/>
            <w:rFonts w:asciiTheme="minorHAnsi" w:hAnsiTheme="minorHAnsi"/>
            <w:sz w:val="16"/>
            <w:szCs w:val="16"/>
          </w:rPr>
          <w:t>Employme</w:t>
        </w:r>
        <w:r>
          <w:rPr>
            <w:rStyle w:val="Hyperlink"/>
            <w:rFonts w:asciiTheme="minorHAnsi" w:hAnsiTheme="minorHAnsi"/>
            <w:sz w:val="16"/>
            <w:szCs w:val="16"/>
          </w:rPr>
          <w:t>nt in the environmental goods and services sector</w:t>
        </w:r>
      </w:hyperlink>
      <w:r>
        <w:rPr>
          <w:rStyle w:val="Hyperlink"/>
          <w:rFonts w:asciiTheme="minorHAnsi" w:hAnsiTheme="minorHAnsi"/>
          <w:sz w:val="16"/>
          <w:szCs w:val="16"/>
        </w:rPr>
        <w:t>,</w:t>
      </w:r>
      <w:r>
        <w:rPr>
          <w:rFonts w:asciiTheme="minorHAnsi" w:hAnsiTheme="minorHAnsi"/>
          <w:sz w:val="16"/>
          <w:szCs w:val="16"/>
        </w:rPr>
        <w:t xml:space="preserve"> accessed November 2015</w:t>
      </w:r>
    </w:p>
  </w:footnote>
  <w:footnote w:id="17">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Ecologic Institute, IEEP, BIO by </w:t>
      </w:r>
      <w:proofErr w:type="spellStart"/>
      <w:r>
        <w:rPr>
          <w:rFonts w:asciiTheme="minorHAnsi" w:hAnsiTheme="minorHAnsi"/>
          <w:sz w:val="16"/>
          <w:szCs w:val="16"/>
        </w:rPr>
        <w:t>deloitte</w:t>
      </w:r>
      <w:proofErr w:type="spellEnd"/>
      <w:r>
        <w:rPr>
          <w:rFonts w:asciiTheme="minorHAnsi" w:hAnsiTheme="minorHAnsi"/>
          <w:sz w:val="16"/>
          <w:szCs w:val="16"/>
        </w:rPr>
        <w:t xml:space="preserve">, 2015. </w:t>
      </w:r>
      <w:hyperlink r:id="rId13" w:history="1">
        <w:proofErr w:type="gramStart"/>
        <w:r>
          <w:rPr>
            <w:rStyle w:val="Hyperlink"/>
            <w:rFonts w:asciiTheme="minorHAnsi" w:hAnsiTheme="minorHAnsi"/>
            <w:sz w:val="16"/>
            <w:szCs w:val="16"/>
          </w:rPr>
          <w:t>A fr</w:t>
        </w:r>
        <w:r>
          <w:rPr>
            <w:rStyle w:val="Hyperlink"/>
            <w:rFonts w:asciiTheme="minorHAnsi" w:hAnsiTheme="minorHAnsi"/>
            <w:sz w:val="16"/>
            <w:szCs w:val="16"/>
          </w:rPr>
          <w:t>amework for Member States to support business in improving its resource efficiency</w:t>
        </w:r>
      </w:hyperlink>
      <w:r>
        <w:rPr>
          <w:rFonts w:asciiTheme="minorHAnsi" w:hAnsiTheme="minorHAnsi"/>
          <w:sz w:val="16"/>
          <w:szCs w:val="16"/>
        </w:rPr>
        <w:t>.</w:t>
      </w:r>
      <w:proofErr w:type="gramEnd"/>
      <w:r>
        <w:rPr>
          <w:rFonts w:asciiTheme="minorHAnsi" w:hAnsiTheme="minorHAnsi"/>
          <w:sz w:val="16"/>
          <w:szCs w:val="16"/>
        </w:rPr>
        <w:t xml:space="preserve"> Study for the European Commission, p. 28</w:t>
      </w:r>
    </w:p>
  </w:footnote>
  <w:footnote w:id="18">
    <w:p w:rsidR="00A22C37" w:rsidRDefault="000B1CC4">
      <w:pPr>
        <w:widowControl w:val="0"/>
        <w:spacing w:after="0" w:line="240" w:lineRule="auto"/>
        <w:ind w:left="170" w:hanging="170"/>
        <w:rPr>
          <w:rFonts w:cs="Times New Roman"/>
          <w:sz w:val="16"/>
          <w:szCs w:val="16"/>
        </w:rPr>
      </w:pPr>
      <w:r>
        <w:rPr>
          <w:rStyle w:val="FootnoteReference"/>
          <w:sz w:val="16"/>
          <w:szCs w:val="16"/>
        </w:rPr>
        <w:footnoteRef/>
      </w:r>
      <w:r>
        <w:rPr>
          <w:rFonts w:cs="Times New Roman"/>
          <w:sz w:val="16"/>
          <w:szCs w:val="16"/>
        </w:rPr>
        <w:t xml:space="preserve"> </w:t>
      </w:r>
      <w:r>
        <w:rPr>
          <w:sz w:val="16"/>
          <w:szCs w:val="16"/>
        </w:rPr>
        <w:t xml:space="preserve">Eco-Innovation Observatory, </w:t>
      </w:r>
      <w:hyperlink r:id="rId14" w:history="1">
        <w:r>
          <w:rPr>
            <w:rStyle w:val="Hyperlink"/>
            <w:sz w:val="16"/>
            <w:szCs w:val="16"/>
          </w:rPr>
          <w:t>Country Brief 2013 Romania</w:t>
        </w:r>
      </w:hyperlink>
    </w:p>
  </w:footnote>
  <w:footnote w:id="19">
    <w:p w:rsidR="00A22C37" w:rsidRDefault="000B1CC4">
      <w:pPr>
        <w:pStyle w:val="FootnoteText"/>
      </w:pPr>
      <w:r>
        <w:rPr>
          <w:rStyle w:val="FootnoteReference"/>
        </w:rPr>
        <w:footnoteRef/>
      </w:r>
      <w:r>
        <w:t xml:space="preserve"> </w:t>
      </w:r>
      <w:proofErr w:type="gramStart"/>
      <w:r>
        <w:rPr>
          <w:rFonts w:asciiTheme="minorHAnsi" w:hAnsiTheme="minorHAnsi" w:cstheme="minorHAnsi"/>
          <w:sz w:val="16"/>
          <w:szCs w:val="16"/>
        </w:rPr>
        <w:t>European Commission, 2015.</w:t>
      </w:r>
      <w:proofErr w:type="gramEnd"/>
      <w:r>
        <w:rPr>
          <w:rFonts w:asciiTheme="minorHAnsi" w:hAnsiTheme="minorHAnsi" w:cstheme="minorHAnsi"/>
          <w:sz w:val="16"/>
          <w:szCs w:val="16"/>
        </w:rPr>
        <w:t xml:space="preserve"> Flash 426 </w:t>
      </w:r>
      <w:proofErr w:type="spellStart"/>
      <w:r>
        <w:rPr>
          <w:rFonts w:asciiTheme="minorHAnsi" w:hAnsiTheme="minorHAnsi" w:cstheme="minorHAnsi"/>
          <w:sz w:val="16"/>
          <w:szCs w:val="16"/>
        </w:rPr>
        <w:t>Eurobarometer</w:t>
      </w:r>
      <w:proofErr w:type="spellEnd"/>
      <w:r>
        <w:rPr>
          <w:rFonts w:asciiTheme="minorHAnsi" w:hAnsiTheme="minorHAnsi" w:cstheme="minorHAnsi"/>
          <w:sz w:val="16"/>
          <w:szCs w:val="16"/>
        </w:rPr>
        <w:t xml:space="preserve"> </w:t>
      </w:r>
      <w:hyperlink r:id="rId15" w:history="1">
        <w:r>
          <w:rPr>
            <w:rStyle w:val="Hyperlink"/>
            <w:rFonts w:asciiTheme="minorHAnsi" w:hAnsiTheme="minorHAnsi" w:cstheme="minorHAnsi"/>
            <w:sz w:val="16"/>
            <w:szCs w:val="16"/>
          </w:rPr>
          <w:t>"SMEs, resource efficiency and green markets"</w:t>
        </w:r>
      </w:hyperlink>
    </w:p>
  </w:footnote>
  <w:footnote w:id="20">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RPA, 2015.</w:t>
      </w:r>
      <w:proofErr w:type="gramEnd"/>
      <w:r>
        <w:rPr>
          <w:rFonts w:asciiTheme="minorHAnsi" w:hAnsiTheme="minorHAnsi"/>
          <w:sz w:val="16"/>
          <w:szCs w:val="16"/>
        </w:rPr>
        <w:t xml:space="preserve"> </w:t>
      </w:r>
      <w:hyperlink r:id="rId16" w:history="1">
        <w:r>
          <w:rPr>
            <w:rStyle w:val="Hyperlink"/>
            <w:rFonts w:asciiTheme="minorHAnsi" w:hAnsiTheme="minorHAnsi"/>
            <w:bCs/>
            <w:sz w:val="16"/>
            <w:szCs w:val="16"/>
          </w:rPr>
          <w:t>Assessing the Potential Cost Savings and Resource Savings of Investments in 4 SME sectors</w:t>
        </w:r>
      </w:hyperlink>
      <w:r>
        <w:rPr>
          <w:rFonts w:asciiTheme="minorHAnsi" w:hAnsiTheme="minorHAnsi"/>
          <w:bCs/>
          <w:sz w:val="16"/>
          <w:szCs w:val="16"/>
        </w:rPr>
        <w:t>, study for European Commission, p. 30</w:t>
      </w:r>
    </w:p>
  </w:footnote>
  <w:footnote w:id="21">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RPA, 2015.</w:t>
      </w:r>
      <w:proofErr w:type="gramEnd"/>
      <w:r>
        <w:rPr>
          <w:rFonts w:asciiTheme="minorHAnsi" w:hAnsiTheme="minorHAnsi"/>
          <w:sz w:val="16"/>
          <w:szCs w:val="16"/>
        </w:rPr>
        <w:t xml:space="preserve"> </w:t>
      </w:r>
      <w:hyperlink r:id="rId17" w:history="1">
        <w:r>
          <w:rPr>
            <w:rStyle w:val="Hyperlink"/>
            <w:rFonts w:asciiTheme="minorHAnsi" w:hAnsiTheme="minorHAnsi"/>
            <w:bCs/>
            <w:sz w:val="16"/>
            <w:szCs w:val="16"/>
          </w:rPr>
          <w:t>Assessing the Potential Cost Savings and Resource Savings of Investments in 4 SME sectors</w:t>
        </w:r>
      </w:hyperlink>
      <w:r>
        <w:rPr>
          <w:rFonts w:asciiTheme="minorHAnsi" w:hAnsiTheme="minorHAnsi"/>
          <w:bCs/>
          <w:sz w:val="16"/>
          <w:szCs w:val="16"/>
        </w:rPr>
        <w:t>, study for European Com</w:t>
      </w:r>
      <w:r>
        <w:rPr>
          <w:rFonts w:asciiTheme="minorHAnsi" w:hAnsiTheme="minorHAnsi"/>
          <w:bCs/>
          <w:sz w:val="16"/>
          <w:szCs w:val="16"/>
        </w:rPr>
        <w:t>mission,,</w:t>
      </w:r>
      <w:r>
        <w:rPr>
          <w:rFonts w:asciiTheme="minorHAnsi" w:hAnsiTheme="minorHAnsi"/>
          <w:sz w:val="16"/>
          <w:szCs w:val="16"/>
        </w:rPr>
        <w:t xml:space="preserve"> p. 38</w:t>
      </w:r>
    </w:p>
  </w:footnote>
  <w:footnote w:id="22">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Flash 426 </w:t>
      </w:r>
      <w:proofErr w:type="spellStart"/>
      <w:r>
        <w:rPr>
          <w:rFonts w:asciiTheme="minorHAnsi" w:hAnsiTheme="minorHAnsi"/>
          <w:sz w:val="16"/>
          <w:szCs w:val="16"/>
        </w:rPr>
        <w:t>Eurobarometer</w:t>
      </w:r>
      <w:proofErr w:type="spellEnd"/>
      <w:r>
        <w:rPr>
          <w:rFonts w:asciiTheme="minorHAnsi" w:hAnsiTheme="minorHAnsi"/>
          <w:sz w:val="16"/>
          <w:szCs w:val="16"/>
        </w:rPr>
        <w:t xml:space="preserve"> "SMEs, resource efficiency and green markets" defines "green job" as a job that directly deals with information, technologies, or materials that preserves or restores environmental quality. This requires specia</w:t>
      </w:r>
      <w:r>
        <w:rPr>
          <w:rFonts w:asciiTheme="minorHAnsi" w:hAnsiTheme="minorHAnsi"/>
          <w:sz w:val="16"/>
          <w:szCs w:val="16"/>
        </w:rPr>
        <w:t>lised skills, knowledge, training, or experience (e.g. verifying compliance with environmental legislation, monitoring resource efficiency within the company, promoting and selling green products and services).</w:t>
      </w:r>
    </w:p>
  </w:footnote>
  <w:footnote w:id="23">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8"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24">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Eco-Innovation Observatory, </w:t>
      </w:r>
      <w:hyperlink r:id="rId19" w:history="1">
        <w:r>
          <w:rPr>
            <w:rStyle w:val="Hyperlink"/>
            <w:rFonts w:asciiTheme="minorHAnsi" w:hAnsiTheme="minorHAnsi"/>
            <w:sz w:val="16"/>
            <w:szCs w:val="16"/>
          </w:rPr>
          <w:t>Country Brief 2013 Romania</w:t>
        </w:r>
      </w:hyperlink>
      <w:r>
        <w:rPr>
          <w:rStyle w:val="Hyperlink"/>
          <w:rFonts w:asciiTheme="minorHAnsi" w:hAnsiTheme="minorHAnsi"/>
          <w:color w:val="auto"/>
          <w:sz w:val="16"/>
          <w:szCs w:val="16"/>
        </w:rPr>
        <w:t>,</w:t>
      </w:r>
    </w:p>
  </w:footnote>
  <w:footnote w:id="25">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20" w:history="1">
        <w:r>
          <w:rPr>
            <w:rStyle w:val="Hyperlink"/>
            <w:rFonts w:asciiTheme="minorHAnsi" w:hAnsiTheme="minorHAnsi"/>
            <w:sz w:val="16"/>
            <w:szCs w:val="16"/>
          </w:rPr>
          <w:t>2015 SBA Fact Sheet Romania</w:t>
        </w:r>
      </w:hyperlink>
      <w:r>
        <w:rPr>
          <w:rFonts w:asciiTheme="minorHAnsi" w:hAnsiTheme="minorHAnsi"/>
          <w:sz w:val="16"/>
          <w:szCs w:val="16"/>
        </w:rPr>
        <w:t>,</w:t>
      </w:r>
    </w:p>
  </w:footnote>
  <w:footnote w:id="26">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Prevention Programmes</w:t>
      </w:r>
    </w:p>
  </w:footnote>
  <w:footnote w:id="27">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Eurosta</w:t>
      </w:r>
      <w:r>
        <w:rPr>
          <w:sz w:val="16"/>
          <w:szCs w:val="16"/>
        </w:rPr>
        <w:t xml:space="preserve">t, </w:t>
      </w:r>
      <w:hyperlink r:id="rId21" w:history="1">
        <w:r>
          <w:rPr>
            <w:rStyle w:val="Hyperlink"/>
            <w:sz w:val="16"/>
            <w:szCs w:val="16"/>
          </w:rPr>
          <w:t>Municipal waste and treatment, by type of treatment method,</w:t>
        </w:r>
      </w:hyperlink>
      <w:r>
        <w:rPr>
          <w:sz w:val="16"/>
          <w:szCs w:val="16"/>
        </w:rPr>
        <w:t xml:space="preserve"> accessed October 2016</w:t>
      </w:r>
    </w:p>
  </w:footnote>
  <w:footnote w:id="28">
    <w:p w:rsidR="00A22C37" w:rsidRDefault="000B1CC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22" w:history="1">
        <w:r>
          <w:rPr>
            <w:rStyle w:val="Hyperlink"/>
            <w:sz w:val="16"/>
            <w:szCs w:val="16"/>
          </w:rPr>
          <w:t>Municipal waste and treatment, by type of treatment method,</w:t>
        </w:r>
      </w:hyperlink>
      <w:r>
        <w:rPr>
          <w:sz w:val="16"/>
          <w:szCs w:val="16"/>
        </w:rPr>
        <w:t xml:space="preserve"> accessed October 2016</w:t>
      </w:r>
    </w:p>
  </w:footnote>
  <w:footnote w:id="29">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Municipal waste consists of waste collected by or on behalf of </w:t>
      </w:r>
      <w:r>
        <w:rPr>
          <w:rFonts w:asciiTheme="minorHAnsi" w:hAnsiTheme="minorHAnsi"/>
          <w:sz w:val="16"/>
          <w:szCs w:val="16"/>
        </w:rPr>
        <w:t>municipal authorities, or directly by the private sector (business or private non-profit institutions) not on behalf of municipalities.</w:t>
      </w:r>
    </w:p>
  </w:footnote>
  <w:footnote w:id="30">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 (and referred to in this report) to calculate t</w:t>
      </w:r>
      <w:r>
        <w:rPr>
          <w:rFonts w:asciiTheme="minorHAnsi" w:hAnsiTheme="minorHAnsi"/>
          <w:sz w:val="16"/>
          <w:szCs w:val="16"/>
        </w:rPr>
        <w:t>heir recycling rates and track compliance with the 2020 target of 50% recycling of municipal waste.</w:t>
      </w:r>
    </w:p>
  </w:footnote>
  <w:footnote w:id="31">
    <w:p w:rsidR="00A22C37" w:rsidRDefault="000B1CC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23" w:history="1">
        <w:r>
          <w:rPr>
            <w:rStyle w:val="Hyperlink"/>
            <w:sz w:val="16"/>
            <w:szCs w:val="16"/>
          </w:rPr>
          <w:t>Recycling rate of municipal wa</w:t>
        </w:r>
        <w:r>
          <w:rPr>
            <w:rStyle w:val="Hyperlink"/>
            <w:sz w:val="16"/>
            <w:szCs w:val="16"/>
          </w:rPr>
          <w:t>ste</w:t>
        </w:r>
      </w:hyperlink>
      <w:r>
        <w:rPr>
          <w:sz w:val="16"/>
          <w:szCs w:val="16"/>
        </w:rPr>
        <w:t xml:space="preserve">, accessed </w:t>
      </w:r>
      <w:r>
        <w:rPr>
          <w:rStyle w:val="Hyperlink"/>
          <w:rFonts w:cstheme="minorHAnsi"/>
          <w:color w:val="auto"/>
          <w:sz w:val="16"/>
          <w:szCs w:val="16"/>
          <w:u w:val="none"/>
        </w:rPr>
        <w:t>October 2016</w:t>
      </w:r>
    </w:p>
  </w:footnote>
  <w:footnote w:id="32">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Bio Intelligence service, 2011. </w:t>
      </w:r>
      <w:hyperlink r:id="rId24" w:history="1">
        <w:r>
          <w:rPr>
            <w:rStyle w:val="Hyperlink"/>
            <w:rFonts w:asciiTheme="minorHAnsi" w:hAnsiTheme="minorHAnsi"/>
            <w:sz w:val="16"/>
            <w:szCs w:val="16"/>
          </w:rPr>
          <w:t>Implementing EU Waste legislation for Green Growth</w:t>
        </w:r>
      </w:hyperlink>
      <w:r>
        <w:rPr>
          <w:rFonts w:asciiTheme="minorHAnsi" w:hAnsiTheme="minorHAnsi"/>
          <w:sz w:val="16"/>
          <w:szCs w:val="16"/>
        </w:rPr>
        <w:t xml:space="preserve">, study for European Commission. The breakdown </w:t>
      </w:r>
      <w:r>
        <w:rPr>
          <w:rFonts w:asciiTheme="minorHAnsi" w:hAnsiTheme="minorHAnsi"/>
          <w:sz w:val="16"/>
          <w:szCs w:val="16"/>
        </w:rPr>
        <w:t>per country on job creation was made by the consultant on Commission demand but was not included in the published document.</w:t>
      </w:r>
      <w:r>
        <w:rPr>
          <w:rStyle w:val="Hyperlink"/>
          <w:rFonts w:asciiTheme="minorHAnsi" w:hAnsiTheme="minorHAnsi"/>
          <w:color w:val="auto"/>
          <w:sz w:val="16"/>
          <w:szCs w:val="16"/>
        </w:rPr>
        <w:t xml:space="preserve">  </w:t>
      </w:r>
    </w:p>
  </w:footnote>
  <w:footnote w:id="33">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proofErr w:type="gramStart"/>
      <w:r>
        <w:rPr>
          <w:rFonts w:asciiTheme="minorHAnsi" w:hAnsiTheme="minorHAnsi"/>
          <w:sz w:val="16"/>
          <w:szCs w:val="16"/>
        </w:rPr>
        <w:t>BiPRO</w:t>
      </w:r>
      <w:proofErr w:type="spellEnd"/>
      <w:r>
        <w:rPr>
          <w:rFonts w:asciiTheme="minorHAnsi" w:hAnsiTheme="minorHAnsi"/>
          <w:sz w:val="16"/>
          <w:szCs w:val="16"/>
        </w:rPr>
        <w:t>, 2013.</w:t>
      </w:r>
      <w:proofErr w:type="gramEnd"/>
      <w:r>
        <w:rPr>
          <w:rFonts w:asciiTheme="minorHAnsi" w:hAnsiTheme="minorHAnsi"/>
          <w:sz w:val="16"/>
          <w:szCs w:val="16"/>
        </w:rPr>
        <w:t xml:space="preserve"> </w:t>
      </w:r>
      <w:hyperlink r:id="rId25" w:history="1">
        <w:r>
          <w:rPr>
            <w:rStyle w:val="Hyperlink"/>
            <w:rFonts w:asciiTheme="minorHAnsi" w:hAnsiTheme="minorHAnsi"/>
            <w:sz w:val="16"/>
            <w:szCs w:val="16"/>
          </w:rPr>
          <w:t xml:space="preserve">Support to Member </w:t>
        </w:r>
        <w:r>
          <w:rPr>
            <w:rStyle w:val="Hyperlink"/>
            <w:rFonts w:asciiTheme="minorHAnsi" w:hAnsiTheme="minorHAnsi"/>
            <w:sz w:val="16"/>
            <w:szCs w:val="16"/>
          </w:rPr>
          <w:t>States in improving waste management based on assessment of Member States' performance</w:t>
        </w:r>
      </w:hyperlink>
      <w:r>
        <w:rPr>
          <w:rFonts w:asciiTheme="minorHAnsi" w:hAnsiTheme="minorHAnsi"/>
          <w:sz w:val="16"/>
          <w:szCs w:val="16"/>
        </w:rPr>
        <w:t>. Study for the European Commission</w:t>
      </w:r>
      <w:r>
        <w:rPr>
          <w:rStyle w:val="Hyperlink"/>
          <w:rFonts w:asciiTheme="minorHAnsi" w:hAnsiTheme="minorHAnsi"/>
          <w:sz w:val="16"/>
          <w:szCs w:val="16"/>
        </w:rPr>
        <w:t>,</w:t>
      </w:r>
      <w:r>
        <w:rPr>
          <w:rFonts w:asciiTheme="minorHAnsi" w:hAnsiTheme="minorHAnsi"/>
          <w:sz w:val="16"/>
          <w:szCs w:val="16"/>
        </w:rPr>
        <w:t xml:space="preserve"> p. 47 </w:t>
      </w:r>
    </w:p>
  </w:footnote>
  <w:footnote w:id="34">
    <w:p w:rsidR="00A22C37" w:rsidRDefault="000B1CC4">
      <w:pPr>
        <w:pStyle w:val="FootnoteText"/>
        <w:widowControl w:val="0"/>
        <w:ind w:left="170" w:hanging="170"/>
        <w:outlineLvl w:val="4"/>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Directive whereas Special Areas of Protection (</w:t>
      </w:r>
      <w:r>
        <w:rPr>
          <w:rFonts w:asciiTheme="minorHAnsi" w:hAnsiTheme="minorHAnsi"/>
          <w:sz w:val="16"/>
          <w:szCs w:val="16"/>
        </w:rPr>
        <w:t xml:space="preserve">SPAs) are designated pursuant to the Birds Directive; figures of coverage do not add up due to the fact that some SCIs and SPAs overlap. Special Areas of Conservation (SACs) </w:t>
      </w:r>
      <w:r>
        <w:rPr>
          <w:rFonts w:asciiTheme="minorHAnsi" w:hAnsiTheme="minorHAnsi"/>
          <w:sz w:val="16"/>
          <w:szCs w:val="16"/>
          <w:lang w:val="en"/>
        </w:rPr>
        <w:t>means a SCI designated by the Member States.</w:t>
      </w:r>
    </w:p>
  </w:footnote>
  <w:footnote w:id="35">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internal asses</w:t>
      </w:r>
      <w:r>
        <w:rPr>
          <w:rFonts w:asciiTheme="minorHAnsi" w:hAnsiTheme="minorHAnsi"/>
          <w:sz w:val="16"/>
          <w:szCs w:val="16"/>
        </w:rPr>
        <w:t>sment.</w:t>
      </w:r>
    </w:p>
  </w:footnote>
  <w:footnote w:id="36">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each Member State, the Commission assesses whether the species and habitat types on Annexes I and II of the Habitats Directive, are sufficiently represented by the sites designated to date. This is expressed as a percentage of species and habi</w:t>
      </w:r>
      <w:r>
        <w:rPr>
          <w:rFonts w:asciiTheme="minorHAnsi" w:hAnsiTheme="minorHAnsi"/>
          <w:sz w:val="16"/>
          <w:szCs w:val="16"/>
        </w:rPr>
        <w:t xml:space="preserve">tats for which further areas need to be designated in order to complete the network in that country. A scientific reserve is given when further research is needed to identify the most appropriate sites to be added for a species or habitat. </w:t>
      </w:r>
      <w:hyperlink r:id="rId26" w:history="1">
        <w:r>
          <w:rPr>
            <w:rStyle w:val="Hyperlink"/>
            <w:rFonts w:asciiTheme="minorHAnsi" w:hAnsiTheme="minorHAnsi"/>
            <w:sz w:val="16"/>
            <w:szCs w:val="16"/>
          </w:rPr>
          <w:t>The current data</w:t>
        </w:r>
      </w:hyperlink>
      <w:r>
        <w:rPr>
          <w:rFonts w:asciiTheme="minorHAnsi" w:hAnsiTheme="minorHAnsi"/>
          <w:sz w:val="16"/>
          <w:szCs w:val="16"/>
        </w:rPr>
        <w:t>, which were assessed in 2014-2015, reflect the situation up until December 2013.</w:t>
      </w:r>
    </w:p>
  </w:footnote>
  <w:footnote w:id="37">
    <w:p w:rsidR="00A22C37" w:rsidRDefault="000B1CC4">
      <w:pPr>
        <w:pStyle w:val="FootnoteText"/>
        <w:ind w:left="170" w:hanging="170"/>
        <w:rPr>
          <w:sz w:val="16"/>
          <w:szCs w:val="16"/>
          <w:vertAlign w:val="superscript"/>
        </w:rPr>
      </w:pPr>
      <w:r>
        <w:rPr>
          <w:rStyle w:val="FootnoteReference"/>
          <w:sz w:val="16"/>
          <w:szCs w:val="16"/>
        </w:rPr>
        <w:footnoteRef/>
      </w:r>
      <w:r>
        <w:rPr>
          <w:sz w:val="16"/>
          <w:szCs w:val="16"/>
          <w:vertAlign w:val="superscript"/>
        </w:rPr>
        <w:t xml:space="preserve"> </w:t>
      </w:r>
      <w:r>
        <w:rPr>
          <w:sz w:val="16"/>
          <w:szCs w:val="16"/>
        </w:rPr>
        <w:t xml:space="preserve">The percentages in Figure 5 refer to percentages of the total </w:t>
      </w:r>
      <w:r>
        <w:rPr>
          <w:sz w:val="16"/>
          <w:szCs w:val="16"/>
        </w:rPr>
        <w:t>number of assessments (one assessment covering 1 species or 1 habitat in a given biographical region with the Member State); if a habitat type or a species occurs in more than 1 Biogeographic region within a given Member State, there will be as many indivi</w:t>
      </w:r>
      <w:r>
        <w:rPr>
          <w:sz w:val="16"/>
          <w:szCs w:val="16"/>
        </w:rPr>
        <w:t>dual assessments as there are Biogeographic regions with an occurrence of that species or habitat in this Member State.</w:t>
      </w:r>
    </w:p>
  </w:footnote>
  <w:footnote w:id="38">
    <w:p w:rsidR="00A22C37" w:rsidRDefault="000B1CC4">
      <w:pPr>
        <w:widowControl w:val="0"/>
        <w:spacing w:after="0" w:line="240" w:lineRule="auto"/>
        <w:ind w:left="170" w:hanging="170"/>
        <w:rPr>
          <w:sz w:val="16"/>
          <w:szCs w:val="16"/>
        </w:rPr>
      </w:pPr>
      <w:r>
        <w:rPr>
          <w:rStyle w:val="FootnoteReference"/>
          <w:sz w:val="16"/>
          <w:szCs w:val="16"/>
        </w:rPr>
        <w:footnoteRef/>
      </w:r>
      <w:r>
        <w:rPr>
          <w:sz w:val="16"/>
          <w:szCs w:val="16"/>
        </w:rPr>
        <w:t xml:space="preserve"> The core of the ‘Article 17’ report is the assessment of conservation status of the habitats and species targeted by the Habitats Dire</w:t>
      </w:r>
      <w:r>
        <w:rPr>
          <w:sz w:val="16"/>
          <w:szCs w:val="16"/>
        </w:rPr>
        <w:t>ctive.</w:t>
      </w:r>
    </w:p>
  </w:footnote>
  <w:footnote w:id="39">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 a standard methodology as being either ‘favourable’, ‘unfavourable-inadequate’ and ‘unfavourable-bad’, based on four parameters as defined in Article 1 of the Habitats Directive.</w:t>
      </w:r>
    </w:p>
  </w:footnote>
  <w:footnote w:id="40">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These figures show the perce</w:t>
      </w:r>
      <w:r>
        <w:rPr>
          <w:rFonts w:asciiTheme="minorHAnsi" w:hAnsiTheme="minorHAnsi" w:cstheme="minorHAnsi"/>
          <w:iCs/>
          <w:sz w:val="16"/>
          <w:szCs w:val="16"/>
        </w:rPr>
        <w:t xml:space="preserve">ntage of </w:t>
      </w:r>
      <w:proofErr w:type="spellStart"/>
      <w:r>
        <w:rPr>
          <w:rFonts w:asciiTheme="minorHAnsi" w:hAnsiTheme="minorHAnsi" w:cstheme="minorHAnsi"/>
          <w:iCs/>
          <w:sz w:val="16"/>
          <w:szCs w:val="16"/>
        </w:rPr>
        <w:t>biogeographical</w:t>
      </w:r>
      <w:proofErr w:type="spellEnd"/>
      <w:r>
        <w:rPr>
          <w:rFonts w:asciiTheme="minorHAnsi" w:hAnsiTheme="minorHAnsi" w:cstheme="minorHAnsi"/>
          <w:iCs/>
          <w:sz w:val="16"/>
          <w:szCs w:val="16"/>
        </w:rPr>
        <w:t xml:space="preserve"> assessments in each category of conservation status for habitats and species </w:t>
      </w:r>
      <w:r>
        <w:rPr>
          <w:sz w:val="16"/>
          <w:szCs w:val="16"/>
        </w:rPr>
        <w:t>(one assessment covering 1 species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information is based on Article 1</w:t>
      </w:r>
      <w:r>
        <w:rPr>
          <w:rFonts w:asciiTheme="minorHAnsi" w:hAnsiTheme="minorHAnsi"/>
          <w:sz w:val="16"/>
          <w:szCs w:val="16"/>
        </w:rPr>
        <w:t xml:space="preserve">7 of the Habitats Directive reporting - </w:t>
      </w:r>
      <w:hyperlink r:id="rId27" w:history="1">
        <w:r>
          <w:rPr>
            <w:rStyle w:val="Hyperlink"/>
            <w:rFonts w:asciiTheme="minorHAnsi" w:hAnsiTheme="minorHAnsi"/>
            <w:sz w:val="16"/>
            <w:szCs w:val="16"/>
          </w:rPr>
          <w:t>national summary of Romania</w:t>
        </w:r>
      </w:hyperlink>
    </w:p>
  </w:footnote>
  <w:footnote w:id="41">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between 2007 and 2013 data is complicated by the </w:t>
      </w:r>
      <w:r>
        <w:rPr>
          <w:rFonts w:asciiTheme="minorHAnsi" w:hAnsiTheme="minorHAnsi"/>
          <w:sz w:val="16"/>
          <w:szCs w:val="16"/>
        </w:rPr>
        <w:t>fact that Bulgaria and Romania were not covered by the 2007 reporting cycle, that the ‘unknown’ assessments have strongly diminished particularly for species, and that some reported changes are not genuine as they result from improved data/ monitoring meth</w:t>
      </w:r>
      <w:r>
        <w:rPr>
          <w:rFonts w:asciiTheme="minorHAnsi" w:hAnsiTheme="minorHAnsi"/>
          <w:sz w:val="16"/>
          <w:szCs w:val="16"/>
        </w:rPr>
        <w:t>ods.</w:t>
      </w:r>
    </w:p>
  </w:footnote>
  <w:footnote w:id="42">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reporting - </w:t>
      </w:r>
      <w:hyperlink r:id="rId28" w:history="1">
        <w:r>
          <w:rPr>
            <w:rStyle w:val="Hyperlink"/>
            <w:rFonts w:asciiTheme="minorHAnsi" w:hAnsiTheme="minorHAnsi"/>
            <w:sz w:val="16"/>
            <w:szCs w:val="16"/>
          </w:rPr>
          <w:t>national summary of Romania</w:t>
        </w:r>
      </w:hyperlink>
    </w:p>
  </w:footnote>
  <w:footnote w:id="43">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Ecosystem services are benefits provided by nature such as food, clean water and pollinat</w:t>
      </w:r>
      <w:r>
        <w:rPr>
          <w:rFonts w:asciiTheme="minorHAnsi" w:hAnsiTheme="minorHAnsi"/>
          <w:sz w:val="16"/>
          <w:szCs w:val="16"/>
        </w:rPr>
        <w:t>ion on which human society depends.</w:t>
      </w:r>
    </w:p>
  </w:footnote>
  <w:footnote w:id="44">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Enhancing Europe’s Natural Capital, </w:t>
      </w:r>
      <w:hyperlink r:id="rId29" w:history="1">
        <w:r>
          <w:rPr>
            <w:rStyle w:val="Hyperlink"/>
            <w:rFonts w:asciiTheme="minorHAnsi" w:hAnsiTheme="minorHAnsi"/>
            <w:sz w:val="16"/>
            <w:szCs w:val="16"/>
          </w:rPr>
          <w:t>COM/2013/0249</w:t>
        </w:r>
      </w:hyperlink>
    </w:p>
  </w:footnote>
  <w:footnote w:id="45">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SWD52013)155, p. 21</w:t>
      </w:r>
    </w:p>
  </w:footnote>
  <w:footnote w:id="46">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proofErr w:type="gramStart"/>
      <w:r>
        <w:rPr>
          <w:rFonts w:asciiTheme="minorHAnsi" w:hAnsiTheme="minorHAnsi"/>
          <w:sz w:val="16"/>
          <w:szCs w:val="16"/>
        </w:rPr>
        <w:t>Trinomics</w:t>
      </w:r>
      <w:proofErr w:type="spellEnd"/>
      <w:r>
        <w:rPr>
          <w:rFonts w:asciiTheme="minorHAnsi" w:hAnsiTheme="minorHAnsi"/>
          <w:sz w:val="16"/>
          <w:szCs w:val="16"/>
        </w:rPr>
        <w:t>, 2016.</w:t>
      </w:r>
      <w:proofErr w:type="gramEnd"/>
      <w:r>
        <w:rPr>
          <w:rFonts w:asciiTheme="minorHAnsi" w:hAnsiTheme="minorHAnsi"/>
          <w:sz w:val="16"/>
          <w:szCs w:val="16"/>
        </w:rPr>
        <w:t xml:space="preserve"> </w:t>
      </w:r>
      <w:hyperlink r:id="rId30" w:history="1">
        <w:proofErr w:type="gramStart"/>
        <w:r>
          <w:rPr>
            <w:rStyle w:val="Hyperlink"/>
            <w:rFonts w:asciiTheme="minorHAnsi" w:hAnsiTheme="minorHAnsi"/>
            <w:sz w:val="16"/>
            <w:szCs w:val="16"/>
          </w:rPr>
          <w:t>Supporting the implementation of the European Green Infrastructure Strategy</w:t>
        </w:r>
      </w:hyperlink>
      <w:r>
        <w:rPr>
          <w:rFonts w:asciiTheme="minorHAnsi" w:hAnsiTheme="minorHAnsi"/>
          <w:sz w:val="16"/>
          <w:szCs w:val="16"/>
        </w:rPr>
        <w:t>.</w:t>
      </w:r>
      <w:proofErr w:type="gramEnd"/>
      <w:r>
        <w:rPr>
          <w:rFonts w:asciiTheme="minorHAnsi" w:hAnsiTheme="minorHAnsi"/>
          <w:sz w:val="16"/>
          <w:szCs w:val="16"/>
        </w:rPr>
        <w:t xml:space="preserve"> Study for the European Commission, draft cou</w:t>
      </w:r>
      <w:r>
        <w:rPr>
          <w:rFonts w:asciiTheme="minorHAnsi" w:hAnsiTheme="minorHAnsi"/>
          <w:sz w:val="16"/>
          <w:szCs w:val="16"/>
        </w:rPr>
        <w:t>ntry fact sheet Romania</w:t>
      </w:r>
    </w:p>
  </w:footnote>
  <w:footnote w:id="47">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proofErr w:type="gramStart"/>
      <w:r>
        <w:rPr>
          <w:rFonts w:asciiTheme="minorHAnsi" w:hAnsiTheme="minorHAnsi"/>
          <w:sz w:val="16"/>
          <w:szCs w:val="16"/>
        </w:rPr>
        <w:t>Trinomics</w:t>
      </w:r>
      <w:proofErr w:type="spellEnd"/>
      <w:r>
        <w:rPr>
          <w:rFonts w:asciiTheme="minorHAnsi" w:hAnsiTheme="minorHAnsi"/>
          <w:sz w:val="16"/>
          <w:szCs w:val="16"/>
        </w:rPr>
        <w:t>, 2016.</w:t>
      </w:r>
      <w:proofErr w:type="gramEnd"/>
      <w:r>
        <w:rPr>
          <w:rFonts w:asciiTheme="minorHAnsi" w:hAnsiTheme="minorHAnsi"/>
          <w:sz w:val="16"/>
          <w:szCs w:val="16"/>
        </w:rPr>
        <w:t xml:space="preserve"> </w:t>
      </w:r>
      <w:hyperlink r:id="rId31" w:history="1">
        <w:proofErr w:type="gramStart"/>
        <w:r>
          <w:rPr>
            <w:rStyle w:val="Hyperlink"/>
            <w:rFonts w:asciiTheme="minorHAnsi" w:hAnsiTheme="minorHAnsi"/>
            <w:sz w:val="16"/>
            <w:szCs w:val="16"/>
          </w:rPr>
          <w:t>Supporting the implementation of the European Green Infrastructure Strategy</w:t>
        </w:r>
      </w:hyperlink>
      <w:r>
        <w:rPr>
          <w:rFonts w:asciiTheme="minorHAnsi" w:hAnsiTheme="minorHAnsi"/>
          <w:sz w:val="16"/>
          <w:szCs w:val="16"/>
        </w:rPr>
        <w:t>.</w:t>
      </w:r>
      <w:proofErr w:type="gramEnd"/>
      <w:r>
        <w:rPr>
          <w:rFonts w:asciiTheme="minorHAnsi" w:hAnsiTheme="minorHAnsi"/>
          <w:sz w:val="16"/>
          <w:szCs w:val="16"/>
        </w:rPr>
        <w:t xml:space="preserve"> Study for the </w:t>
      </w:r>
      <w:r>
        <w:rPr>
          <w:rFonts w:asciiTheme="minorHAnsi" w:hAnsiTheme="minorHAnsi"/>
          <w:sz w:val="16"/>
          <w:szCs w:val="16"/>
        </w:rPr>
        <w:t>European Commission, draft country fact sheet Romania</w:t>
      </w:r>
    </w:p>
  </w:footnote>
  <w:footnote w:id="48">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proofErr w:type="gramStart"/>
      <w:r>
        <w:rPr>
          <w:rFonts w:asciiTheme="minorHAnsi" w:hAnsiTheme="minorHAnsi"/>
          <w:sz w:val="16"/>
          <w:szCs w:val="16"/>
        </w:rPr>
        <w:t>Trinomics</w:t>
      </w:r>
      <w:proofErr w:type="spellEnd"/>
      <w:r>
        <w:rPr>
          <w:rFonts w:asciiTheme="minorHAnsi" w:hAnsiTheme="minorHAnsi"/>
          <w:sz w:val="16"/>
          <w:szCs w:val="16"/>
        </w:rPr>
        <w:t>, 2016.</w:t>
      </w:r>
      <w:proofErr w:type="gramEnd"/>
      <w:r>
        <w:rPr>
          <w:rFonts w:asciiTheme="minorHAnsi" w:hAnsiTheme="minorHAnsi"/>
          <w:sz w:val="16"/>
          <w:szCs w:val="16"/>
        </w:rPr>
        <w:t xml:space="preserve"> </w:t>
      </w:r>
      <w:hyperlink r:id="rId32" w:history="1">
        <w:proofErr w:type="gramStart"/>
        <w:r>
          <w:rPr>
            <w:rStyle w:val="Hyperlink"/>
            <w:rFonts w:asciiTheme="minorHAnsi" w:hAnsiTheme="minorHAnsi"/>
            <w:sz w:val="16"/>
            <w:szCs w:val="16"/>
          </w:rPr>
          <w:t>Supporting the implementation of the European Green Infrastructure</w:t>
        </w:r>
        <w:r>
          <w:rPr>
            <w:rStyle w:val="Hyperlink"/>
            <w:rFonts w:asciiTheme="minorHAnsi" w:hAnsiTheme="minorHAnsi"/>
            <w:sz w:val="16"/>
            <w:szCs w:val="16"/>
          </w:rPr>
          <w:t xml:space="preserve"> Strategy</w:t>
        </w:r>
      </w:hyperlink>
      <w:r>
        <w:rPr>
          <w:rFonts w:asciiTheme="minorHAnsi" w:hAnsiTheme="minorHAnsi"/>
          <w:sz w:val="16"/>
          <w:szCs w:val="16"/>
        </w:rPr>
        <w:t>.</w:t>
      </w:r>
      <w:proofErr w:type="gramEnd"/>
      <w:r>
        <w:rPr>
          <w:rFonts w:asciiTheme="minorHAnsi" w:hAnsiTheme="minorHAnsi"/>
          <w:sz w:val="16"/>
          <w:szCs w:val="16"/>
        </w:rPr>
        <w:t xml:space="preserve"> Study for the European Commission, draft country fact sheet Romania</w:t>
      </w:r>
    </w:p>
  </w:footnote>
  <w:footnote w:id="49">
    <w:p w:rsidR="00A22C37" w:rsidRDefault="000B1CC4">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sz w:val="16"/>
          <w:szCs w:val="16"/>
        </w:rPr>
        <w:t>European Environment Agency.</w:t>
      </w:r>
      <w:proofErr w:type="gramEnd"/>
      <w:r>
        <w:rPr>
          <w:sz w:val="16"/>
          <w:szCs w:val="16"/>
        </w:rPr>
        <w:t xml:space="preserve"> Land cover 2012 and changes country analysis [publication forthcoming]</w:t>
      </w:r>
    </w:p>
  </w:footnote>
  <w:footnote w:id="50">
    <w:p w:rsidR="00A22C37" w:rsidRDefault="000B1CC4">
      <w:pPr>
        <w:pStyle w:val="FootnoteText"/>
        <w:ind w:left="170" w:hanging="170"/>
        <w:rPr>
          <w:sz w:val="16"/>
          <w:szCs w:val="16"/>
        </w:rPr>
      </w:pPr>
      <w:r>
        <w:rPr>
          <w:rStyle w:val="FootnoteReference"/>
          <w:sz w:val="16"/>
          <w:szCs w:val="16"/>
        </w:rPr>
        <w:footnoteRef/>
      </w:r>
      <w:r>
        <w:rPr>
          <w:sz w:val="16"/>
          <w:szCs w:val="16"/>
        </w:rPr>
        <w:t xml:space="preserve"> European Environment Agency </w:t>
      </w:r>
      <w:hyperlink r:id="rId33" w:history="1">
        <w:r>
          <w:rPr>
            <w:rStyle w:val="Hyperlink"/>
            <w:sz w:val="16"/>
            <w:szCs w:val="16"/>
          </w:rPr>
          <w:t>Draft results of CORINE Land Cover (CLC) inventory 2012</w:t>
        </w:r>
      </w:hyperlink>
      <w:r>
        <w:rPr>
          <w:rStyle w:val="Hyperlink"/>
          <w:sz w:val="16"/>
          <w:szCs w:val="16"/>
        </w:rPr>
        <w:t xml:space="preserve">; </w:t>
      </w:r>
      <w:r>
        <w:rPr>
          <w:sz w:val="16"/>
          <w:szCs w:val="16"/>
        </w:rPr>
        <w:t>mean annual land take 2006-12 as a % of 2006 artificial land.</w:t>
      </w:r>
    </w:p>
  </w:footnote>
  <w:footnote w:id="51">
    <w:p w:rsidR="00A22C37" w:rsidRDefault="000B1CC4">
      <w:pPr>
        <w:pStyle w:val="FootnoteText"/>
        <w:widowControl w:val="0"/>
        <w:ind w:left="170" w:hanging="170"/>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sz w:val="16"/>
          <w:szCs w:val="16"/>
        </w:rPr>
        <w:t>European Environment Agency, 2016.</w:t>
      </w:r>
      <w:proofErr w:type="gramEnd"/>
      <w:r>
        <w:rPr>
          <w:sz w:val="16"/>
          <w:szCs w:val="16"/>
        </w:rPr>
        <w:t xml:space="preserve"> </w:t>
      </w:r>
      <w:hyperlink r:id="rId34" w:history="1">
        <w:r>
          <w:rPr>
            <w:rStyle w:val="Hyperlink"/>
            <w:sz w:val="16"/>
            <w:szCs w:val="16"/>
          </w:rPr>
          <w:t>Imperviousness and imperviousness change</w:t>
        </w:r>
      </w:hyperlink>
      <w:r>
        <w:rPr>
          <w:rStyle w:val="Hyperlink"/>
          <w:sz w:val="16"/>
          <w:szCs w:val="16"/>
        </w:rPr>
        <w:t>, Figure 1</w:t>
      </w:r>
    </w:p>
  </w:footnote>
  <w:footnote w:id="52">
    <w:p w:rsidR="00A22C37" w:rsidRDefault="000B1CC4">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Eurostat,</w:t>
      </w:r>
      <w:hyperlink r:id="rId35" w:history="1">
        <w:r>
          <w:rPr>
            <w:rStyle w:val="Hyperlink"/>
            <w:sz w:val="16"/>
            <w:szCs w:val="16"/>
          </w:rPr>
          <w:t xml:space="preserve"> Soil water erosion rate</w:t>
        </w:r>
      </w:hyperlink>
      <w:r>
        <w:rPr>
          <w:sz w:val="16"/>
          <w:szCs w:val="16"/>
        </w:rPr>
        <w:t>, Fi</w:t>
      </w:r>
      <w:r>
        <w:rPr>
          <w:sz w:val="16"/>
          <w:szCs w:val="16"/>
        </w:rPr>
        <w:t>gure 2, accessed November 2016</w:t>
      </w:r>
    </w:p>
  </w:footnote>
  <w:footnote w:id="53">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36" w:history="1">
        <w:r>
          <w:rPr>
            <w:rStyle w:val="Hyperlink"/>
            <w:rFonts w:asciiTheme="minorHAnsi" w:hAnsiTheme="minorHAnsi"/>
            <w:sz w:val="16"/>
            <w:szCs w:val="16"/>
          </w:rPr>
          <w:t>Marine Strategy Framework Directive 2008/56/EC</w:t>
        </w:r>
      </w:hyperlink>
    </w:p>
  </w:footnote>
  <w:footnote w:id="54">
    <w:p w:rsidR="00A22C37" w:rsidRDefault="000B1CC4">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MSFD defines Good Environmental Status (GES) in Article 3 as: "The e</w:t>
      </w:r>
      <w:r>
        <w:rPr>
          <w:rFonts w:asciiTheme="minorHAnsi" w:hAnsiTheme="minorHAnsi"/>
          <w:sz w:val="16"/>
          <w:szCs w:val="16"/>
        </w:rPr>
        <w:t>nvironmental status of marine waters where these provide ecologically diverse and dynamic oceans and seas which are clean, healthy and productive"</w:t>
      </w:r>
    </w:p>
  </w:footnote>
  <w:footnote w:id="55">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2015.</w:t>
      </w:r>
      <w:proofErr w:type="gramEnd"/>
      <w:r>
        <w:rPr>
          <w:rFonts w:asciiTheme="minorHAnsi" w:hAnsiTheme="minorHAnsi"/>
          <w:sz w:val="16"/>
          <w:szCs w:val="16"/>
        </w:rPr>
        <w:t xml:space="preserve"> State of the Environment report – </w:t>
      </w:r>
      <w:hyperlink r:id="rId37" w:history="1">
        <w:r>
          <w:rPr>
            <w:rStyle w:val="Hyperlink"/>
            <w:rFonts w:asciiTheme="minorHAnsi" w:hAnsiTheme="minorHAnsi"/>
            <w:sz w:val="16"/>
            <w:szCs w:val="16"/>
          </w:rPr>
          <w:t>Black Sea region</w:t>
        </w:r>
      </w:hyperlink>
      <w:r>
        <w:rPr>
          <w:rFonts w:asciiTheme="minorHAnsi" w:hAnsiTheme="minorHAnsi"/>
          <w:sz w:val="16"/>
          <w:szCs w:val="16"/>
        </w:rPr>
        <w:t xml:space="preserve"> </w:t>
      </w:r>
    </w:p>
  </w:footnote>
  <w:footnote w:id="56">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2012 Data provided by the European Environment Agency to the European Commission – Not published</w:t>
      </w:r>
    </w:p>
  </w:footnote>
  <w:footnote w:id="57">
    <w:p w:rsidR="00A22C37" w:rsidRDefault="000B1CC4">
      <w:pPr>
        <w:pStyle w:val="Default"/>
        <w:widowControl w:val="0"/>
        <w:ind w:left="170" w:hanging="170"/>
        <w:rPr>
          <w:rFonts w:asciiTheme="minorHAnsi" w:hAnsiTheme="minorHAnsi" w:cs="Times New Roman"/>
          <w:sz w:val="16"/>
          <w:szCs w:val="16"/>
        </w:rPr>
      </w:pPr>
      <w:r>
        <w:rPr>
          <w:rStyle w:val="FootnoteReference"/>
          <w:rFonts w:asciiTheme="minorHAnsi" w:hAnsiTheme="minorHAnsi"/>
          <w:sz w:val="16"/>
          <w:szCs w:val="16"/>
        </w:rPr>
        <w:footnoteRef/>
      </w:r>
      <w:r>
        <w:rPr>
          <w:rFonts w:asciiTheme="minorHAnsi" w:hAnsiTheme="minorHAnsi" w:cs="Times New Roman"/>
          <w:sz w:val="16"/>
          <w:szCs w:val="16"/>
        </w:rPr>
        <w:t xml:space="preserve"> </w:t>
      </w:r>
      <w:proofErr w:type="gramStart"/>
      <w:r>
        <w:rPr>
          <w:rFonts w:asciiTheme="minorHAnsi" w:hAnsiTheme="minorHAnsi" w:cs="Times New Roman"/>
          <w:sz w:val="16"/>
          <w:szCs w:val="16"/>
        </w:rPr>
        <w:t>European Commission, 2014.</w:t>
      </w:r>
      <w:proofErr w:type="gramEnd"/>
      <w:r>
        <w:rPr>
          <w:rFonts w:asciiTheme="minorHAnsi" w:hAnsiTheme="minorHAnsi" w:cs="Times New Roman"/>
          <w:sz w:val="16"/>
          <w:szCs w:val="16"/>
        </w:rPr>
        <w:t xml:space="preserve"> </w:t>
      </w:r>
      <w:hyperlink r:id="rId38" w:history="1">
        <w:r>
          <w:rPr>
            <w:rStyle w:val="Hyperlink"/>
            <w:rFonts w:asciiTheme="minorHAnsi" w:hAnsiTheme="minorHAnsi"/>
            <w:sz w:val="16"/>
            <w:szCs w:val="16"/>
          </w:rPr>
          <w:t>Environmental monitoring of the Black Sea with focus on nutrient pollution</w:t>
        </w:r>
      </w:hyperlink>
      <w:r>
        <w:rPr>
          <w:rFonts w:asciiTheme="minorHAnsi" w:hAnsiTheme="minorHAnsi" w:cs="Times New Roman"/>
          <w:sz w:val="16"/>
          <w:szCs w:val="16"/>
        </w:rPr>
        <w:t xml:space="preserve">, Final report </w:t>
      </w:r>
    </w:p>
  </w:footnote>
  <w:footnote w:id="58">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Report from the Comm</w:t>
      </w:r>
      <w:r>
        <w:rPr>
          <w:rFonts w:asciiTheme="minorHAnsi" w:hAnsiTheme="minorHAnsi"/>
          <w:sz w:val="16"/>
          <w:szCs w:val="16"/>
        </w:rPr>
        <w:t xml:space="preserve">ission "The first phase of implementation of the Marine Strategy Framework Directive (2008/56/EC) - The European Commission's assessment and guidance" </w:t>
      </w:r>
      <w:hyperlink r:id="rId39" w:history="1">
        <w:r>
          <w:rPr>
            <w:rStyle w:val="Hyperlink"/>
            <w:rFonts w:asciiTheme="minorHAnsi" w:hAnsiTheme="minorHAnsi"/>
            <w:sz w:val="16"/>
            <w:szCs w:val="16"/>
          </w:rPr>
          <w:t>COM(2014)097</w:t>
        </w:r>
      </w:hyperlink>
      <w:r>
        <w:rPr>
          <w:rFonts w:asciiTheme="minorHAnsi" w:hAnsiTheme="minorHAnsi"/>
          <w:sz w:val="16"/>
          <w:szCs w:val="16"/>
        </w:rPr>
        <w:t xml:space="preserve"> &amp; Commission Staff Working Document Accompanying the Commission Report asses</w:t>
      </w:r>
      <w:r>
        <w:rPr>
          <w:rFonts w:asciiTheme="minorHAnsi" w:hAnsiTheme="minorHAnsi"/>
          <w:sz w:val="16"/>
          <w:szCs w:val="16"/>
        </w:rPr>
        <w:t>sing Member States' monitoring programmes under the Marine Strategy Framework Directive (COM(2017)3 and SWD(2017)1 final)</w:t>
      </w:r>
    </w:p>
  </w:footnote>
  <w:footnote w:id="59">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w:t>
      </w:r>
      <w:hyperlink r:id="rId40" w:history="1">
        <w:r>
          <w:rPr>
            <w:rStyle w:val="Hyperlink"/>
            <w:rFonts w:asciiTheme="minorHAnsi" w:hAnsiTheme="minorHAnsi"/>
            <w:sz w:val="16"/>
            <w:szCs w:val="16"/>
          </w:rPr>
          <w:t>Air Quality Standards</w:t>
        </w:r>
      </w:hyperlink>
    </w:p>
  </w:footnote>
  <w:footnote w:id="60">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41" w:history="1">
        <w:r>
          <w:rPr>
            <w:rStyle w:val="Hyperlink"/>
            <w:rFonts w:asciiTheme="minorHAnsi" w:hAnsiTheme="minorHAnsi"/>
            <w:sz w:val="16"/>
            <w:szCs w:val="16"/>
          </w:rPr>
          <w:t>EIONET Central Data Repository</w:t>
        </w:r>
      </w:hyperlink>
      <w:r>
        <w:rPr>
          <w:rFonts w:asciiTheme="minorHAnsi" w:hAnsiTheme="minorHAnsi"/>
          <w:sz w:val="16"/>
          <w:szCs w:val="16"/>
        </w:rPr>
        <w:t xml:space="preserve"> and </w:t>
      </w:r>
      <w:hyperlink r:id="rId42" w:history="1">
        <w:r>
          <w:rPr>
            <w:rStyle w:val="Hyperlink"/>
            <w:rFonts w:asciiTheme="minorHAnsi" w:hAnsiTheme="minorHAnsi"/>
            <w:sz w:val="16"/>
            <w:szCs w:val="16"/>
          </w:rPr>
          <w:t>Air pollutant emissions data viewer (NEC Directive)</w:t>
        </w:r>
      </w:hyperlink>
    </w:p>
  </w:footnote>
  <w:footnote w:id="61">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current national </w:t>
      </w:r>
      <w:r>
        <w:rPr>
          <w:rFonts w:asciiTheme="minorHAnsi" w:hAnsiTheme="minorHAnsi"/>
          <w:sz w:val="16"/>
          <w:szCs w:val="16"/>
        </w:rPr>
        <w:t>emission ceilings apply since 2010 (</w:t>
      </w:r>
      <w:hyperlink r:id="rId43"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44"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62">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Particulate matter (PM)</w:t>
      </w:r>
      <w:r>
        <w:rPr>
          <w:rFonts w:asciiTheme="minorHAnsi" w:hAnsiTheme="minorHAnsi"/>
          <w:sz w:val="16"/>
          <w:szCs w:val="16"/>
        </w:rPr>
        <w:t xml:space="preserve"> is a mixture of aerosol particles (solid and liquid) covering a wide range of sizes and chemical compositions. PM10 (PM2.5) refers to particles with a diameter of 10 (2.5) micrometres or less. PM is emitted from many human sources, including combustion</w:t>
      </w:r>
    </w:p>
  </w:footnote>
  <w:footnote w:id="63">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cstheme="minorHAnsi"/>
          <w:sz w:val="16"/>
          <w:szCs w:val="16"/>
        </w:rPr>
        <w:t>European Environment Agency, 2016.</w:t>
      </w:r>
      <w:proofErr w:type="gramEnd"/>
      <w:r>
        <w:rPr>
          <w:rFonts w:asciiTheme="minorHAnsi" w:hAnsiTheme="minorHAnsi" w:cstheme="minorHAnsi"/>
          <w:sz w:val="16"/>
          <w:szCs w:val="16"/>
        </w:rPr>
        <w:t xml:space="preserve"> </w:t>
      </w:r>
      <w:hyperlink r:id="rId45" w:history="1">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 xml:space="preserve"> (Table 10.2, please see details in this report as regards the underpinning methodology)</w:t>
      </w:r>
    </w:p>
  </w:footnote>
  <w:footnote w:id="64">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cstheme="minorHAnsi"/>
          <w:sz w:val="16"/>
          <w:szCs w:val="16"/>
        </w:rPr>
        <w:t>Based on European Environment Agency, 2016.</w:t>
      </w:r>
      <w:proofErr w:type="gramEnd"/>
      <w:r>
        <w:rPr>
          <w:rFonts w:asciiTheme="minorHAnsi" w:hAnsiTheme="minorHAnsi" w:cstheme="minorHAnsi"/>
          <w:sz w:val="16"/>
          <w:szCs w:val="16"/>
        </w:rPr>
        <w:t xml:space="preserve"> </w:t>
      </w:r>
      <w:hyperlink r:id="rId46" w:history="1">
        <w:proofErr w:type="gramStart"/>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w:t>
      </w:r>
      <w:proofErr w:type="gramEnd"/>
      <w:r>
        <w:rPr>
          <w:rFonts w:asciiTheme="minorHAnsi" w:hAnsiTheme="minorHAnsi" w:cstheme="minorHAnsi"/>
          <w:sz w:val="16"/>
          <w:szCs w:val="16"/>
        </w:rPr>
        <w:t xml:space="preserve"> (Figures 4.1, 5.1 and 6.1)</w:t>
      </w:r>
    </w:p>
  </w:footnote>
  <w:footnote w:id="65">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47" w:history="1">
        <w:r>
          <w:rPr>
            <w:rStyle w:val="Hyperlink"/>
            <w:rFonts w:asciiTheme="minorHAnsi" w:hAnsiTheme="minorHAnsi"/>
            <w:sz w:val="16"/>
            <w:szCs w:val="16"/>
          </w:rPr>
          <w:t>The EEA/</w:t>
        </w:r>
        <w:proofErr w:type="spellStart"/>
        <w:r>
          <w:rPr>
            <w:rStyle w:val="Hyperlink"/>
            <w:rFonts w:asciiTheme="minorHAnsi" w:hAnsiTheme="minorHAnsi"/>
            <w:sz w:val="16"/>
            <w:szCs w:val="16"/>
          </w:rPr>
          <w:t>Eionet</w:t>
        </w:r>
        <w:proofErr w:type="spellEnd"/>
        <w:r>
          <w:rPr>
            <w:rStyle w:val="Hyperlink"/>
            <w:rFonts w:asciiTheme="minorHAnsi" w:hAnsiTheme="minorHAnsi"/>
            <w:sz w:val="16"/>
            <w:szCs w:val="16"/>
          </w:rPr>
          <w:t xml:space="preserve"> Air Quality Portal</w:t>
        </w:r>
      </w:hyperlink>
      <w:r>
        <w:rPr>
          <w:rFonts w:asciiTheme="minorHAnsi" w:hAnsiTheme="minorHAnsi"/>
          <w:sz w:val="16"/>
          <w:szCs w:val="16"/>
        </w:rPr>
        <w:t xml:space="preserve"> and the related Central Data Repository</w:t>
      </w:r>
    </w:p>
  </w:footnote>
  <w:footnote w:id="66">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Based on the </w:t>
      </w:r>
      <w:hyperlink r:id="rId48" w:history="1">
        <w:r>
          <w:rPr>
            <w:rStyle w:val="Hyperlink"/>
            <w:rFonts w:asciiTheme="minorHAnsi" w:hAnsiTheme="minorHAnsi"/>
            <w:sz w:val="16"/>
            <w:szCs w:val="16"/>
          </w:rPr>
          <w:t>Impact Assessment</w:t>
        </w:r>
      </w:hyperlink>
      <w:r>
        <w:rPr>
          <w:rFonts w:asciiTheme="minorHAnsi" w:hAnsiTheme="minorHAnsi"/>
          <w:sz w:val="16"/>
          <w:szCs w:val="16"/>
        </w:rPr>
        <w:t xml:space="preserve"> for the European Commission Integrated Clean Air Package (2013)</w:t>
      </w:r>
    </w:p>
  </w:footnote>
  <w:footnote w:id="67">
    <w:p w:rsidR="00A22C37" w:rsidRDefault="000B1CC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w:t>
      </w:r>
      <w:r>
        <w:rPr>
          <w:rFonts w:asciiTheme="minorHAnsi" w:hAnsiTheme="minorHAnsi"/>
          <w:sz w:val="16"/>
          <w:szCs w:val="16"/>
        </w:rPr>
        <w:t>nder the provisions of the revised National Emission Ceilings Directive, Member States now may apply for emission inventory adjustments. Pending evaluation of any adjustment application, Member States should keep emissions under close control with a view t</w:t>
      </w:r>
      <w:r>
        <w:rPr>
          <w:rFonts w:asciiTheme="minorHAnsi" w:hAnsiTheme="minorHAnsi"/>
          <w:sz w:val="16"/>
          <w:szCs w:val="16"/>
        </w:rPr>
        <w:t>o further reductions.</w:t>
      </w:r>
    </w:p>
  </w:footnote>
  <w:footnote w:id="68">
    <w:p w:rsidR="00A22C37" w:rsidRDefault="000B1CC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WHO/JRC, 2011, Burden of disease from environmental noise, </w:t>
      </w:r>
      <w:proofErr w:type="spellStart"/>
      <w:r>
        <w:rPr>
          <w:rFonts w:asciiTheme="minorHAnsi" w:hAnsiTheme="minorHAnsi"/>
          <w:sz w:val="16"/>
          <w:szCs w:val="16"/>
        </w:rPr>
        <w:t>Fritschi</w:t>
      </w:r>
      <w:proofErr w:type="spellEnd"/>
      <w:r>
        <w:rPr>
          <w:rFonts w:asciiTheme="minorHAnsi" w:hAnsiTheme="minorHAnsi"/>
          <w:sz w:val="16"/>
          <w:szCs w:val="16"/>
        </w:rPr>
        <w:t xml:space="preserve">, L., Brown, A.L., Kim, R., </w:t>
      </w:r>
      <w:proofErr w:type="spellStart"/>
      <w:r>
        <w:rPr>
          <w:rFonts w:asciiTheme="minorHAnsi" w:hAnsiTheme="minorHAnsi"/>
          <w:sz w:val="16"/>
          <w:szCs w:val="16"/>
        </w:rPr>
        <w:t>Schwela</w:t>
      </w:r>
      <w:proofErr w:type="spellEnd"/>
      <w:r>
        <w:rPr>
          <w:rFonts w:asciiTheme="minorHAnsi" w:hAnsiTheme="minorHAnsi"/>
          <w:sz w:val="16"/>
          <w:szCs w:val="16"/>
        </w:rPr>
        <w:t xml:space="preserve">, D., </w:t>
      </w:r>
      <w:proofErr w:type="spellStart"/>
      <w:r>
        <w:rPr>
          <w:rFonts w:asciiTheme="minorHAnsi" w:hAnsiTheme="minorHAnsi"/>
          <w:sz w:val="16"/>
          <w:szCs w:val="16"/>
        </w:rPr>
        <w:t>Kephalopoulos</w:t>
      </w:r>
      <w:proofErr w:type="spellEnd"/>
      <w:r>
        <w:rPr>
          <w:rFonts w:asciiTheme="minorHAnsi" w:hAnsiTheme="minorHAnsi"/>
          <w:sz w:val="16"/>
          <w:szCs w:val="16"/>
        </w:rPr>
        <w:t>, S. (</w:t>
      </w:r>
      <w:proofErr w:type="spellStart"/>
      <w:r>
        <w:rPr>
          <w:rFonts w:asciiTheme="minorHAnsi" w:hAnsiTheme="minorHAnsi"/>
          <w:sz w:val="16"/>
          <w:szCs w:val="16"/>
        </w:rPr>
        <w:t>eds</w:t>
      </w:r>
      <w:proofErr w:type="spellEnd"/>
      <w:r>
        <w:rPr>
          <w:rFonts w:asciiTheme="minorHAnsi" w:hAnsiTheme="minorHAnsi"/>
          <w:sz w:val="16"/>
          <w:szCs w:val="16"/>
        </w:rPr>
        <w:t xml:space="preserve">), </w:t>
      </w:r>
      <w:hyperlink r:id="rId49"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Denmark</w:t>
      </w:r>
    </w:p>
  </w:footnote>
  <w:footnote w:id="69">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Directive requires Member States to prepare and publish, every 5 years, noise maps and noise management a</w:t>
      </w:r>
      <w:r>
        <w:rPr>
          <w:rFonts w:asciiTheme="minorHAnsi" w:hAnsiTheme="minorHAnsi"/>
          <w:sz w:val="16"/>
          <w:szCs w:val="16"/>
        </w:rPr>
        <w:t xml:space="preserve">ction plans for agglomerations with more than 100,000 inhabitants, and for major roads, railways and airports. </w:t>
      </w:r>
    </w:p>
  </w:footnote>
  <w:footnote w:id="70">
    <w:p w:rsidR="00A22C37" w:rsidRDefault="000B1CC4">
      <w:pPr>
        <w:pStyle w:val="FootnoteText"/>
        <w:widowControl w:val="0"/>
        <w:ind w:left="170" w:hanging="17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50" w:history="1">
        <w:r>
          <w:rPr>
            <w:rStyle w:val="Hyperlink"/>
            <w:rFonts w:asciiTheme="minorHAnsi" w:hAnsiTheme="minorHAnsi"/>
            <w:sz w:val="16"/>
            <w:szCs w:val="16"/>
          </w:rPr>
          <w:t xml:space="preserve">Bathing Waters </w:t>
        </w:r>
        <w:r>
          <w:rPr>
            <w:rStyle w:val="Hyperlink"/>
            <w:rFonts w:asciiTheme="minorHAnsi" w:hAnsiTheme="minorHAnsi"/>
            <w:sz w:val="16"/>
            <w:szCs w:val="16"/>
          </w:rPr>
          <w:t>Directive (2006/7/EC);</w:t>
        </w:r>
      </w:hyperlink>
      <w:r>
        <w:rPr>
          <w:rFonts w:asciiTheme="minorHAnsi" w:hAnsiTheme="minorHAnsi"/>
          <w:sz w:val="16"/>
          <w:szCs w:val="16"/>
        </w:rPr>
        <w:t xml:space="preserve"> the </w:t>
      </w:r>
      <w:hyperlink r:id="rId51"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concerning discharges of municipal and some industrial waste waters; the </w:t>
      </w:r>
      <w:hyperlink r:id="rId52"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53" w:history="1">
        <w:r>
          <w:rPr>
            <w:rStyle w:val="Hyperlink"/>
            <w:rFonts w:asciiTheme="minorHAnsi" w:hAnsiTheme="minorHAnsi"/>
            <w:sz w:val="16"/>
            <w:szCs w:val="16"/>
          </w:rPr>
          <w:t>Water Framewo</w:t>
        </w:r>
        <w:r>
          <w:rPr>
            <w:rStyle w:val="Hyperlink"/>
            <w:rFonts w:asciiTheme="minorHAnsi" w:hAnsiTheme="minorHAnsi"/>
            <w:sz w:val="16"/>
            <w:szCs w:val="16"/>
          </w:rPr>
          <w:t>rk Directive (2000/60/EC)</w:t>
        </w:r>
      </w:hyperlink>
      <w:r>
        <w:rPr>
          <w:rFonts w:asciiTheme="minorHAnsi" w:hAnsiTheme="minorHAnsi"/>
          <w:sz w:val="16"/>
          <w:szCs w:val="16"/>
        </w:rPr>
        <w:t xml:space="preserve"> concerning water resources management; the </w:t>
      </w:r>
      <w:hyperlink r:id="rId54"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55" w:history="1">
        <w:r>
          <w:rPr>
            <w:rStyle w:val="Hyperlink"/>
            <w:rFonts w:asciiTheme="minorHAnsi" w:hAnsiTheme="minorHAnsi"/>
            <w:sz w:val="16"/>
            <w:szCs w:val="16"/>
          </w:rPr>
          <w:t>Floods Directive (2007/60/EC)</w:t>
        </w:r>
      </w:hyperlink>
    </w:p>
  </w:footnote>
  <w:footnote w:id="71">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More information on the implementation status and more specific recommendations can be found at European Commission, </w:t>
      </w:r>
      <w:hyperlink r:id="rId56" w:history="1">
        <w:r>
          <w:rPr>
            <w:rStyle w:val="Hyperlink"/>
            <w:rFonts w:asciiTheme="minorHAnsi" w:hAnsiTheme="minorHAnsi"/>
            <w:sz w:val="16"/>
            <w:szCs w:val="16"/>
          </w:rPr>
          <w:t>Water Framework Directive Implementation Reports</w:t>
        </w:r>
      </w:hyperlink>
      <w:r>
        <w:rPr>
          <w:rFonts w:asciiTheme="minorHAnsi" w:hAnsiTheme="minorHAnsi"/>
          <w:sz w:val="16"/>
          <w:szCs w:val="16"/>
        </w:rPr>
        <w:t xml:space="preserve"> </w:t>
      </w:r>
    </w:p>
  </w:footnote>
  <w:footnote w:id="72">
    <w:p w:rsidR="00A22C37" w:rsidRDefault="000B1CC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More information on the implementation status and more specific recommendations can be found at European Commission, </w:t>
      </w:r>
      <w:hyperlink r:id="rId57" w:history="1">
        <w:r>
          <w:rPr>
            <w:rStyle w:val="Hyperlink"/>
            <w:rFonts w:asciiTheme="minorHAnsi" w:hAnsiTheme="minorHAnsi"/>
            <w:sz w:val="16"/>
            <w:szCs w:val="16"/>
          </w:rPr>
          <w:t>Water Framework Directive Implementation Reports</w:t>
        </w:r>
      </w:hyperlink>
    </w:p>
  </w:footnote>
  <w:footnote w:id="73">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2010.</w:t>
      </w:r>
      <w:proofErr w:type="gramEnd"/>
      <w:r>
        <w:rPr>
          <w:rFonts w:asciiTheme="minorHAnsi" w:hAnsiTheme="minorHAnsi"/>
          <w:sz w:val="16"/>
          <w:szCs w:val="16"/>
        </w:rPr>
        <w:t xml:space="preserve"> </w:t>
      </w:r>
      <w:hyperlink r:id="rId58" w:history="1">
        <w:r>
          <w:rPr>
            <w:rStyle w:val="Hyperlink"/>
            <w:rFonts w:asciiTheme="minorHAnsi" w:hAnsiTheme="minorHAnsi"/>
            <w:sz w:val="16"/>
            <w:szCs w:val="16"/>
          </w:rPr>
          <w:t>Use of Freshwater resources</w:t>
        </w:r>
      </w:hyperlink>
      <w:r>
        <w:rPr>
          <w:rFonts w:asciiTheme="minorHAnsi" w:hAnsiTheme="minorHAnsi"/>
          <w:sz w:val="16"/>
          <w:szCs w:val="16"/>
        </w:rPr>
        <w:t xml:space="preserve"> </w:t>
      </w:r>
    </w:p>
  </w:footnote>
  <w:footnote w:id="74">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More information on the implementation status and more specific recommendations can be found at European Commission, </w:t>
      </w:r>
      <w:hyperlink r:id="rId59" w:history="1">
        <w:r>
          <w:rPr>
            <w:rStyle w:val="Hyperlink"/>
            <w:rFonts w:asciiTheme="minorHAnsi" w:hAnsiTheme="minorHAnsi"/>
            <w:sz w:val="16"/>
            <w:szCs w:val="16"/>
          </w:rPr>
          <w:t>Water Framework Directive Implementation Reports</w:t>
        </w:r>
      </w:hyperlink>
    </w:p>
  </w:footnote>
  <w:footnote w:id="75">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Policy Research Corporation, 2009. </w:t>
      </w:r>
      <w:hyperlink r:id="rId60" w:history="1">
        <w:r>
          <w:rPr>
            <w:rStyle w:val="Hyperlink"/>
            <w:rFonts w:asciiTheme="minorHAnsi" w:hAnsiTheme="minorHAnsi"/>
            <w:sz w:val="16"/>
            <w:szCs w:val="16"/>
          </w:rPr>
          <w:t>The economics of climate change adaptation in EU coastal areas – Rom</w:t>
        </w:r>
        <w:r>
          <w:rPr>
            <w:rStyle w:val="Hyperlink"/>
            <w:rFonts w:asciiTheme="minorHAnsi" w:hAnsiTheme="minorHAnsi"/>
            <w:sz w:val="16"/>
            <w:szCs w:val="16"/>
          </w:rPr>
          <w:t>ania</w:t>
        </w:r>
      </w:hyperlink>
      <w:r>
        <w:rPr>
          <w:rFonts w:asciiTheme="minorHAnsi" w:hAnsiTheme="minorHAnsi"/>
          <w:sz w:val="16"/>
          <w:szCs w:val="16"/>
        </w:rPr>
        <w:t>. Study for the European Commission</w:t>
      </w:r>
    </w:p>
  </w:footnote>
  <w:footnote w:id="76">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1" w:history="1">
        <w:r>
          <w:rPr>
            <w:rStyle w:val="Hyperlink"/>
            <w:rFonts w:asciiTheme="minorHAnsi" w:hAnsiTheme="minorHAnsi"/>
            <w:sz w:val="16"/>
            <w:szCs w:val="16"/>
          </w:rPr>
          <w:t>Commission's Synthesis Report on the Quality of Drinking Water in the Union</w:t>
        </w:r>
      </w:hyperlink>
      <w:r>
        <w:rPr>
          <w:rFonts w:asciiTheme="minorHAnsi" w:hAnsiTheme="minorHAnsi"/>
          <w:sz w:val="16"/>
          <w:szCs w:val="16"/>
        </w:rPr>
        <w:t xml:space="preserve"> examining Member States' reports for the 2011-2013 per</w:t>
      </w:r>
      <w:r>
        <w:rPr>
          <w:rFonts w:asciiTheme="minorHAnsi" w:hAnsiTheme="minorHAnsi"/>
          <w:sz w:val="16"/>
          <w:szCs w:val="16"/>
        </w:rPr>
        <w:t>iod, foreseen under Article 13(5) of Directive 98/83/EC; COM(2016)666</w:t>
      </w:r>
    </w:p>
  </w:footnote>
  <w:footnote w:id="77">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2014.</w:t>
      </w:r>
      <w:proofErr w:type="gramEnd"/>
      <w:r>
        <w:rPr>
          <w:rFonts w:asciiTheme="minorHAnsi" w:hAnsiTheme="minorHAnsi"/>
          <w:sz w:val="16"/>
          <w:szCs w:val="16"/>
        </w:rPr>
        <w:t xml:space="preserve"> </w:t>
      </w:r>
      <w:hyperlink r:id="rId62" w:history="1">
        <w:r>
          <w:rPr>
            <w:rStyle w:val="Hyperlink"/>
            <w:rFonts w:asciiTheme="minorHAnsi" w:hAnsiTheme="minorHAnsi"/>
            <w:sz w:val="16"/>
            <w:szCs w:val="16"/>
          </w:rPr>
          <w:t>Reporting requirements and Synthesis Reports</w:t>
        </w:r>
      </w:hyperlink>
      <w:r>
        <w:rPr>
          <w:rFonts w:asciiTheme="minorHAnsi" w:hAnsiTheme="minorHAnsi"/>
          <w:sz w:val="16"/>
          <w:szCs w:val="16"/>
        </w:rPr>
        <w:t xml:space="preserve"> </w:t>
      </w:r>
    </w:p>
  </w:footnote>
  <w:footnote w:id="78">
    <w:p w:rsidR="00A22C37" w:rsidRDefault="000B1CC4">
      <w:pPr>
        <w:pStyle w:val="FootnoteText"/>
        <w:widowControl w:val="0"/>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w:t>
      </w:r>
      <w:r>
        <w:rPr>
          <w:rFonts w:asciiTheme="minorHAnsi" w:hAnsiTheme="minorHAnsi"/>
          <w:sz w:val="16"/>
          <w:szCs w:val="16"/>
        </w:rPr>
        <w:t>cy, 2016.</w:t>
      </w:r>
      <w:proofErr w:type="gramEnd"/>
      <w:r>
        <w:rPr>
          <w:rFonts w:asciiTheme="minorHAnsi" w:hAnsiTheme="minorHAnsi"/>
          <w:sz w:val="16"/>
          <w:szCs w:val="16"/>
        </w:rPr>
        <w:t xml:space="preserve"> </w:t>
      </w:r>
      <w:hyperlink r:id="rId63" w:history="1">
        <w:r>
          <w:rPr>
            <w:rStyle w:val="Hyperlink"/>
            <w:rFonts w:asciiTheme="minorHAnsi" w:hAnsiTheme="minorHAnsi"/>
            <w:sz w:val="16"/>
            <w:szCs w:val="16"/>
          </w:rPr>
          <w:t>European bathing water quality in 2015</w:t>
        </w:r>
      </w:hyperlink>
      <w:r>
        <w:rPr>
          <w:rFonts w:asciiTheme="minorHAnsi" w:hAnsiTheme="minorHAnsi"/>
          <w:color w:val="1F497D"/>
          <w:sz w:val="16"/>
          <w:szCs w:val="16"/>
        </w:rPr>
        <w:t xml:space="preserve">, </w:t>
      </w:r>
      <w:r>
        <w:rPr>
          <w:rFonts w:asciiTheme="minorHAnsi" w:hAnsiTheme="minorHAnsi"/>
          <w:sz w:val="16"/>
          <w:szCs w:val="16"/>
        </w:rPr>
        <w:t>p. 26</w:t>
      </w:r>
    </w:p>
  </w:footnote>
  <w:footnote w:id="79">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64" w:history="1">
        <w:r>
          <w:rPr>
            <w:rStyle w:val="Hyperlink"/>
            <w:rFonts w:asciiTheme="minorHAnsi" w:hAnsiTheme="minorHAnsi"/>
            <w:sz w:val="16"/>
            <w:szCs w:val="16"/>
          </w:rPr>
          <w:t>State of bathing water</w:t>
        </w:r>
      </w:hyperlink>
      <w:r>
        <w:rPr>
          <w:rFonts w:asciiTheme="minorHAnsi" w:hAnsiTheme="minorHAnsi"/>
          <w:sz w:val="16"/>
          <w:szCs w:val="16"/>
        </w:rPr>
        <w:t>, 2016</w:t>
      </w:r>
    </w:p>
  </w:footnote>
  <w:footnote w:id="80">
    <w:p w:rsidR="00A22C37" w:rsidRDefault="000B1CC4">
      <w:pPr>
        <w:widowControl w:val="0"/>
        <w:spacing w:after="0" w:line="240" w:lineRule="auto"/>
        <w:ind w:left="170" w:hanging="170"/>
        <w:rPr>
          <w:color w:val="1F497D"/>
          <w:sz w:val="16"/>
          <w:szCs w:val="16"/>
        </w:rPr>
      </w:pPr>
      <w:r>
        <w:rPr>
          <w:rStyle w:val="FootnoteReference"/>
          <w:sz w:val="16"/>
          <w:szCs w:val="16"/>
        </w:rPr>
        <w:footnoteRef/>
      </w:r>
      <w:r>
        <w:rPr>
          <w:sz w:val="16"/>
          <w:szCs w:val="16"/>
        </w:rPr>
        <w:t xml:space="preserve"> </w:t>
      </w:r>
      <w:proofErr w:type="gramStart"/>
      <w:r>
        <w:rPr>
          <w:sz w:val="16"/>
          <w:szCs w:val="16"/>
        </w:rPr>
        <w:t>European Commission, 2016</w:t>
      </w:r>
      <w:hyperlink r:id="rId65" w:history="1">
        <w:r>
          <w:rPr>
            <w:rStyle w:val="Hyperlink"/>
            <w:sz w:val="16"/>
            <w:szCs w:val="16"/>
          </w:rPr>
          <w:t>.</w:t>
        </w:r>
        <w:proofErr w:type="gramEnd"/>
        <w:r>
          <w:rPr>
            <w:rStyle w:val="Hyperlink"/>
            <w:sz w:val="16"/>
            <w:szCs w:val="16"/>
          </w:rPr>
          <w:t xml:space="preserve"> Urban waste water, 8th implementation reports</w:t>
        </w:r>
      </w:hyperlink>
      <w:r>
        <w:rPr>
          <w:sz w:val="16"/>
          <w:szCs w:val="16"/>
        </w:rPr>
        <w:t xml:space="preserve"> </w:t>
      </w:r>
    </w:p>
  </w:footnote>
  <w:footnote w:id="81">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ANAR.</w:t>
      </w:r>
      <w:proofErr w:type="gramEnd"/>
      <w:r>
        <w:rPr>
          <w:rFonts w:asciiTheme="minorHAnsi" w:hAnsiTheme="minorHAnsi"/>
          <w:sz w:val="16"/>
          <w:szCs w:val="16"/>
        </w:rPr>
        <w:t xml:space="preserve"> 2012. Romanian Waters: National Administration. </w:t>
      </w:r>
      <w:r>
        <w:rPr>
          <w:rFonts w:asciiTheme="minorHAnsi" w:hAnsiTheme="minorHAnsi"/>
          <w:sz w:val="16"/>
          <w:szCs w:val="16"/>
          <w:lang w:val="en"/>
        </w:rPr>
        <w:t xml:space="preserve">See </w:t>
      </w:r>
      <w:hyperlink r:id="rId66" w:tgtFrame="_self" w:history="1">
        <w:r>
          <w:rPr>
            <w:rFonts w:asciiTheme="minorHAnsi" w:hAnsiTheme="minorHAnsi"/>
            <w:sz w:val="16"/>
            <w:szCs w:val="16"/>
            <w:lang w:val="en"/>
          </w:rPr>
          <w:t>Annex 1 to Chapter 3 Water</w:t>
        </w:r>
      </w:hyperlink>
      <w:r>
        <w:rPr>
          <w:rFonts w:asciiTheme="minorHAnsi" w:hAnsiTheme="minorHAnsi"/>
          <w:sz w:val="16"/>
          <w:szCs w:val="16"/>
          <w:lang w:val="en"/>
        </w:rPr>
        <w:t xml:space="preserve"> 3.</w:t>
      </w:r>
      <w:r>
        <w:rPr>
          <w:rFonts w:asciiTheme="minorHAnsi" w:hAnsiTheme="minorHAnsi"/>
          <w:sz w:val="16"/>
          <w:szCs w:val="16"/>
          <w:lang w:val="en"/>
        </w:rPr>
        <w:t>5.1 Structure of wastewater discharged in 2012-Table 3.5.1.-1: Summary of wastewater volumes discharged in 2012 on economic activities and Table 3.5.2.1 Summary of pollutant load discharged in 2012 on economic activities</w:t>
      </w:r>
    </w:p>
  </w:footnote>
  <w:footnote w:id="82">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RPA, 2014.</w:t>
      </w:r>
      <w:proofErr w:type="gramEnd"/>
      <w:r>
        <w:rPr>
          <w:rFonts w:asciiTheme="minorHAnsi" w:hAnsiTheme="minorHAnsi"/>
          <w:sz w:val="16"/>
          <w:szCs w:val="16"/>
        </w:rPr>
        <w:t xml:space="preserve"> Study on Economic and </w:t>
      </w:r>
      <w:r>
        <w:rPr>
          <w:rFonts w:asciiTheme="minorHAnsi" w:hAnsiTheme="minorHAnsi"/>
          <w:sz w:val="16"/>
          <w:szCs w:val="16"/>
        </w:rPr>
        <w:t xml:space="preserve">Social Benefits of Environmental Protection and Resource Efficiency Related to the European Semester. Study for the European Commission, </w:t>
      </w:r>
      <w:hyperlink r:id="rId67" w:history="1">
        <w:r>
          <w:rPr>
            <w:rStyle w:val="Hyperlink"/>
            <w:rFonts w:asciiTheme="minorHAnsi" w:hAnsiTheme="minorHAnsi"/>
            <w:sz w:val="16"/>
            <w:szCs w:val="16"/>
          </w:rPr>
          <w:t>Annex 1</w:t>
        </w:r>
        <w:r>
          <w:rPr>
            <w:rStyle w:val="Hyperlink"/>
            <w:rFonts w:asciiTheme="minorHAnsi" w:hAnsiTheme="minorHAnsi"/>
            <w:sz w:val="16"/>
            <w:szCs w:val="16"/>
          </w:rPr>
          <w:t>: Country fiches</w:t>
        </w:r>
      </w:hyperlink>
    </w:p>
  </w:footnote>
  <w:footnote w:id="83">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Report on the Implementation of the Water Framework Directive River Basin Management Plans – Romania </w:t>
      </w:r>
      <w:hyperlink r:id="rId68" w:history="1">
        <w:r>
          <w:rPr>
            <w:rStyle w:val="Hyperlink"/>
            <w:rFonts w:asciiTheme="minorHAnsi" w:hAnsiTheme="minorHAnsi"/>
            <w:sz w:val="16"/>
            <w:szCs w:val="16"/>
          </w:rPr>
          <w:t>(SDW(2012)379 final</w:t>
        </w:r>
      </w:hyperlink>
      <w:r>
        <w:rPr>
          <w:rFonts w:asciiTheme="minorHAnsi" w:hAnsiTheme="minorHAnsi"/>
          <w:sz w:val="16"/>
          <w:szCs w:val="16"/>
        </w:rPr>
        <w:t xml:space="preserve"> </w:t>
      </w:r>
    </w:p>
  </w:footnote>
  <w:footnote w:id="84">
    <w:p w:rsidR="00A22C37" w:rsidRDefault="000B1CC4">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Environment</w:t>
      </w:r>
      <w:proofErr w:type="spellEnd"/>
      <w:r>
        <w:rPr>
          <w:rFonts w:asciiTheme="minorHAnsi" w:hAnsiTheme="minorHAnsi"/>
          <w:sz w:val="16"/>
          <w:szCs w:val="16"/>
          <w:lang w:val="fr-BE"/>
        </w:rPr>
        <w:t xml:space="preserve"> Agency, </w:t>
      </w:r>
      <w:r>
        <w:fldChar w:fldCharType="begin"/>
      </w:r>
      <w:r w:rsidRPr="000B1CC4">
        <w:rPr>
          <w:lang w:val="fr-BE"/>
        </w:rPr>
        <w:instrText xml:space="preserve"> HYPERLINK "http://www.eea.europa.eu/themes/urban" </w:instrText>
      </w:r>
      <w:r>
        <w:fldChar w:fldCharType="separate"/>
      </w:r>
      <w:proofErr w:type="spellStart"/>
      <w:r>
        <w:rPr>
          <w:rStyle w:val="Hyperlink"/>
          <w:rFonts w:asciiTheme="minorHAnsi" w:hAnsiTheme="minorHAnsi"/>
          <w:sz w:val="16"/>
          <w:szCs w:val="16"/>
          <w:lang w:val="fr-BE"/>
        </w:rPr>
        <w:t>Urban</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environment</w:t>
      </w:r>
      <w:proofErr w:type="spellEnd"/>
      <w:r>
        <w:rPr>
          <w:rStyle w:val="Hyperlink"/>
          <w:rFonts w:asciiTheme="minorHAnsi" w:hAnsiTheme="minorHAnsi"/>
          <w:sz w:val="16"/>
          <w:szCs w:val="16"/>
          <w:lang w:val="fr-BE"/>
        </w:rPr>
        <w:fldChar w:fldCharType="end"/>
      </w:r>
    </w:p>
  </w:footnote>
  <w:footnote w:id="85">
    <w:p w:rsidR="00A22C37" w:rsidRDefault="000B1CC4">
      <w:pPr>
        <w:pStyle w:val="FootnoteText"/>
        <w:ind w:left="170" w:hanging="170"/>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hyperlink r:id="rId69" w:history="1">
        <w:r>
          <w:rPr>
            <w:rStyle w:val="Hyperlink"/>
            <w:rFonts w:asciiTheme="minorHAnsi" w:hAnsiTheme="minorHAnsi"/>
            <w:sz w:val="16"/>
            <w:szCs w:val="16"/>
            <w:lang w:val="fr-BE"/>
          </w:rPr>
          <w:t>http://urbanagendaforthe.eu/</w:t>
        </w:r>
      </w:hyperlink>
    </w:p>
  </w:footnote>
  <w:footnote w:id="86">
    <w:p w:rsidR="00A22C37" w:rsidRDefault="000B1CC4">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70" w:history="1">
        <w:r>
          <w:rPr>
            <w:rStyle w:val="Hyperlink"/>
            <w:rFonts w:asciiTheme="minorHAnsi" w:hAnsiTheme="minorHAnsi"/>
            <w:sz w:val="16"/>
            <w:szCs w:val="16"/>
          </w:rPr>
          <w:t>Urban Benchmarking and Monitoring ('</w:t>
        </w:r>
        <w:proofErr w:type="spellStart"/>
        <w:r>
          <w:rPr>
            <w:rStyle w:val="Hyperlink"/>
            <w:rFonts w:asciiTheme="minorHAnsi" w:hAnsiTheme="minorHAnsi"/>
            <w:sz w:val="16"/>
            <w:szCs w:val="16"/>
          </w:rPr>
          <w:t>UBaM</w:t>
        </w:r>
        <w:proofErr w:type="spellEnd"/>
        <w:r>
          <w:rPr>
            <w:rStyle w:val="Hyperlink"/>
            <w:rFonts w:asciiTheme="minorHAnsi" w:hAnsiTheme="minorHAnsi"/>
            <w:sz w:val="16"/>
            <w:szCs w:val="16"/>
          </w:rPr>
          <w:t>') tool</w:t>
        </w:r>
      </w:hyperlink>
      <w:r>
        <w:rPr>
          <w:rFonts w:asciiTheme="minorHAnsi" w:hAnsiTheme="minorHAnsi"/>
          <w:sz w:val="16"/>
          <w:szCs w:val="16"/>
        </w:rPr>
        <w:t xml:space="preserve"> to be launched in 2017. Best practices emerge and these will be better disseminated via the app featuring the </w:t>
      </w:r>
      <w:proofErr w:type="spellStart"/>
      <w:r>
        <w:rPr>
          <w:rFonts w:asciiTheme="minorHAnsi" w:hAnsiTheme="minorHAnsi"/>
          <w:sz w:val="16"/>
          <w:szCs w:val="16"/>
        </w:rPr>
        <w:t>UBaM</w:t>
      </w:r>
      <w:proofErr w:type="spellEnd"/>
      <w:r>
        <w:rPr>
          <w:rFonts w:asciiTheme="minorHAnsi" w:hAnsiTheme="minorHAnsi"/>
          <w:sz w:val="16"/>
          <w:szCs w:val="16"/>
        </w:rPr>
        <w:t xml:space="preserve"> tool, and increasingly via e.g. </w:t>
      </w:r>
      <w:r>
        <w:rPr>
          <w:rFonts w:asciiTheme="minorHAnsi" w:hAnsiTheme="minorHAnsi"/>
          <w:sz w:val="16"/>
          <w:szCs w:val="16"/>
        </w:rPr>
        <w:t>EUROCITIES, ICLEI, CEMR, Committee of the Regions, Covenant of Mayors and others.</w:t>
      </w:r>
    </w:p>
  </w:footnote>
  <w:footnote w:id="87">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Protocol on Access to Genetic Resources and the Fair and Equitable Sharing of Benefits Arising from their Utilization to the Convention on Biological Diversity.</w:t>
      </w:r>
      <w:proofErr w:type="gramEnd"/>
    </w:p>
  </w:footnote>
  <w:footnote w:id="88">
    <w:p w:rsidR="00A22C37" w:rsidRDefault="000B1CC4">
      <w:pPr>
        <w:pStyle w:val="FootnoteText"/>
        <w:widowControl w:val="0"/>
        <w:ind w:left="170" w:hanging="170"/>
        <w:rPr>
          <w:rFonts w:asciiTheme="minorHAnsi" w:hAnsiTheme="minorHAnsi"/>
          <w:sz w:val="16"/>
          <w:szCs w:val="16"/>
          <w:lang w:val="hu-HU"/>
        </w:rPr>
      </w:pPr>
      <w:r>
        <w:rPr>
          <w:rStyle w:val="FootnoteReference"/>
          <w:rFonts w:asciiTheme="minorHAnsi" w:hAnsiTheme="minorHAnsi"/>
          <w:sz w:val="16"/>
          <w:szCs w:val="16"/>
        </w:rPr>
        <w:footnoteRef/>
      </w:r>
      <w:r>
        <w:rPr>
          <w:rFonts w:asciiTheme="minorHAnsi" w:hAnsiTheme="minorHAnsi"/>
          <w:sz w:val="16"/>
          <w:szCs w:val="16"/>
          <w:lang w:val="hu-HU"/>
        </w:rPr>
        <w:t xml:space="preserve"> </w:t>
      </w:r>
      <w:r>
        <w:rPr>
          <w:rFonts w:asciiTheme="minorHAnsi" w:hAnsiTheme="minorHAnsi"/>
          <w:sz w:val="16"/>
          <w:szCs w:val="16"/>
          <w:lang w:val="fr-BE"/>
        </w:rPr>
        <w:t>Eurostat,</w:t>
      </w:r>
      <w:r>
        <w:rPr>
          <w:rFonts w:asciiTheme="minorHAnsi" w:hAnsiTheme="minorHAnsi"/>
          <w:sz w:val="16"/>
          <w:szCs w:val="16"/>
          <w:lang w:val="fr-BE"/>
        </w:rPr>
        <w:t xml:space="preserve"> </w:t>
      </w:r>
      <w:hyperlink r:id="rId71"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tax</w:t>
        </w:r>
        <w:proofErr w:type="spellEnd"/>
        <w:r>
          <w:rPr>
            <w:rStyle w:val="Hyperlink"/>
            <w:rFonts w:asciiTheme="minorHAnsi" w:hAnsiTheme="minorHAnsi"/>
            <w:sz w:val="16"/>
            <w:szCs w:val="16"/>
            <w:lang w:val="fr-BE"/>
          </w:rPr>
          <w:t xml:space="preserve"> revenues</w:t>
        </w:r>
      </w:hyperlink>
      <w:r>
        <w:rPr>
          <w:rFonts w:asciiTheme="minorHAnsi" w:hAnsiTheme="minorHAnsi"/>
          <w:sz w:val="16"/>
          <w:szCs w:val="16"/>
          <w:lang w:val="fr-BE"/>
        </w:rPr>
        <w:t xml:space="preserve">, </w:t>
      </w:r>
      <w:proofErr w:type="spellStart"/>
      <w:r>
        <w:rPr>
          <w:rFonts w:asciiTheme="minorHAnsi" w:hAnsiTheme="minorHAnsi"/>
          <w:sz w:val="16"/>
          <w:szCs w:val="16"/>
          <w:lang w:val="fr-BE"/>
        </w:rPr>
        <w:t>accessed</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June</w:t>
      </w:r>
      <w:proofErr w:type="spellEnd"/>
      <w:r>
        <w:rPr>
          <w:rFonts w:asciiTheme="minorHAnsi" w:hAnsiTheme="minorHAnsi"/>
          <w:sz w:val="16"/>
          <w:szCs w:val="16"/>
          <w:lang w:val="fr-BE"/>
        </w:rPr>
        <w:t xml:space="preserve"> 2016</w:t>
      </w:r>
    </w:p>
  </w:footnote>
  <w:footnote w:id="89">
    <w:p w:rsidR="00A22C37" w:rsidRDefault="000B1CC4">
      <w:pPr>
        <w:pStyle w:val="FootnoteText"/>
        <w:widowControl w:val="0"/>
        <w:ind w:left="170" w:hanging="170"/>
        <w:rPr>
          <w:rFonts w:asciiTheme="minorHAnsi" w:hAnsiTheme="minorHAnsi"/>
          <w:sz w:val="16"/>
          <w:szCs w:val="16"/>
          <w:lang w:val="hu-HU"/>
        </w:rPr>
      </w:pPr>
      <w:r>
        <w:rPr>
          <w:rStyle w:val="FootnoteReference"/>
          <w:rFonts w:asciiTheme="minorHAnsi" w:hAnsiTheme="minorHAnsi"/>
          <w:sz w:val="16"/>
          <w:szCs w:val="16"/>
        </w:rPr>
        <w:footnoteRef/>
      </w:r>
      <w:r>
        <w:rPr>
          <w:rFonts w:asciiTheme="minorHAnsi" w:hAnsiTheme="minorHAnsi"/>
          <w:sz w:val="16"/>
          <w:szCs w:val="16"/>
          <w:lang w:val="hu-HU"/>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72" w:history="1">
        <w:r>
          <w:rPr>
            <w:rStyle w:val="Hyperlink"/>
            <w:rFonts w:asciiTheme="minorHAnsi" w:hAnsiTheme="minorHAnsi"/>
            <w:sz w:val="16"/>
            <w:szCs w:val="16"/>
          </w:rPr>
          <w:t>Tax Refo</w:t>
        </w:r>
        <w:r>
          <w:rPr>
            <w:rStyle w:val="Hyperlink"/>
            <w:rFonts w:asciiTheme="minorHAnsi" w:hAnsiTheme="minorHAnsi"/>
            <w:sz w:val="16"/>
            <w:szCs w:val="16"/>
          </w:rPr>
          <w:t>rms in EU Member States 2015</w:t>
        </w:r>
      </w:hyperlink>
      <w:r>
        <w:rPr>
          <w:rFonts w:asciiTheme="minorHAnsi" w:hAnsiTheme="minorHAnsi"/>
          <w:sz w:val="16"/>
          <w:szCs w:val="16"/>
        </w:rPr>
        <w:t xml:space="preserve">, Institutional Paper 008 Sept. 2015, </w:t>
      </w:r>
      <w:r>
        <w:rPr>
          <w:rFonts w:asciiTheme="minorHAnsi" w:hAnsiTheme="minorHAnsi"/>
          <w:sz w:val="16"/>
          <w:szCs w:val="16"/>
          <w:lang w:val="hu-HU"/>
        </w:rPr>
        <w:t>p.68</w:t>
      </w:r>
    </w:p>
  </w:footnote>
  <w:footnote w:id="90">
    <w:p w:rsidR="00A22C37" w:rsidRDefault="000B1CC4">
      <w:pPr>
        <w:spacing w:after="0" w:line="240" w:lineRule="auto"/>
        <w:ind w:left="170" w:hanging="170"/>
        <w:rPr>
          <w:rFonts w:cstheme="minorHAnsi"/>
          <w:sz w:val="16"/>
          <w:szCs w:val="16"/>
        </w:rPr>
      </w:pPr>
      <w:r>
        <w:rPr>
          <w:rStyle w:val="FootnoteReference"/>
          <w:rFonts w:eastAsia="Calibri" w:cs="Times New Roman"/>
          <w:sz w:val="16"/>
          <w:szCs w:val="16"/>
        </w:rPr>
        <w:footnoteRef/>
      </w:r>
      <w:r>
        <w:rPr>
          <w:rStyle w:val="FootnoteReference"/>
          <w:rFonts w:eastAsia="Calibri" w:cs="Times New Roman"/>
          <w:sz w:val="16"/>
          <w:szCs w:val="16"/>
        </w:rPr>
        <w:t xml:space="preserve"> </w:t>
      </w:r>
      <w:proofErr w:type="gramStart"/>
      <w:r>
        <w:rPr>
          <w:rFonts w:cstheme="minorHAnsi"/>
          <w:sz w:val="16"/>
          <w:szCs w:val="16"/>
        </w:rPr>
        <w:t>Eunomia Research and Consulting, IEEP, Aarhus University, ENT, 2016.</w:t>
      </w:r>
      <w:proofErr w:type="gramEnd"/>
      <w:r>
        <w:rPr>
          <w:rFonts w:cstheme="minorHAnsi"/>
          <w:sz w:val="16"/>
          <w:szCs w:val="16"/>
        </w:rPr>
        <w:t xml:space="preserve"> </w:t>
      </w:r>
      <w:hyperlink r:id="rId73" w:history="1">
        <w:r>
          <w:rPr>
            <w:rStyle w:val="Hyperlink"/>
            <w:rFonts w:cstheme="minorHAnsi"/>
            <w:sz w:val="16"/>
            <w:szCs w:val="16"/>
          </w:rPr>
          <w:t>Study on Assessing the Environmental Fiscal Reform Potential for the EU28</w:t>
        </w:r>
      </w:hyperlink>
      <w:r>
        <w:rPr>
          <w:rStyle w:val="Hyperlink"/>
          <w:rFonts w:cstheme="minorHAnsi"/>
          <w:sz w:val="16"/>
          <w:szCs w:val="16"/>
        </w:rPr>
        <w:t xml:space="preserve">. </w:t>
      </w:r>
      <w:r>
        <w:rPr>
          <w:rStyle w:val="Hyperlink"/>
          <w:rFonts w:cstheme="minorHAnsi"/>
          <w:color w:val="auto"/>
          <w:sz w:val="16"/>
          <w:szCs w:val="16"/>
          <w:u w:val="none"/>
        </w:rPr>
        <w:t>N.B. National governments are responsible for setting</w:t>
      </w:r>
      <w:r>
        <w:rPr>
          <w:rStyle w:val="Hyperlink"/>
          <w:rFonts w:cstheme="minorHAnsi"/>
          <w:color w:val="auto"/>
          <w:sz w:val="16"/>
          <w:szCs w:val="16"/>
          <w:u w:val="none"/>
        </w:rPr>
        <w:t xml:space="preserve"> tax rates within the EU Single Market rules and this report is not suggesting concrete changes as to the level of environmental taxation. It merely presents the findings of the 2016 study by Eunomia </w:t>
      </w:r>
      <w:r>
        <w:rPr>
          <w:rStyle w:val="Hyperlink"/>
          <w:rFonts w:cstheme="minorHAnsi"/>
          <w:i/>
          <w:color w:val="auto"/>
          <w:sz w:val="16"/>
          <w:szCs w:val="16"/>
          <w:u w:val="none"/>
        </w:rPr>
        <w:t>et al</w:t>
      </w:r>
      <w:r>
        <w:rPr>
          <w:rStyle w:val="Hyperlink"/>
          <w:rFonts w:cstheme="minorHAnsi"/>
          <w:color w:val="auto"/>
          <w:sz w:val="16"/>
          <w:szCs w:val="16"/>
          <w:u w:val="none"/>
        </w:rPr>
        <w:t xml:space="preserve"> on the potential benefits various environmental ta</w:t>
      </w:r>
      <w:r>
        <w:rPr>
          <w:rStyle w:val="Hyperlink"/>
          <w:rFonts w:cstheme="minorHAnsi"/>
          <w:color w:val="auto"/>
          <w:sz w:val="16"/>
          <w:szCs w:val="16"/>
          <w:u w:val="none"/>
        </w:rPr>
        <w:t>xes could bring. It is then for the national authorities to assess this study and their concrete impacts in the national context. A first step in this respect, already done by a number of Member States, is to set up expert groups to assess these and make s</w:t>
      </w:r>
      <w:r>
        <w:rPr>
          <w:rStyle w:val="Hyperlink"/>
          <w:rFonts w:cstheme="minorHAnsi"/>
          <w:color w:val="auto"/>
          <w:sz w:val="16"/>
          <w:szCs w:val="16"/>
          <w:u w:val="none"/>
        </w:rPr>
        <w:t>pecific proposals.</w:t>
      </w:r>
    </w:p>
  </w:footnote>
  <w:footnote w:id="91">
    <w:p w:rsidR="00A22C37" w:rsidRDefault="000B1CC4">
      <w:pPr>
        <w:pStyle w:val="FootnoteText"/>
        <w:ind w:left="170" w:hanging="170"/>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good practice scenario means benchmarking to a successful taxation practice in another Member State. </w:t>
      </w:r>
    </w:p>
    <w:p w:rsidR="00A22C37" w:rsidRDefault="00A22C37">
      <w:pPr>
        <w:pStyle w:val="FootnoteText"/>
        <w:ind w:left="170" w:hanging="170"/>
        <w:rPr>
          <w:rFonts w:asciiTheme="minorHAnsi" w:hAnsiTheme="minorHAnsi" w:cstheme="minorHAnsi"/>
          <w:sz w:val="16"/>
          <w:szCs w:val="16"/>
        </w:rPr>
      </w:pPr>
    </w:p>
  </w:footnote>
  <w:footnote w:id="92">
    <w:p w:rsidR="00A22C37" w:rsidRDefault="000B1CC4">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74"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tax</w:t>
        </w:r>
        <w:proofErr w:type="spellEnd"/>
        <w:r>
          <w:rPr>
            <w:rStyle w:val="Hyperlink"/>
            <w:rFonts w:asciiTheme="minorHAnsi" w:hAnsiTheme="minorHAnsi"/>
            <w:sz w:val="16"/>
            <w:szCs w:val="16"/>
            <w:lang w:val="fr-BE"/>
          </w:rPr>
          <w:t xml:space="preserve"> revenues</w:t>
        </w:r>
      </w:hyperlink>
      <w:r>
        <w:rPr>
          <w:rFonts w:asciiTheme="minorHAnsi" w:hAnsiTheme="minorHAnsi"/>
          <w:sz w:val="16"/>
          <w:szCs w:val="16"/>
          <w:lang w:val="fr-BE"/>
        </w:rPr>
        <w:t xml:space="preserve">, </w:t>
      </w:r>
      <w:proofErr w:type="spellStart"/>
      <w:r>
        <w:rPr>
          <w:rFonts w:asciiTheme="minorHAnsi" w:hAnsiTheme="minorHAnsi"/>
          <w:sz w:val="16"/>
          <w:szCs w:val="16"/>
          <w:lang w:val="fr-BE"/>
        </w:rPr>
        <w:t>accessed</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October</w:t>
      </w:r>
      <w:proofErr w:type="spellEnd"/>
      <w:r>
        <w:rPr>
          <w:rFonts w:asciiTheme="minorHAnsi" w:hAnsiTheme="minorHAnsi"/>
          <w:sz w:val="16"/>
          <w:szCs w:val="16"/>
          <w:lang w:val="fr-BE"/>
        </w:rPr>
        <w:t xml:space="preserve"> 2016</w:t>
      </w:r>
    </w:p>
  </w:footnote>
  <w:footnote w:id="93">
    <w:p w:rsidR="00A22C37" w:rsidRDefault="000B1CC4">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75" w:history="1">
        <w:r>
          <w:rPr>
            <w:rStyle w:val="Hyperlink"/>
            <w:rFonts w:asciiTheme="minorHAnsi" w:hAnsiTheme="minorHAnsi"/>
            <w:sz w:val="16"/>
            <w:szCs w:val="16"/>
          </w:rPr>
          <w:t>Public procurement</w:t>
        </w:r>
      </w:hyperlink>
    </w:p>
  </w:footnote>
  <w:footnote w:id="94">
    <w:p w:rsidR="00A22C37" w:rsidRDefault="000B1CC4">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76"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w:t>
      </w:r>
      <w:r>
        <w:rPr>
          <w:sz w:val="16"/>
          <w:szCs w:val="16"/>
          <w:lang w:val="en"/>
        </w:rPr>
        <w:t>f GPP relies on having clear, verifiable, justifiable and ambitious environmental criteria for products and services, based on a life-cycle approach and scientific evidence base.</w:t>
      </w:r>
    </w:p>
  </w:footnote>
  <w:footnote w:id="95">
    <w:p w:rsidR="00A22C37" w:rsidRDefault="000B1CC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ESIF comprises five funds – the European Regional Development Funds (ERDF),</w:t>
      </w:r>
      <w:r>
        <w:rPr>
          <w:rFonts w:asciiTheme="minorHAnsi" w:hAnsiTheme="minorHAnsi"/>
          <w:sz w:val="16"/>
          <w:szCs w:val="16"/>
        </w:rPr>
        <w:t xml:space="preserve"> the Cohesion Fund (CF), the European Social Fund (ESF), the European Agricultural Fund for Rural Development (EAFRD), and the European Maritime and Fisheries Fund (EMFF). The ERDF, the CF and the ESF together form the Cohesion Policy funds.</w:t>
      </w:r>
    </w:p>
  </w:footnote>
  <w:footnote w:id="96">
    <w:p w:rsidR="00A22C37" w:rsidRDefault="000B1CC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EIB: </w:t>
      </w:r>
      <w:hyperlink r:id="rId77" w:history="1">
        <w:r>
          <w:rPr>
            <w:rStyle w:val="Hyperlink"/>
            <w:rFonts w:asciiTheme="minorHAnsi" w:hAnsiTheme="minorHAnsi"/>
            <w:sz w:val="16"/>
            <w:szCs w:val="16"/>
            <w:lang w:val="en"/>
          </w:rPr>
          <w:t>European Fund for Strategic Investments</w:t>
        </w:r>
      </w:hyperlink>
    </w:p>
  </w:footnote>
  <w:footnote w:id="97">
    <w:p w:rsidR="00A22C37" w:rsidRDefault="000B1CC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78" w:history="1">
        <w:r>
          <w:rPr>
            <w:rStyle w:val="Hyperlink"/>
            <w:rFonts w:asciiTheme="minorHAnsi" w:hAnsiTheme="minorHAnsi"/>
            <w:sz w:val="16"/>
            <w:szCs w:val="16"/>
          </w:rPr>
          <w:t>European Structural and Investment Funds Data By Country</w:t>
        </w:r>
      </w:hyperlink>
    </w:p>
  </w:footnote>
  <w:footnote w:id="98">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Style w:val="Emphasis"/>
          <w:rFonts w:asciiTheme="minorHAnsi" w:hAnsiTheme="minorHAnsi"/>
          <w:color w:val="auto"/>
          <w:sz w:val="16"/>
          <w:szCs w:val="16"/>
        </w:rPr>
        <w:t>According to Commission delegated regula</w:t>
      </w:r>
      <w:r>
        <w:rPr>
          <w:rStyle w:val="Emphasis"/>
          <w:rFonts w:asciiTheme="minorHAnsi" w:hAnsiTheme="minorHAnsi"/>
          <w:color w:val="auto"/>
          <w:sz w:val="16"/>
          <w:szCs w:val="16"/>
        </w:rPr>
        <w:t xml:space="preserve">tion </w:t>
      </w:r>
      <w:hyperlink r:id="rId79" w:history="1">
        <w:r>
          <w:rPr>
            <w:rStyle w:val="Hyperlink"/>
            <w:rFonts w:asciiTheme="minorHAnsi" w:hAnsiTheme="minorHAnsi"/>
            <w:sz w:val="16"/>
            <w:szCs w:val="16"/>
          </w:rPr>
          <w:t>(EU) No 994/2014</w:t>
        </w:r>
      </w:hyperlink>
      <w:r>
        <w:rPr>
          <w:rStyle w:val="Emphasis"/>
          <w:rFonts w:asciiTheme="minorHAnsi" w:hAnsiTheme="minorHAnsi"/>
          <w:sz w:val="16"/>
          <w:szCs w:val="16"/>
        </w:rPr>
        <w:t xml:space="preserve"> </w:t>
      </w:r>
      <w:r>
        <w:rPr>
          <w:rStyle w:val="Emphasis"/>
          <w:rFonts w:asciiTheme="minorHAnsi" w:hAnsiTheme="minorHAnsi"/>
          <w:color w:val="auto"/>
          <w:sz w:val="16"/>
          <w:szCs w:val="16"/>
        </w:rPr>
        <w:t xml:space="preserve">of 13 May 2014 </w:t>
      </w:r>
    </w:p>
  </w:footnote>
  <w:footnote w:id="99">
    <w:p w:rsidR="00A22C37" w:rsidRDefault="000B1CC4">
      <w:pPr>
        <w:widowControl w:val="0"/>
        <w:spacing w:after="0" w:line="240" w:lineRule="auto"/>
        <w:ind w:left="170" w:hanging="170"/>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administrative systems of Member States.</w:t>
      </w:r>
    </w:p>
  </w:footnote>
  <w:footnote w:id="100">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proofErr w:type="gramStart"/>
      <w:r>
        <w:rPr>
          <w:rFonts w:asciiTheme="minorHAnsi" w:hAnsiTheme="minorHAnsi"/>
          <w:sz w:val="16"/>
          <w:szCs w:val="16"/>
        </w:rPr>
        <w:t>Ecotec</w:t>
      </w:r>
      <w:proofErr w:type="spellEnd"/>
      <w:r>
        <w:rPr>
          <w:rFonts w:asciiTheme="minorHAnsi" w:hAnsiTheme="minorHAnsi"/>
          <w:sz w:val="16"/>
          <w:szCs w:val="16"/>
        </w:rPr>
        <w:t>, 2000.</w:t>
      </w:r>
      <w:proofErr w:type="gramEnd"/>
      <w:r>
        <w:rPr>
          <w:rFonts w:asciiTheme="minorHAnsi" w:hAnsiTheme="minorHAnsi"/>
          <w:sz w:val="16"/>
          <w:szCs w:val="16"/>
        </w:rPr>
        <w:t xml:space="preserve"> </w:t>
      </w:r>
      <w:hyperlink r:id="rId80" w:history="1">
        <w:proofErr w:type="gramStart"/>
        <w:r>
          <w:rPr>
            <w:rStyle w:val="Hyperlink"/>
            <w:rFonts w:asciiTheme="minorHAnsi" w:hAnsiTheme="minorHAnsi"/>
            <w:sz w:val="16"/>
            <w:szCs w:val="16"/>
          </w:rPr>
          <w:t>Administrative Capacity for Implementation and Enforcement of EU Environmental Policy in the 13 Candidate Countries</w:t>
        </w:r>
      </w:hyperlink>
      <w:r>
        <w:rPr>
          <w:rFonts w:asciiTheme="minorHAnsi" w:hAnsiTheme="minorHAnsi"/>
          <w:sz w:val="16"/>
          <w:szCs w:val="16"/>
        </w:rPr>
        <w:t>.</w:t>
      </w:r>
      <w:proofErr w:type="gramEnd"/>
      <w:r>
        <w:rPr>
          <w:rFonts w:asciiTheme="minorHAnsi" w:hAnsiTheme="minorHAnsi"/>
          <w:sz w:val="16"/>
          <w:szCs w:val="16"/>
        </w:rPr>
        <w:t xml:space="preserve"> Final Report to the European Commission </w:t>
      </w:r>
    </w:p>
  </w:footnote>
  <w:footnote w:id="101">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Between 2007 and 2013, over EUR 1 billion was available for capacity </w:t>
      </w:r>
      <w:proofErr w:type="gramStart"/>
      <w:r>
        <w:rPr>
          <w:rFonts w:asciiTheme="minorHAnsi" w:hAnsiTheme="minorHAnsi"/>
          <w:sz w:val="16"/>
          <w:szCs w:val="16"/>
        </w:rPr>
        <w:t>building(</w:t>
      </w:r>
      <w:proofErr w:type="gramEnd"/>
      <w:r>
        <w:rPr>
          <w:rFonts w:asciiTheme="minorHAnsi" w:hAnsiTheme="minorHAnsi"/>
          <w:sz w:val="16"/>
          <w:szCs w:val="16"/>
        </w:rPr>
        <w:t>including</w:t>
      </w:r>
      <w:r>
        <w:rPr>
          <w:rFonts w:asciiTheme="minorHAnsi" w:hAnsiTheme="minorHAnsi"/>
          <w:sz w:val="16"/>
          <w:szCs w:val="16"/>
        </w:rPr>
        <w:t xml:space="preserve"> for local governments) through a </w:t>
      </w:r>
      <w:hyperlink r:id="rId81" w:history="1">
        <w:r>
          <w:rPr>
            <w:rStyle w:val="Hyperlink"/>
            <w:rFonts w:asciiTheme="minorHAnsi" w:hAnsiTheme="minorHAnsi"/>
            <w:sz w:val="16"/>
            <w:szCs w:val="16"/>
          </w:rPr>
          <w:t>programme for Administrative Development and a programme for Technical Assistance</w:t>
        </w:r>
      </w:hyperlink>
      <w:r>
        <w:rPr>
          <w:rFonts w:asciiTheme="minorHAnsi" w:hAnsiTheme="minorHAnsi"/>
          <w:sz w:val="16"/>
          <w:szCs w:val="16"/>
        </w:rPr>
        <w:t xml:space="preserve">. </w:t>
      </w:r>
    </w:p>
  </w:footnote>
  <w:footnote w:id="102">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w:t>
      </w:r>
      <w:r>
        <w:rPr>
          <w:rFonts w:asciiTheme="minorHAnsi" w:hAnsiTheme="minorHAnsi"/>
          <w:sz w:val="16"/>
          <w:szCs w:val="16"/>
        </w:rPr>
        <w:t xml:space="preserve">, </w:t>
      </w:r>
      <w:hyperlink r:id="rId82" w:history="1">
        <w:r>
          <w:rPr>
            <w:rStyle w:val="Hyperlink"/>
            <w:rFonts w:asciiTheme="minorHAnsi" w:hAnsiTheme="minorHAnsi"/>
            <w:sz w:val="16"/>
            <w:szCs w:val="16"/>
          </w:rPr>
          <w:t xml:space="preserve">Commission Staff Working Document Country Report Romania 2015 Including an In-Depth Review on the prevention and correction of macroeconomic imbalances </w:t>
        </w:r>
      </w:hyperlink>
      <w:r>
        <w:rPr>
          <w:rFonts w:asciiTheme="minorHAnsi" w:hAnsiTheme="minorHAnsi"/>
          <w:sz w:val="16"/>
          <w:szCs w:val="16"/>
        </w:rPr>
        <w:t xml:space="preserve"> </w:t>
      </w:r>
    </w:p>
  </w:footnote>
  <w:footnote w:id="103">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Ex ante conditio</w:t>
      </w:r>
      <w:r>
        <w:rPr>
          <w:rFonts w:asciiTheme="minorHAnsi" w:hAnsiTheme="minorHAnsi"/>
          <w:sz w:val="16"/>
          <w:szCs w:val="16"/>
        </w:rPr>
        <w:t>nality 11: The existence of a strategic policy framework for reinforcing the Member States' administrative efficiency including public administration reform.</w:t>
      </w:r>
      <w:proofErr w:type="gramEnd"/>
    </w:p>
  </w:footnote>
  <w:footnote w:id="104">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World Bank, </w:t>
      </w:r>
      <w:hyperlink r:id="rId83" w:anchor="countryReports" w:history="1">
        <w:r>
          <w:rPr>
            <w:rStyle w:val="Hyperlink"/>
            <w:rFonts w:asciiTheme="minorHAnsi" w:hAnsiTheme="minorHAnsi"/>
            <w:sz w:val="16"/>
            <w:szCs w:val="16"/>
          </w:rPr>
          <w:t>Worldwide Governance Indicators 2015</w:t>
        </w:r>
      </w:hyperlink>
    </w:p>
  </w:footnote>
  <w:footnote w:id="105">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UNECE, 2012.</w:t>
      </w:r>
      <w:proofErr w:type="gramEnd"/>
      <w:r>
        <w:rPr>
          <w:rFonts w:asciiTheme="minorHAnsi" w:hAnsiTheme="minorHAnsi"/>
          <w:sz w:val="16"/>
          <w:szCs w:val="16"/>
        </w:rPr>
        <w:t xml:space="preserve"> </w:t>
      </w:r>
      <w:hyperlink r:id="rId84" w:history="1">
        <w:r>
          <w:rPr>
            <w:rStyle w:val="Hyperlink"/>
            <w:rFonts w:asciiTheme="minorHAnsi" w:hAnsiTheme="minorHAnsi"/>
            <w:sz w:val="16"/>
            <w:szCs w:val="16"/>
          </w:rPr>
          <w:t>Environmental Performance Reviews - Romania</w:t>
        </w:r>
      </w:hyperlink>
      <w:r>
        <w:rPr>
          <w:rFonts w:asciiTheme="minorHAnsi" w:hAnsiTheme="minorHAnsi"/>
          <w:sz w:val="16"/>
          <w:szCs w:val="16"/>
        </w:rPr>
        <w:t xml:space="preserve"> </w:t>
      </w:r>
    </w:p>
  </w:footnote>
  <w:footnote w:id="106">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11 of the TFEU provides that "Environmental protection requ</w:t>
      </w:r>
      <w:r>
        <w:rPr>
          <w:rFonts w:asciiTheme="minorHAnsi" w:hAnsiTheme="minorHAnsi"/>
          <w:sz w:val="16"/>
          <w:szCs w:val="16"/>
        </w:rPr>
        <w:t>irements must be integrated into the definition and implementation of the Union's policies and activities, in particular with a view to promoting sustainable development."</w:t>
      </w:r>
    </w:p>
  </w:footnote>
  <w:footnote w:id="107">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RPA, 2015.</w:t>
      </w:r>
      <w:proofErr w:type="gramEnd"/>
      <w:r>
        <w:rPr>
          <w:rFonts w:asciiTheme="minorHAnsi" w:hAnsiTheme="minorHAnsi"/>
          <w:sz w:val="16"/>
          <w:szCs w:val="16"/>
        </w:rPr>
        <w:t xml:space="preserve"> </w:t>
      </w:r>
      <w:hyperlink r:id="rId85" w:history="1">
        <w:r>
          <w:rPr>
            <w:rStyle w:val="Hyperlink"/>
            <w:rFonts w:asciiTheme="minorHAnsi" w:hAnsiTheme="minorHAnsi"/>
            <w:sz w:val="16"/>
            <w:szCs w:val="16"/>
          </w:rPr>
          <w:t>Study on the potential of impact assessments to support environmental goals in the context of the European Semester</w:t>
        </w:r>
      </w:hyperlink>
      <w:r>
        <w:rPr>
          <w:rFonts w:asciiTheme="minorHAnsi" w:hAnsiTheme="minorHAnsi"/>
          <w:sz w:val="16"/>
          <w:szCs w:val="16"/>
        </w:rPr>
        <w:t>, Study for the European Commission</w:t>
      </w:r>
    </w:p>
  </w:footnote>
  <w:footnote w:id="108">
    <w:p w:rsidR="00A22C37" w:rsidRDefault="000B1CC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Commission notice — </w:t>
      </w:r>
      <w:hyperlink r:id="rId86" w:history="1">
        <w:r>
          <w:rPr>
            <w:rStyle w:val="Hyperlink"/>
            <w:rFonts w:asciiTheme="minorHAnsi" w:hAnsiTheme="minorHAnsi"/>
            <w:sz w:val="16"/>
            <w:szCs w:val="16"/>
          </w:rPr>
          <w:t>Commission guidance document on streamlining environmental assessments conducted under Article 2(3) of the Environmental Impact Assessment Directive</w:t>
        </w:r>
      </w:hyperlink>
      <w:r>
        <w:rPr>
          <w:rStyle w:val="Hyperlink"/>
          <w:rFonts w:asciiTheme="minorHAnsi" w:hAnsiTheme="minorHAnsi"/>
          <w:sz w:val="16"/>
          <w:szCs w:val="16"/>
        </w:rPr>
        <w:t xml:space="preserve"> (D</w:t>
      </w:r>
      <w:r>
        <w:rPr>
          <w:rFonts w:asciiTheme="minorHAnsi" w:hAnsiTheme="minorHAnsi"/>
          <w:sz w:val="16"/>
          <w:szCs w:val="16"/>
        </w:rPr>
        <w:t xml:space="preserve">irective 2011/92/EU of the European </w:t>
      </w:r>
      <w:r>
        <w:rPr>
          <w:rFonts w:asciiTheme="minorHAnsi" w:hAnsiTheme="minorHAnsi"/>
          <w:sz w:val="16"/>
          <w:szCs w:val="16"/>
        </w:rPr>
        <w:t>Parliament and of the Council, as amended by Directive 2014/52/EU).</w:t>
      </w:r>
    </w:p>
  </w:footnote>
  <w:footnote w:id="109">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87" w:history="1">
        <w:r>
          <w:rPr>
            <w:rStyle w:val="Hyperlink"/>
            <w:rFonts w:asciiTheme="minorHAnsi" w:hAnsiTheme="minorHAnsi"/>
            <w:sz w:val="16"/>
            <w:szCs w:val="16"/>
          </w:rPr>
          <w:t>Environmental Crime Directive 2008/99/EC</w:t>
        </w:r>
      </w:hyperlink>
    </w:p>
  </w:footnote>
  <w:footnote w:id="110">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8" w:history="1">
        <w:r>
          <w:rPr>
            <w:rStyle w:val="Hyperlink"/>
            <w:rFonts w:asciiTheme="minorHAnsi" w:hAnsiTheme="minorHAnsi"/>
            <w:sz w:val="16"/>
            <w:szCs w:val="16"/>
          </w:rPr>
          <w:t>European Union Network for the Implementation and Enforcement of Environmental Law</w:t>
        </w:r>
      </w:hyperlink>
    </w:p>
  </w:footnote>
  <w:footnote w:id="111">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9" w:history="1">
        <w:r>
          <w:rPr>
            <w:rStyle w:val="Hyperlink"/>
            <w:rFonts w:asciiTheme="minorHAnsi" w:hAnsiTheme="minorHAnsi"/>
            <w:sz w:val="16"/>
            <w:szCs w:val="16"/>
          </w:rPr>
          <w:t>European Union Forum of judges for the environment</w:t>
        </w:r>
      </w:hyperlink>
    </w:p>
  </w:footnote>
  <w:footnote w:id="112">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0" w:history="1">
        <w:r>
          <w:rPr>
            <w:rStyle w:val="Hyperlink"/>
            <w:rFonts w:asciiTheme="minorHAnsi" w:hAnsiTheme="minorHAnsi"/>
            <w:sz w:val="16"/>
            <w:szCs w:val="16"/>
          </w:rPr>
          <w:t>The European Network of Pr</w:t>
        </w:r>
        <w:r>
          <w:rPr>
            <w:rStyle w:val="Hyperlink"/>
            <w:rFonts w:asciiTheme="minorHAnsi" w:hAnsiTheme="minorHAnsi"/>
            <w:sz w:val="16"/>
            <w:szCs w:val="16"/>
          </w:rPr>
          <w:t>osecutors for the Environment</w:t>
        </w:r>
      </w:hyperlink>
    </w:p>
  </w:footnote>
  <w:footnote w:id="113">
    <w:p w:rsidR="00A22C37" w:rsidRDefault="000B1CC4">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r>
        <w:fldChar w:fldCharType="begin"/>
      </w:r>
      <w:r w:rsidRPr="000B1CC4">
        <w:rPr>
          <w:lang w:val="fr-BE"/>
        </w:rPr>
        <w:instrText xml:space="preserve"> HYPERLINK "http://envicrimenet.com/" </w:instrText>
      </w:r>
      <w:r>
        <w:fldChar w:fldCharType="separate"/>
      </w:r>
      <w:proofErr w:type="spellStart"/>
      <w:r>
        <w:rPr>
          <w:rStyle w:val="Hyperlink"/>
          <w:rFonts w:asciiTheme="minorHAnsi" w:hAnsiTheme="minorHAnsi"/>
          <w:sz w:val="16"/>
          <w:szCs w:val="16"/>
          <w:lang w:val="fr-BE"/>
        </w:rPr>
        <w:t>EnviCrimeNet</w:t>
      </w:r>
      <w:proofErr w:type="spellEnd"/>
      <w:r>
        <w:rPr>
          <w:rStyle w:val="Hyperlink"/>
          <w:rFonts w:asciiTheme="minorHAnsi" w:hAnsiTheme="minorHAnsi"/>
          <w:sz w:val="16"/>
          <w:szCs w:val="16"/>
          <w:lang w:val="fr-BE"/>
        </w:rPr>
        <w:fldChar w:fldCharType="end"/>
      </w:r>
    </w:p>
  </w:footnote>
  <w:footnote w:id="114">
    <w:p w:rsidR="00A22C37" w:rsidRDefault="000B1CC4">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Union, </w:t>
      </w:r>
      <w:hyperlink r:id="rId91"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Liability</w:t>
        </w:r>
        <w:proofErr w:type="spellEnd"/>
        <w:r>
          <w:rPr>
            <w:rStyle w:val="Hyperlink"/>
            <w:rFonts w:asciiTheme="minorHAnsi" w:hAnsiTheme="minorHAnsi"/>
            <w:sz w:val="16"/>
            <w:szCs w:val="16"/>
            <w:lang w:val="fr-BE"/>
          </w:rPr>
          <w:t xml:space="preserve"> Directive 2004/35/CE</w:t>
        </w:r>
      </w:hyperlink>
    </w:p>
  </w:footnote>
  <w:footnote w:id="115">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2" w:history="1">
        <w:proofErr w:type="gramStart"/>
        <w:r>
          <w:rPr>
            <w:rStyle w:val="Hyperlink"/>
            <w:rFonts w:asciiTheme="minorHAnsi" w:hAnsiTheme="minorHAnsi"/>
            <w:sz w:val="16"/>
            <w:szCs w:val="16"/>
          </w:rPr>
          <w:t>COM(</w:t>
        </w:r>
        <w:proofErr w:type="gramEnd"/>
        <w:r>
          <w:rPr>
            <w:rStyle w:val="Hyperlink"/>
            <w:rFonts w:asciiTheme="minorHAnsi" w:hAnsiTheme="minorHAnsi"/>
            <w:sz w:val="16"/>
            <w:szCs w:val="16"/>
          </w:rPr>
          <w:t>2016)204 final</w:t>
        </w:r>
      </w:hyperlink>
      <w:r>
        <w:rPr>
          <w:rFonts w:asciiTheme="minorHAnsi" w:hAnsiTheme="minorHAnsi"/>
          <w:sz w:val="16"/>
          <w:szCs w:val="16"/>
        </w:rPr>
        <w:t xml:space="preserve"> and </w:t>
      </w:r>
      <w:hyperlink r:id="rId93" w:history="1">
        <w:r>
          <w:rPr>
            <w:rStyle w:val="Hyperlink"/>
            <w:rFonts w:asciiTheme="minorHAnsi" w:hAnsiTheme="minorHAnsi"/>
            <w:sz w:val="16"/>
            <w:szCs w:val="16"/>
          </w:rPr>
          <w:t>COM(2016)121 final</w:t>
        </w:r>
      </w:hyperlink>
      <w:r>
        <w:rPr>
          <w:rFonts w:asciiTheme="minorHAnsi" w:hAnsiTheme="minorHAnsi"/>
          <w:sz w:val="16"/>
          <w:szCs w:val="16"/>
        </w:rPr>
        <w:t xml:space="preserve"> of 14.4.2016. This highlighted the need for better e</w:t>
      </w:r>
      <w:r>
        <w:rPr>
          <w:rFonts w:asciiTheme="minorHAnsi" w:hAnsiTheme="minorHAnsi"/>
          <w:sz w:val="16"/>
          <w:szCs w:val="16"/>
        </w:rPr>
        <w:t>vidence on how the directive is used in practice; for tools to support its implementation, such as guidance, training and ELD registers; and for financial security to be available in case events or incidents generate remediation costs.</w:t>
      </w:r>
    </w:p>
  </w:footnote>
  <w:footnote w:id="116">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However, IMPEL has observed that </w:t>
      </w:r>
      <w:r>
        <w:rPr>
          <w:rFonts w:asciiTheme="minorHAnsi" w:hAnsiTheme="minorHAnsi"/>
          <w:color w:val="000000" w:themeColor="text1"/>
          <w:sz w:val="16"/>
          <w:szCs w:val="16"/>
        </w:rPr>
        <w:t>the risk criteria used have a generic character and do not sufficiently consider local and regional contexts</w:t>
      </w:r>
      <w:r>
        <w:rPr>
          <w:rFonts w:asciiTheme="minorHAnsi" w:hAnsiTheme="minorHAnsi"/>
          <w:sz w:val="16"/>
          <w:szCs w:val="16"/>
        </w:rPr>
        <w:t xml:space="preserve">, see </w:t>
      </w:r>
      <w:hyperlink r:id="rId94" w:history="1">
        <w:r>
          <w:rPr>
            <w:rStyle w:val="Hyperlink"/>
            <w:rFonts w:asciiTheme="minorHAnsi" w:hAnsiTheme="minorHAnsi"/>
            <w:sz w:val="16"/>
            <w:szCs w:val="16"/>
          </w:rPr>
          <w:t>IMPEL IRI Ro</w:t>
        </w:r>
        <w:r>
          <w:rPr>
            <w:rStyle w:val="Hyperlink"/>
            <w:rFonts w:asciiTheme="minorHAnsi" w:hAnsiTheme="minorHAnsi"/>
            <w:sz w:val="16"/>
            <w:szCs w:val="16"/>
          </w:rPr>
          <w:t>mania Report</w:t>
        </w:r>
      </w:hyperlink>
      <w:r>
        <w:rPr>
          <w:rFonts w:asciiTheme="minorHAnsi" w:hAnsiTheme="minorHAnsi"/>
          <w:sz w:val="16"/>
          <w:szCs w:val="16"/>
        </w:rPr>
        <w:t>, 2014, p. 42</w:t>
      </w:r>
    </w:p>
  </w:footnote>
  <w:footnote w:id="117">
    <w:p w:rsidR="00A22C37" w:rsidRDefault="000B1CC4">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rPr>
        <w:footnoteRef/>
      </w:r>
      <w:r>
        <w:rPr>
          <w:rFonts w:asciiTheme="minorHAnsi" w:hAnsiTheme="minorHAnsi"/>
          <w:sz w:val="16"/>
          <w:szCs w:val="16"/>
          <w:lang w:val="it-IT"/>
        </w:rPr>
        <w:t xml:space="preserve"> </w:t>
      </w:r>
      <w:hyperlink r:id="rId95" w:history="1">
        <w:r>
          <w:rPr>
            <w:rStyle w:val="Hyperlink"/>
            <w:rFonts w:asciiTheme="minorHAnsi" w:hAnsiTheme="minorHAnsi"/>
            <w:sz w:val="16"/>
            <w:szCs w:val="16"/>
            <w:lang w:val="it-IT"/>
          </w:rPr>
          <w:t>IMPEL IRI Romania Report</w:t>
        </w:r>
      </w:hyperlink>
      <w:r>
        <w:rPr>
          <w:rFonts w:asciiTheme="minorHAnsi" w:hAnsiTheme="minorHAnsi"/>
          <w:sz w:val="16"/>
          <w:szCs w:val="16"/>
          <w:lang w:val="it-IT"/>
        </w:rPr>
        <w:t xml:space="preserve">, 2014, p. 17 and </w:t>
      </w:r>
      <w:proofErr w:type="gramStart"/>
      <w:r>
        <w:rPr>
          <w:rFonts w:asciiTheme="minorHAnsi" w:hAnsiTheme="minorHAnsi"/>
          <w:sz w:val="16"/>
          <w:szCs w:val="16"/>
          <w:lang w:val="it-IT"/>
        </w:rPr>
        <w:t>41</w:t>
      </w:r>
      <w:proofErr w:type="gramEnd"/>
      <w:r>
        <w:rPr>
          <w:rFonts w:asciiTheme="minorHAnsi" w:hAnsiTheme="minorHAnsi"/>
          <w:sz w:val="16"/>
          <w:szCs w:val="16"/>
          <w:lang w:val="it-IT"/>
        </w:rPr>
        <w:t xml:space="preserve">. </w:t>
      </w:r>
    </w:p>
  </w:footnote>
  <w:footnote w:id="118">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96" w:history="1">
        <w:r>
          <w:rPr>
            <w:rStyle w:val="Hyperlink"/>
            <w:rFonts w:asciiTheme="minorHAnsi" w:hAnsiTheme="minorHAnsi"/>
            <w:sz w:val="16"/>
            <w:szCs w:val="16"/>
          </w:rPr>
          <w:t>study</w:t>
        </w:r>
        <w:r>
          <w:rPr>
            <w:rStyle w:val="Hyperlink"/>
            <w:rFonts w:asciiTheme="minorHAnsi" w:hAnsiTheme="minorHAnsi"/>
            <w:sz w:val="16"/>
            <w:szCs w:val="16"/>
          </w:rPr>
          <w:t xml:space="preserve"> on access to justice in environmental matters 2012/2013</w:t>
        </w:r>
      </w:hyperlink>
    </w:p>
  </w:footnote>
  <w:footnote w:id="119">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UNECE, 1998.</w:t>
      </w:r>
      <w:proofErr w:type="gramEnd"/>
      <w:r>
        <w:rPr>
          <w:rFonts w:asciiTheme="minorHAnsi" w:hAnsiTheme="minorHAnsi"/>
          <w:sz w:val="16"/>
          <w:szCs w:val="16"/>
        </w:rPr>
        <w:t xml:space="preserve"> </w:t>
      </w:r>
      <w:hyperlink r:id="rId97" w:history="1">
        <w:r>
          <w:rPr>
            <w:rStyle w:val="Hyperlink"/>
            <w:rFonts w:asciiTheme="minorHAnsi" w:hAnsiTheme="minorHAnsi"/>
            <w:sz w:val="16"/>
            <w:szCs w:val="16"/>
          </w:rPr>
          <w:t>Convention on Access to Information, Public Participation in Decision-Making and Access to Justice in Env</w:t>
        </w:r>
        <w:r>
          <w:rPr>
            <w:rStyle w:val="Hyperlink"/>
            <w:rFonts w:asciiTheme="minorHAnsi" w:hAnsiTheme="minorHAnsi"/>
            <w:sz w:val="16"/>
            <w:szCs w:val="16"/>
          </w:rPr>
          <w:t>ironmental Matters</w:t>
        </w:r>
      </w:hyperlink>
    </w:p>
  </w:footnote>
  <w:footnote w:id="120">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98" w:history="1">
        <w:r>
          <w:rPr>
            <w:rStyle w:val="Hyperlink"/>
            <w:rFonts w:asciiTheme="minorHAnsi" w:hAnsiTheme="minorHAnsi"/>
            <w:sz w:val="16"/>
            <w:szCs w:val="16"/>
          </w:rPr>
          <w:t>Directive 2003/4/EC on public access to environmental information</w:t>
        </w:r>
      </w:hyperlink>
    </w:p>
  </w:footnote>
  <w:footnote w:id="121">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9" w:history="1">
        <w:r>
          <w:rPr>
            <w:rStyle w:val="Hyperlink"/>
            <w:rFonts w:asciiTheme="minorHAnsi" w:hAnsiTheme="minorHAnsi"/>
            <w:sz w:val="16"/>
            <w:szCs w:val="16"/>
          </w:rPr>
          <w:t>http://inspire.ec.europ</w:t>
        </w:r>
        <w:r>
          <w:rPr>
            <w:rStyle w:val="Hyperlink"/>
            <w:rFonts w:asciiTheme="minorHAnsi" w:hAnsiTheme="minorHAnsi"/>
            <w:sz w:val="16"/>
            <w:szCs w:val="16"/>
          </w:rPr>
          <w:t>a.eu</w:t>
        </w:r>
      </w:hyperlink>
      <w:r>
        <w:rPr>
          <w:rFonts w:asciiTheme="minorHAnsi" w:hAnsiTheme="minorHAnsi"/>
          <w:sz w:val="16"/>
          <w:szCs w:val="16"/>
        </w:rPr>
        <w:t xml:space="preserve"> </w:t>
      </w:r>
    </w:p>
  </w:footnote>
  <w:footnote w:id="122">
    <w:p w:rsidR="00A22C37" w:rsidRDefault="000B1CC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w:t>
      </w:r>
      <w:proofErr w:type="spellStart"/>
      <w:r>
        <w:rPr>
          <w:rFonts w:asciiTheme="minorHAnsi" w:hAnsiTheme="minorHAnsi"/>
          <w:sz w:val="16"/>
          <w:szCs w:val="16"/>
        </w:rPr>
        <w:t>eGovernment</w:t>
      </w:r>
      <w:proofErr w:type="spellEnd"/>
      <w:r>
        <w:rPr>
          <w:rFonts w:asciiTheme="minorHAnsi" w:hAnsiTheme="minorHAnsi"/>
          <w:sz w:val="16"/>
          <w:szCs w:val="16"/>
        </w:rPr>
        <w:t xml:space="preserve"> Action Plan 2016-2020 - Accelerating the digital transformation of government </w:t>
      </w:r>
      <w:hyperlink r:id="rId100"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23">
    <w:p w:rsidR="00A22C37" w:rsidRDefault="000B1CC4">
      <w:pPr>
        <w:pStyle w:val="FootnoteText"/>
        <w:widowControl w:val="0"/>
        <w:ind w:left="170" w:hanging="170"/>
        <w:rPr>
          <w:rFonts w:asciiTheme="minorHAnsi" w:hAnsiTheme="minorHAnsi"/>
          <w:sz w:val="16"/>
          <w:szCs w:val="16"/>
          <w:lang w:val="hu-HU"/>
        </w:rPr>
      </w:pPr>
      <w:r>
        <w:rPr>
          <w:rStyle w:val="FootnoteReference"/>
          <w:rFonts w:asciiTheme="minorHAnsi" w:hAnsiTheme="minorHAnsi"/>
          <w:sz w:val="16"/>
          <w:szCs w:val="16"/>
        </w:rPr>
        <w:footnoteRef/>
      </w:r>
      <w:r>
        <w:rPr>
          <w:rFonts w:asciiTheme="minorHAnsi" w:hAnsiTheme="minorHAnsi"/>
          <w:sz w:val="16"/>
          <w:szCs w:val="16"/>
          <w:lang w:val="hu-HU"/>
        </w:rPr>
        <w:t xml:space="preserve"> </w:t>
      </w:r>
      <w:r>
        <w:rPr>
          <w:rFonts w:asciiTheme="minorHAnsi" w:hAnsiTheme="minorHAnsi"/>
          <w:sz w:val="16"/>
          <w:szCs w:val="16"/>
        </w:rPr>
        <w:t xml:space="preserve">European Commission, </w:t>
      </w:r>
      <w:hyperlink r:id="rId101" w:history="1">
        <w:r>
          <w:rPr>
            <w:rStyle w:val="Hyperlink"/>
            <w:rFonts w:asciiTheme="minorHAnsi" w:hAnsiTheme="minorHAnsi"/>
            <w:sz w:val="16"/>
            <w:szCs w:val="16"/>
          </w:rPr>
          <w:t>INSPIRE reports</w:t>
        </w:r>
      </w:hyperlink>
    </w:p>
  </w:footnote>
  <w:footnote w:id="124">
    <w:p w:rsidR="00A22C37" w:rsidRDefault="000B1CC4">
      <w:pPr>
        <w:pStyle w:val="FootnoteText"/>
        <w:widowControl w:val="0"/>
        <w:ind w:left="227" w:hanging="227"/>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lang w:val="hu-HU"/>
        </w:rPr>
        <w:t xml:space="preserve"> </w:t>
      </w:r>
      <w:hyperlink r:id="rId102" w:history="1">
        <w:r>
          <w:rPr>
            <w:rStyle w:val="Hyperlink"/>
            <w:rFonts w:asciiTheme="minorHAnsi" w:hAnsiTheme="minorHAnsi"/>
            <w:sz w:val="16"/>
            <w:szCs w:val="16"/>
          </w:rPr>
          <w:t>Inspire indicator trends</w:t>
        </w:r>
      </w:hyperlink>
      <w:r>
        <w:rPr>
          <w:rFonts w:asciiTheme="minorHAnsi" w:hAnsiTheme="minorHAnsi"/>
          <w:sz w:val="16"/>
          <w:szCs w:val="16"/>
          <w:vertAlign w:val="superscript"/>
        </w:rPr>
        <w:t xml:space="preserve"> </w:t>
      </w:r>
    </w:p>
  </w:footnote>
  <w:footnote w:id="125">
    <w:p w:rsidR="00A22C37" w:rsidRDefault="000B1CC4">
      <w:pPr>
        <w:pStyle w:val="FootnoteText"/>
        <w:widowControl w:val="0"/>
        <w:ind w:left="170" w:hanging="170"/>
        <w:rPr>
          <w:rFonts w:asciiTheme="minorHAnsi" w:hAnsiTheme="minorHAnsi"/>
          <w:sz w:val="16"/>
          <w:szCs w:val="16"/>
          <w:lang w:val="hu-HU"/>
        </w:rPr>
      </w:pPr>
      <w:r>
        <w:rPr>
          <w:rStyle w:val="FootnoteReference"/>
          <w:rFonts w:asciiTheme="minorHAnsi" w:hAnsiTheme="minorHAnsi"/>
          <w:sz w:val="16"/>
          <w:szCs w:val="16"/>
        </w:rPr>
        <w:footnoteRef/>
      </w:r>
      <w:r>
        <w:rPr>
          <w:rFonts w:asciiTheme="minorHAnsi" w:hAnsiTheme="minorHAnsi"/>
          <w:sz w:val="16"/>
          <w:szCs w:val="16"/>
          <w:lang w:val="hu-HU"/>
        </w:rPr>
        <w:t xml:space="preserve"> </w:t>
      </w:r>
      <w:hyperlink r:id="rId103" w:history="1">
        <w:r>
          <w:rPr>
            <w:rStyle w:val="Hyperlink"/>
            <w:rFonts w:asciiTheme="minorHAnsi" w:hAnsiTheme="minorHAnsi"/>
            <w:sz w:val="16"/>
            <w:szCs w:val="16"/>
          </w:rPr>
          <w:t>Inspire Resources Summary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CC4" w:rsidRPr="000B1CC4" w:rsidRDefault="000B1CC4" w:rsidP="000B1CC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A22C37">
      <w:tc>
        <w:tcPr>
          <w:tcW w:w="0" w:type="auto"/>
          <w:vAlign w:val="center"/>
        </w:tcPr>
        <w:p w:rsidR="00A22C37" w:rsidRDefault="000B1CC4">
          <w:pPr>
            <w:pStyle w:val="Header"/>
            <w:jc w:val="right"/>
            <w:rPr>
              <w:rFonts w:cstheme="minorHAnsi"/>
              <w:b/>
              <w:bCs/>
              <w:color w:val="1F497D" w:themeColor="text2"/>
            </w:rPr>
          </w:pPr>
          <w:r>
            <w:rPr>
              <w:rFonts w:cstheme="minorHAnsi"/>
              <w:b/>
              <w:bCs/>
              <w:color w:val="1F497D" w:themeColor="text2"/>
            </w:rPr>
            <w:t>Romania</w:t>
          </w:r>
        </w:p>
      </w:tc>
      <w:tc>
        <w:tcPr>
          <w:tcW w:w="1152" w:type="dxa"/>
          <w:tcBorders>
            <w:left w:val="nil"/>
          </w:tcBorders>
        </w:tcPr>
        <w:p w:rsidR="00A22C37" w:rsidRDefault="000B1CC4">
          <w:pPr>
            <w:pStyle w:val="Header"/>
            <w:rPr>
              <w:rFonts w:cstheme="minorHAnsi"/>
              <w:b/>
              <w:bCs/>
              <w:color w:val="1F497D" w:themeColor="text2"/>
            </w:rPr>
          </w:pPr>
          <w:r>
            <w:rPr>
              <w:rFonts w:cstheme="minorHAnsi"/>
              <w:color w:val="1F497D" w:themeColor="text2"/>
              <w:sz w:val="28"/>
            </w:rPr>
            <w:fldChar w:fldCharType="begin"/>
          </w:r>
          <w:r>
            <w:rPr>
              <w:rFonts w:cstheme="minorHAnsi"/>
              <w:color w:val="1F497D" w:themeColor="text2"/>
              <w:sz w:val="28"/>
            </w:rPr>
            <w:instrText xml:space="preserve"> PAGE   \* MERGEFORMAT </w:instrText>
          </w:r>
          <w:r>
            <w:rPr>
              <w:rFonts w:cstheme="minorHAnsi"/>
              <w:color w:val="1F497D" w:themeColor="text2"/>
              <w:sz w:val="28"/>
            </w:rPr>
            <w:fldChar w:fldCharType="separate"/>
          </w:r>
          <w:r>
            <w:rPr>
              <w:rFonts w:cstheme="minorHAnsi"/>
              <w:noProof/>
              <w:color w:val="1F497D" w:themeColor="text2"/>
              <w:sz w:val="28"/>
            </w:rPr>
            <w:t>v</w:t>
          </w:r>
          <w:r>
            <w:rPr>
              <w:rFonts w:cstheme="minorHAnsi"/>
              <w:noProof/>
              <w:color w:val="1F497D" w:themeColor="text2"/>
              <w:sz w:val="28"/>
            </w:rPr>
            <w:fldChar w:fldCharType="end"/>
          </w:r>
        </w:p>
      </w:tc>
    </w:tr>
  </w:tbl>
  <w:p w:rsidR="00A22C37" w:rsidRDefault="00A22C37">
    <w:pPr>
      <w:pStyle w:val="Header"/>
      <w:rPr>
        <w:color w:val="1F497D" w:themeColor="text2"/>
      </w:rPr>
    </w:pPr>
  </w:p>
  <w:p w:rsidR="00A22C37" w:rsidRDefault="00A22C37">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A22C37" w:rsidRDefault="00A22C37">
    <w:pPr>
      <w:pStyle w:val="Header"/>
      <w:rPr>
        <w:color w:val="1F497D" w:themeColor="text2"/>
      </w:rPr>
    </w:pPr>
  </w:p>
  <w:p w:rsidR="00A22C37" w:rsidRDefault="00A22C37">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6</w:t>
          </w:r>
          <w:r>
            <w:rPr>
              <w:rFonts w:cstheme="minorHAnsi"/>
              <w:b/>
              <w:bCs/>
              <w:color w:val="1F497D" w:themeColor="text2"/>
              <w:sz w:val="28"/>
            </w:rPr>
            <w:fldChar w:fldCharType="end"/>
          </w:r>
        </w:p>
      </w:tc>
    </w:tr>
  </w:tbl>
  <w:p w:rsidR="00A22C37" w:rsidRDefault="00A22C37">
    <w:pPr>
      <w:pStyle w:val="Header"/>
      <w:rPr>
        <w:color w:val="1F497D" w:themeColor="text2"/>
      </w:rPr>
    </w:pPr>
  </w:p>
  <w:p w:rsidR="00A22C37" w:rsidRDefault="00A22C37">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CC4" w:rsidRPr="000B1CC4" w:rsidRDefault="000B1CC4" w:rsidP="000B1CC4">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10</w:t>
          </w:r>
          <w:r>
            <w:rPr>
              <w:rFonts w:cstheme="minorHAnsi"/>
              <w:b/>
              <w:bCs/>
              <w:color w:val="1F497D" w:themeColor="text2"/>
              <w:sz w:val="28"/>
            </w:rPr>
            <w:fldChar w:fldCharType="end"/>
          </w:r>
        </w:p>
      </w:tc>
    </w:tr>
  </w:tbl>
  <w:p w:rsidR="00A22C37" w:rsidRDefault="00A22C37">
    <w:pPr>
      <w:pStyle w:val="Header"/>
      <w:rPr>
        <w:color w:val="1F497D" w:themeColor="text2"/>
      </w:rPr>
    </w:pPr>
  </w:p>
  <w:p w:rsidR="00A22C37" w:rsidRDefault="00A22C37">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15</w:t>
          </w:r>
          <w:r>
            <w:rPr>
              <w:rFonts w:cstheme="minorHAnsi"/>
              <w:b/>
              <w:bCs/>
              <w:color w:val="1F497D" w:themeColor="text2"/>
              <w:sz w:val="28"/>
            </w:rPr>
            <w:fldChar w:fldCharType="end"/>
          </w:r>
        </w:p>
      </w:tc>
    </w:tr>
  </w:tbl>
  <w:p w:rsidR="00A22C37" w:rsidRDefault="00A22C37">
    <w:pPr>
      <w:pStyle w:val="Header"/>
      <w:rPr>
        <w:color w:val="1F497D" w:themeColor="text2"/>
      </w:rPr>
    </w:pPr>
  </w:p>
  <w:p w:rsidR="00A22C37" w:rsidRDefault="00A22C37">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16</w:t>
          </w:r>
          <w:r>
            <w:rPr>
              <w:rFonts w:cstheme="minorHAnsi"/>
              <w:b/>
              <w:bCs/>
              <w:color w:val="1F497D" w:themeColor="text2"/>
              <w:sz w:val="28"/>
            </w:rPr>
            <w:fldChar w:fldCharType="end"/>
          </w:r>
        </w:p>
      </w:tc>
    </w:tr>
  </w:tbl>
  <w:p w:rsidR="00A22C37" w:rsidRDefault="00A22C37">
    <w:pPr>
      <w:pStyle w:val="Header"/>
      <w:rPr>
        <w:color w:val="1F497D" w:themeColor="text2"/>
      </w:rPr>
    </w:pPr>
  </w:p>
  <w:p w:rsidR="00A22C37" w:rsidRDefault="00A22C37">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21</w:t>
          </w:r>
          <w:r>
            <w:rPr>
              <w:rFonts w:cstheme="minorHAnsi"/>
              <w:b/>
              <w:bCs/>
              <w:color w:val="1F497D" w:themeColor="text2"/>
              <w:sz w:val="28"/>
            </w:rPr>
            <w:fldChar w:fldCharType="end"/>
          </w:r>
        </w:p>
      </w:tc>
    </w:tr>
  </w:tbl>
  <w:p w:rsidR="00A22C37" w:rsidRDefault="00A22C37">
    <w:pPr>
      <w:pStyle w:val="Header"/>
      <w:rPr>
        <w:color w:val="1F497D" w:themeColor="text2"/>
      </w:rPr>
    </w:pPr>
  </w:p>
  <w:p w:rsidR="00A22C37" w:rsidRDefault="00A22C37">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CC4" w:rsidRPr="000B1CC4" w:rsidRDefault="000B1CC4" w:rsidP="000B1CC4">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A22C37" w:rsidRDefault="00A22C37">
    <w:pPr>
      <w:pStyle w:val="Header"/>
      <w:rPr>
        <w:color w:val="1F497D" w:themeColor="text2"/>
      </w:rPr>
    </w:pPr>
  </w:p>
  <w:p w:rsidR="00A22C37" w:rsidRDefault="00A22C37">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sdt>
            <w:sdtPr>
              <w:rPr>
                <w:rFonts w:cstheme="minorHAnsi"/>
                <w:b/>
                <w:bCs/>
                <w:color w:val="1F497D" w:themeColor="text2"/>
              </w:rPr>
              <w:id w:val="-135643437"/>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412.4pt;height:247.4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21</w:t>
          </w:r>
          <w:r>
            <w:rPr>
              <w:rFonts w:cstheme="minorHAnsi"/>
              <w:b/>
              <w:bCs/>
              <w:color w:val="1F497D" w:themeColor="text2"/>
              <w:sz w:val="28"/>
            </w:rPr>
            <w:fldChar w:fldCharType="end"/>
          </w:r>
        </w:p>
      </w:tc>
    </w:tr>
  </w:tbl>
  <w:p w:rsidR="00A22C37" w:rsidRDefault="000B1CC4">
    <w:pPr>
      <w:pStyle w:val="Header"/>
      <w:rPr>
        <w:color w:val="1F497D" w:themeColor="text2"/>
      </w:rPr>
    </w:pPr>
    <w:sdt>
      <w:sdtPr>
        <w:rPr>
          <w:rFonts w:cstheme="minorHAnsi"/>
          <w:b/>
          <w:bCs/>
          <w:color w:val="1F497D" w:themeColor="text2"/>
        </w:rPr>
        <w:id w:val="1800646366"/>
        <w:docPartObj>
          <w:docPartGallery w:val="Watermarks"/>
          <w:docPartUnique/>
        </w:docPartObj>
      </w:sdtPr>
      <w:sdtEndPr/>
      <w:sdtContent>
        <w:r>
          <w:rPr>
            <w:rFonts w:cstheme="minorHAnsi"/>
            <w:b/>
            <w:bCs/>
            <w:noProof/>
            <w:color w:val="1F497D" w:themeColor="text2"/>
            <w:lang w:val="en-US" w:eastAsia="zh-TW"/>
          </w:rPr>
          <w:pict>
            <v:shape id="_x0000_s2068" type="#_x0000_t136" style="position:absolute;margin-left:0;margin-top:0;width:412.4pt;height:247.4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rsidR="00A22C37" w:rsidRDefault="00A22C37">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24</w:t>
          </w:r>
          <w:r>
            <w:rPr>
              <w:rFonts w:cstheme="minorHAnsi"/>
              <w:b/>
              <w:bCs/>
              <w:color w:val="1F497D" w:themeColor="text2"/>
              <w:sz w:val="28"/>
            </w:rPr>
            <w:fldChar w:fldCharType="end"/>
          </w:r>
        </w:p>
      </w:tc>
    </w:tr>
  </w:tbl>
  <w:p w:rsidR="00A22C37" w:rsidRDefault="00A22C37">
    <w:pPr>
      <w:pStyle w:val="Header"/>
      <w:rPr>
        <w:color w:val="1F497D" w:themeColor="text2"/>
      </w:rPr>
    </w:pPr>
  </w:p>
  <w:p w:rsidR="00A22C37" w:rsidRDefault="00A22C37">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25</w:t>
          </w:r>
          <w:r>
            <w:rPr>
              <w:rFonts w:cstheme="minorHAnsi"/>
              <w:b/>
              <w:bCs/>
              <w:color w:val="1F497D" w:themeColor="text2"/>
              <w:sz w:val="28"/>
            </w:rPr>
            <w:fldChar w:fldCharType="end"/>
          </w:r>
        </w:p>
      </w:tc>
    </w:tr>
  </w:tbl>
  <w:p w:rsidR="00A22C37" w:rsidRDefault="00A22C37">
    <w:pPr>
      <w:pStyle w:val="Header"/>
      <w:rPr>
        <w:color w:val="1F497D" w:themeColor="text2"/>
      </w:rPr>
    </w:pPr>
  </w:p>
  <w:p w:rsidR="00A22C37" w:rsidRDefault="00A22C37">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sdt>
            <w:sdtPr>
              <w:rPr>
                <w:rFonts w:cstheme="minorHAnsi"/>
                <w:b/>
                <w:bCs/>
                <w:color w:val="1F497D" w:themeColor="text2"/>
              </w:rPr>
              <w:id w:val="-462731219"/>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left:0;text-align:left;margin-left:0;margin-top:0;width:412.4pt;height:247.45pt;rotation:315;z-index:-2516213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21</w:t>
          </w:r>
          <w:r>
            <w:rPr>
              <w:rFonts w:cstheme="minorHAnsi"/>
              <w:b/>
              <w:bCs/>
              <w:color w:val="1F497D" w:themeColor="text2"/>
              <w:sz w:val="28"/>
            </w:rPr>
            <w:fldChar w:fldCharType="end"/>
          </w:r>
        </w:p>
      </w:tc>
    </w:tr>
  </w:tbl>
  <w:p w:rsidR="00A22C37" w:rsidRDefault="000B1CC4">
    <w:pPr>
      <w:pStyle w:val="Header"/>
      <w:rPr>
        <w:color w:val="1F497D" w:themeColor="text2"/>
      </w:rPr>
    </w:pPr>
    <w:sdt>
      <w:sdtPr>
        <w:rPr>
          <w:rFonts w:cstheme="minorHAnsi"/>
          <w:b/>
          <w:bCs/>
          <w:color w:val="1F497D" w:themeColor="text2"/>
        </w:rPr>
        <w:id w:val="1193966653"/>
        <w:docPartObj>
          <w:docPartGallery w:val="Watermarks"/>
          <w:docPartUnique/>
        </w:docPartObj>
      </w:sdtPr>
      <w:sdtEndPr/>
      <w:sdtContent>
        <w:r>
          <w:rPr>
            <w:rFonts w:cstheme="minorHAnsi"/>
            <w:b/>
            <w:bCs/>
            <w:noProof/>
            <w:color w:val="1F497D" w:themeColor="text2"/>
            <w:lang w:val="en-US" w:eastAsia="zh-TW"/>
          </w:rPr>
          <w:pict>
            <v:shape id="_x0000_s2074" type="#_x0000_t136" style="position:absolute;margin-left:0;margin-top:0;width:412.4pt;height:247.4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rsidR="00A22C37" w:rsidRDefault="00A22C37">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29</w:t>
          </w:r>
          <w:r>
            <w:rPr>
              <w:rFonts w:cstheme="minorHAnsi"/>
              <w:b/>
              <w:bCs/>
              <w:color w:val="1F497D" w:themeColor="text2"/>
              <w:sz w:val="28"/>
            </w:rPr>
            <w:fldChar w:fldCharType="end"/>
          </w:r>
        </w:p>
      </w:tc>
    </w:tr>
  </w:tbl>
  <w:p w:rsidR="00A22C37" w:rsidRDefault="00A22C37">
    <w:pPr>
      <w:pStyle w:val="Header"/>
      <w:rPr>
        <w:color w:val="1F497D" w:themeColor="text2"/>
      </w:rPr>
    </w:pPr>
  </w:p>
  <w:p w:rsidR="00A22C37" w:rsidRDefault="00A22C37">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A22C37" w:rsidRDefault="00A22C37">
    <w:pPr>
      <w:pStyle w:val="Header"/>
      <w:rPr>
        <w:color w:val="1F497D" w:themeColor="text2"/>
      </w:rPr>
    </w:pPr>
  </w:p>
  <w:p w:rsidR="00A22C37" w:rsidRDefault="00A22C37">
    <w:pPr>
      <w:pStyle w:val="Header"/>
      <w:rPr>
        <w:color w:val="1F497D" w:themeColor="text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A22C37" w:rsidRDefault="00A22C3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A22C37">
      <w:tc>
        <w:tcPr>
          <w:tcW w:w="0" w:type="auto"/>
          <w:tcBorders>
            <w:top w:val="nil"/>
            <w:left w:val="nil"/>
            <w:bottom w:val="nil"/>
            <w:right w:val="single" w:sz="6" w:space="0" w:color="000000" w:themeColor="text1"/>
          </w:tcBorders>
          <w:hideMark/>
        </w:tcPr>
        <w:p w:rsidR="00A22C37" w:rsidRDefault="000B1CC4">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22C37" w:rsidRDefault="000B1CC4">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A22C37" w:rsidRDefault="00A22C37">
    <w:pPr>
      <w:pStyle w:val="Header"/>
      <w:rPr>
        <w:color w:val="1F497D" w:themeColor="text2"/>
      </w:rPr>
    </w:pPr>
  </w:p>
  <w:p w:rsidR="00A22C37" w:rsidRDefault="00A22C37">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37" w:rsidRDefault="00A22C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62F6F14"/>
    <w:multiLevelType w:val="hybridMultilevel"/>
    <w:tmpl w:val="5100FFB8"/>
    <w:lvl w:ilvl="0" w:tplc="08090009">
      <w:start w:val="1"/>
      <w:numFmt w:val="bullet"/>
      <w:lvlText w:val=""/>
      <w:lvlJc w:val="left"/>
      <w:pPr>
        <w:ind w:left="360" w:hanging="360"/>
      </w:pPr>
      <w:rPr>
        <w:rFonts w:ascii="Wingdings" w:hAnsi="Wingdings" w:hint="default"/>
      </w:rPr>
    </w:lvl>
    <w:lvl w:ilvl="1" w:tplc="7C985A7C">
      <w:start w:val="6"/>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B643935"/>
    <w:multiLevelType w:val="hybridMultilevel"/>
    <w:tmpl w:val="3FA60F2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CCA50C4"/>
    <w:multiLevelType w:val="multilevel"/>
    <w:tmpl w:val="61929352"/>
    <w:styleLink w:val="List188"/>
    <w:lvl w:ilvl="0">
      <w:start w:val="1"/>
      <w:numFmt w:val="lowerLetter"/>
      <w:lvlText w:val="(%1)"/>
      <w:lvlJc w:val="left"/>
      <w:rPr>
        <w:b/>
        <w:bCs/>
        <w:position w:val="0"/>
        <w:rtl w:val="0"/>
      </w:rPr>
    </w:lvl>
    <w:lvl w:ilvl="1">
      <w:start w:val="1"/>
      <w:numFmt w:val="bullet"/>
      <w:lvlText w:val="o"/>
      <w:lvlJc w:val="left"/>
      <w:rPr>
        <w:b/>
        <w:bCs/>
        <w:position w:val="0"/>
        <w:rtl w:val="0"/>
      </w:rPr>
    </w:lvl>
    <w:lvl w:ilvl="2">
      <w:start w:val="1"/>
      <w:numFmt w:val="bullet"/>
      <w:lvlText w:val="▪"/>
      <w:lvlJc w:val="left"/>
      <w:rPr>
        <w:b/>
        <w:bCs/>
        <w:position w:val="0"/>
        <w:rtl w:val="0"/>
      </w:rPr>
    </w:lvl>
    <w:lvl w:ilvl="3">
      <w:start w:val="1"/>
      <w:numFmt w:val="bullet"/>
      <w:lvlText w:val="•"/>
      <w:lvlJc w:val="left"/>
      <w:rPr>
        <w:b/>
        <w:bCs/>
        <w:position w:val="0"/>
        <w:rtl w:val="0"/>
      </w:rPr>
    </w:lvl>
    <w:lvl w:ilvl="4">
      <w:start w:val="1"/>
      <w:numFmt w:val="bullet"/>
      <w:lvlText w:val="o"/>
      <w:lvlJc w:val="left"/>
      <w:rPr>
        <w:b/>
        <w:bCs/>
        <w:position w:val="0"/>
        <w:rtl w:val="0"/>
      </w:rPr>
    </w:lvl>
    <w:lvl w:ilvl="5">
      <w:start w:val="1"/>
      <w:numFmt w:val="bullet"/>
      <w:lvlText w:val="▪"/>
      <w:lvlJc w:val="left"/>
      <w:rPr>
        <w:b/>
        <w:bCs/>
        <w:position w:val="0"/>
        <w:rtl w:val="0"/>
      </w:rPr>
    </w:lvl>
    <w:lvl w:ilvl="6">
      <w:start w:val="1"/>
      <w:numFmt w:val="bullet"/>
      <w:lvlText w:val="•"/>
      <w:lvlJc w:val="left"/>
      <w:rPr>
        <w:b/>
        <w:bCs/>
        <w:position w:val="0"/>
        <w:rtl w:val="0"/>
      </w:rPr>
    </w:lvl>
    <w:lvl w:ilvl="7">
      <w:start w:val="1"/>
      <w:numFmt w:val="bullet"/>
      <w:lvlText w:val="o"/>
      <w:lvlJc w:val="left"/>
      <w:rPr>
        <w:b/>
        <w:bCs/>
        <w:position w:val="0"/>
        <w:rtl w:val="0"/>
      </w:rPr>
    </w:lvl>
    <w:lvl w:ilvl="8">
      <w:start w:val="1"/>
      <w:numFmt w:val="bullet"/>
      <w:lvlText w:val="▪"/>
      <w:lvlJc w:val="left"/>
      <w:rPr>
        <w:b/>
        <w:bCs/>
        <w:position w:val="0"/>
        <w:rtl w:val="0"/>
      </w:rPr>
    </w:lvl>
  </w:abstractNum>
  <w:abstractNum w:abstractNumId="4">
    <w:nsid w:val="10512A37"/>
    <w:multiLevelType w:val="hybridMultilevel"/>
    <w:tmpl w:val="7FC8BCB4"/>
    <w:lvl w:ilvl="0" w:tplc="111CD4A4">
      <w:start w:val="1"/>
      <w:numFmt w:val="decimal"/>
      <w:pStyle w:val="Title"/>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6">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7">
    <w:nsid w:val="16673375"/>
    <w:multiLevelType w:val="hybridMultilevel"/>
    <w:tmpl w:val="AC2A46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3BA5D99"/>
    <w:multiLevelType w:val="hybridMultilevel"/>
    <w:tmpl w:val="1DC80C4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1">
    <w:nsid w:val="33062CB7"/>
    <w:multiLevelType w:val="hybridMultilevel"/>
    <w:tmpl w:val="3E88791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7D244A0"/>
    <w:multiLevelType w:val="hybridMultilevel"/>
    <w:tmpl w:val="8E249758"/>
    <w:lvl w:ilvl="0" w:tplc="08090001">
      <w:start w:val="1"/>
      <w:numFmt w:val="bullet"/>
      <w:lvlText w:val=""/>
      <w:lvlJc w:val="left"/>
      <w:pPr>
        <w:ind w:left="360" w:hanging="360"/>
      </w:pPr>
      <w:rPr>
        <w:rFonts w:ascii="Symbol" w:hAnsi="Symbol" w:hint="default"/>
      </w:rPr>
    </w:lvl>
    <w:lvl w:ilvl="1" w:tplc="7C985A7C">
      <w:start w:val="6"/>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4">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17A383C"/>
    <w:multiLevelType w:val="hybridMultilevel"/>
    <w:tmpl w:val="2C844E1C"/>
    <w:lvl w:ilvl="0" w:tplc="E54659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34D13F9"/>
    <w:multiLevelType w:val="hybridMultilevel"/>
    <w:tmpl w:val="B1A0D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57C764F"/>
    <w:multiLevelType w:val="hybridMultilevel"/>
    <w:tmpl w:val="2042E6D0"/>
    <w:lvl w:ilvl="0" w:tplc="08480B80">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FBD5C70"/>
    <w:multiLevelType w:val="hybridMultilevel"/>
    <w:tmpl w:val="86F6230E"/>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0686430"/>
    <w:multiLevelType w:val="hybridMultilevel"/>
    <w:tmpl w:val="8730DD2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7">
    <w:nsid w:val="55A57540"/>
    <w:multiLevelType w:val="multilevel"/>
    <w:tmpl w:val="74402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CA1692A"/>
    <w:multiLevelType w:val="hybridMultilevel"/>
    <w:tmpl w:val="7CAE9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1">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2">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3">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5">
    <w:nsid w:val="73B77D5E"/>
    <w:multiLevelType w:val="hybridMultilevel"/>
    <w:tmpl w:val="96222ADE"/>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6"/>
  </w:num>
  <w:num w:numId="2">
    <w:abstractNumId w:val="20"/>
  </w:num>
  <w:num w:numId="3">
    <w:abstractNumId w:val="33"/>
  </w:num>
  <w:num w:numId="4">
    <w:abstractNumId w:val="28"/>
  </w:num>
  <w:num w:numId="5">
    <w:abstractNumId w:val="18"/>
  </w:num>
  <w:num w:numId="6">
    <w:abstractNumId w:val="14"/>
  </w:num>
  <w:num w:numId="7">
    <w:abstractNumId w:val="37"/>
  </w:num>
  <w:num w:numId="8">
    <w:abstractNumId w:val="26"/>
  </w:num>
  <w:num w:numId="9">
    <w:abstractNumId w:val="13"/>
  </w:num>
  <w:num w:numId="10">
    <w:abstractNumId w:val="10"/>
  </w:num>
  <w:num w:numId="11">
    <w:abstractNumId w:val="6"/>
  </w:num>
  <w:num w:numId="12">
    <w:abstractNumId w:val="5"/>
  </w:num>
  <w:num w:numId="13">
    <w:abstractNumId w:val="30"/>
  </w:num>
  <w:num w:numId="14">
    <w:abstractNumId w:val="32"/>
  </w:num>
  <w:num w:numId="15">
    <w:abstractNumId w:val="31"/>
  </w:num>
  <w:num w:numId="16">
    <w:abstractNumId w:val="34"/>
  </w:num>
  <w:num w:numId="17">
    <w:abstractNumId w:val="9"/>
  </w:num>
  <w:num w:numId="18">
    <w:abstractNumId w:val="16"/>
  </w:num>
  <w:num w:numId="19">
    <w:abstractNumId w:val="22"/>
  </w:num>
  <w:num w:numId="20">
    <w:abstractNumId w:val="19"/>
  </w:num>
  <w:num w:numId="21">
    <w:abstractNumId w:val="0"/>
  </w:num>
  <w:num w:numId="22">
    <w:abstractNumId w:val="23"/>
  </w:num>
  <w:num w:numId="23">
    <w:abstractNumId w:val="17"/>
  </w:num>
  <w:num w:numId="24">
    <w:abstractNumId w:val="27"/>
  </w:num>
  <w:num w:numId="25">
    <w:abstractNumId w:val="12"/>
  </w:num>
  <w:num w:numId="26">
    <w:abstractNumId w:val="4"/>
  </w:num>
  <w:num w:numId="27">
    <w:abstractNumId w:val="7"/>
  </w:num>
  <w:num w:numId="28">
    <w:abstractNumId w:val="35"/>
  </w:num>
  <w:num w:numId="29">
    <w:abstractNumId w:val="11"/>
  </w:num>
  <w:num w:numId="30">
    <w:abstractNumId w:val="2"/>
  </w:num>
  <w:num w:numId="31">
    <w:abstractNumId w:val="3"/>
  </w:num>
  <w:num w:numId="32">
    <w:abstractNumId w:val="24"/>
  </w:num>
  <w:num w:numId="33">
    <w:abstractNumId w:val="29"/>
  </w:num>
  <w:num w:numId="34">
    <w:abstractNumId w:val="25"/>
  </w:num>
  <w:num w:numId="35">
    <w:abstractNumId w:val="8"/>
  </w:num>
  <w:num w:numId="36">
    <w:abstractNumId w:val="1"/>
  </w:num>
  <w:num w:numId="37">
    <w:abstractNumId w:val="21"/>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2678C9CFE5C8428A860FDF796D731B0E"/>
    <w:docVar w:name="LW_CROSSREFERENCE" w:val="{COM(2017) 63 final}_x000a_{SWD(2017) 33 - 54 final}_x000a_{SWD(2017) 56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55"/>
    <w:docVar w:name="LW_REF.INTERNE" w:val="&lt;UNUSED&gt;"/>
    <w:docVar w:name="LW_SUPERTITRE" w:val="&lt;UNUSED&gt;"/>
    <w:docVar w:name="LW_TITRE.OBJ.CP" w:val="The EU Environmental Implementation Review_x000b_Country Report - ROMANIA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A22C37"/>
    <w:rsid w:val="000B1CC4"/>
    <w:rsid w:val="00A22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7"/>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character" w:customStyle="1" w:styleId="st">
    <w:name w:val="st"/>
    <w:basedOn w:val="DefaultParagraphFont"/>
  </w:style>
  <w:style w:type="character" w:customStyle="1" w:styleId="link-external2">
    <w:name w:val="link-external2"/>
    <w:basedOn w:val="DefaultParagraphFont"/>
    <w:rPr>
      <w:shd w:val="clear" w:color="auto" w:fill="auto"/>
    </w:rPr>
  </w:style>
  <w:style w:type="character" w:customStyle="1" w:styleId="external-link">
    <w:name w:val="external-link"/>
    <w:basedOn w:val="DefaultParagraphFont"/>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semiHidden/>
    <w:unhideWhenUsed/>
    <w:pPr>
      <w:spacing w:after="0" w:line="240" w:lineRule="auto"/>
      <w:jc w:val="both"/>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paragraph" w:styleId="Title">
    <w:name w:val="Title"/>
    <w:basedOn w:val="Heading1"/>
    <w:next w:val="Normal"/>
    <w:link w:val="TitleChar"/>
    <w:uiPriority w:val="10"/>
    <w:qFormat/>
    <w:pPr>
      <w:numPr>
        <w:numId w:val="26"/>
      </w:numPr>
    </w:pPr>
    <w:rPr>
      <w:rFonts w:asciiTheme="minorHAnsi" w:eastAsiaTheme="minorHAnsi" w:hAnsiTheme="minorHAnsi" w:cstheme="majorBidi"/>
      <w:color w:val="1F497D" w:themeColor="text2"/>
      <w:szCs w:val="32"/>
    </w:rPr>
  </w:style>
  <w:style w:type="character" w:customStyle="1" w:styleId="TitleChar">
    <w:name w:val="Title Char"/>
    <w:basedOn w:val="DefaultParagraphFont"/>
    <w:link w:val="Title"/>
    <w:uiPriority w:val="10"/>
    <w:rPr>
      <w:rFonts w:cstheme="majorBidi"/>
      <w:b/>
      <w:bCs/>
      <w:color w:val="1F497D" w:themeColor="text2"/>
      <w:sz w:val="32"/>
      <w:szCs w:val="32"/>
    </w:rPr>
  </w:style>
  <w:style w:type="character" w:styleId="IntenseEmphasis">
    <w:name w:val="Intense Emphasis"/>
    <w:basedOn w:val="DefaultParagraphFont"/>
    <w:uiPriority w:val="21"/>
    <w:qFormat/>
    <w:rPr>
      <w:iCs/>
    </w:rPr>
  </w:style>
  <w:style w:type="character" w:styleId="IntenseReference">
    <w:name w:val="Intense Reference"/>
    <w:basedOn w:val="DefaultParagraphFont"/>
    <w:uiPriority w:val="32"/>
    <w:qFormat/>
    <w:rPr>
      <w:b/>
      <w:bCs/>
      <w:smallCaps/>
      <w:color w:val="C0504D" w:themeColor="accent2"/>
      <w:spacing w:val="5"/>
      <w:u w:val="single"/>
    </w:rPr>
  </w:style>
  <w:style w:type="character" w:customStyle="1" w:styleId="tgc">
    <w:name w:val="_tgc"/>
    <w:basedOn w:val="DefaultParagraphFont"/>
  </w:style>
  <w:style w:type="numbering" w:customStyle="1" w:styleId="List188">
    <w:name w:val="List 188"/>
    <w:basedOn w:val="NoList"/>
    <w:pPr>
      <w:numPr>
        <w:numId w:val="3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7"/>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character" w:customStyle="1" w:styleId="st">
    <w:name w:val="st"/>
    <w:basedOn w:val="DefaultParagraphFont"/>
  </w:style>
  <w:style w:type="character" w:customStyle="1" w:styleId="link-external2">
    <w:name w:val="link-external2"/>
    <w:basedOn w:val="DefaultParagraphFont"/>
    <w:rPr>
      <w:shd w:val="clear" w:color="auto" w:fill="auto"/>
    </w:rPr>
  </w:style>
  <w:style w:type="character" w:customStyle="1" w:styleId="external-link">
    <w:name w:val="external-link"/>
    <w:basedOn w:val="DefaultParagraphFont"/>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semiHidden/>
    <w:unhideWhenUsed/>
    <w:pPr>
      <w:spacing w:after="0" w:line="240" w:lineRule="auto"/>
      <w:jc w:val="both"/>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paragraph" w:styleId="Title">
    <w:name w:val="Title"/>
    <w:basedOn w:val="Heading1"/>
    <w:next w:val="Normal"/>
    <w:link w:val="TitleChar"/>
    <w:uiPriority w:val="10"/>
    <w:qFormat/>
    <w:pPr>
      <w:numPr>
        <w:numId w:val="26"/>
      </w:numPr>
    </w:pPr>
    <w:rPr>
      <w:rFonts w:asciiTheme="minorHAnsi" w:eastAsiaTheme="minorHAnsi" w:hAnsiTheme="minorHAnsi" w:cstheme="majorBidi"/>
      <w:color w:val="1F497D" w:themeColor="text2"/>
      <w:szCs w:val="32"/>
    </w:rPr>
  </w:style>
  <w:style w:type="character" w:customStyle="1" w:styleId="TitleChar">
    <w:name w:val="Title Char"/>
    <w:basedOn w:val="DefaultParagraphFont"/>
    <w:link w:val="Title"/>
    <w:uiPriority w:val="10"/>
    <w:rPr>
      <w:rFonts w:cstheme="majorBidi"/>
      <w:b/>
      <w:bCs/>
      <w:color w:val="1F497D" w:themeColor="text2"/>
      <w:sz w:val="32"/>
      <w:szCs w:val="32"/>
    </w:rPr>
  </w:style>
  <w:style w:type="character" w:styleId="IntenseEmphasis">
    <w:name w:val="Intense Emphasis"/>
    <w:basedOn w:val="DefaultParagraphFont"/>
    <w:uiPriority w:val="21"/>
    <w:qFormat/>
    <w:rPr>
      <w:iCs/>
    </w:rPr>
  </w:style>
  <w:style w:type="character" w:styleId="IntenseReference">
    <w:name w:val="Intense Reference"/>
    <w:basedOn w:val="DefaultParagraphFont"/>
    <w:uiPriority w:val="32"/>
    <w:qFormat/>
    <w:rPr>
      <w:b/>
      <w:bCs/>
      <w:smallCaps/>
      <w:color w:val="C0504D" w:themeColor="accent2"/>
      <w:spacing w:val="5"/>
      <w:u w:val="single"/>
    </w:rPr>
  </w:style>
  <w:style w:type="character" w:customStyle="1" w:styleId="tgc">
    <w:name w:val="_tgc"/>
    <w:basedOn w:val="DefaultParagraphFont"/>
  </w:style>
  <w:style w:type="numbering" w:customStyle="1" w:styleId="List188">
    <w:name w:val="List 188"/>
    <w:basedOn w:val="NoList"/>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17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5.xml"/><Relationship Id="rId21" Type="http://schemas.openxmlformats.org/officeDocument/2006/relationships/footer" Target="footer5.xml"/><Relationship Id="rId42" Type="http://schemas.openxmlformats.org/officeDocument/2006/relationships/image" Target="media/image2.png"/><Relationship Id="rId47" Type="http://schemas.openxmlformats.org/officeDocument/2006/relationships/header" Target="header16.xml"/><Relationship Id="rId63" Type="http://schemas.openxmlformats.org/officeDocument/2006/relationships/image" Target="media/image11.jpeg"/><Relationship Id="rId68" Type="http://schemas.openxmlformats.org/officeDocument/2006/relationships/footer" Target="footer23.xml"/><Relationship Id="rId84" Type="http://schemas.openxmlformats.org/officeDocument/2006/relationships/footer" Target="footer29.xml"/><Relationship Id="rId89" Type="http://schemas.openxmlformats.org/officeDocument/2006/relationships/footer" Target="footer31.xml"/><Relationship Id="rId112" Type="http://schemas.openxmlformats.org/officeDocument/2006/relationships/footer" Target="footer42.xml"/><Relationship Id="rId16" Type="http://schemas.openxmlformats.org/officeDocument/2006/relationships/hyperlink" Target="mailto:ENV-EIR@ec.europa.eu" TargetMode="External"/><Relationship Id="rId107" Type="http://schemas.openxmlformats.org/officeDocument/2006/relationships/header" Target="header40.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19.xml"/><Relationship Id="rId58" Type="http://schemas.openxmlformats.org/officeDocument/2006/relationships/footer" Target="footer21.xml"/><Relationship Id="rId74" Type="http://schemas.openxmlformats.org/officeDocument/2006/relationships/footer" Target="footer26.xml"/><Relationship Id="rId79" Type="http://schemas.openxmlformats.org/officeDocument/2006/relationships/image" Target="media/image15.png"/><Relationship Id="rId102" Type="http://schemas.openxmlformats.org/officeDocument/2006/relationships/header" Target="header38.xml"/><Relationship Id="rId123" Type="http://schemas.openxmlformats.org/officeDocument/2006/relationships/footer" Target="footer46.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footer" Target="footer32.xml"/><Relationship Id="rId95" Type="http://schemas.openxmlformats.org/officeDocument/2006/relationships/footer" Target="footer34.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image" Target="media/image3.png"/><Relationship Id="rId48" Type="http://schemas.openxmlformats.org/officeDocument/2006/relationships/header" Target="header17.xml"/><Relationship Id="rId56" Type="http://schemas.openxmlformats.org/officeDocument/2006/relationships/footer" Target="footer20.xml"/><Relationship Id="rId64" Type="http://schemas.openxmlformats.org/officeDocument/2006/relationships/image" Target="media/image12.jpeg"/><Relationship Id="rId69" Type="http://schemas.openxmlformats.org/officeDocument/2006/relationships/header" Target="header24.xml"/><Relationship Id="rId77" Type="http://schemas.openxmlformats.org/officeDocument/2006/relationships/image" Target="media/image13.png"/><Relationship Id="rId100" Type="http://schemas.openxmlformats.org/officeDocument/2006/relationships/image" Target="media/image18.png"/><Relationship Id="rId105" Type="http://schemas.openxmlformats.org/officeDocument/2006/relationships/header" Target="header39.xml"/><Relationship Id="rId113" Type="http://schemas.openxmlformats.org/officeDocument/2006/relationships/header" Target="header43.xml"/><Relationship Id="rId118" Type="http://schemas.openxmlformats.org/officeDocument/2006/relationships/footer" Target="footer45.xml"/><Relationship Id="rId126" Type="http://schemas.openxmlformats.org/officeDocument/2006/relationships/footer" Target="footer48.xml"/><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header" Target="header26.xml"/><Relationship Id="rId80" Type="http://schemas.openxmlformats.org/officeDocument/2006/relationships/image" Target="media/image16.jpeg"/><Relationship Id="rId85" Type="http://schemas.openxmlformats.org/officeDocument/2006/relationships/header" Target="header30.xml"/><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header" Target="header4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image" Target="media/image6.jpeg"/><Relationship Id="rId59" Type="http://schemas.openxmlformats.org/officeDocument/2006/relationships/image" Target="media/image7.png"/><Relationship Id="rId67" Type="http://schemas.openxmlformats.org/officeDocument/2006/relationships/footer" Target="footer22.xml"/><Relationship Id="rId103" Type="http://schemas.openxmlformats.org/officeDocument/2006/relationships/footer" Target="footer37.xml"/><Relationship Id="rId108" Type="http://schemas.openxmlformats.org/officeDocument/2006/relationships/header" Target="header41.xml"/><Relationship Id="rId116" Type="http://schemas.openxmlformats.org/officeDocument/2006/relationships/footer" Target="footer44.xml"/><Relationship Id="rId124" Type="http://schemas.openxmlformats.org/officeDocument/2006/relationships/footer" Target="footer47.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header" Target="header20.xml"/><Relationship Id="rId62" Type="http://schemas.openxmlformats.org/officeDocument/2006/relationships/image" Target="media/image10.jpeg"/><Relationship Id="rId70" Type="http://schemas.openxmlformats.org/officeDocument/2006/relationships/footer" Target="footer24.xml"/><Relationship Id="rId75" Type="http://schemas.openxmlformats.org/officeDocument/2006/relationships/header" Target="header27.xml"/><Relationship Id="rId83" Type="http://schemas.openxmlformats.org/officeDocument/2006/relationships/footer" Target="footer28.xml"/><Relationship Id="rId88" Type="http://schemas.openxmlformats.org/officeDocument/2006/relationships/header" Target="header32.xml"/><Relationship Id="rId91" Type="http://schemas.openxmlformats.org/officeDocument/2006/relationships/header" Target="header33.xml"/><Relationship Id="rId96" Type="http://schemas.openxmlformats.org/officeDocument/2006/relationships/footer" Target="footer35.xml"/><Relationship Id="rId111"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6.xml"/><Relationship Id="rId57" Type="http://schemas.openxmlformats.org/officeDocument/2006/relationships/header" Target="header21.xml"/><Relationship Id="rId106" Type="http://schemas.openxmlformats.org/officeDocument/2006/relationships/footer" Target="footer39.xml"/><Relationship Id="rId114" Type="http://schemas.openxmlformats.org/officeDocument/2006/relationships/header" Target="header44.xml"/><Relationship Id="rId119" Type="http://schemas.openxmlformats.org/officeDocument/2006/relationships/image" Target="media/image19.jpeg"/><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image" Target="media/image4.png"/><Relationship Id="rId52" Type="http://schemas.openxmlformats.org/officeDocument/2006/relationships/footer" Target="footer18.xml"/><Relationship Id="rId60" Type="http://schemas.openxmlformats.org/officeDocument/2006/relationships/image" Target="media/image8.png"/><Relationship Id="rId65" Type="http://schemas.openxmlformats.org/officeDocument/2006/relationships/header" Target="header22.xml"/><Relationship Id="rId73" Type="http://schemas.openxmlformats.org/officeDocument/2006/relationships/footer" Target="footer25.xml"/><Relationship Id="rId78" Type="http://schemas.openxmlformats.org/officeDocument/2006/relationships/image" Target="media/image14.png"/><Relationship Id="rId81" Type="http://schemas.openxmlformats.org/officeDocument/2006/relationships/header" Target="header28.xml"/><Relationship Id="rId86" Type="http://schemas.openxmlformats.org/officeDocument/2006/relationships/footer" Target="footer30.xml"/><Relationship Id="rId94" Type="http://schemas.openxmlformats.org/officeDocument/2006/relationships/header" Target="header35.xml"/><Relationship Id="rId99" Type="http://schemas.openxmlformats.org/officeDocument/2006/relationships/image" Target="media/image17.png"/><Relationship Id="rId101" Type="http://schemas.openxmlformats.org/officeDocument/2006/relationships/header" Target="header37.xml"/><Relationship Id="rId122" Type="http://schemas.openxmlformats.org/officeDocument/2006/relationships/header" Target="header47.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0.xml"/><Relationship Id="rId34" Type="http://schemas.openxmlformats.org/officeDocument/2006/relationships/header" Target="header12.xml"/><Relationship Id="rId50" Type="http://schemas.openxmlformats.org/officeDocument/2006/relationships/footer" Target="footer17.xml"/><Relationship Id="rId55" Type="http://schemas.openxmlformats.org/officeDocument/2006/relationships/footer" Target="footer19.xml"/><Relationship Id="rId76" Type="http://schemas.openxmlformats.org/officeDocument/2006/relationships/footer" Target="footer27.xml"/><Relationship Id="rId97" Type="http://schemas.openxmlformats.org/officeDocument/2006/relationships/header" Target="header36.xml"/><Relationship Id="rId104" Type="http://schemas.openxmlformats.org/officeDocument/2006/relationships/footer" Target="footer38.xml"/><Relationship Id="rId120" Type="http://schemas.openxmlformats.org/officeDocument/2006/relationships/image" Target="media/image20.jpeg"/><Relationship Id="rId125" Type="http://schemas.openxmlformats.org/officeDocument/2006/relationships/header" Target="header48.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image" Target="media/image5.png"/><Relationship Id="rId66" Type="http://schemas.openxmlformats.org/officeDocument/2006/relationships/header" Target="header23.xml"/><Relationship Id="rId87" Type="http://schemas.openxmlformats.org/officeDocument/2006/relationships/header" Target="header31.xml"/><Relationship Id="rId110" Type="http://schemas.openxmlformats.org/officeDocument/2006/relationships/footer" Target="footer41.xml"/><Relationship Id="rId115" Type="http://schemas.openxmlformats.org/officeDocument/2006/relationships/footer" Target="footer43.xml"/><Relationship Id="rId61" Type="http://schemas.openxmlformats.org/officeDocument/2006/relationships/image" Target="media/image9.png"/><Relationship Id="rId82" Type="http://schemas.openxmlformats.org/officeDocument/2006/relationships/header" Target="header29.xml"/></Relationships>
</file>

<file path=word/_rels/footnotes.xml.rels><?xml version="1.0" encoding="UTF-8" standalone="yes"?>
<Relationships xmlns="http://schemas.openxmlformats.org/package/2006/relationships"><Relationship Id="rId26" Type="http://schemas.openxmlformats.org/officeDocument/2006/relationships/hyperlink" Target="http://ec.europa.eu/environment/nature/info/pubs/docs/nat2000newsl/nat37_en.pdf" TargetMode="External"/><Relationship Id="rId21" Type="http://schemas.openxmlformats.org/officeDocument/2006/relationships/hyperlink" Target="http://ec.europa.eu/eurostat/tgm/table.do?tab=table&amp;init=1&amp;plugin=1&amp;language=en&amp;pcode=tsdpc240" TargetMode="External"/><Relationship Id="rId42" Type="http://schemas.openxmlformats.org/officeDocument/2006/relationships/hyperlink" Target="http://www.eea.europa.eu/data-and-maps/data/data-viewers/emissions-nec-directive-viewer" TargetMode="External"/><Relationship Id="rId47" Type="http://schemas.openxmlformats.org/officeDocument/2006/relationships/hyperlink" Target="http://www.eionet.europa.eu/aqportal" TargetMode="External"/><Relationship Id="rId63" Type="http://schemas.openxmlformats.org/officeDocument/2006/relationships/hyperlink" Target="http://www.eea.europa.eu/publications/european-bathing-water-quality-2015" TargetMode="External"/><Relationship Id="rId68" Type="http://schemas.openxmlformats.org/officeDocument/2006/relationships/hyperlink" Target="http://ec.europa.eu/environment/water/water-framework/pdf/3rd_report/CWD-2012-379_EN-Vol3_RO.pdf" TargetMode="External"/><Relationship Id="rId84" Type="http://schemas.openxmlformats.org/officeDocument/2006/relationships/hyperlink" Target="http://www.unece.org/fileadmin/DAM/env/epr/epr_studies/Romania_II.pdf" TargetMode="External"/><Relationship Id="rId89" Type="http://schemas.openxmlformats.org/officeDocument/2006/relationships/hyperlink" Target="http://www.eufje.org" TargetMode="External"/><Relationship Id="rId7" Type="http://schemas.openxmlformats.org/officeDocument/2006/relationships/hyperlink" Target="http://ec.europa.eu/eurostat/tgm/table.do?tab=table&amp;init=1&amp;language=en&amp;pcode=tsdpc100&amp;plugin=1" TargetMode="External"/><Relationship Id="rId71" Type="http://schemas.openxmlformats.org/officeDocument/2006/relationships/hyperlink" Target="http://ec.europa.eu/eurostat/en/web/products-datasets/-/T2020_RT320" TargetMode="External"/><Relationship Id="rId92" Type="http://schemas.openxmlformats.org/officeDocument/2006/relationships/hyperlink" Target="https://ec.europa.eu/transparency/regdoc/rep/1/2016/EN/1-2016-204-EN-F1-1.PDF"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ec.europa.eu/environment/integration/green_semester/pdf/SME%20Investments%20in%20Resource%20Efficiency.pdf" TargetMode="External"/><Relationship Id="rId29" Type="http://schemas.openxmlformats.org/officeDocument/2006/relationships/hyperlink" Target="http://eur-lex.europa.eu/legal-content/EN/TXT/?uri=CELEX:52013DC0249" TargetMode="External"/><Relationship Id="rId11" Type="http://schemas.openxmlformats.org/officeDocument/2006/relationships/hyperlink" Target="http://www.ecomagazin.ro/parghii-fiscale-de-protectie-a-mediului-noutati-2014/" TargetMode="External"/><Relationship Id="rId24" Type="http://schemas.openxmlformats.org/officeDocument/2006/relationships/hyperlink" Target="http://ec.europa.eu/environment/waste/studies/pdf/study%2012%20FINAL%20REPORT.pdf" TargetMode="External"/><Relationship Id="rId32" Type="http://schemas.openxmlformats.org/officeDocument/2006/relationships/hyperlink" Target="http://ec.europa.eu/environment/nature/ecosystems/docs/green_infrastructures/GI%20Final%20Report.pdf" TargetMode="External"/><Relationship Id="rId37" Type="http://schemas.openxmlformats.org/officeDocument/2006/relationships/hyperlink" Target="http://www.eea.europa.eu/soer-2015/countries/black-sea" TargetMode="External"/><Relationship Id="rId40" Type="http://schemas.openxmlformats.org/officeDocument/2006/relationships/hyperlink" Target="http://ec.europa.eu/environment/air/quality/standards.htm" TargetMode="External"/><Relationship Id="rId45" Type="http://schemas.openxmlformats.org/officeDocument/2006/relationships/hyperlink" Target="http://www.eea.europa.eu/publications/air-quality-in-europe-2016" TargetMode="External"/><Relationship Id="rId53" Type="http://schemas.openxmlformats.org/officeDocument/2006/relationships/hyperlink" Target="http://eur-lex.europa.eu/legal-content/EN/TXT/?qid=1481624135097&amp;uri=CELEX:32000L0060" TargetMode="External"/><Relationship Id="rId58" Type="http://schemas.openxmlformats.org/officeDocument/2006/relationships/hyperlink" Target="http://www.eea.europa.eu/data-and-maps/indicators/use-of-freshwater-resources/use-of-freshwater-resources-assessment-2" TargetMode="External"/><Relationship Id="rId66" Type="http://schemas.openxmlformats.org/officeDocument/2006/relationships/hyperlink" Target="http://www.anpm.ro/anpm_resources/migrated_content/uploads/116008_RSM-2012.pdf" TargetMode="External"/><Relationship Id="rId74" Type="http://schemas.openxmlformats.org/officeDocument/2006/relationships/hyperlink" Target="http://ec.europa.eu/eurostat/tgm/table.do?tab=table&amp;init=1&amp;language=en&amp;pcode=t2020_rt320&amp;plugin=1http://ec.europa.eu/eurostat/en/web/products-datasets/-/T2020_RT320" TargetMode="External"/><Relationship Id="rId79" Type="http://schemas.openxmlformats.org/officeDocument/2006/relationships/hyperlink" Target="http://eur-lex.europa.eu/legal-content/EN/ALL/?uri=celex%3A32014R0994" TargetMode="External"/><Relationship Id="rId87" Type="http://schemas.openxmlformats.org/officeDocument/2006/relationships/hyperlink" Target="http://eur-lex.europa.eu/legal-content/EN/TXT/?uri=CELEX%3A32008L0099" TargetMode="External"/><Relationship Id="rId102" Type="http://schemas.openxmlformats.org/officeDocument/2006/relationships/hyperlink" Target="http://inspire.ec.europa.eu/portfolio/inspire-dashboard" TargetMode="External"/><Relationship Id="rId5" Type="http://schemas.openxmlformats.org/officeDocument/2006/relationships/hyperlink" Target="http://www3.weforum.org/docs/WEF_GlobalCompetitivenessReport_2014-15.pdf" TargetMode="External"/><Relationship Id="rId61" Type="http://schemas.openxmlformats.org/officeDocument/2006/relationships/hyperlink" Target="http://ec.europa.eu/environment/water/water-drink/reporting_en.html" TargetMode="External"/><Relationship Id="rId82" Type="http://schemas.openxmlformats.org/officeDocument/2006/relationships/hyperlink" Target="http://ec.europa.eu/europe2020/pdf/csr2015/cr2015_romania_en.pdf" TargetMode="External"/><Relationship Id="rId90" Type="http://schemas.openxmlformats.org/officeDocument/2006/relationships/hyperlink" Target="http://www.environmentalprosecutors.eu" TargetMode="External"/><Relationship Id="rId95" Type="http://schemas.openxmlformats.org/officeDocument/2006/relationships/hyperlink" Target="http://www.impel.eu/wp-content/uploads/2016/06/FR-2014-15-IRI-Green-Romania.pdf" TargetMode="External"/><Relationship Id="rId19" Type="http://schemas.openxmlformats.org/officeDocument/2006/relationships/hyperlink" Target="http://www.eco-innovation.eu/index.php?option=com_content&amp;view=article&amp;id=483&amp;Itemid=71" TargetMode="External"/><Relationship Id="rId14" Type="http://schemas.openxmlformats.org/officeDocument/2006/relationships/hyperlink" Target="http://www.eco-innovation.eu/index.php?option=com_content&amp;view=article&amp;id=483&amp;Itemid=71" TargetMode="External"/><Relationship Id="rId22" Type="http://schemas.openxmlformats.org/officeDocument/2006/relationships/hyperlink" Target="http://ec.europa.eu/eurostat/tgm/table.do?tab=table&amp;init=1&amp;plugin=1&amp;language=en&amp;pcode=tsdpc240" TargetMode="External"/><Relationship Id="rId27" Type="http://schemas.openxmlformats.org/officeDocument/2006/relationships/hyperlink" Target="https://circabc.europa.eu/sd/a/d9438c86-16aa-4468-b46a-c6299dea83ea/RO_20140528.pdf" TargetMode="External"/><Relationship Id="rId30" Type="http://schemas.openxmlformats.org/officeDocument/2006/relationships/hyperlink" Target="http://ec.europa.eu/environment/nature/ecosystems/docs/green_infrastructures/GI%20Final%20Report.pdf" TargetMode="External"/><Relationship Id="rId35" Type="http://schemas.openxmlformats.org/officeDocument/2006/relationships/hyperlink" Target="http://ec.europa.eu/eurostat/statistics-explained/index.php/Agri-environmental_indicator_-_soil_erosion" TargetMode="External"/><Relationship Id="rId43" Type="http://schemas.openxmlformats.org/officeDocument/2006/relationships/hyperlink" Target="http://eur-lex.europa.eu/legal-content/EN/TXT/?uri=celex:32001L0081" TargetMode="External"/><Relationship Id="rId48" Type="http://schemas.openxmlformats.org/officeDocument/2006/relationships/hyperlink" Target="http://ec.europa.eu/environment/archives/air/pdf/Impact_assessment_en.pdf" TargetMode="External"/><Relationship Id="rId56" Type="http://schemas.openxmlformats.org/officeDocument/2006/relationships/hyperlink" Target="http://ec.europa.eu/environment/water/water-framework/impl_reports.htm" TargetMode="External"/><Relationship Id="rId64" Type="http://schemas.openxmlformats.org/officeDocument/2006/relationships/hyperlink" Target="http://www.eea.europa.eu/themes/water/status-and-monitoring/state-of-bathing-water" TargetMode="External"/><Relationship Id="rId69" Type="http://schemas.openxmlformats.org/officeDocument/2006/relationships/hyperlink" Target="http://urbanagendaforthe.eu/" TargetMode="External"/><Relationship Id="rId77" Type="http://schemas.openxmlformats.org/officeDocument/2006/relationships/hyperlink" Target="http://www.eib.org/efsi/" TargetMode="External"/><Relationship Id="rId100" Type="http://schemas.openxmlformats.org/officeDocument/2006/relationships/hyperlink" Target="https://ec.europa.eu/digital-single-market/en/news/communication-eu-egovernment-action-plan-2016-2020-accelerating-digital-transformation" TargetMode="External"/><Relationship Id="rId8" Type="http://schemas.openxmlformats.org/officeDocument/2006/relationships/hyperlink" Target="http://www.eco-innovation.eu/index.php?option=com_content&amp;view=article&amp;id=483&amp;Itemid=71" TargetMode="External"/><Relationship Id="rId51" Type="http://schemas.openxmlformats.org/officeDocument/2006/relationships/hyperlink" Target="http://eur-lex.europa.eu/legal-content/EN/ALL/?uri=CELEX%3A31991L0271" TargetMode="External"/><Relationship Id="rId72" Type="http://schemas.openxmlformats.org/officeDocument/2006/relationships/hyperlink" Target="http://ec.europa.eu/economy_finance/publications/eeip/pdf/ip008_en.pdf" TargetMode="External"/><Relationship Id="rId80" Type="http://schemas.openxmlformats.org/officeDocument/2006/relationships/hyperlink" Target="http://ec.europa.eu/environment/archives/enlarg/pdf/administrative_capacity.pdf" TargetMode="External"/><Relationship Id="rId85" Type="http://schemas.openxmlformats.org/officeDocument/2006/relationships/hyperlink" Target="http://ec.europa.eu/environment/integration/green_semester/pdf/IA%20Study%20Final%20Report.pdf" TargetMode="External"/><Relationship Id="rId93" Type="http://schemas.openxmlformats.org/officeDocument/2006/relationships/hyperlink" Target="http://eur-lex.europa.eu/legal-content/EN/TXT/?uri=CELEX%3A52016SC0121" TargetMode="External"/><Relationship Id="rId98" Type="http://schemas.openxmlformats.org/officeDocument/2006/relationships/hyperlink" Target="http://eur-lex.europa.eu/legal-content/GA/ALL/?uri=CELEX:32003L0004"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appsso.eurostat.ec.europa.eu/nui/show.do?dataset=env_ac_egss1&amp;lang=enhttp://ec.europa.eu/eurostat/web/europe-2020-indicators/resource-efficient-europe" TargetMode="External"/><Relationship Id="rId17" Type="http://schemas.openxmlformats.org/officeDocument/2006/relationships/hyperlink" Target="http://ec.europa.eu/environment/integration/green_semester/pdf/SME%20Investments%20in%20Resource%20Efficiency.pdf" TargetMode="External"/><Relationship Id="rId25" Type="http://schemas.openxmlformats.org/officeDocument/2006/relationships/hyperlink" Target="http://ec.europa.eu/environment/waste/framework/pdf/Final%20Report%20_130507.pdf" TargetMode="External"/><Relationship Id="rId33" Type="http://schemas.openxmlformats.org/officeDocument/2006/relationships/hyperlink" Target="http://land.copernicus.eu/pan-european/corine-land-cover/lcc-2006-2012/view" TargetMode="External"/><Relationship Id="rId38" Type="http://schemas.openxmlformats.org/officeDocument/2006/relationships/hyperlink" Target="http://ec.europa.eu/environment/marine/international-cooperation/regional-sea-conventions/bucharest/pdf/Baltic2Black%20report.pdf" TargetMode="External"/><Relationship Id="rId46" Type="http://schemas.openxmlformats.org/officeDocument/2006/relationships/hyperlink" Target="http://www.eea.europa.eu/publications/air-quality-in-europe-2016" TargetMode="External"/><Relationship Id="rId59" Type="http://schemas.openxmlformats.org/officeDocument/2006/relationships/hyperlink" Target="http://ec.europa.eu/environment/water/water-framework/impl_reports.htm" TargetMode="External"/><Relationship Id="rId67" Type="http://schemas.openxmlformats.org/officeDocument/2006/relationships/hyperlink" Target="http://ec.europa.eu/environment/integration/green_semester/pdf/RPA%20Final%20Report-annexes.pdf" TargetMode="External"/><Relationship Id="rId103" Type="http://schemas.openxmlformats.org/officeDocument/2006/relationships/hyperlink" Target="http://inspire-geoportal.ec.europa.eu/resources/INSPIREResourcesReports/resourcesReport_2016-05-09/" TargetMode="External"/><Relationship Id="rId20" Type="http://schemas.openxmlformats.org/officeDocument/2006/relationships/hyperlink" Target="http://ec.europa.eu/growth/smes/business-friendly-environment/performance-review/index_en.htm" TargetMode="External"/><Relationship Id="rId41" Type="http://schemas.openxmlformats.org/officeDocument/2006/relationships/hyperlink" Target="http://cdr.eionet.europa.eu/" TargetMode="External"/><Relationship Id="rId54" Type="http://schemas.openxmlformats.org/officeDocument/2006/relationships/hyperlink" Target="http://eur-lex.europa.eu/legal-content/EN/TXT/?uri=CELEX%3A31991L0676" TargetMode="External"/><Relationship Id="rId62" Type="http://schemas.openxmlformats.org/officeDocument/2006/relationships/hyperlink" Target="http://ec.europa.eu/environment/water/water-drink/reporting_en.html" TargetMode="External"/><Relationship Id="rId70" Type="http://schemas.openxmlformats.org/officeDocument/2006/relationships/hyperlink" Target="http://ec.europa.eu/environment/urban/tool.htm" TargetMode="External"/><Relationship Id="rId75" Type="http://schemas.openxmlformats.org/officeDocument/2006/relationships/hyperlink" Target="http://ec.europa.eu/internal_market/scoreboard/performance_per_policy_area/public_procurement/index_en.htm" TargetMode="External"/><Relationship Id="rId83" Type="http://schemas.openxmlformats.org/officeDocument/2006/relationships/hyperlink" Target="http://info.worldbank.org/governance/wgi/index.aspx" TargetMode="External"/><Relationship Id="rId88" Type="http://schemas.openxmlformats.org/officeDocument/2006/relationships/hyperlink" Target="http://www.impel.eu" TargetMode="External"/><Relationship Id="rId91" Type="http://schemas.openxmlformats.org/officeDocument/2006/relationships/hyperlink" Target="http://eur-lex.europa.eu/legal-content/EN/TXT/?uri=CELEX%3A32004L0035" TargetMode="External"/><Relationship Id="rId96" Type="http://schemas.openxmlformats.org/officeDocument/2006/relationships/hyperlink" Target="http://ec.europa.eu/environment/aarhus/access_studies.htm"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www.eco-innovation.eu/index.php?option=com_content&amp;view=article&amp;id=483&amp;Itemid=71" TargetMode="External"/><Relationship Id="rId15" Type="http://schemas.openxmlformats.org/officeDocument/2006/relationships/hyperlink" Target="https://data.europa.eu/euodp/en/data/dataset/S2088_426_ENG" TargetMode="External"/><Relationship Id="rId23" Type="http://schemas.openxmlformats.org/officeDocument/2006/relationships/hyperlink" Target="http://ec.europa.eu/eurostat/tgm/table.do?tab=table&amp;init=1&amp;language=en&amp;pcode=t2020_rt120&amp;plugin=1" TargetMode="External"/><Relationship Id="rId28" Type="http://schemas.openxmlformats.org/officeDocument/2006/relationships/hyperlink" Target="http://biodiversity.europa.eu/countries/eu_country_profiles/romania" TargetMode="External"/><Relationship Id="rId36" Type="http://schemas.openxmlformats.org/officeDocument/2006/relationships/hyperlink" Target="http://eur-lex.europa.eu/legal-content/EN/TXT/?uri=CELEX%3A32008L0056" TargetMode="External"/><Relationship Id="rId49" Type="http://schemas.openxmlformats.org/officeDocument/2006/relationships/hyperlink" Target="http://www.euro.who.int/en/media-centre/sections/press-releases/2011/03/new-evidence-from-who-on-health-effects-of-traffic-related-noise-in-europe" TargetMode="External"/><Relationship Id="rId57" Type="http://schemas.openxmlformats.org/officeDocument/2006/relationships/hyperlink" Target="http://ec.europa.eu/environment/water/water-framework/impl_reports.htm" TargetMode="External"/><Relationship Id="rId10" Type="http://schemas.openxmlformats.org/officeDocument/2006/relationships/hyperlink" Target="http://www.ecomagazin.ro/parghii-fiscale-de-protectie-a-mediului-noutati-2014/" TargetMode="External"/><Relationship Id="rId31" Type="http://schemas.openxmlformats.org/officeDocument/2006/relationships/hyperlink" Target="http://ec.europa.eu/environment/nature/ecosystems/docs/green_infrastructures/GI%20Final%20Report.pdf" TargetMode="External"/><Relationship Id="rId44" Type="http://schemas.openxmlformats.org/officeDocument/2006/relationships/hyperlink" Target="http://eur-lex.europa.eu/legal-content/EN/TXT/?uri=uriserv:OJ.L_.2016.344.01.0001.01.ENG&amp;toc=OJ:L:2016:344:TOC" TargetMode="External"/><Relationship Id="rId52" Type="http://schemas.openxmlformats.org/officeDocument/2006/relationships/hyperlink" Target="http://eur-lex.europa.eu/legal-content/EN/TXT/?uri=CELEX%3A31998L0083" TargetMode="External"/><Relationship Id="rId60" Type="http://schemas.openxmlformats.org/officeDocument/2006/relationships/hyperlink" Target="http://ec.europa.eu/maritimeaffairs/documentation/studies/climate_change_en.htm" TargetMode="External"/><Relationship Id="rId65" Type="http://schemas.openxmlformats.org/officeDocument/2006/relationships/hyperlink" Target="http://ec.europa.eu/environment/water/water-urbanwaste/implementation/implementationreports_en.htm" TargetMode="External"/><Relationship Id="rId73" Type="http://schemas.openxmlformats.org/officeDocument/2006/relationships/hyperlink" Target="http://ec.europa.eu/environment/integration/green_semester/pdf/Eunomia%20EFR%20Final%20Report%20MAIN%20REPORT.pdf" TargetMode="External"/><Relationship Id="rId78" Type="http://schemas.openxmlformats.org/officeDocument/2006/relationships/hyperlink" Target="https://cohesiondata.ec.europa.eu/countries" TargetMode="External"/><Relationship Id="rId81" Type="http://schemas.openxmlformats.org/officeDocument/2006/relationships/hyperlink" Target="http://ec.europa.eu/regional_policy/sources/docoffic/official/communic/negociation/country_ro_en.pdf" TargetMode="External"/><Relationship Id="rId86" Type="http://schemas.openxmlformats.org/officeDocument/2006/relationships/hyperlink" Target="http://eur-lex.europa.eu/legal-content/EN/TXT/?uri=OJ:C:2016:273:TOC" TargetMode="External"/><Relationship Id="rId94" Type="http://schemas.openxmlformats.org/officeDocument/2006/relationships/hyperlink" Target="http://www.impel.eu/wp-content/uploads/2016/06/FR-2014-15-IRI-Green-Romania.pdf" TargetMode="External"/><Relationship Id="rId99" Type="http://schemas.openxmlformats.org/officeDocument/2006/relationships/hyperlink" Target="http://inspire.ec.europa.eu" TargetMode="External"/><Relationship Id="rId101" Type="http://schemas.openxmlformats.org/officeDocument/2006/relationships/hyperlink" Target="http://inspire.ec.europa.eu/index.cfm/pageid/182"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www.eco-innovation.eu/index.php?option=com_content&amp;view=article&amp;id=483&amp;Itemid=71" TargetMode="External"/><Relationship Id="rId13" Type="http://schemas.openxmlformats.org/officeDocument/2006/relationships/hyperlink" Target="http://ec.europa.eu/environment/enveco/resource_efficiency/pdf/business/RE_in_Business_Final_Report_111115.pdf" TargetMode="External"/><Relationship Id="rId18" Type="http://schemas.openxmlformats.org/officeDocument/2006/relationships/hyperlink" Target="https://ec.europa.eu/environment/ecoap/scoreboard_en" TargetMode="External"/><Relationship Id="rId39"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4" Type="http://schemas.openxmlformats.org/officeDocument/2006/relationships/hyperlink" Target="http://www.eea.europa.eu/data-and-maps/indicators/imperviousness-change/assessment" TargetMode="External"/><Relationship Id="rId50" Type="http://schemas.openxmlformats.org/officeDocument/2006/relationships/hyperlink" Target="http://eur-lex.europa.eu/legal-content/EN/TXT/?qid=1481623908600&amp;uri=CELEX:32006L0007" TargetMode="External"/><Relationship Id="rId55" Type="http://schemas.openxmlformats.org/officeDocument/2006/relationships/hyperlink" Target="http://eur-lex.europa.eu/legal-content/EN/TXT/?uri=CELEX:32007L0060" TargetMode="External"/><Relationship Id="rId76" Type="http://schemas.openxmlformats.org/officeDocument/2006/relationships/hyperlink" Target="http://eur-lex.europa.eu/legal-content/EN/TXT/?uri=CELEX:52008DC0400http://eur-lex.europa.eu/legal-content/EN/TXT/?uri=CELEX:52008DC0400" TargetMode="External"/><Relationship Id="rId97" Type="http://schemas.openxmlformats.org/officeDocument/2006/relationships/hyperlink" Target="http://www.unece.org/fileadmin/DAM/env/pp/documents/cep43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C6067-74B2-4115-970F-ACF394D1D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13303</Words>
  <Characters>75999</Characters>
  <Application>Microsoft Office Word</Application>
  <DocSecurity>0</DocSecurity>
  <Lines>1901</Lines>
  <Paragraphs>343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2016-12-14T08:58:00Z</cp:lastPrinted>
  <dcterms:created xsi:type="dcterms:W3CDTF">2017-01-24T10:25:00Z</dcterms:created>
  <dcterms:modified xsi:type="dcterms:W3CDTF">2017-02-02T18:28:00Z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