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F06" w:rsidRDefault="0081280F" w:rsidP="0081280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1A23556C9E124E48912ED16690CF99CD" style="width:450.75pt;height:498.75pt">
            <v:imagedata r:id="rId9" o:title=""/>
          </v:shape>
        </w:pict>
      </w:r>
    </w:p>
    <w:bookmarkEnd w:id="0"/>
    <w:p w:rsidR="00823F06" w:rsidRDefault="00823F06">
      <w:pPr>
        <w:rPr>
          <w:noProof/>
        </w:rPr>
        <w:sectPr w:rsidR="00823F06" w:rsidSect="0081280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823F06" w:rsidRDefault="00823F06">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1280F">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823F06" w:rsidRDefault="00823F06">
      <w:pPr>
        <w:widowControl w:val="0"/>
        <w:tabs>
          <w:tab w:val="right" w:leader="dot" w:pos="8640"/>
        </w:tabs>
        <w:spacing w:before="120" w:after="120" w:line="240" w:lineRule="auto"/>
        <w:ind w:left="482" w:right="720" w:hanging="482"/>
        <w:rPr>
          <w:rFonts w:eastAsia="Times New Roman" w:cs="Times New Roman"/>
          <w:noProof/>
          <w:szCs w:val="20"/>
        </w:rPr>
      </w:pPr>
    </w:p>
    <w:p w:rsidR="00823F06" w:rsidRDefault="0081280F">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823F06" w:rsidRDefault="00823F06">
      <w:pPr>
        <w:widowControl w:val="0"/>
        <w:tabs>
          <w:tab w:val="right" w:leader="dot" w:pos="8640"/>
        </w:tabs>
        <w:spacing w:before="120" w:after="120" w:line="240" w:lineRule="auto"/>
        <w:ind w:left="482" w:right="720" w:hanging="482"/>
        <w:rPr>
          <w:rFonts w:eastAsia="Times New Roman" w:cs="Times New Roman"/>
          <w:noProof/>
          <w:szCs w:val="20"/>
        </w:rPr>
      </w:pPr>
    </w:p>
    <w:p w:rsidR="00823F06" w:rsidRDefault="0081280F">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p.10 ©LIFE09 ENV/SE/000348/Daniel Skog; p.13 ©ArtesiaWellsChristinaRahmArtesiaWell; p.15 ©Mikael_Broms/iStock; p.20  ©Marek SLUSARCZYK/iStock</w:t>
      </w: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1280F">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823F06" w:rsidRDefault="00823F06">
      <w:pPr>
        <w:widowControl w:val="0"/>
        <w:tabs>
          <w:tab w:val="right" w:leader="dot" w:pos="8640"/>
        </w:tabs>
        <w:spacing w:before="120" w:after="120" w:line="240" w:lineRule="auto"/>
        <w:jc w:val="both"/>
        <w:rPr>
          <w:rFonts w:eastAsia="Times New Roman" w:cs="Times New Roman"/>
          <w:noProof/>
          <w:szCs w:val="20"/>
        </w:rPr>
      </w:pPr>
    </w:p>
    <w:p w:rsidR="00823F06" w:rsidRDefault="0081280F">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823F06" w:rsidRDefault="0081280F">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823F06" w:rsidRDefault="0081280F">
      <w:pPr>
        <w:widowControl w:val="0"/>
        <w:spacing w:before="240" w:after="120" w:line="240" w:lineRule="auto"/>
        <w:ind w:left="113" w:hanging="113"/>
        <w:jc w:val="center"/>
        <w:rPr>
          <w:noProof/>
        </w:rPr>
      </w:pPr>
      <w:r>
        <w:rPr>
          <w:rFonts w:eastAsia="Times New Roman"/>
          <w:b/>
          <w:noProof/>
          <w:lang w:val="fr-FR"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fr-FR" w:eastAsia="ja-JP"/>
        </w:rPr>
        <w:instrText xml:space="preserve"> TOC \o "1-2" \h \z \u </w:instrText>
      </w:r>
      <w:r>
        <w:rPr>
          <w:rFonts w:eastAsiaTheme="minorEastAsia"/>
          <w:b/>
          <w:caps/>
          <w:noProof/>
          <w:lang w:val="en-US" w:eastAsia="ja-JP"/>
        </w:rPr>
        <w:fldChar w:fldCharType="separate"/>
      </w:r>
    </w:p>
    <w:p w:rsidR="00823F06" w:rsidRDefault="0081280F">
      <w:pPr>
        <w:pStyle w:val="TOC1"/>
        <w:rPr>
          <w:rFonts w:asciiTheme="minorHAnsi" w:eastAsiaTheme="minorEastAsia" w:hAnsiTheme="minorHAnsi" w:cstheme="minorBidi"/>
          <w:caps w:val="0"/>
          <w:noProof/>
          <w:sz w:val="22"/>
          <w:szCs w:val="22"/>
          <w:lang w:eastAsia="en-GB"/>
        </w:rPr>
      </w:pPr>
      <w:hyperlink w:anchor="_Toc469478338"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_Toc469478338 \h </w:instrText>
        </w:r>
        <w:r>
          <w:rPr>
            <w:noProof/>
            <w:webHidden/>
          </w:rPr>
        </w:r>
        <w:r>
          <w:rPr>
            <w:noProof/>
            <w:webHidden/>
          </w:rPr>
          <w:fldChar w:fldCharType="separate"/>
        </w:r>
        <w:r>
          <w:rPr>
            <w:noProof/>
            <w:webHidden/>
          </w:rPr>
          <w:t>4</w:t>
        </w:r>
        <w:r>
          <w:rPr>
            <w:noProof/>
            <w:webHidden/>
          </w:rPr>
          <w:fldChar w:fldCharType="end"/>
        </w:r>
      </w:hyperlink>
    </w:p>
    <w:p w:rsidR="00823F06" w:rsidRDefault="0081280F">
      <w:pPr>
        <w:pStyle w:val="TOC1"/>
        <w:rPr>
          <w:rFonts w:asciiTheme="minorHAnsi" w:eastAsiaTheme="minorEastAsia" w:hAnsiTheme="minorHAnsi" w:cstheme="minorBidi"/>
          <w:caps w:val="0"/>
          <w:noProof/>
          <w:sz w:val="22"/>
          <w:szCs w:val="22"/>
          <w:lang w:eastAsia="en-GB"/>
        </w:rPr>
      </w:pPr>
      <w:hyperlink w:anchor="_Toc469478339"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_Toc469478339 \h </w:instrText>
        </w:r>
        <w:r>
          <w:rPr>
            <w:noProof/>
            <w:webHidden/>
          </w:rPr>
        </w:r>
        <w:r>
          <w:rPr>
            <w:noProof/>
            <w:webHidden/>
          </w:rPr>
          <w:fldChar w:fldCharType="separate"/>
        </w:r>
        <w:r>
          <w:rPr>
            <w:noProof/>
            <w:webHidden/>
          </w:rPr>
          <w:t>5</w:t>
        </w:r>
        <w:r>
          <w:rPr>
            <w:noProof/>
            <w:webHidden/>
          </w:rPr>
          <w:fldChar w:fldCharType="end"/>
        </w:r>
      </w:hyperlink>
    </w:p>
    <w:p w:rsidR="00823F06" w:rsidRDefault="0081280F">
      <w:pPr>
        <w:pStyle w:val="TOC1"/>
        <w:rPr>
          <w:rFonts w:asciiTheme="minorHAnsi" w:eastAsiaTheme="minorEastAsia" w:hAnsiTheme="minorHAnsi" w:cstheme="minorBidi"/>
          <w:caps w:val="0"/>
          <w:noProof/>
          <w:sz w:val="22"/>
          <w:szCs w:val="22"/>
          <w:lang w:eastAsia="en-GB"/>
        </w:rPr>
      </w:pPr>
      <w:hyperlink w:anchor="_Toc469478340"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w:t>
        </w:r>
        <w:r>
          <w:rPr>
            <w:rStyle w:val="Hyperlink"/>
            <w:rFonts w:eastAsiaTheme="majorEastAsia" w:cstheme="majorBidi"/>
            <w:bCs/>
            <w:noProof/>
          </w:rPr>
          <w:t>ning the EU into a circular, resource-efficient, green and competitive low-carbon economy</w:t>
        </w:r>
        <w:r>
          <w:rPr>
            <w:noProof/>
            <w:webHidden/>
          </w:rPr>
          <w:tab/>
        </w:r>
        <w:r>
          <w:rPr>
            <w:noProof/>
            <w:webHidden/>
          </w:rPr>
          <w:fldChar w:fldCharType="begin"/>
        </w:r>
        <w:r>
          <w:rPr>
            <w:noProof/>
            <w:webHidden/>
          </w:rPr>
          <w:instrText xml:space="preserve"> PAGEREF _Toc469478340 \h </w:instrText>
        </w:r>
        <w:r>
          <w:rPr>
            <w:noProof/>
            <w:webHidden/>
          </w:rPr>
        </w:r>
        <w:r>
          <w:rPr>
            <w:noProof/>
            <w:webHidden/>
          </w:rPr>
          <w:fldChar w:fldCharType="separate"/>
        </w:r>
        <w:r>
          <w:rPr>
            <w:noProof/>
            <w:webHidden/>
          </w:rPr>
          <w:t>5</w:t>
        </w:r>
        <w:r>
          <w:rPr>
            <w:noProof/>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41" w:history="1">
        <w:r>
          <w:rPr>
            <w:rStyle w:val="Hyperlink"/>
          </w:rPr>
          <w:t>Developing a circular economy and impr</w:t>
        </w:r>
        <w:r>
          <w:rPr>
            <w:rStyle w:val="Hyperlink"/>
          </w:rPr>
          <w:t>oving resource efficiency</w:t>
        </w:r>
        <w:r>
          <w:rPr>
            <w:webHidden/>
          </w:rPr>
          <w:tab/>
        </w:r>
        <w:r>
          <w:rPr>
            <w:webHidden/>
          </w:rPr>
          <w:fldChar w:fldCharType="begin"/>
        </w:r>
        <w:r>
          <w:rPr>
            <w:webHidden/>
          </w:rPr>
          <w:instrText xml:space="preserve"> PAGEREF _Toc469478341 \h </w:instrText>
        </w:r>
        <w:r>
          <w:rPr>
            <w:webHidden/>
          </w:rPr>
        </w:r>
        <w:r>
          <w:rPr>
            <w:webHidden/>
          </w:rPr>
          <w:fldChar w:fldCharType="separate"/>
        </w:r>
        <w:r>
          <w:rPr>
            <w:webHidden/>
          </w:rPr>
          <w:t>5</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42" w:history="1">
        <w:r>
          <w:rPr>
            <w:rStyle w:val="Hyperlink"/>
          </w:rPr>
          <w:t>Waste management</w:t>
        </w:r>
        <w:r>
          <w:rPr>
            <w:webHidden/>
          </w:rPr>
          <w:tab/>
        </w:r>
        <w:r>
          <w:rPr>
            <w:webHidden/>
          </w:rPr>
          <w:fldChar w:fldCharType="begin"/>
        </w:r>
        <w:r>
          <w:rPr>
            <w:webHidden/>
          </w:rPr>
          <w:instrText xml:space="preserve"> PAGEREF _Toc469478342 \h </w:instrText>
        </w:r>
        <w:r>
          <w:rPr>
            <w:webHidden/>
          </w:rPr>
        </w:r>
        <w:r>
          <w:rPr>
            <w:webHidden/>
          </w:rPr>
          <w:fldChar w:fldCharType="separate"/>
        </w:r>
        <w:r>
          <w:rPr>
            <w:webHidden/>
          </w:rPr>
          <w:t>9</w:t>
        </w:r>
        <w:r>
          <w:rPr>
            <w:webHidden/>
          </w:rPr>
          <w:fldChar w:fldCharType="end"/>
        </w:r>
      </w:hyperlink>
    </w:p>
    <w:p w:rsidR="00823F06" w:rsidRDefault="0081280F">
      <w:pPr>
        <w:pStyle w:val="TOC1"/>
        <w:rPr>
          <w:rFonts w:asciiTheme="minorHAnsi" w:eastAsiaTheme="minorEastAsia" w:hAnsiTheme="minorHAnsi" w:cstheme="minorBidi"/>
          <w:caps w:val="0"/>
          <w:noProof/>
          <w:sz w:val="22"/>
          <w:szCs w:val="22"/>
          <w:lang w:eastAsia="en-GB"/>
        </w:rPr>
      </w:pPr>
      <w:hyperlink w:anchor="_Toc469478343"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Protecting, conserving and enhancing natural capital</w:t>
        </w:r>
        <w:r>
          <w:rPr>
            <w:noProof/>
            <w:webHidden/>
          </w:rPr>
          <w:tab/>
        </w:r>
        <w:r>
          <w:rPr>
            <w:noProof/>
            <w:webHidden/>
          </w:rPr>
          <w:fldChar w:fldCharType="begin"/>
        </w:r>
        <w:r>
          <w:rPr>
            <w:noProof/>
            <w:webHidden/>
          </w:rPr>
          <w:instrText xml:space="preserve"> PAGEREF _Toc469478343 \h </w:instrText>
        </w:r>
        <w:r>
          <w:rPr>
            <w:noProof/>
            <w:webHidden/>
          </w:rPr>
        </w:r>
        <w:r>
          <w:rPr>
            <w:noProof/>
            <w:webHidden/>
          </w:rPr>
          <w:fldChar w:fldCharType="separate"/>
        </w:r>
        <w:r>
          <w:rPr>
            <w:noProof/>
            <w:webHidden/>
          </w:rPr>
          <w:t>11</w:t>
        </w:r>
        <w:r>
          <w:rPr>
            <w:noProof/>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44" w:history="1">
        <w:r>
          <w:rPr>
            <w:rStyle w:val="Hyperlink"/>
          </w:rPr>
          <w:t>Nature and Biodiversity</w:t>
        </w:r>
        <w:r>
          <w:rPr>
            <w:webHidden/>
          </w:rPr>
          <w:tab/>
        </w:r>
        <w:r>
          <w:rPr>
            <w:webHidden/>
          </w:rPr>
          <w:fldChar w:fldCharType="begin"/>
        </w:r>
        <w:r>
          <w:rPr>
            <w:webHidden/>
          </w:rPr>
          <w:instrText xml:space="preserve"> PAGEREF _Toc469478344 \h </w:instrText>
        </w:r>
        <w:r>
          <w:rPr>
            <w:webHidden/>
          </w:rPr>
        </w:r>
        <w:r>
          <w:rPr>
            <w:webHidden/>
          </w:rPr>
          <w:fldChar w:fldCharType="separate"/>
        </w:r>
        <w:r>
          <w:rPr>
            <w:webHidden/>
          </w:rPr>
          <w:t>11</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45" w:history="1">
        <w:r>
          <w:rPr>
            <w:rStyle w:val="Hyperlink"/>
          </w:rPr>
          <w:t>Esti</w:t>
        </w:r>
        <w:r>
          <w:rPr>
            <w:rStyle w:val="Hyperlink"/>
          </w:rPr>
          <w:t>mating natural capital</w:t>
        </w:r>
        <w:r>
          <w:rPr>
            <w:webHidden/>
          </w:rPr>
          <w:tab/>
        </w:r>
        <w:r>
          <w:rPr>
            <w:webHidden/>
          </w:rPr>
          <w:fldChar w:fldCharType="begin"/>
        </w:r>
        <w:r>
          <w:rPr>
            <w:webHidden/>
          </w:rPr>
          <w:instrText xml:space="preserve"> PAGEREF _Toc469478345 \h </w:instrText>
        </w:r>
        <w:r>
          <w:rPr>
            <w:webHidden/>
          </w:rPr>
        </w:r>
        <w:r>
          <w:rPr>
            <w:webHidden/>
          </w:rPr>
          <w:fldChar w:fldCharType="separate"/>
        </w:r>
        <w:r>
          <w:rPr>
            <w:webHidden/>
          </w:rPr>
          <w:t>13</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46" w:history="1">
        <w:r>
          <w:rPr>
            <w:rStyle w:val="Hyperlink"/>
            <w:lang w:eastAsia="en-GB"/>
          </w:rPr>
          <w:t>Green Infrastructure</w:t>
        </w:r>
        <w:r>
          <w:rPr>
            <w:webHidden/>
          </w:rPr>
          <w:tab/>
        </w:r>
        <w:r>
          <w:rPr>
            <w:webHidden/>
          </w:rPr>
          <w:fldChar w:fldCharType="begin"/>
        </w:r>
        <w:r>
          <w:rPr>
            <w:webHidden/>
          </w:rPr>
          <w:instrText xml:space="preserve"> PAGEREF _Toc469478346 \h </w:instrText>
        </w:r>
        <w:r>
          <w:rPr>
            <w:webHidden/>
          </w:rPr>
        </w:r>
        <w:r>
          <w:rPr>
            <w:webHidden/>
          </w:rPr>
          <w:fldChar w:fldCharType="separate"/>
        </w:r>
        <w:r>
          <w:rPr>
            <w:webHidden/>
          </w:rPr>
          <w:t>13</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47" w:history="1">
        <w:r>
          <w:rPr>
            <w:rStyle w:val="Hyperlink"/>
          </w:rPr>
          <w:t>Soil protection</w:t>
        </w:r>
        <w:r>
          <w:rPr>
            <w:webHidden/>
          </w:rPr>
          <w:tab/>
        </w:r>
        <w:r>
          <w:rPr>
            <w:webHidden/>
          </w:rPr>
          <w:fldChar w:fldCharType="begin"/>
        </w:r>
        <w:r>
          <w:rPr>
            <w:webHidden/>
          </w:rPr>
          <w:instrText xml:space="preserve"> PAGEREF _Toc469478347 \h </w:instrText>
        </w:r>
        <w:r>
          <w:rPr>
            <w:webHidden/>
          </w:rPr>
        </w:r>
        <w:r>
          <w:rPr>
            <w:webHidden/>
          </w:rPr>
          <w:fldChar w:fldCharType="separate"/>
        </w:r>
        <w:r>
          <w:rPr>
            <w:webHidden/>
          </w:rPr>
          <w:t>13</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48" w:history="1">
        <w:r>
          <w:rPr>
            <w:rStyle w:val="Hyperlink"/>
            <w:lang w:eastAsia="en-GB"/>
          </w:rPr>
          <w:t>Marine protection</w:t>
        </w:r>
        <w:r>
          <w:rPr>
            <w:webHidden/>
          </w:rPr>
          <w:tab/>
        </w:r>
        <w:r>
          <w:rPr>
            <w:webHidden/>
          </w:rPr>
          <w:fldChar w:fldCharType="begin"/>
        </w:r>
        <w:r>
          <w:rPr>
            <w:webHidden/>
          </w:rPr>
          <w:instrText xml:space="preserve"> PAGEREF _Toc469478348 \h </w:instrText>
        </w:r>
        <w:r>
          <w:rPr>
            <w:webHidden/>
          </w:rPr>
        </w:r>
        <w:r>
          <w:rPr>
            <w:webHidden/>
          </w:rPr>
          <w:fldChar w:fldCharType="separate"/>
        </w:r>
        <w:r>
          <w:rPr>
            <w:webHidden/>
          </w:rPr>
          <w:t>14</w:t>
        </w:r>
        <w:r>
          <w:rPr>
            <w:webHidden/>
          </w:rPr>
          <w:fldChar w:fldCharType="end"/>
        </w:r>
      </w:hyperlink>
    </w:p>
    <w:p w:rsidR="00823F06" w:rsidRDefault="0081280F">
      <w:pPr>
        <w:pStyle w:val="TOC1"/>
        <w:rPr>
          <w:rFonts w:asciiTheme="minorHAnsi" w:eastAsiaTheme="minorEastAsia" w:hAnsiTheme="minorHAnsi" w:cstheme="minorBidi"/>
          <w:caps w:val="0"/>
          <w:noProof/>
          <w:sz w:val="22"/>
          <w:szCs w:val="22"/>
          <w:lang w:eastAsia="en-GB"/>
        </w:rPr>
      </w:pPr>
      <w:hyperlink w:anchor="_Toc469478349"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w:t>
        </w:r>
        <w:r>
          <w:rPr>
            <w:rStyle w:val="Hyperlink"/>
            <w:rFonts w:eastAsiaTheme="majorEastAsia" w:cstheme="majorBidi"/>
            <w:bCs/>
            <w:noProof/>
          </w:rPr>
          <w:t>g citizens' health and quality of life</w:t>
        </w:r>
        <w:r>
          <w:rPr>
            <w:noProof/>
            <w:webHidden/>
          </w:rPr>
          <w:tab/>
        </w:r>
        <w:r>
          <w:rPr>
            <w:noProof/>
            <w:webHidden/>
          </w:rPr>
          <w:fldChar w:fldCharType="begin"/>
        </w:r>
        <w:r>
          <w:rPr>
            <w:noProof/>
            <w:webHidden/>
          </w:rPr>
          <w:instrText xml:space="preserve"> PAGEREF _Toc469478349 \h </w:instrText>
        </w:r>
        <w:r>
          <w:rPr>
            <w:noProof/>
            <w:webHidden/>
          </w:rPr>
        </w:r>
        <w:r>
          <w:rPr>
            <w:noProof/>
            <w:webHidden/>
          </w:rPr>
          <w:fldChar w:fldCharType="separate"/>
        </w:r>
        <w:r>
          <w:rPr>
            <w:noProof/>
            <w:webHidden/>
          </w:rPr>
          <w:t>16</w:t>
        </w:r>
        <w:r>
          <w:rPr>
            <w:noProof/>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50" w:history="1">
        <w:r>
          <w:rPr>
            <w:rStyle w:val="Hyperlink"/>
          </w:rPr>
          <w:t>Air quality</w:t>
        </w:r>
        <w:r>
          <w:rPr>
            <w:webHidden/>
          </w:rPr>
          <w:tab/>
        </w:r>
        <w:r>
          <w:rPr>
            <w:webHidden/>
          </w:rPr>
          <w:fldChar w:fldCharType="begin"/>
        </w:r>
        <w:r>
          <w:rPr>
            <w:webHidden/>
          </w:rPr>
          <w:instrText xml:space="preserve"> PAGEREF _Toc469478350 \h </w:instrText>
        </w:r>
        <w:r>
          <w:rPr>
            <w:webHidden/>
          </w:rPr>
        </w:r>
        <w:r>
          <w:rPr>
            <w:webHidden/>
          </w:rPr>
          <w:fldChar w:fldCharType="separate"/>
        </w:r>
        <w:r>
          <w:rPr>
            <w:webHidden/>
          </w:rPr>
          <w:t>16</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51" w:history="1">
        <w:r>
          <w:rPr>
            <w:rStyle w:val="Hyperlink"/>
          </w:rPr>
          <w:t>Noise</w:t>
        </w:r>
        <w:r>
          <w:rPr>
            <w:webHidden/>
          </w:rPr>
          <w:tab/>
        </w:r>
        <w:r>
          <w:rPr>
            <w:webHidden/>
          </w:rPr>
          <w:tab/>
        </w:r>
        <w:r>
          <w:rPr>
            <w:webHidden/>
          </w:rPr>
          <w:fldChar w:fldCharType="begin"/>
        </w:r>
        <w:r>
          <w:rPr>
            <w:webHidden/>
          </w:rPr>
          <w:instrText xml:space="preserve"> PAGEREF _Toc469478351 \h </w:instrText>
        </w:r>
        <w:r>
          <w:rPr>
            <w:webHidden/>
          </w:rPr>
        </w:r>
        <w:r>
          <w:rPr>
            <w:webHidden/>
          </w:rPr>
          <w:fldChar w:fldCharType="separate"/>
        </w:r>
        <w:r>
          <w:rPr>
            <w:webHidden/>
          </w:rPr>
          <w:t>16</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52" w:history="1">
        <w:r>
          <w:rPr>
            <w:rStyle w:val="Hyperlink"/>
          </w:rPr>
          <w:t>Water quality and management</w:t>
        </w:r>
        <w:r>
          <w:rPr>
            <w:webHidden/>
          </w:rPr>
          <w:tab/>
        </w:r>
        <w:r>
          <w:rPr>
            <w:webHidden/>
          </w:rPr>
          <w:fldChar w:fldCharType="begin"/>
        </w:r>
        <w:r>
          <w:rPr>
            <w:webHidden/>
          </w:rPr>
          <w:instrText xml:space="preserve"> PAGEREF _Toc469478352 \h </w:instrText>
        </w:r>
        <w:r>
          <w:rPr>
            <w:webHidden/>
          </w:rPr>
        </w:r>
        <w:r>
          <w:rPr>
            <w:webHidden/>
          </w:rPr>
          <w:fldChar w:fldCharType="separate"/>
        </w:r>
        <w:r>
          <w:rPr>
            <w:webHidden/>
          </w:rPr>
          <w:t>17</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53" w:history="1">
        <w:r>
          <w:rPr>
            <w:rStyle w:val="Hyperlink"/>
            <w:lang w:eastAsia="en-GB"/>
          </w:rPr>
          <w:t>Enhancing the sustainability of cities</w:t>
        </w:r>
        <w:r>
          <w:rPr>
            <w:webHidden/>
          </w:rPr>
          <w:tab/>
        </w:r>
        <w:r>
          <w:rPr>
            <w:webHidden/>
          </w:rPr>
          <w:fldChar w:fldCharType="begin"/>
        </w:r>
        <w:r>
          <w:rPr>
            <w:webHidden/>
          </w:rPr>
          <w:instrText xml:space="preserve"> PAGEREF _Toc469478353 \h </w:instrText>
        </w:r>
        <w:r>
          <w:rPr>
            <w:webHidden/>
          </w:rPr>
        </w:r>
        <w:r>
          <w:rPr>
            <w:webHidden/>
          </w:rPr>
          <w:fldChar w:fldCharType="separate"/>
        </w:r>
        <w:r>
          <w:rPr>
            <w:webHidden/>
          </w:rPr>
          <w:t>19</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54" w:history="1">
        <w:r>
          <w:rPr>
            <w:rStyle w:val="Hyperlink"/>
          </w:rPr>
          <w:t>International agreements</w:t>
        </w:r>
        <w:r>
          <w:rPr>
            <w:webHidden/>
          </w:rPr>
          <w:tab/>
        </w:r>
        <w:r>
          <w:rPr>
            <w:webHidden/>
          </w:rPr>
          <w:fldChar w:fldCharType="begin"/>
        </w:r>
        <w:r>
          <w:rPr>
            <w:webHidden/>
          </w:rPr>
          <w:instrText xml:space="preserve"> PAGEREF _Toc469478354 \h </w:instrText>
        </w:r>
        <w:r>
          <w:rPr>
            <w:webHidden/>
          </w:rPr>
        </w:r>
        <w:r>
          <w:rPr>
            <w:webHidden/>
          </w:rPr>
          <w:fldChar w:fldCharType="separate"/>
        </w:r>
        <w:r>
          <w:rPr>
            <w:webHidden/>
          </w:rPr>
          <w:t>20</w:t>
        </w:r>
        <w:r>
          <w:rPr>
            <w:webHidden/>
          </w:rPr>
          <w:fldChar w:fldCharType="end"/>
        </w:r>
      </w:hyperlink>
    </w:p>
    <w:p w:rsidR="00823F06" w:rsidRDefault="0081280F">
      <w:pPr>
        <w:pStyle w:val="TOC1"/>
        <w:rPr>
          <w:rFonts w:asciiTheme="minorHAnsi" w:eastAsiaTheme="minorEastAsia" w:hAnsiTheme="minorHAnsi" w:cstheme="minorBidi"/>
          <w:caps w:val="0"/>
          <w:noProof/>
          <w:sz w:val="22"/>
          <w:szCs w:val="22"/>
          <w:lang w:eastAsia="en-GB"/>
        </w:rPr>
      </w:pPr>
      <w:hyperlink w:anchor="_Toc469478355"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PAGEREF _Toc469478355 \h </w:instrText>
        </w:r>
        <w:r>
          <w:rPr>
            <w:noProof/>
            <w:webHidden/>
          </w:rPr>
        </w:r>
        <w:r>
          <w:rPr>
            <w:noProof/>
            <w:webHidden/>
          </w:rPr>
          <w:fldChar w:fldCharType="separate"/>
        </w:r>
        <w:r>
          <w:rPr>
            <w:noProof/>
            <w:webHidden/>
          </w:rPr>
          <w:t>21</w:t>
        </w:r>
        <w:r>
          <w:rPr>
            <w:noProof/>
            <w:webHidden/>
          </w:rPr>
          <w:fldChar w:fldCharType="end"/>
        </w:r>
      </w:hyperlink>
    </w:p>
    <w:p w:rsidR="00823F06" w:rsidRDefault="0081280F">
      <w:pPr>
        <w:pStyle w:val="TOC1"/>
        <w:rPr>
          <w:rFonts w:asciiTheme="minorHAnsi" w:eastAsiaTheme="minorEastAsia" w:hAnsiTheme="minorHAnsi" w:cstheme="minorBidi"/>
          <w:caps w:val="0"/>
          <w:noProof/>
          <w:sz w:val="22"/>
          <w:szCs w:val="22"/>
          <w:lang w:eastAsia="en-GB"/>
        </w:rPr>
      </w:pPr>
      <w:hyperlink w:anchor="_Toc469478356"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 xml:space="preserve">Market </w:t>
        </w:r>
        <w:r>
          <w:rPr>
            <w:rStyle w:val="Hyperlink"/>
            <w:rFonts w:eastAsiaTheme="majorEastAsia" w:cstheme="majorBidi"/>
            <w:bCs/>
            <w:noProof/>
          </w:rPr>
          <w:t>based instruments and investment</w:t>
        </w:r>
        <w:r>
          <w:rPr>
            <w:noProof/>
            <w:webHidden/>
          </w:rPr>
          <w:tab/>
        </w:r>
        <w:r>
          <w:rPr>
            <w:noProof/>
            <w:webHidden/>
          </w:rPr>
          <w:fldChar w:fldCharType="begin"/>
        </w:r>
        <w:r>
          <w:rPr>
            <w:noProof/>
            <w:webHidden/>
          </w:rPr>
          <w:instrText xml:space="preserve"> PAGEREF _Toc469478356 \h </w:instrText>
        </w:r>
        <w:r>
          <w:rPr>
            <w:noProof/>
            <w:webHidden/>
          </w:rPr>
        </w:r>
        <w:r>
          <w:rPr>
            <w:noProof/>
            <w:webHidden/>
          </w:rPr>
          <w:fldChar w:fldCharType="separate"/>
        </w:r>
        <w:r>
          <w:rPr>
            <w:noProof/>
            <w:webHidden/>
          </w:rPr>
          <w:t>21</w:t>
        </w:r>
        <w:r>
          <w:rPr>
            <w:noProof/>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57" w:history="1">
        <w:r>
          <w:rPr>
            <w:rStyle w:val="Hyperlink"/>
          </w:rPr>
          <w:t>Green taxation and environmentally harmful subsidies</w:t>
        </w:r>
        <w:r>
          <w:rPr>
            <w:webHidden/>
          </w:rPr>
          <w:tab/>
        </w:r>
        <w:r>
          <w:rPr>
            <w:webHidden/>
          </w:rPr>
          <w:fldChar w:fldCharType="begin"/>
        </w:r>
        <w:r>
          <w:rPr>
            <w:webHidden/>
          </w:rPr>
          <w:instrText xml:space="preserve"> PAGEREF _Toc469478357 \h </w:instrText>
        </w:r>
        <w:r>
          <w:rPr>
            <w:webHidden/>
          </w:rPr>
        </w:r>
        <w:r>
          <w:rPr>
            <w:webHidden/>
          </w:rPr>
          <w:fldChar w:fldCharType="separate"/>
        </w:r>
        <w:r>
          <w:rPr>
            <w:webHidden/>
          </w:rPr>
          <w:t>21</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58" w:history="1">
        <w:r>
          <w:rPr>
            <w:rStyle w:val="Hyperlink"/>
          </w:rPr>
          <w:t>Green Public Procurement</w:t>
        </w:r>
        <w:r>
          <w:rPr>
            <w:webHidden/>
          </w:rPr>
          <w:tab/>
        </w:r>
        <w:r>
          <w:rPr>
            <w:webHidden/>
          </w:rPr>
          <w:fldChar w:fldCharType="begin"/>
        </w:r>
        <w:r>
          <w:rPr>
            <w:webHidden/>
          </w:rPr>
          <w:instrText xml:space="preserve"> PAGEREF _Toc469478358 \h </w:instrText>
        </w:r>
        <w:r>
          <w:rPr>
            <w:webHidden/>
          </w:rPr>
        </w:r>
        <w:r>
          <w:rPr>
            <w:webHidden/>
          </w:rPr>
          <w:fldChar w:fldCharType="separate"/>
        </w:r>
        <w:r>
          <w:rPr>
            <w:webHidden/>
          </w:rPr>
          <w:t>22</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59" w:history="1">
        <w:r>
          <w:rPr>
            <w:rStyle w:val="Hyperlink"/>
          </w:rPr>
          <w:t>Investments: t</w:t>
        </w:r>
        <w:r>
          <w:rPr>
            <w:rStyle w:val="Hyperlink"/>
          </w:rPr>
          <w:t>he contribution of EU funds</w:t>
        </w:r>
        <w:r>
          <w:rPr>
            <w:webHidden/>
          </w:rPr>
          <w:tab/>
        </w:r>
        <w:r>
          <w:rPr>
            <w:webHidden/>
          </w:rPr>
          <w:fldChar w:fldCharType="begin"/>
        </w:r>
        <w:r>
          <w:rPr>
            <w:webHidden/>
          </w:rPr>
          <w:instrText xml:space="preserve"> PAGEREF _Toc469478359 \h </w:instrText>
        </w:r>
        <w:r>
          <w:rPr>
            <w:webHidden/>
          </w:rPr>
        </w:r>
        <w:r>
          <w:rPr>
            <w:webHidden/>
          </w:rPr>
          <w:fldChar w:fldCharType="separate"/>
        </w:r>
        <w:r>
          <w:rPr>
            <w:webHidden/>
          </w:rPr>
          <w:t>22</w:t>
        </w:r>
        <w:r>
          <w:rPr>
            <w:webHidden/>
          </w:rPr>
          <w:fldChar w:fldCharType="end"/>
        </w:r>
      </w:hyperlink>
    </w:p>
    <w:p w:rsidR="00823F06" w:rsidRDefault="0081280F">
      <w:pPr>
        <w:pStyle w:val="TOC1"/>
        <w:rPr>
          <w:rFonts w:asciiTheme="minorHAnsi" w:eastAsiaTheme="minorEastAsia" w:hAnsiTheme="minorHAnsi" w:cstheme="minorBidi"/>
          <w:caps w:val="0"/>
          <w:noProof/>
          <w:sz w:val="22"/>
          <w:szCs w:val="22"/>
          <w:lang w:eastAsia="en-GB"/>
        </w:rPr>
      </w:pPr>
      <w:hyperlink w:anchor="_Toc469478360"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_Toc469478360 \h </w:instrText>
        </w:r>
        <w:r>
          <w:rPr>
            <w:noProof/>
            <w:webHidden/>
          </w:rPr>
        </w:r>
        <w:r>
          <w:rPr>
            <w:noProof/>
            <w:webHidden/>
          </w:rPr>
          <w:fldChar w:fldCharType="separate"/>
        </w:r>
        <w:r>
          <w:rPr>
            <w:noProof/>
            <w:webHidden/>
          </w:rPr>
          <w:t>24</w:t>
        </w:r>
        <w:r>
          <w:rPr>
            <w:noProof/>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61" w:history="1">
        <w:r>
          <w:rPr>
            <w:rStyle w:val="Hyperlink"/>
          </w:rPr>
          <w:t>Effective governance within central, regional and local government</w:t>
        </w:r>
        <w:r>
          <w:rPr>
            <w:webHidden/>
          </w:rPr>
          <w:tab/>
        </w:r>
        <w:r>
          <w:rPr>
            <w:webHidden/>
          </w:rPr>
          <w:fldChar w:fldCharType="begin"/>
        </w:r>
        <w:r>
          <w:rPr>
            <w:webHidden/>
          </w:rPr>
          <w:instrText xml:space="preserve"> PAGEREF _Toc469478361 \h </w:instrText>
        </w:r>
        <w:r>
          <w:rPr>
            <w:webHidden/>
          </w:rPr>
        </w:r>
        <w:r>
          <w:rPr>
            <w:webHidden/>
          </w:rPr>
          <w:fldChar w:fldCharType="separate"/>
        </w:r>
        <w:r>
          <w:rPr>
            <w:webHidden/>
          </w:rPr>
          <w:t>24</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62" w:history="1">
        <w:r>
          <w:rPr>
            <w:rStyle w:val="Hyperlink"/>
          </w:rPr>
          <w:t>Compliance assurance</w:t>
        </w:r>
        <w:r>
          <w:rPr>
            <w:webHidden/>
          </w:rPr>
          <w:tab/>
        </w:r>
        <w:r>
          <w:rPr>
            <w:webHidden/>
          </w:rPr>
          <w:fldChar w:fldCharType="begin"/>
        </w:r>
        <w:r>
          <w:rPr>
            <w:webHidden/>
          </w:rPr>
          <w:instrText xml:space="preserve"> PAGEREF _Toc469478362 \h </w:instrText>
        </w:r>
        <w:r>
          <w:rPr>
            <w:webHidden/>
          </w:rPr>
        </w:r>
        <w:r>
          <w:rPr>
            <w:webHidden/>
          </w:rPr>
          <w:fldChar w:fldCharType="separate"/>
        </w:r>
        <w:r>
          <w:rPr>
            <w:webHidden/>
          </w:rPr>
          <w:t>25</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63" w:history="1">
        <w:r>
          <w:rPr>
            <w:rStyle w:val="Hyperlink"/>
          </w:rPr>
          <w:t>Public participation and access to justice</w:t>
        </w:r>
        <w:r>
          <w:rPr>
            <w:webHidden/>
          </w:rPr>
          <w:tab/>
        </w:r>
        <w:r>
          <w:rPr>
            <w:webHidden/>
          </w:rPr>
          <w:fldChar w:fldCharType="begin"/>
        </w:r>
        <w:r>
          <w:rPr>
            <w:webHidden/>
          </w:rPr>
          <w:instrText xml:space="preserve"> PAGEREF _Toc469478363 \h</w:instrText>
        </w:r>
        <w:r>
          <w:rPr>
            <w:webHidden/>
          </w:rPr>
          <w:instrText xml:space="preserve"> </w:instrText>
        </w:r>
        <w:r>
          <w:rPr>
            <w:webHidden/>
          </w:rPr>
        </w:r>
        <w:r>
          <w:rPr>
            <w:webHidden/>
          </w:rPr>
          <w:fldChar w:fldCharType="separate"/>
        </w:r>
        <w:r>
          <w:rPr>
            <w:webHidden/>
          </w:rPr>
          <w:t>26</w:t>
        </w:r>
        <w:r>
          <w:rPr>
            <w:webHidden/>
          </w:rPr>
          <w:fldChar w:fldCharType="end"/>
        </w:r>
      </w:hyperlink>
    </w:p>
    <w:p w:rsidR="00823F06" w:rsidRDefault="0081280F">
      <w:pPr>
        <w:pStyle w:val="TOC2"/>
        <w:rPr>
          <w:rFonts w:asciiTheme="minorHAnsi" w:eastAsiaTheme="minorEastAsia" w:hAnsiTheme="minorHAnsi" w:cstheme="minorBidi"/>
          <w:sz w:val="22"/>
          <w:szCs w:val="22"/>
          <w:lang w:eastAsia="en-GB"/>
        </w:rPr>
      </w:pPr>
      <w:hyperlink w:anchor="_Toc469478364" w:history="1">
        <w:r>
          <w:rPr>
            <w:rStyle w:val="Hyperlink"/>
          </w:rPr>
          <w:t>Access to information, knowledge and evidence</w:t>
        </w:r>
        <w:r>
          <w:rPr>
            <w:webHidden/>
          </w:rPr>
          <w:tab/>
        </w:r>
        <w:r>
          <w:rPr>
            <w:webHidden/>
          </w:rPr>
          <w:fldChar w:fldCharType="begin"/>
        </w:r>
        <w:r>
          <w:rPr>
            <w:webHidden/>
          </w:rPr>
          <w:instrText xml:space="preserve"> PAGEREF _Toc469478364 \h </w:instrText>
        </w:r>
        <w:r>
          <w:rPr>
            <w:webHidden/>
          </w:rPr>
        </w:r>
        <w:r>
          <w:rPr>
            <w:webHidden/>
          </w:rPr>
          <w:fldChar w:fldCharType="separate"/>
        </w:r>
        <w:r>
          <w:rPr>
            <w:webHidden/>
          </w:rPr>
          <w:t>27</w:t>
        </w:r>
        <w:r>
          <w:rPr>
            <w:webHidden/>
          </w:rPr>
          <w:fldChar w:fldCharType="end"/>
        </w:r>
      </w:hyperlink>
    </w:p>
    <w:p w:rsidR="00823F06" w:rsidRDefault="0081280F">
      <w:pPr>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823F06" w:rsidRDefault="0081280F">
      <w:pPr>
        <w:widowControl w:val="0"/>
        <w:spacing w:after="120" w:line="240" w:lineRule="auto"/>
        <w:rPr>
          <w:rFonts w:cs="Times New Roman"/>
          <w:noProof/>
          <w:sz w:val="20"/>
        </w:rPr>
        <w:sectPr w:rsidR="00823F06">
          <w:headerReference w:type="even" r:id="rId18"/>
          <w:headerReference w:type="default" r:id="rId19"/>
          <w:footerReference w:type="even" r:id="rId20"/>
          <w:footerReference w:type="default" r:id="rId21"/>
          <w:headerReference w:type="first" r:id="rId22"/>
          <w:footerReference w:type="first" r:id="rId23"/>
          <w:pgSz w:w="11906" w:h="16838"/>
          <w:pgMar w:top="1440" w:right="1280" w:bottom="1440" w:left="1280" w:header="708" w:footer="708" w:gutter="0"/>
          <w:pgNumType w:start="2"/>
          <w:cols w:space="360"/>
          <w:titlePg/>
          <w:docGrid w:linePitch="360"/>
        </w:sectPr>
      </w:pPr>
      <w:r>
        <w:rPr>
          <w:rFonts w:cs="Times New Roman"/>
          <w:noProof/>
          <w:sz w:val="20"/>
        </w:rPr>
        <w:br w:type="page"/>
      </w:r>
    </w:p>
    <w:p w:rsidR="00823F06" w:rsidRDefault="0081280F">
      <w:pPr>
        <w:keepLines/>
        <w:widowControl w:val="0"/>
        <w:spacing w:after="240" w:line="240" w:lineRule="auto"/>
        <w:ind w:left="360"/>
        <w:jc w:val="center"/>
        <w:outlineLvl w:val="0"/>
        <w:rPr>
          <w:rFonts w:eastAsiaTheme="majorEastAsia" w:cstheme="majorBidi"/>
          <w:b/>
          <w:bCs/>
          <w:noProof/>
          <w:color w:val="1F497D" w:themeColor="text2"/>
          <w:sz w:val="32"/>
          <w:szCs w:val="28"/>
        </w:rPr>
      </w:pPr>
      <w:bookmarkStart w:id="5" w:name="_Toc469478338"/>
      <w:r>
        <w:rPr>
          <w:rFonts w:eastAsiaTheme="majorEastAsia" w:cstheme="majorBidi"/>
          <w:b/>
          <w:bCs/>
          <w:noProof/>
          <w:color w:val="1F497D" w:themeColor="text2"/>
          <w:sz w:val="32"/>
          <w:szCs w:val="28"/>
        </w:rPr>
        <w:lastRenderedPageBreak/>
        <w:t>Executive summary</w:t>
      </w:r>
      <w:bookmarkEnd w:id="4"/>
      <w:bookmarkEnd w:id="5"/>
    </w:p>
    <w:p w:rsidR="00823F06" w:rsidRDefault="00823F06">
      <w:pPr>
        <w:widowControl w:val="0"/>
        <w:spacing w:after="120" w:line="240" w:lineRule="auto"/>
        <w:jc w:val="both"/>
        <w:rPr>
          <w:rFonts w:cs="Times New Roman"/>
          <w:noProof/>
          <w:sz w:val="20"/>
        </w:rPr>
        <w:sectPr w:rsidR="00823F06">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280" w:bottom="1440" w:left="1280" w:header="708" w:footer="708" w:gutter="0"/>
          <w:pgNumType w:start="4"/>
          <w:cols w:space="360"/>
          <w:docGrid w:linePitch="360"/>
        </w:sectPr>
      </w:pPr>
    </w:p>
    <w:p w:rsidR="00823F06" w:rsidRDefault="0081280F">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823F06" w:rsidRDefault="0081280F">
      <w:pPr>
        <w:widowControl w:val="0"/>
        <w:spacing w:after="120" w:line="240" w:lineRule="auto"/>
        <w:jc w:val="both"/>
        <w:rPr>
          <w:rFonts w:cs="Times New Roman"/>
          <w:noProof/>
          <w:sz w:val="20"/>
        </w:rPr>
      </w:pPr>
      <w:r>
        <w:rPr>
          <w:rFonts w:cs="Times New Roman"/>
          <w:noProof/>
          <w:sz w:val="20"/>
        </w:rPr>
        <w:t>In May 2016, the Commission launched the Environmental Implementation Review (EIR), a two-year cycle of analysis, dialogue and collaboration to imp</w:t>
      </w:r>
      <w:r>
        <w:rPr>
          <w:rFonts w:cs="Times New Roman"/>
          <w:noProof/>
          <w:sz w:val="20"/>
        </w:rPr>
        <w:t>rove the implementation of existing EU environmental policy and legislation</w:t>
      </w:r>
      <w:r>
        <w:rPr>
          <w:rFonts w:cs="Times New Roman"/>
          <w:noProof/>
          <w:sz w:val="20"/>
          <w:vertAlign w:val="superscript"/>
        </w:rPr>
        <w:footnoteReference w:id="1"/>
      </w:r>
      <w:r>
        <w:rPr>
          <w:rFonts w:cs="Times New Roman"/>
          <w:noProof/>
          <w:sz w:val="20"/>
        </w:rPr>
        <w:t>. As a first step, the Commission drafted 28 reports describing the main challenges and opportunities on environmental implementation for each Member State. These reports are meant</w:t>
      </w:r>
      <w:r>
        <w:rPr>
          <w:rFonts w:cs="Times New Roman"/>
          <w:noProof/>
          <w:sz w:val="20"/>
        </w:rPr>
        <w:t xml:space="preserve"> to stimulate a positive debate both on shared environmental challenges for the EU, as well as on the most effective ways to address the key implementation gaps. The reports rely on the detailed sectoral implementation reports collected or issued by the Co</w:t>
      </w:r>
      <w:r>
        <w:rPr>
          <w:rFonts w:cs="Times New Roman"/>
          <w:noProof/>
          <w:sz w:val="20"/>
        </w:rPr>
        <w:t>mmission under specific environmental legislation as well as the 2015 State of the Environment Report and other reports by the European Environment Agency. These reports will not replace the specific instruments to ensure compliance with the EU legal oblig</w:t>
      </w:r>
      <w:r>
        <w:rPr>
          <w:rFonts w:cs="Times New Roman"/>
          <w:noProof/>
          <w:sz w:val="20"/>
        </w:rPr>
        <w:t xml:space="preserve">ations. </w:t>
      </w:r>
    </w:p>
    <w:p w:rsidR="00823F06" w:rsidRDefault="0081280F">
      <w:pPr>
        <w:widowControl w:val="0"/>
        <w:spacing w:after="120" w:line="240" w:lineRule="auto"/>
        <w:jc w:val="both"/>
        <w:rPr>
          <w:rFonts w:cs="Times New Roman"/>
          <w:noProof/>
          <w:sz w:val="20"/>
        </w:rPr>
      </w:pPr>
      <w:r>
        <w:rPr>
          <w:rFonts w:cs="Times New Roman"/>
          <w:noProof/>
          <w:sz w:val="20"/>
        </w:rPr>
        <w:t>The reports will broadly follow the outline of the 7th Environmental Action Programme</w:t>
      </w:r>
      <w:r>
        <w:rPr>
          <w:rFonts w:cs="Times New Roman"/>
          <w:noProof/>
          <w:sz w:val="20"/>
          <w:vertAlign w:val="superscript"/>
        </w:rPr>
        <w:footnoteReference w:id="2"/>
      </w:r>
      <w:r>
        <w:rPr>
          <w:rFonts w:cs="Times New Roman"/>
          <w:noProof/>
          <w:sz w:val="20"/>
        </w:rPr>
        <w:t xml:space="preserve"> and refer to the 2030 Agenda for Sustainable development and related Sustainable Development Goals (SDGs)</w:t>
      </w:r>
      <w:r>
        <w:rPr>
          <w:rFonts w:cs="Times New Roman"/>
          <w:noProof/>
          <w:sz w:val="20"/>
          <w:vertAlign w:val="superscript"/>
        </w:rPr>
        <w:footnoteReference w:id="3"/>
      </w:r>
      <w:r>
        <w:rPr>
          <w:rFonts w:cs="Times New Roman"/>
          <w:noProof/>
          <w:sz w:val="20"/>
        </w:rPr>
        <w:t xml:space="preserve"> to the extent to which they reflect the existing obli</w:t>
      </w:r>
      <w:r>
        <w:rPr>
          <w:rFonts w:cs="Times New Roman"/>
          <w:noProof/>
          <w:sz w:val="20"/>
        </w:rPr>
        <w:t>gations and policy objectives of EU environmental law</w:t>
      </w:r>
      <w:r>
        <w:rPr>
          <w:rFonts w:cs="Times New Roman"/>
          <w:noProof/>
          <w:sz w:val="20"/>
          <w:vertAlign w:val="superscript"/>
        </w:rPr>
        <w:footnoteReference w:id="4"/>
      </w:r>
      <w:r>
        <w:rPr>
          <w:rFonts w:cs="Times New Roman"/>
          <w:noProof/>
          <w:sz w:val="20"/>
        </w:rPr>
        <w:t xml:space="preserve">. </w:t>
      </w:r>
    </w:p>
    <w:p w:rsidR="00823F06" w:rsidRDefault="0081280F">
      <w:pPr>
        <w:widowControl w:val="0"/>
        <w:spacing w:after="120" w:line="240" w:lineRule="auto"/>
        <w:jc w:val="both"/>
        <w:rPr>
          <w:rFonts w:cs="Times New Roman"/>
          <w:noProof/>
          <w:sz w:val="20"/>
        </w:rPr>
      </w:pPr>
      <w:r>
        <w:rPr>
          <w:rFonts w:cs="Times New Roman"/>
          <w:noProof/>
          <w:sz w:val="20"/>
        </w:rPr>
        <w:t>The main challenges have been selected by taking into account factors such as the importance or the gravity of the environmental implementation issue in the light of the impact on the quality of life</w:t>
      </w:r>
      <w:r>
        <w:rPr>
          <w:rFonts w:cs="Times New Roman"/>
          <w:noProof/>
          <w:sz w:val="20"/>
        </w:rPr>
        <w:t xml:space="preserve"> of the citizens, the distance to target, and financial implications.</w:t>
      </w:r>
    </w:p>
    <w:p w:rsidR="00823F06" w:rsidRDefault="0081280F">
      <w:pPr>
        <w:widowControl w:val="0"/>
        <w:spacing w:after="120" w:line="240" w:lineRule="auto"/>
        <w:jc w:val="both"/>
        <w:rPr>
          <w:rFonts w:cs="Times New Roman"/>
          <w:noProof/>
          <w:sz w:val="20"/>
        </w:rPr>
      </w:pPr>
      <w:r>
        <w:rPr>
          <w:rFonts w:cs="Times New Roman"/>
          <w:noProof/>
          <w:sz w:val="20"/>
        </w:rPr>
        <w:t>The reports accompany the Communication "</w:t>
      </w:r>
      <w:r>
        <w:rPr>
          <w:rFonts w:cs="Times New Roman"/>
          <w:i/>
          <w:noProof/>
          <w:sz w:val="20"/>
        </w:rPr>
        <w:t>The EU Environmental Implementation Review 2016: Common challenges and how to combine efforts to deliver better results</w:t>
      </w:r>
      <w:r>
        <w:rPr>
          <w:rFonts w:cs="Times New Roman"/>
          <w:noProof/>
          <w:sz w:val="20"/>
        </w:rPr>
        <w:t>", which identifies challe</w:t>
      </w:r>
      <w:r>
        <w:rPr>
          <w:rFonts w:cs="Times New Roman"/>
          <w:noProof/>
          <w:sz w:val="20"/>
        </w:rPr>
        <w:t xml:space="preserve">nges that are common to several Member States, provides preliminary conclusions on possible root causes of implementation gaps and proposes joint actions to deliver better results. It also groups in its Annex the actions proposed in each country report to </w:t>
      </w:r>
      <w:r>
        <w:rPr>
          <w:rFonts w:cs="Times New Roman"/>
          <w:noProof/>
          <w:sz w:val="20"/>
        </w:rPr>
        <w:t>improve implementation at national level.</w:t>
      </w:r>
    </w:p>
    <w:p w:rsidR="00823F06" w:rsidRDefault="0081280F">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823F06" w:rsidRDefault="0081280F">
      <w:pPr>
        <w:widowControl w:val="0"/>
        <w:spacing w:after="120" w:line="240" w:lineRule="auto"/>
        <w:jc w:val="both"/>
        <w:rPr>
          <w:rFonts w:cs="Times New Roman"/>
          <w:noProof/>
          <w:sz w:val="20"/>
        </w:rPr>
      </w:pPr>
      <w:r>
        <w:rPr>
          <w:rFonts w:cs="Times New Roman"/>
          <w:noProof/>
          <w:sz w:val="20"/>
        </w:rPr>
        <w:t>Sweden is a country with long coastlines, thousands of lakes, freshwater streams, mountains and deep forests. Sweden is an export-oriented mixed economy. Timber, hydropower and iron ore constitute t</w:t>
      </w:r>
      <w:r>
        <w:rPr>
          <w:rFonts w:cs="Times New Roman"/>
          <w:noProof/>
          <w:sz w:val="20"/>
        </w:rPr>
        <w:t xml:space="preserve">he natural resource base of its economy, therefore sustainable management and use of these resources is crucial for sustainable development of Swedish economy. Certain aspects of the environmental status of seas, lakes, watercourses and ground waters, and </w:t>
      </w:r>
      <w:r>
        <w:rPr>
          <w:rFonts w:cs="Times New Roman"/>
          <w:noProof/>
          <w:sz w:val="20"/>
        </w:rPr>
        <w:t>of several terrestrial ecosystems, remain problematic, not least as regards eutrophication and biodiversity.</w:t>
      </w:r>
    </w:p>
    <w:p w:rsidR="00823F06" w:rsidRDefault="0081280F">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823F06" w:rsidRDefault="0081280F">
      <w:pPr>
        <w:widowControl w:val="0"/>
        <w:spacing w:after="120" w:line="240" w:lineRule="auto"/>
        <w:jc w:val="both"/>
        <w:rPr>
          <w:rFonts w:cs="Times New Roman"/>
          <w:noProof/>
          <w:sz w:val="20"/>
        </w:rPr>
      </w:pPr>
      <w:r>
        <w:rPr>
          <w:rFonts w:cs="Times New Roman"/>
          <w:noProof/>
          <w:sz w:val="20"/>
        </w:rPr>
        <w:t>The three main challenges with regard to implementation of EU environmental policy and law in Sweden are:</w:t>
      </w:r>
    </w:p>
    <w:p w:rsidR="00823F06" w:rsidRDefault="0081280F">
      <w:pPr>
        <w:widowControl w:val="0"/>
        <w:numPr>
          <w:ilvl w:val="0"/>
          <w:numId w:val="29"/>
        </w:numPr>
        <w:spacing w:after="120" w:line="240" w:lineRule="auto"/>
        <w:contextualSpacing/>
        <w:jc w:val="both"/>
        <w:rPr>
          <w:rFonts w:cs="Times New Roman"/>
          <w:noProof/>
          <w:sz w:val="20"/>
        </w:rPr>
      </w:pPr>
      <w:r>
        <w:rPr>
          <w:rFonts w:cs="Times New Roman"/>
          <w:noProof/>
          <w:sz w:val="20"/>
        </w:rPr>
        <w:t>Improving the status of h</w:t>
      </w:r>
      <w:r>
        <w:rPr>
          <w:rFonts w:cs="Times New Roman"/>
          <w:noProof/>
          <w:sz w:val="20"/>
        </w:rPr>
        <w:t>abitats, in particular grassland, for which all types are in unfavourable conservation status.</w:t>
      </w:r>
    </w:p>
    <w:p w:rsidR="00823F06" w:rsidRDefault="0081280F">
      <w:pPr>
        <w:widowControl w:val="0"/>
        <w:numPr>
          <w:ilvl w:val="0"/>
          <w:numId w:val="29"/>
        </w:numPr>
        <w:spacing w:after="120" w:line="240" w:lineRule="auto"/>
        <w:contextualSpacing/>
        <w:jc w:val="both"/>
        <w:rPr>
          <w:rFonts w:cs="Times New Roman"/>
          <w:noProof/>
          <w:sz w:val="20"/>
          <w:szCs w:val="20"/>
        </w:rPr>
      </w:pPr>
      <w:r>
        <w:rPr>
          <w:rFonts w:cs="Times New Roman"/>
          <w:noProof/>
          <w:sz w:val="20"/>
        </w:rPr>
        <w:t>Improving the quality of the monitoring programme of SE marine waters.</w:t>
      </w:r>
    </w:p>
    <w:p w:rsidR="00823F06" w:rsidRDefault="0081280F">
      <w:pPr>
        <w:widowControl w:val="0"/>
        <w:numPr>
          <w:ilvl w:val="0"/>
          <w:numId w:val="29"/>
        </w:numPr>
        <w:spacing w:after="120" w:line="240" w:lineRule="auto"/>
        <w:contextualSpacing/>
        <w:jc w:val="both"/>
        <w:rPr>
          <w:rFonts w:cs="Times New Roman"/>
          <w:noProof/>
          <w:sz w:val="20"/>
          <w:szCs w:val="20"/>
        </w:rPr>
      </w:pPr>
      <w:r>
        <w:rPr>
          <w:rFonts w:cs="Times New Roman"/>
          <w:noProof/>
          <w:sz w:val="20"/>
          <w:szCs w:val="20"/>
        </w:rPr>
        <w:t>Reducing emissions of air pollutants.</w:t>
      </w:r>
    </w:p>
    <w:p w:rsidR="00823F06" w:rsidRDefault="0081280F">
      <w:pPr>
        <w:widowControl w:val="0"/>
        <w:spacing w:before="240" w:after="120" w:line="240" w:lineRule="auto"/>
        <w:jc w:val="both"/>
        <w:rPr>
          <w:rFonts w:cstheme="minorHAnsi"/>
          <w:b/>
          <w:noProof/>
          <w:color w:val="1F497D" w:themeColor="text2"/>
        </w:rPr>
      </w:pPr>
      <w:r>
        <w:rPr>
          <w:rFonts w:cstheme="minorHAnsi"/>
          <w:b/>
          <w:noProof/>
          <w:color w:val="1F497D" w:themeColor="text2"/>
        </w:rPr>
        <w:t>Main Opportunities</w:t>
      </w:r>
    </w:p>
    <w:p w:rsidR="00823F06" w:rsidRDefault="0081280F">
      <w:pPr>
        <w:widowControl w:val="0"/>
        <w:spacing w:after="120" w:line="240" w:lineRule="auto"/>
        <w:jc w:val="both"/>
        <w:rPr>
          <w:rFonts w:cs="Times New Roman"/>
          <w:noProof/>
          <w:sz w:val="20"/>
          <w:lang w:eastAsia="ja-JP"/>
        </w:rPr>
      </w:pPr>
      <w:r>
        <w:rPr>
          <w:rFonts w:cs="Times New Roman"/>
          <w:noProof/>
          <w:sz w:val="20"/>
          <w:lang w:eastAsia="ja-JP"/>
        </w:rPr>
        <w:t xml:space="preserve">Sweden could perform better on </w:t>
      </w:r>
      <w:r>
        <w:rPr>
          <w:rFonts w:cs="Times New Roman"/>
          <w:noProof/>
          <w:sz w:val="20"/>
          <w:lang w:eastAsia="ja-JP"/>
        </w:rPr>
        <w:t>topics where there is already a good knowledge base and good practices. This applies in particular to:</w:t>
      </w:r>
    </w:p>
    <w:p w:rsidR="00823F06" w:rsidRDefault="0081280F">
      <w:pPr>
        <w:widowControl w:val="0"/>
        <w:numPr>
          <w:ilvl w:val="0"/>
          <w:numId w:val="30"/>
        </w:numPr>
        <w:spacing w:after="120" w:line="240" w:lineRule="auto"/>
        <w:contextualSpacing/>
        <w:jc w:val="both"/>
        <w:rPr>
          <w:rFonts w:cs="Times New Roman"/>
          <w:noProof/>
          <w:sz w:val="20"/>
        </w:rPr>
      </w:pPr>
      <w:r>
        <w:rPr>
          <w:rFonts w:cs="Times New Roman"/>
          <w:noProof/>
          <w:sz w:val="20"/>
        </w:rPr>
        <w:t>Reducing pressures from agriculture and natural systems modification, which would help move towards favourable status of birds and habitats.</w:t>
      </w:r>
    </w:p>
    <w:p w:rsidR="00823F06" w:rsidRDefault="0081280F">
      <w:pPr>
        <w:widowControl w:val="0"/>
        <w:spacing w:before="240" w:after="120" w:line="240" w:lineRule="auto"/>
        <w:jc w:val="both"/>
        <w:rPr>
          <w:rFonts w:cstheme="minorHAnsi"/>
          <w:b/>
          <w:noProof/>
          <w:color w:val="1F497D" w:themeColor="text2"/>
        </w:rPr>
      </w:pPr>
      <w:r>
        <w:rPr>
          <w:rFonts w:cstheme="minorHAnsi"/>
          <w:b/>
          <w:noProof/>
          <w:color w:val="1F497D" w:themeColor="text2"/>
        </w:rPr>
        <w:t>Points of Ex</w:t>
      </w:r>
      <w:r>
        <w:rPr>
          <w:rFonts w:cstheme="minorHAnsi"/>
          <w:b/>
          <w:noProof/>
          <w:color w:val="1F497D" w:themeColor="text2"/>
        </w:rPr>
        <w:t>cellence</w:t>
      </w:r>
    </w:p>
    <w:p w:rsidR="00823F06" w:rsidRDefault="0081280F">
      <w:pPr>
        <w:widowControl w:val="0"/>
        <w:spacing w:after="120" w:line="240" w:lineRule="auto"/>
        <w:jc w:val="both"/>
        <w:rPr>
          <w:rFonts w:cs="Times New Roman"/>
          <w:noProof/>
          <w:sz w:val="20"/>
        </w:rPr>
      </w:pPr>
      <w:r>
        <w:rPr>
          <w:rFonts w:cs="Times New Roman"/>
          <w:noProof/>
          <w:sz w:val="20"/>
        </w:rPr>
        <w:t>Where Sweden is a leader on environmental implementation, innovative approaches could be shared more widely with other countries. Good examples are:</w:t>
      </w:r>
    </w:p>
    <w:p w:rsidR="00823F06" w:rsidRDefault="0081280F">
      <w:pPr>
        <w:widowControl w:val="0"/>
        <w:numPr>
          <w:ilvl w:val="0"/>
          <w:numId w:val="31"/>
        </w:numPr>
        <w:spacing w:after="120" w:line="240" w:lineRule="auto"/>
        <w:contextualSpacing/>
        <w:jc w:val="both"/>
        <w:rPr>
          <w:rFonts w:cs="Times New Roman"/>
          <w:noProof/>
          <w:sz w:val="20"/>
        </w:rPr>
      </w:pPr>
      <w:r>
        <w:rPr>
          <w:rFonts w:cs="Times New Roman"/>
          <w:noProof/>
          <w:sz w:val="20"/>
        </w:rPr>
        <w:t>The very good performance of Sweden on waste recycling; Sweden has reached the EU 2020 recycling r</w:t>
      </w:r>
      <w:r>
        <w:rPr>
          <w:rFonts w:cs="Times New Roman"/>
          <w:noProof/>
          <w:sz w:val="20"/>
        </w:rPr>
        <w:t>ate target of 50% in 2014 (49.9%), being well ahead of the EU average (43%).</w:t>
      </w:r>
    </w:p>
    <w:p w:rsidR="00823F06" w:rsidRDefault="0081280F">
      <w:pPr>
        <w:widowControl w:val="0"/>
        <w:numPr>
          <w:ilvl w:val="0"/>
          <w:numId w:val="31"/>
        </w:numPr>
        <w:spacing w:after="120" w:line="240" w:lineRule="auto"/>
        <w:contextualSpacing/>
        <w:jc w:val="both"/>
        <w:rPr>
          <w:rFonts w:cs="Times New Roman"/>
          <w:noProof/>
          <w:sz w:val="20"/>
        </w:rPr>
      </w:pPr>
      <w:r>
        <w:rPr>
          <w:rFonts w:cs="Times New Roman"/>
          <w:noProof/>
          <w:sz w:val="20"/>
        </w:rPr>
        <w:t xml:space="preserve">In 2015 the government established an Environmental Objectives Council to strengthen the implementation of environmental policies. The Council is a platform for Heads of agencies </w:t>
      </w:r>
      <w:r>
        <w:rPr>
          <w:rFonts w:cs="Times New Roman"/>
          <w:noProof/>
          <w:sz w:val="20"/>
        </w:rPr>
        <w:t>that are strategically important for achieving environmental objectives.</w:t>
      </w:r>
    </w:p>
    <w:p w:rsidR="00823F06" w:rsidRDefault="0081280F">
      <w:pPr>
        <w:widowControl w:val="0"/>
        <w:numPr>
          <w:ilvl w:val="0"/>
          <w:numId w:val="31"/>
        </w:numPr>
        <w:spacing w:after="120" w:line="240" w:lineRule="auto"/>
        <w:contextualSpacing/>
        <w:jc w:val="both"/>
        <w:rPr>
          <w:rFonts w:cs="Times New Roman"/>
          <w:noProof/>
          <w:sz w:val="20"/>
          <w:lang w:eastAsia="ja-JP"/>
        </w:rPr>
      </w:pPr>
      <w:r>
        <w:rPr>
          <w:rFonts w:cs="Times New Roman"/>
          <w:noProof/>
          <w:sz w:val="20"/>
          <w:lang w:eastAsia="ja-JP"/>
        </w:rPr>
        <w:t>In 2014 the government adopted a strategy for biodiversity and ecosystem services</w:t>
      </w:r>
      <w:r>
        <w:rPr>
          <w:rFonts w:cs="Times New Roman"/>
          <w:noProof/>
          <w:sz w:val="20"/>
          <w:vertAlign w:val="superscript"/>
          <w:lang w:eastAsia="ja-JP"/>
        </w:rPr>
        <w:footnoteReference w:id="5"/>
      </w:r>
      <w:r>
        <w:rPr>
          <w:rFonts w:cs="Times New Roman"/>
          <w:noProof/>
          <w:sz w:val="20"/>
          <w:lang w:eastAsia="ja-JP"/>
        </w:rPr>
        <w:t>. The strategy has significance not only for many of its own objectives and its generational goal but</w:t>
      </w:r>
      <w:r>
        <w:rPr>
          <w:rFonts w:cs="Times New Roman"/>
          <w:noProof/>
          <w:sz w:val="20"/>
          <w:lang w:eastAsia="ja-JP"/>
        </w:rPr>
        <w:t xml:space="preserve"> also for the international Aichi targets adopted under the Convention on Biological Diversity, as well as the objectives of the EU's biodiversity strategy.</w:t>
      </w:r>
    </w:p>
    <w:p w:rsidR="00823F06" w:rsidRDefault="00823F06">
      <w:pPr>
        <w:widowControl w:val="0"/>
        <w:spacing w:after="120" w:line="240" w:lineRule="auto"/>
        <w:jc w:val="both"/>
        <w:rPr>
          <w:rFonts w:cs="Times New Roman"/>
          <w:noProof/>
          <w:sz w:val="20"/>
          <w:lang w:eastAsia="ja-JP"/>
        </w:rPr>
        <w:sectPr w:rsidR="00823F06">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40" w:right="1080" w:bottom="1440" w:left="1080" w:header="709" w:footer="709" w:gutter="0"/>
          <w:cols w:num="2" w:space="360"/>
          <w:docGrid w:linePitch="360"/>
        </w:sectPr>
      </w:pPr>
    </w:p>
    <w:p w:rsidR="00823F06" w:rsidRDefault="00823F06">
      <w:pPr>
        <w:widowControl w:val="0"/>
        <w:spacing w:after="120" w:line="240" w:lineRule="auto"/>
        <w:jc w:val="both"/>
        <w:rPr>
          <w:rFonts w:cs="Times New Roman"/>
          <w:noProof/>
          <w:sz w:val="20"/>
        </w:rPr>
        <w:sectPr w:rsidR="00823F06">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fmt="lowerRoman" w:start="1"/>
          <w:cols w:space="360"/>
          <w:docGrid w:linePitch="360"/>
        </w:sectPr>
      </w:pPr>
    </w:p>
    <w:p w:rsidR="00823F06" w:rsidRDefault="0081280F">
      <w:pPr>
        <w:keepLines/>
        <w:widowControl w:val="0"/>
        <w:spacing w:after="240" w:line="240" w:lineRule="auto"/>
        <w:ind w:left="360"/>
        <w:jc w:val="center"/>
        <w:outlineLvl w:val="0"/>
        <w:rPr>
          <w:rFonts w:eastAsiaTheme="majorEastAsia" w:cstheme="majorBidi"/>
          <w:b/>
          <w:bCs/>
          <w:noProof/>
          <w:color w:val="1F497D" w:themeColor="text2"/>
          <w:sz w:val="32"/>
          <w:szCs w:val="28"/>
        </w:rPr>
      </w:pPr>
      <w:bookmarkStart w:id="6" w:name="_Toc433296150"/>
      <w:bookmarkStart w:id="7" w:name="_Toc469478339"/>
      <w:r>
        <w:rPr>
          <w:rFonts w:eastAsiaTheme="majorEastAsia" w:cstheme="majorBidi"/>
          <w:b/>
          <w:bCs/>
          <w:noProof/>
          <w:color w:val="1F497D" w:themeColor="text2"/>
          <w:sz w:val="32"/>
          <w:szCs w:val="28"/>
        </w:rPr>
        <w:t>Part I: Thematic Areas</w:t>
      </w:r>
      <w:bookmarkEnd w:id="6"/>
      <w:bookmarkEnd w:id="7"/>
    </w:p>
    <w:p w:rsidR="00823F06" w:rsidRDefault="0081280F">
      <w:pPr>
        <w:pStyle w:val="ListParagraph"/>
        <w:keepLines/>
        <w:widowControl w:val="0"/>
        <w:numPr>
          <w:ilvl w:val="0"/>
          <w:numId w:val="28"/>
        </w:numPr>
        <w:spacing w:after="240"/>
        <w:jc w:val="center"/>
        <w:outlineLvl w:val="0"/>
        <w:rPr>
          <w:rFonts w:eastAsiaTheme="majorEastAsia" w:cstheme="majorBidi"/>
          <w:b/>
          <w:bCs/>
          <w:noProof/>
          <w:color w:val="1F497D" w:themeColor="text2"/>
          <w:sz w:val="32"/>
          <w:szCs w:val="28"/>
        </w:rPr>
        <w:sectPr w:rsidR="00823F06">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708"/>
          <w:docGrid w:linePitch="360"/>
        </w:sectPr>
      </w:pPr>
      <w:bookmarkStart w:id="8" w:name="_Toc433296151"/>
      <w:bookmarkStart w:id="9" w:name="_Toc469478340"/>
      <w:r>
        <w:rPr>
          <w:rFonts w:eastAsiaTheme="majorEastAsia" w:cstheme="majorBidi"/>
          <w:b/>
          <w:bCs/>
          <w:noProof/>
          <w:color w:val="1F497D" w:themeColor="text2"/>
          <w:sz w:val="32"/>
          <w:szCs w:val="28"/>
        </w:rPr>
        <w:t>Turning the EU into a circular, resource-efficient, green and competitive low-carbon economy</w:t>
      </w:r>
      <w:bookmarkEnd w:id="8"/>
      <w:bookmarkEnd w:id="9"/>
    </w:p>
    <w:p w:rsidR="00823F06" w:rsidRDefault="0081280F">
      <w:pPr>
        <w:widowControl w:val="0"/>
        <w:spacing w:before="360" w:after="120" w:line="240" w:lineRule="auto"/>
        <w:jc w:val="both"/>
        <w:outlineLvl w:val="1"/>
        <w:rPr>
          <w:rFonts w:cs="Times New Roman"/>
          <w:b/>
          <w:noProof/>
          <w:color w:val="1F497D" w:themeColor="text2"/>
          <w:sz w:val="24"/>
        </w:rPr>
      </w:pPr>
      <w:bookmarkStart w:id="10" w:name="_Toc433296152"/>
      <w:bookmarkStart w:id="11" w:name="_Toc469478341"/>
      <w:r>
        <w:rPr>
          <w:rFonts w:cs="Times New Roman"/>
          <w:b/>
          <w:noProof/>
          <w:color w:val="1F497D" w:themeColor="text2"/>
          <w:sz w:val="24"/>
        </w:rPr>
        <w:t>Developing a circular economy</w:t>
      </w:r>
      <w:bookmarkEnd w:id="10"/>
      <w:r>
        <w:rPr>
          <w:rFonts w:cs="Times New Roman"/>
          <w:b/>
          <w:noProof/>
          <w:color w:val="1F497D" w:themeColor="text2"/>
          <w:sz w:val="24"/>
        </w:rPr>
        <w:t xml:space="preserve"> and improving resource efficiency</w:t>
      </w:r>
      <w:bookmarkEnd w:id="11"/>
    </w:p>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w:t>
      </w:r>
      <w:r>
        <w:rPr>
          <w:rFonts w:cs="Times New Roman"/>
          <w:noProof/>
          <w:color w:val="FFFFFF" w:themeColor="background1"/>
          <w:sz w:val="20"/>
        </w:rPr>
        <w:t xml:space="preserve"> a lifecycle-driven ‘circular’ economy, with a cascading use of resources and residual waste that is close to zero. This can be facilitated by the development of, and access to, innovative financial instruments and funding for eco-innovation.</w:t>
      </w:r>
    </w:p>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SDG 8 invites</w:t>
      </w:r>
      <w:r>
        <w:rPr>
          <w:rFonts w:cs="Times New Roman"/>
          <w:noProof/>
          <w:color w:val="FFFFFF" w:themeColor="background1"/>
          <w:sz w:val="20"/>
        </w:rPr>
        <w:t xml:space="preserve"> countries to promote sustained, inclusive and sustainable economic growth, full and productive employment and decent work for all. SDG 9 highlights the need to build resilient infrastructure, promote inclusive and sustainable industrialization and foster </w:t>
      </w:r>
      <w:r>
        <w:rPr>
          <w:rFonts w:cs="Times New Roman"/>
          <w:noProof/>
          <w:color w:val="FFFFFF" w:themeColor="background1"/>
          <w:sz w:val="20"/>
        </w:rPr>
        <w:t>innovation. SDG 12 encourages countries to achieve the sustainable management and efficient use of natural resources by 2030.</w:t>
      </w:r>
    </w:p>
    <w:p w:rsidR="00823F06" w:rsidRDefault="0081280F">
      <w:pPr>
        <w:widowControl w:val="0"/>
        <w:spacing w:after="120" w:line="240" w:lineRule="auto"/>
        <w:jc w:val="both"/>
        <w:outlineLvl w:val="2"/>
        <w:rPr>
          <w:rFonts w:cs="Times New Roman"/>
          <w:b/>
          <w:noProof/>
          <w:color w:val="1F497D" w:themeColor="text2"/>
        </w:rPr>
      </w:pPr>
      <w:r>
        <w:rPr>
          <w:rFonts w:cs="Times New Roman"/>
          <w:b/>
          <w:noProof/>
          <w:color w:val="1F497D" w:themeColor="text2"/>
        </w:rPr>
        <w:t>Measures towards a circular economy</w:t>
      </w:r>
    </w:p>
    <w:p w:rsidR="00823F06" w:rsidRDefault="0081280F">
      <w:pPr>
        <w:widowControl w:val="0"/>
        <w:spacing w:after="120" w:line="240" w:lineRule="auto"/>
        <w:jc w:val="both"/>
        <w:rPr>
          <w:rFonts w:cs="Times New Roman"/>
          <w:noProof/>
          <w:sz w:val="20"/>
        </w:rPr>
      </w:pPr>
      <w:r>
        <w:rPr>
          <w:rFonts w:cs="Times New Roman"/>
          <w:noProof/>
          <w:sz w:val="20"/>
        </w:rPr>
        <w:t xml:space="preserve">Transforming our economies from linear to circular offers an opportunity to reinvent them and </w:t>
      </w:r>
      <w:r>
        <w:rPr>
          <w:rFonts w:cs="Times New Roman"/>
          <w:noProof/>
          <w:sz w:val="20"/>
        </w:rPr>
        <w:t>make them more sustainable and competitive. This will stimulate investments and bring both short and long-term benefits for the economy, environment and citizens alike</w:t>
      </w:r>
      <w:r>
        <w:rPr>
          <w:rFonts w:cs="Times New Roman"/>
          <w:noProof/>
          <w:sz w:val="20"/>
          <w:vertAlign w:val="superscript"/>
        </w:rPr>
        <w:footnoteReference w:id="6"/>
      </w:r>
      <w:r>
        <w:rPr>
          <w:rFonts w:cs="Times New Roman"/>
          <w:noProof/>
          <w:sz w:val="20"/>
        </w:rPr>
        <w:t xml:space="preserve">.  </w:t>
      </w:r>
    </w:p>
    <w:p w:rsidR="00823F06" w:rsidRDefault="0081280F">
      <w:pPr>
        <w:widowControl w:val="0"/>
        <w:spacing w:after="120" w:line="240" w:lineRule="auto"/>
        <w:jc w:val="both"/>
        <w:rPr>
          <w:rFonts w:cs="Times New Roman"/>
          <w:noProof/>
          <w:sz w:val="20"/>
        </w:rPr>
      </w:pPr>
      <w:r>
        <w:rPr>
          <w:rFonts w:cs="Times New Roman"/>
          <w:noProof/>
          <w:sz w:val="20"/>
        </w:rPr>
        <w:t>As shown in Figure 1, Sweden has a level of resource productivity</w:t>
      </w:r>
      <w:r>
        <w:rPr>
          <w:rFonts w:cs="Times New Roman"/>
          <w:noProof/>
          <w:sz w:val="20"/>
          <w:vertAlign w:val="superscript"/>
        </w:rPr>
        <w:footnoteReference w:id="7"/>
      </w:r>
      <w:r>
        <w:rPr>
          <w:rFonts w:cs="Times New Roman"/>
          <w:noProof/>
          <w:sz w:val="20"/>
        </w:rPr>
        <w:t xml:space="preserve"> (how efficiently </w:t>
      </w:r>
      <w:r>
        <w:rPr>
          <w:rFonts w:cs="Times New Roman"/>
          <w:noProof/>
          <w:sz w:val="20"/>
        </w:rPr>
        <w:t>the economy uses material resources to produce wealth) that is below the EU average, with 1.74 EUR/kg (EU average is 2.0 EUR/kg) in 2015</w:t>
      </w:r>
      <w:r>
        <w:rPr>
          <w:rFonts w:cs="Times New Roman"/>
          <w:noProof/>
          <w:sz w:val="20"/>
          <w:vertAlign w:val="superscript"/>
        </w:rPr>
        <w:footnoteReference w:id="8"/>
      </w:r>
      <w:r>
        <w:rPr>
          <w:rFonts w:cs="Times New Roman"/>
          <w:noProof/>
          <w:sz w:val="20"/>
        </w:rPr>
        <w:t>. This is largely due to the structure of the Swedish economy and its large primary sector. More significant is that Sw</w:t>
      </w:r>
      <w:r>
        <w:rPr>
          <w:rFonts w:cs="Times New Roman"/>
          <w:noProof/>
          <w:sz w:val="20"/>
        </w:rPr>
        <w:t>eden's resource productivity has decreased modestly since 2010.</w:t>
      </w:r>
    </w:p>
    <w:p w:rsidR="00823F06" w:rsidRDefault="0081280F">
      <w:pPr>
        <w:widowControl w:val="0"/>
        <w:spacing w:after="120" w:line="240" w:lineRule="auto"/>
        <w:jc w:val="both"/>
        <w:rPr>
          <w:rFonts w:cs="Times New Roman"/>
          <w:noProof/>
          <w:sz w:val="20"/>
        </w:rPr>
      </w:pPr>
      <w:r>
        <w:rPr>
          <w:rFonts w:cs="Times New Roman"/>
          <w:noProof/>
          <w:sz w:val="20"/>
        </w:rPr>
        <w:t>The context for the policies relating to eco-innovation and circular economy is the generational goal adopted by the Swedish Parliament, which is the overarching objective of environment polic</w:t>
      </w:r>
      <w:r>
        <w:rPr>
          <w:rFonts w:cs="Times New Roman"/>
          <w:noProof/>
          <w:sz w:val="20"/>
        </w:rPr>
        <w:t>y and guides environmental action at every level of society, from the national level up to engagement at the EU and global levels. The goal is to pass on to the next generation a society in which the major environmental problems have been solved, without i</w:t>
      </w:r>
      <w:r>
        <w:rPr>
          <w:rFonts w:cs="Times New Roman"/>
          <w:noProof/>
          <w:sz w:val="20"/>
        </w:rPr>
        <w:t>ncreasing environmental and health problems beyond Sweden’s borders. To attain the generational goal, national Environmental Quality Objectives (EQOs) have been formulated for 16 areas (Ministry of Environment). The objectives are related to climate, air q</w:t>
      </w:r>
      <w:r>
        <w:rPr>
          <w:rFonts w:cs="Times New Roman"/>
          <w:noProof/>
          <w:sz w:val="20"/>
        </w:rPr>
        <w:t>uality, acidification, forest, wetlands, oceans and coasts, lakes, mountains, urban environment, agriculture, toxic substances, radiation, ozone, groundwater and biodiversity.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widowControl w:val="0"/>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9"/>
            </w:r>
          </w:p>
        </w:tc>
      </w:tr>
      <w:tr w:rsidR="00823F06">
        <w:tc>
          <w:tcPr>
            <w:tcW w:w="4909" w:type="dxa"/>
          </w:tcPr>
          <w:p w:rsidR="00823F06" w:rsidRDefault="0081280F">
            <w:pPr>
              <w:widowControl w:val="0"/>
              <w:spacing w:after="120"/>
              <w:jc w:val="both"/>
              <w:rPr>
                <w:rFonts w:cs="Times New Roman"/>
                <w:noProof/>
                <w:sz w:val="20"/>
              </w:rPr>
            </w:pPr>
            <w:r>
              <w:rPr>
                <w:rFonts w:cs="Times New Roman"/>
                <w:noProof/>
                <w:sz w:val="20"/>
                <w:lang w:eastAsia="en-GB"/>
              </w:rPr>
              <w:drawing>
                <wp:inline distT="0" distB="0" distL="0" distR="0" wp14:anchorId="07997F1B" wp14:editId="26ADDB9E">
                  <wp:extent cx="3040656" cy="2018552"/>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2669" cy="2026527"/>
                          </a:xfrm>
                          <a:prstGeom prst="rect">
                            <a:avLst/>
                          </a:prstGeom>
                          <a:noFill/>
                        </pic:spPr>
                      </pic:pic>
                    </a:graphicData>
                  </a:graphic>
                </wp:inline>
              </w:drawing>
            </w:r>
          </w:p>
        </w:tc>
      </w:tr>
    </w:tbl>
    <w:p w:rsidR="00823F06" w:rsidRDefault="0081280F">
      <w:pPr>
        <w:widowControl w:val="0"/>
        <w:spacing w:after="120" w:line="240" w:lineRule="auto"/>
        <w:jc w:val="both"/>
        <w:rPr>
          <w:rFonts w:cs="Times New Roman"/>
          <w:noProof/>
          <w:sz w:val="20"/>
        </w:rPr>
      </w:pPr>
      <w:r>
        <w:rPr>
          <w:rFonts w:cs="Times New Roman"/>
          <w:noProof/>
          <w:sz w:val="20"/>
        </w:rPr>
        <w:t xml:space="preserve">The National Environmental </w:t>
      </w:r>
      <w:r>
        <w:rPr>
          <w:rFonts w:cs="Times New Roman"/>
          <w:noProof/>
          <w:sz w:val="20"/>
        </w:rPr>
        <w:t>Technology Strategy, in use between 2011 and 2014, has been evaluated by the agency Growth Analysis. The evaluation concludes that the majority of the measures in the strategy can be considered to contribute, to some extent, to achieving the strategy goals</w:t>
      </w:r>
      <w:r>
        <w:rPr>
          <w:rFonts w:cs="Times New Roman"/>
          <w:noProof/>
          <w:sz w:val="20"/>
        </w:rPr>
        <w:t>, because these measures reached the target group identified by the government.</w:t>
      </w:r>
    </w:p>
    <w:p w:rsidR="00823F06" w:rsidRDefault="0081280F">
      <w:pPr>
        <w:widowControl w:val="0"/>
        <w:spacing w:after="120" w:line="240" w:lineRule="auto"/>
        <w:jc w:val="both"/>
        <w:rPr>
          <w:rFonts w:cs="Times New Roman"/>
          <w:noProof/>
          <w:sz w:val="20"/>
        </w:rPr>
      </w:pPr>
      <w:r>
        <w:rPr>
          <w:rFonts w:cs="Times New Roman"/>
          <w:noProof/>
          <w:sz w:val="20"/>
        </w:rPr>
        <w:t>The government established a new agency for public procurement in September 2015. This agency is assigned to give support through consultation, practical tools and methods with</w:t>
      </w:r>
      <w:r>
        <w:rPr>
          <w:rFonts w:cs="Times New Roman"/>
          <w:noProof/>
          <w:sz w:val="20"/>
        </w:rPr>
        <w:t>in the area of public procurement in general. The objective of the agency is to develop the idea of a good public deal with a focus on sustainable, innovative and efficient procurement. The agency puts extra emphasis on environmentally friendly procurement</w:t>
      </w:r>
      <w:r>
        <w:rPr>
          <w:rFonts w:cs="Times New Roman"/>
          <w:noProof/>
          <w:sz w:val="20"/>
        </w:rPr>
        <w:t xml:space="preserve"> as an instrument to achieve the policy objectives in the environmental area. This is considered to contribute to sustainability in the wider sense, including social and economic dimensions</w:t>
      </w:r>
      <w:r>
        <w:rPr>
          <w:rStyle w:val="FootnoteReference"/>
          <w:rFonts w:cs="Times New Roman"/>
          <w:noProof/>
          <w:sz w:val="20"/>
        </w:rPr>
        <w:footnoteReference w:id="10"/>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A study from 2014 by the Swedish Agency for Growth Policy Analys</w:t>
      </w:r>
      <w:r>
        <w:rPr>
          <w:rFonts w:cs="Times New Roman"/>
          <w:noProof/>
          <w:sz w:val="20"/>
        </w:rPr>
        <w:t>is benchmarked the manufacturing sector of Sweden with other countries. The highest performing sectors in terms of the green innovation index and comparative advantage are motor vehicles, special-purpose machinery and furniture with 26%, 5% and 2% shares o</w:t>
      </w:r>
      <w:r>
        <w:rPr>
          <w:rFonts w:cs="Times New Roman"/>
          <w:noProof/>
          <w:sz w:val="20"/>
        </w:rPr>
        <w:t>f green inventions, respectively, far above the world average in these sectors. These sectors also perform well in comparative advantage terms. They are clear strengths in green competitiveness terms and are well positioned to prosper in the future green e</w:t>
      </w:r>
      <w:r>
        <w:rPr>
          <w:rFonts w:cs="Times New Roman"/>
          <w:noProof/>
          <w:sz w:val="20"/>
        </w:rPr>
        <w:t xml:space="preserve">conomy. </w:t>
      </w:r>
    </w:p>
    <w:p w:rsidR="00823F06" w:rsidRDefault="0081280F">
      <w:pPr>
        <w:widowControl w:val="0"/>
        <w:spacing w:after="120" w:line="240" w:lineRule="auto"/>
        <w:jc w:val="both"/>
        <w:rPr>
          <w:rFonts w:cs="Times New Roman"/>
          <w:noProof/>
          <w:sz w:val="20"/>
        </w:rPr>
      </w:pPr>
      <w:r>
        <w:rPr>
          <w:rFonts w:cs="Times New Roman"/>
          <w:noProof/>
          <w:sz w:val="20"/>
        </w:rPr>
        <w:t>The non-metallic mineral products sector also has remarkable performance in terms of green innovation activity, but does not currently enjoy a comparative advantage. This sector presents a clear opportunity to maintain and expand market share in t</w:t>
      </w:r>
      <w:r>
        <w:rPr>
          <w:rFonts w:cs="Times New Roman"/>
          <w:noProof/>
          <w:sz w:val="20"/>
        </w:rPr>
        <w:t>he future through greening. Parts and accessories for motor vehicles and structural metal products, tanks, reservoirs and steam generators, are lagging behind competitor countries. However, they have high green patenting activity overall (7% and 8% green p</w:t>
      </w:r>
      <w:r>
        <w:rPr>
          <w:rFonts w:cs="Times New Roman"/>
          <w:noProof/>
          <w:sz w:val="20"/>
        </w:rPr>
        <w:t xml:space="preserve">atents, respectively), which means they are probably not at risk. </w:t>
      </w:r>
    </w:p>
    <w:p w:rsidR="00823F06" w:rsidRDefault="0081280F">
      <w:pPr>
        <w:widowControl w:val="0"/>
        <w:spacing w:after="120" w:line="240" w:lineRule="auto"/>
        <w:jc w:val="both"/>
        <w:rPr>
          <w:rFonts w:cs="Times New Roman"/>
          <w:noProof/>
          <w:sz w:val="20"/>
        </w:rPr>
      </w:pPr>
      <w:r>
        <w:rPr>
          <w:rFonts w:cs="Times New Roman"/>
          <w:noProof/>
          <w:sz w:val="20"/>
        </w:rPr>
        <w:t xml:space="preserve">Several sectors that fall into the ‘threats’ quadrant in the analysis are: telecommunication, paper and paper products, general-purpose machinery, and other chemical products. </w:t>
      </w:r>
    </w:p>
    <w:p w:rsidR="00823F06" w:rsidRDefault="0081280F">
      <w:pPr>
        <w:widowControl w:val="0"/>
        <w:spacing w:after="120" w:line="240" w:lineRule="auto"/>
        <w:jc w:val="both"/>
        <w:rPr>
          <w:rFonts w:cs="Times New Roman"/>
          <w:noProof/>
          <w:sz w:val="20"/>
        </w:rPr>
      </w:pPr>
      <w:r>
        <w:rPr>
          <w:rFonts w:cs="Times New Roman"/>
          <w:noProof/>
          <w:sz w:val="20"/>
        </w:rPr>
        <w:t xml:space="preserve">The Swedish </w:t>
      </w:r>
      <w:r>
        <w:rPr>
          <w:rFonts w:cs="Times New Roman"/>
          <w:noProof/>
          <w:sz w:val="20"/>
        </w:rPr>
        <w:t>eco-tech industry has developed a strong position in waste management and processing technologies, including reuse and recycling, waste water purification, biogas and other renewable energy sources, indoor air quality (energy-saving ventilation and air fil</w:t>
      </w:r>
      <w:r>
        <w:rPr>
          <w:rFonts w:cs="Times New Roman"/>
          <w:noProof/>
          <w:sz w:val="20"/>
        </w:rPr>
        <w:t>tration), heating and cooling technologies (district heating/cooling and heat pumps), power transmission and the automation of technical systems in buildings.</w:t>
      </w:r>
    </w:p>
    <w:p w:rsidR="00823F06" w:rsidRDefault="0081280F">
      <w:pPr>
        <w:widowControl w:val="0"/>
        <w:spacing w:after="120" w:line="240" w:lineRule="auto"/>
        <w:jc w:val="both"/>
        <w:rPr>
          <w:rFonts w:cs="Times New Roman"/>
          <w:noProof/>
          <w:sz w:val="20"/>
        </w:rPr>
      </w:pPr>
      <w:r>
        <w:rPr>
          <w:rFonts w:cs="Times New Roman"/>
          <w:noProof/>
          <w:sz w:val="20"/>
        </w:rPr>
        <w:t>Start-ups are also important in an innovative society and the types of SMEs emerging can be an in</w:t>
      </w:r>
      <w:r>
        <w:rPr>
          <w:rFonts w:cs="Times New Roman"/>
          <w:noProof/>
          <w:sz w:val="20"/>
        </w:rPr>
        <w:t>dicator of trends as they often depend in finance from organisations or people who are interested in investing in a particular business sector.</w:t>
      </w:r>
    </w:p>
    <w:p w:rsidR="00823F06" w:rsidRDefault="0081280F">
      <w:pPr>
        <w:widowControl w:val="0"/>
        <w:spacing w:after="120" w:line="240" w:lineRule="auto"/>
        <w:jc w:val="both"/>
        <w:rPr>
          <w:rFonts w:cs="Times New Roman"/>
          <w:i/>
          <w:noProof/>
          <w:sz w:val="20"/>
        </w:rPr>
      </w:pPr>
      <w:r>
        <w:rPr>
          <w:rFonts w:cs="Times New Roman"/>
          <w:noProof/>
          <w:sz w:val="20"/>
        </w:rPr>
        <w:t>Being among the best achieving actors in Europe regarding the environment, Sweden has many good practices to sha</w:t>
      </w:r>
      <w:r>
        <w:rPr>
          <w:rFonts w:cs="Times New Roman"/>
          <w:noProof/>
          <w:sz w:val="20"/>
        </w:rPr>
        <w:t xml:space="preserve">re in a number of different sectors such as textiles and construction. SE is eager to exploit the new concepts of a sharing economy, industrial symbiosis, collaborative consumption, etc. </w:t>
      </w:r>
    </w:p>
    <w:p w:rsidR="00823F06" w:rsidRDefault="0081280F">
      <w:pPr>
        <w:widowControl w:val="0"/>
        <w:spacing w:after="120" w:line="240" w:lineRule="auto"/>
        <w:jc w:val="both"/>
        <w:outlineLvl w:val="2"/>
        <w:rPr>
          <w:rFonts w:cs="Times New Roman"/>
          <w:b/>
          <w:noProof/>
          <w:color w:val="1F497D" w:themeColor="text2"/>
        </w:rPr>
      </w:pPr>
      <w:r>
        <w:rPr>
          <w:rFonts w:cs="Times New Roman"/>
          <w:b/>
          <w:noProof/>
          <w:color w:val="1F497D" w:themeColor="text2"/>
        </w:rPr>
        <w:t>SMEs and resource efficiency</w:t>
      </w:r>
    </w:p>
    <w:p w:rsidR="00823F06" w:rsidRDefault="0081280F">
      <w:pPr>
        <w:widowControl w:val="0"/>
        <w:spacing w:after="120" w:line="240" w:lineRule="auto"/>
        <w:jc w:val="both"/>
        <w:rPr>
          <w:rFonts w:cs="Times New Roman"/>
          <w:i/>
          <w:noProof/>
          <w:color w:val="FF0000"/>
          <w:sz w:val="20"/>
        </w:rPr>
      </w:pPr>
      <w:r>
        <w:rPr>
          <w:rFonts w:cs="Times New Roman"/>
          <w:noProof/>
          <w:sz w:val="20"/>
        </w:rPr>
        <w:t xml:space="preserve">In 2010, Small and Medium-sized </w:t>
      </w:r>
      <w:r>
        <w:rPr>
          <w:rFonts w:cs="Times New Roman"/>
          <w:noProof/>
          <w:sz w:val="20"/>
        </w:rPr>
        <w:t>enterprises (SMEs) had already recovered from the crisis lows of 2009. In 2008-2014, their value added increased by 22%. Recovery in employment was not as strong, though SME employment was still 5% higher than in 2008.</w:t>
      </w:r>
    </w:p>
    <w:p w:rsidR="00823F06" w:rsidRDefault="0081280F">
      <w:pPr>
        <w:widowControl w:val="0"/>
        <w:spacing w:after="120" w:line="240" w:lineRule="auto"/>
        <w:jc w:val="both"/>
        <w:rPr>
          <w:rFonts w:cs="Times New Roman"/>
          <w:i/>
          <w:noProof/>
          <w:color w:val="FF0000"/>
          <w:sz w:val="20"/>
        </w:rPr>
      </w:pPr>
      <w:r>
        <w:rPr>
          <w:rFonts w:cs="Times New Roman"/>
          <w:noProof/>
          <w:sz w:val="20"/>
        </w:rPr>
        <w:t>Sweden's small business administratio</w:t>
      </w:r>
      <w:r>
        <w:rPr>
          <w:rFonts w:cs="Times New Roman"/>
          <w:noProof/>
          <w:sz w:val="20"/>
        </w:rPr>
        <w:t>n (SBA) profile stands well above the EU average in most areas. Better focused public support strategies to encourage SMEs to invest in resource-efficient measures and the production of green products will improve Swedish SMEs’ ability to face environmenta</w:t>
      </w:r>
      <w:r>
        <w:rPr>
          <w:rFonts w:cs="Times New Roman"/>
          <w:noProof/>
          <w:sz w:val="20"/>
        </w:rPr>
        <w:t>l challenges.</w:t>
      </w:r>
    </w:p>
    <w:p w:rsidR="00823F06" w:rsidRDefault="0081280F">
      <w:pPr>
        <w:widowControl w:val="0"/>
        <w:spacing w:after="120" w:line="240" w:lineRule="auto"/>
        <w:jc w:val="both"/>
        <w:rPr>
          <w:rFonts w:cs="Times New Roman"/>
          <w:noProof/>
          <w:color w:val="FF0000"/>
          <w:sz w:val="20"/>
        </w:rPr>
      </w:pPr>
      <w:r>
        <w:rPr>
          <w:rFonts w:cs="Times New Roman"/>
          <w:noProof/>
          <w:sz w:val="20"/>
        </w:rPr>
        <w:t>In the Flash 426 Eurobarometer "SMEs, resource efficiency and green markets"</w:t>
      </w:r>
      <w:r>
        <w:rPr>
          <w:rFonts w:cs="Times New Roman"/>
          <w:noProof/>
          <w:sz w:val="20"/>
          <w:vertAlign w:val="superscript"/>
        </w:rPr>
        <w:footnoteReference w:id="11"/>
      </w:r>
      <w:r>
        <w:rPr>
          <w:rFonts w:cs="Times New Roman"/>
          <w:noProof/>
          <w:sz w:val="20"/>
        </w:rPr>
        <w:t>, it is shown that 56% of Sweden's SMEs have invested  up to 5% of their annual turnover in their resource efficiency actions (EU28 average 50%), 38% of them are cur</w:t>
      </w:r>
      <w:r>
        <w:rPr>
          <w:rFonts w:cs="Times New Roman"/>
          <w:noProof/>
          <w:sz w:val="20"/>
        </w:rPr>
        <w:t>rently offering green products and services (EU28 average 26%), 67% took measures to save energy (EU28 average 59%), 68% to minimise waste (EU28 average 60%), 43% to save water (EU28 average 44%), and 65% to save materials (EU28 average 54%). From a circul</w:t>
      </w:r>
      <w:r>
        <w:rPr>
          <w:rFonts w:cs="Times New Roman"/>
          <w:noProof/>
          <w:sz w:val="20"/>
        </w:rPr>
        <w:t>ar economy perspective, 60% took measures to recycle by reusing material or waste within the company (EU28 average 40%), 32% to design products that are easier to maintain, repair or reuse (EU28 average 22%) and 40% were able to sell their scrap material t</w:t>
      </w:r>
      <w:r>
        <w:rPr>
          <w:rFonts w:cs="Times New Roman"/>
          <w:noProof/>
          <w:sz w:val="20"/>
        </w:rPr>
        <w:t xml:space="preserve">o another company (EU28 average 25%). </w:t>
      </w:r>
      <w:r>
        <w:rPr>
          <w:rFonts w:cs="Times New Roman"/>
          <w:noProof/>
          <w:color w:val="FF0000"/>
          <w:sz w:val="20"/>
        </w:rPr>
        <w:t xml:space="preserve"> </w:t>
      </w:r>
    </w:p>
    <w:p w:rsidR="00823F06" w:rsidRDefault="0081280F">
      <w:pPr>
        <w:widowControl w:val="0"/>
        <w:spacing w:after="120" w:line="240" w:lineRule="auto"/>
        <w:jc w:val="both"/>
        <w:rPr>
          <w:rFonts w:cs="Times New Roman"/>
          <w:i/>
          <w:noProof/>
          <w:sz w:val="20"/>
        </w:rPr>
      </w:pPr>
      <w:r>
        <w:rPr>
          <w:rFonts w:cs="Times New Roman"/>
          <w:noProof/>
          <w:sz w:val="20"/>
        </w:rPr>
        <w:t>According to the Flash 426 Eurobarometer, the resource efficiency actions undertaken allowed the reduction of production costs in a 35% of the Sweden' SMEs (EU28 average 45%).</w:t>
      </w:r>
    </w:p>
    <w:p w:rsidR="00823F06" w:rsidRDefault="0081280F">
      <w:pPr>
        <w:widowControl w:val="0"/>
        <w:spacing w:after="120" w:line="240" w:lineRule="auto"/>
        <w:jc w:val="both"/>
        <w:rPr>
          <w:rFonts w:cs="Times New Roman"/>
          <w:noProof/>
          <w:sz w:val="20"/>
        </w:rPr>
      </w:pPr>
      <w:r>
        <w:rPr>
          <w:rFonts w:cs="Times New Roman"/>
          <w:noProof/>
          <w:sz w:val="20"/>
        </w:rPr>
        <w:t>The number of SMEs in the Swedish ‘non-f</w:t>
      </w:r>
      <w:r>
        <w:rPr>
          <w:rFonts w:cs="Times New Roman"/>
          <w:noProof/>
          <w:sz w:val="20"/>
        </w:rPr>
        <w:t>inancial business economy’ is average for Europe. They account for 5% of value added and 66% of employment.</w:t>
      </w:r>
    </w:p>
    <w:p w:rsidR="00823F06" w:rsidRDefault="0081280F">
      <w:pPr>
        <w:widowControl w:val="0"/>
        <w:spacing w:after="120" w:line="240" w:lineRule="auto"/>
        <w:jc w:val="both"/>
        <w:rPr>
          <w:rFonts w:cs="Times New Roman"/>
          <w:noProof/>
          <w:sz w:val="20"/>
        </w:rPr>
      </w:pPr>
      <w:r>
        <w:rPr>
          <w:rFonts w:cs="Times New Roman"/>
          <w:noProof/>
          <w:sz w:val="20"/>
        </w:rPr>
        <w:t>The Flash 426 Eurobarometer "SMEs, resource efficiency and green markets" shows that 39% of the SMEs in the Sweden have one or more full time employ</w:t>
      </w:r>
      <w:r>
        <w:rPr>
          <w:rFonts w:cs="Times New Roman"/>
          <w:noProof/>
          <w:sz w:val="20"/>
        </w:rPr>
        <w:t>ee working in a green job at least some of the time (EU28 average 35%). Sweden has an average number of 2.0 full time green employees per SME (EU28 average 1.7%)</w:t>
      </w:r>
      <w:r>
        <w:rPr>
          <w:rFonts w:cs="Times New Roman"/>
          <w:noProof/>
          <w:sz w:val="20"/>
          <w:vertAlign w:val="superscript"/>
        </w:rPr>
        <w:footnoteReference w:id="12"/>
      </w:r>
      <w:r>
        <w:rPr>
          <w:rFonts w:cs="Times New Roman"/>
          <w:noProof/>
          <w:sz w:val="20"/>
        </w:rPr>
        <w:t xml:space="preserve">. </w:t>
      </w:r>
    </w:p>
    <w:p w:rsidR="00823F06" w:rsidRDefault="0081280F">
      <w:pPr>
        <w:widowControl w:val="0"/>
        <w:spacing w:after="120" w:line="240" w:lineRule="auto"/>
        <w:jc w:val="both"/>
        <w:outlineLvl w:val="2"/>
        <w:rPr>
          <w:rFonts w:cs="Times New Roman"/>
          <w:b/>
          <w:noProof/>
          <w:color w:val="1F497D" w:themeColor="text2"/>
        </w:rPr>
      </w:pPr>
      <w:r>
        <w:rPr>
          <w:rFonts w:cs="Times New Roman"/>
          <w:b/>
          <w:noProof/>
          <w:color w:val="1F497D" w:themeColor="text2"/>
        </w:rPr>
        <w:t>Eco-innovation</w:t>
      </w:r>
    </w:p>
    <w:p w:rsidR="00823F06" w:rsidRDefault="0081280F">
      <w:pPr>
        <w:widowControl w:val="0"/>
        <w:spacing w:after="120" w:line="240" w:lineRule="auto"/>
        <w:jc w:val="both"/>
        <w:rPr>
          <w:rFonts w:cs="Times New Roman"/>
          <w:noProof/>
          <w:sz w:val="20"/>
        </w:rPr>
      </w:pPr>
      <w:r>
        <w:rPr>
          <w:rFonts w:cs="Helvetica"/>
          <w:noProof/>
          <w:sz w:val="20"/>
          <w:szCs w:val="20"/>
        </w:rPr>
        <w:t xml:space="preserve">With an overall score of 124.5, Sweden is fifth in the ranking on the </w:t>
      </w:r>
      <w:r>
        <w:rPr>
          <w:rFonts w:cs="Times New Roman"/>
          <w:noProof/>
          <w:sz w:val="20"/>
        </w:rPr>
        <w:t>Eco-Innovation Scoreboard</w:t>
      </w:r>
      <w:r>
        <w:rPr>
          <w:rFonts w:cs="Helvetica"/>
          <w:noProof/>
          <w:sz w:val="20"/>
          <w:szCs w:val="20"/>
        </w:rPr>
        <w:t>. This is lower than the results of 2013, when Sweden held first place</w:t>
      </w:r>
      <w:r>
        <w:rPr>
          <w:rFonts w:cs="Times New Roman"/>
          <w:noProof/>
          <w:sz w:val="20"/>
        </w:rPr>
        <w:t xml:space="preserve"> </w:t>
      </w:r>
      <w:r>
        <w:rPr>
          <w:rFonts w:cs="Helvetica"/>
          <w:noProof/>
          <w:sz w:val="20"/>
          <w:szCs w:val="20"/>
        </w:rPr>
        <w:t>with 138.3 points. The Nordic countries have been successful in eco-innovation throughout 2010-2015. They have held rankings within the top five, and Sweden has</w:t>
      </w:r>
      <w:r>
        <w:rPr>
          <w:rFonts w:cs="Helvetica"/>
          <w:noProof/>
          <w:sz w:val="20"/>
          <w:szCs w:val="20"/>
        </w:rPr>
        <w:t xml:space="preserve"> been in the top three during 2011-2013, peaking in 2013 at first place. But the scores from 2015 are pointing at a trend where Sweden is losing at least some of its leading edge. In 2015, Denmark, Finland, Ireland and Germany </w:t>
      </w:r>
      <w:r>
        <w:rPr>
          <w:rFonts w:cs="Times New Roman"/>
          <w:noProof/>
          <w:sz w:val="20"/>
        </w:rPr>
        <w:t xml:space="preserve">have all overtaken Sweden. </w:t>
      </w:r>
    </w:p>
    <w:p w:rsidR="00823F06" w:rsidRDefault="0081280F">
      <w:pPr>
        <w:widowControl w:val="0"/>
        <w:spacing w:after="120" w:line="240" w:lineRule="auto"/>
        <w:jc w:val="both"/>
        <w:rPr>
          <w:rFonts w:cs="Times New Roman"/>
          <w:noProof/>
          <w:sz w:val="20"/>
        </w:rPr>
      </w:pPr>
      <w:r>
        <w:rPr>
          <w:rFonts w:cs="Times New Roman"/>
          <w:noProof/>
          <w:sz w:val="20"/>
        </w:rPr>
        <w:t>T</w:t>
      </w:r>
      <w:r>
        <w:rPr>
          <w:rFonts w:cs="Times New Roman"/>
          <w:noProof/>
          <w:sz w:val="20"/>
        </w:rPr>
        <w:t xml:space="preserve">his seems to be a result of a decline of Sweden’s eco-innovation performance, combined with an increase in absolute scores. In first place is Denmark, with a score of 166.5 (compared to Sweden’s leading score of 138.3 in 2013). Runner-up is Finland with a </w:t>
      </w:r>
      <w:r>
        <w:rPr>
          <w:rFonts w:cs="Times New Roman"/>
          <w:noProof/>
          <w:sz w:val="20"/>
        </w:rPr>
        <w:t>score of 140.2, with Ireland in the third place and Germany in the fourth.</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rsidRPr="0081280F">
        <w:tc>
          <w:tcPr>
            <w:tcW w:w="4909" w:type="dxa"/>
          </w:tcPr>
          <w:p w:rsidR="00823F06" w:rsidRDefault="0081280F">
            <w:pPr>
              <w:widowControl w:val="0"/>
              <w:spacing w:after="12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13"/>
            </w:r>
          </w:p>
        </w:tc>
      </w:tr>
      <w:tr w:rsidR="00823F06">
        <w:tc>
          <w:tcPr>
            <w:tcW w:w="4909" w:type="dxa"/>
          </w:tcPr>
          <w:p w:rsidR="00823F06" w:rsidRDefault="0081280F">
            <w:pPr>
              <w:widowControl w:val="0"/>
              <w:spacing w:after="120"/>
              <w:jc w:val="both"/>
              <w:rPr>
                <w:rFonts w:cs="Times New Roman"/>
                <w:noProof/>
                <w:sz w:val="20"/>
                <w:lang w:val="it-IT"/>
              </w:rPr>
            </w:pPr>
            <w:r>
              <w:rPr>
                <w:rFonts w:cs="Times New Roman"/>
                <w:noProof/>
                <w:sz w:val="20"/>
                <w:lang w:eastAsia="en-GB"/>
              </w:rPr>
              <w:drawing>
                <wp:inline distT="0" distB="0" distL="0" distR="0" wp14:anchorId="76CF07B3" wp14:editId="7F674CEB">
                  <wp:extent cx="2966525" cy="4043191"/>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0956" cy="4049230"/>
                          </a:xfrm>
                          <a:prstGeom prst="rect">
                            <a:avLst/>
                          </a:prstGeom>
                          <a:noFill/>
                        </pic:spPr>
                      </pic:pic>
                    </a:graphicData>
                  </a:graphic>
                </wp:inline>
              </w:drawing>
            </w:r>
          </w:p>
        </w:tc>
      </w:tr>
    </w:tbl>
    <w:p w:rsidR="00823F06" w:rsidRDefault="0081280F">
      <w:pPr>
        <w:widowControl w:val="0"/>
        <w:spacing w:after="120" w:line="240" w:lineRule="auto"/>
        <w:jc w:val="both"/>
        <w:rPr>
          <w:rFonts w:cs="Times New Roman"/>
          <w:noProof/>
          <w:sz w:val="20"/>
        </w:rPr>
      </w:pPr>
      <w:r>
        <w:rPr>
          <w:rFonts w:cs="Times New Roman"/>
          <w:noProof/>
          <w:sz w:val="20"/>
        </w:rPr>
        <w:t>The most important driver is the overarching political ambition in Sweden to create green structural change by focusing on sustainable growth and eco-innovation. This is clearly manifested in the ‘generational goal’ – the overall goal of Swedish environmen</w:t>
      </w:r>
      <w:r>
        <w:rPr>
          <w:rFonts w:cs="Times New Roman"/>
          <w:noProof/>
          <w:sz w:val="20"/>
        </w:rPr>
        <w:t>tal policy – which defines the direction of the changes in society that need to occur within one generation if the country’s environmental quality objectives are to be achieved. With that as a starting point, the generational goal is intended to guide envi</w:t>
      </w:r>
      <w:r>
        <w:rPr>
          <w:rFonts w:cs="Times New Roman"/>
          <w:noProof/>
          <w:sz w:val="20"/>
        </w:rPr>
        <w:t xml:space="preserve">ronmental action at every level in society. A number of important points have been added to it. One is that efforts to solve Sweden’s environmental problems must not come at the price of environmental and health problems being exported to other countries. </w:t>
      </w:r>
    </w:p>
    <w:p w:rsidR="00823F06" w:rsidRDefault="0081280F">
      <w:pPr>
        <w:widowControl w:val="0"/>
        <w:spacing w:after="120" w:line="240" w:lineRule="auto"/>
        <w:jc w:val="both"/>
        <w:rPr>
          <w:rFonts w:cs="Times New Roman"/>
          <w:noProof/>
          <w:sz w:val="20"/>
        </w:rPr>
      </w:pPr>
      <w:r>
        <w:rPr>
          <w:rFonts w:cs="Times New Roman"/>
          <w:noProof/>
          <w:sz w:val="20"/>
        </w:rPr>
        <w:t>An All Party Committee on Environmental Objectives has been set up to secure broad political consensus on environmental issues. Its role is to advise the government on how the generational goal and the environmental quality objectives can be achieved in a</w:t>
      </w:r>
      <w:r>
        <w:rPr>
          <w:rFonts w:cs="Times New Roman"/>
          <w:noProof/>
          <w:sz w:val="20"/>
        </w:rPr>
        <w:t xml:space="preserve"> way that is cost-effective in economic terms. The committee is made up of Members of Parliament, together with advisers and experts from non-governmental organisations and government ministries. Its overall remit runs to the end of 2020</w:t>
      </w:r>
      <w:r>
        <w:rPr>
          <w:rFonts w:cs="Times New Roman"/>
          <w:noProof/>
          <w:sz w:val="20"/>
          <w:vertAlign w:val="superscript"/>
        </w:rPr>
        <w:footnoteReference w:id="14"/>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There is an expl</w:t>
      </w:r>
      <w:r>
        <w:rPr>
          <w:rFonts w:cs="Times New Roman"/>
          <w:noProof/>
          <w:sz w:val="20"/>
        </w:rPr>
        <w:t>icit political ambition that by focusing on sustainable growth and eco-innovation at home Sweden will be able to contribute both to creating new jobs and to reducing the environmental burden in other countries</w:t>
      </w:r>
      <w:r>
        <w:rPr>
          <w:rStyle w:val="FootnoteReference"/>
          <w:rFonts w:cs="Times New Roman"/>
          <w:noProof/>
          <w:sz w:val="20"/>
        </w:rPr>
        <w:footnoteReference w:id="15"/>
      </w:r>
      <w:r>
        <w:rPr>
          <w:rFonts w:cs="Times New Roman"/>
          <w:noProof/>
          <w:sz w:val="20"/>
        </w:rPr>
        <w:t>. The great challenge to implement a green str</w:t>
      </w:r>
      <w:r>
        <w:rPr>
          <w:rFonts w:cs="Times New Roman"/>
          <w:noProof/>
          <w:sz w:val="20"/>
        </w:rPr>
        <w:t>uctural change is not limited to the environmental technology sector, but affects all industry sectors and thereby the whole economy. Even companies that deliver solutions in completely different areas of society will need to be environmentally sustainable</w:t>
      </w:r>
      <w:r>
        <w:rPr>
          <w:rFonts w:cs="Times New Roman"/>
          <w:noProof/>
          <w:sz w:val="20"/>
        </w:rPr>
        <w:t xml:space="preserve">. This is expressed in a recent report from EPA, which is already being used as a basis for new policy initiatives. This indicates that all industries and sectors will need to shift to a more environmentally driven business model. </w:t>
      </w:r>
    </w:p>
    <w:p w:rsidR="00823F06" w:rsidRDefault="0081280F">
      <w:pPr>
        <w:widowControl w:val="0"/>
        <w:spacing w:after="120" w:line="240" w:lineRule="auto"/>
        <w:jc w:val="both"/>
        <w:rPr>
          <w:rFonts w:cs="Times New Roman"/>
          <w:noProof/>
          <w:sz w:val="20"/>
        </w:rPr>
      </w:pPr>
      <w:r>
        <w:rPr>
          <w:rFonts w:cs="Times New Roman"/>
          <w:noProof/>
          <w:sz w:val="20"/>
        </w:rPr>
        <w:t>Swedish companies have h</w:t>
      </w:r>
      <w:r>
        <w:rPr>
          <w:rFonts w:cs="Times New Roman"/>
          <w:noProof/>
          <w:sz w:val="20"/>
        </w:rPr>
        <w:t>istorically been able to respond and adapt quickly to new international market and economic circumstances – green structural change is actually nothing new but rather a desired continuation of the continuous transformation of the economy. Potentially, this</w:t>
      </w:r>
      <w:r>
        <w:rPr>
          <w:rFonts w:cs="Times New Roman"/>
          <w:noProof/>
          <w:sz w:val="20"/>
        </w:rPr>
        <w:t xml:space="preserve"> is a great long-term driver for eco-innovation in Sweden.</w:t>
      </w:r>
    </w:p>
    <w:p w:rsidR="00823F06" w:rsidRDefault="0081280F">
      <w:pPr>
        <w:widowControl w:val="0"/>
        <w:spacing w:after="120" w:line="240" w:lineRule="auto"/>
        <w:jc w:val="both"/>
        <w:rPr>
          <w:rFonts w:cs="Times New Roman"/>
          <w:noProof/>
          <w:sz w:val="20"/>
        </w:rPr>
      </w:pPr>
      <w:r>
        <w:rPr>
          <w:rFonts w:cs="Times New Roman"/>
          <w:noProof/>
          <w:sz w:val="20"/>
        </w:rPr>
        <w:t>There are some 30 national public stakeholders with connections to the environmental technology field. This constitutes a challenge to companies to find the right one(s), and also involves a risk o</w:t>
      </w:r>
      <w:r>
        <w:rPr>
          <w:rFonts w:cs="Times New Roman"/>
          <w:noProof/>
          <w:sz w:val="20"/>
        </w:rPr>
        <w:t>f unnecessary work duplication and suboptimal use of public funds. The idea to involve all governmental stakeholders is to create as many channels as possible into the system of green structural change. The website Swedishcleantech.se is the official busin</w:t>
      </w:r>
      <w:r>
        <w:rPr>
          <w:rFonts w:cs="Times New Roman"/>
          <w:noProof/>
          <w:sz w:val="20"/>
        </w:rPr>
        <w:t>ess-to-business (B2B) platform for Swedish companies, with the purpose of contributing to the development, commercialisation and export of Swedish environmental technology. It also aims to lead the company to the appropriate public actor. The website is op</w:t>
      </w:r>
      <w:r>
        <w:rPr>
          <w:rFonts w:cs="Times New Roman"/>
          <w:noProof/>
          <w:sz w:val="20"/>
        </w:rPr>
        <w:t>erated and developed by the Swedish Agency for Economic and Regional Growth (Tillväxtverket) in cooperation with the authorities, industry and stakeholder associations, as well as regional environmental technology actors. The Association of Swedish Environ</w:t>
      </w:r>
      <w:r>
        <w:rPr>
          <w:rFonts w:cs="Times New Roman"/>
          <w:noProof/>
          <w:sz w:val="20"/>
        </w:rPr>
        <w:t>mental Technology Industries (ASSET) is the umbrella organisation for the regional actors in the Swedish environmental technology sector</w:t>
      </w:r>
      <w:r>
        <w:rPr>
          <w:rStyle w:val="FootnoteReference"/>
          <w:rFonts w:cs="Times New Roman"/>
          <w:noProof/>
          <w:sz w:val="20"/>
        </w:rPr>
        <w:footnoteReference w:id="16"/>
      </w:r>
      <w:r>
        <w:rPr>
          <w:rFonts w:cs="Times New Roman"/>
          <w:noProof/>
          <w:sz w:val="20"/>
        </w:rPr>
        <w:t xml:space="preserve">. The organisation´s aim is to strengthen Swedish cleantech companies through business driven collaboration. </w:t>
      </w:r>
    </w:p>
    <w:p w:rsidR="00823F06" w:rsidRDefault="0081280F">
      <w:pPr>
        <w:widowControl w:val="0"/>
        <w:spacing w:after="120" w:line="240" w:lineRule="auto"/>
        <w:jc w:val="both"/>
        <w:rPr>
          <w:rFonts w:cs="Times New Roman"/>
          <w:noProof/>
          <w:sz w:val="20"/>
        </w:rPr>
      </w:pPr>
      <w:r>
        <w:rPr>
          <w:rFonts w:cs="Times New Roman"/>
          <w:noProof/>
          <w:sz w:val="20"/>
        </w:rPr>
        <w:t>Studies s</w:t>
      </w:r>
      <w:r>
        <w:rPr>
          <w:rFonts w:cs="Times New Roman"/>
          <w:noProof/>
          <w:sz w:val="20"/>
        </w:rPr>
        <w:t>how that Swedish companies have previously responded to regulatory drivers of eco-innovation. One study on eco-innovative measures in large Swedish companies found that – in addition to regulations – consumer demands and business opportunities (via cost re</w:t>
      </w:r>
      <w:r>
        <w:rPr>
          <w:rFonts w:cs="Times New Roman"/>
          <w:noProof/>
          <w:sz w:val="20"/>
        </w:rPr>
        <w:t>ductions, for example) are presently considered as drivers .</w:t>
      </w:r>
    </w:p>
    <w:p w:rsidR="00823F06" w:rsidRDefault="0081280F">
      <w:pPr>
        <w:widowControl w:val="0"/>
        <w:spacing w:after="120" w:line="240" w:lineRule="auto"/>
        <w:jc w:val="both"/>
        <w:rPr>
          <w:rFonts w:cs="Times New Roman"/>
          <w:noProof/>
          <w:sz w:val="20"/>
        </w:rPr>
      </w:pPr>
      <w:r>
        <w:rPr>
          <w:rFonts w:cs="Times New Roman"/>
          <w:noProof/>
          <w:sz w:val="20"/>
        </w:rPr>
        <w:t>According to a survey published by the European Commission, companies stated that the biggest obstacles to more investment in eco-innovation were uncertain market demand and uncertain return on i</w:t>
      </w:r>
      <w:r>
        <w:rPr>
          <w:rFonts w:cs="Times New Roman"/>
          <w:noProof/>
          <w:sz w:val="20"/>
        </w:rPr>
        <w:t>nvestment, and almost the same number stated that obstacles connected with funding (such as access to own funding, insufficient availability of subsidies or tax relief) were serious obstacles . Swedish companies in the survey generally made the same assess</w:t>
      </w:r>
      <w:r>
        <w:rPr>
          <w:rFonts w:cs="Times New Roman"/>
          <w:noProof/>
          <w:sz w:val="20"/>
        </w:rPr>
        <w:t>ment of the obstacles as other European companies. The most important driving forces for more investment in eco-innovation for both Swedish and European companies were expected and current energy prices and material prices. Furthermore, Swedish companies t</w:t>
      </w:r>
      <w:r>
        <w:rPr>
          <w:rFonts w:cs="Times New Roman"/>
          <w:noProof/>
          <w:sz w:val="20"/>
        </w:rPr>
        <w:t>hought greater demand for green products, good business partners, and the availability of technology and leadership were important driving forces for investment in eco-innovation.</w:t>
      </w:r>
    </w:p>
    <w:p w:rsidR="00823F06" w:rsidRDefault="0081280F">
      <w:pPr>
        <w:widowControl w:val="0"/>
        <w:spacing w:after="120" w:line="240" w:lineRule="auto"/>
        <w:jc w:val="both"/>
        <w:rPr>
          <w:rFonts w:cs="Times New Roman"/>
          <w:noProof/>
          <w:sz w:val="20"/>
        </w:rPr>
      </w:pPr>
      <w:r>
        <w:rPr>
          <w:rFonts w:cs="Times New Roman"/>
          <w:noProof/>
          <w:sz w:val="20"/>
        </w:rPr>
        <w:t>The main challenge identified is that there is no money for the early stages</w:t>
      </w:r>
      <w:r>
        <w:rPr>
          <w:rFonts w:cs="Times New Roman"/>
          <w:noProof/>
          <w:sz w:val="20"/>
        </w:rPr>
        <w:t xml:space="preserve"> of business development and for companies that want to grow. The biggest obstacles to more venture capital investment in the cleantech sector are stated to be that measures are too capital-intensive, long-term and difficult to scale up, and that the risks</w:t>
      </w:r>
      <w:r>
        <w:rPr>
          <w:rFonts w:cs="Times New Roman"/>
          <w:noProof/>
          <w:sz w:val="20"/>
        </w:rPr>
        <w:t xml:space="preserve"> related to both technology and policy are considered to be higher. All in all, this leads to environmental technology, and first and foremost the energy sector, becoming less attractive to private venture capital, which then tends to prefer small capital-</w:t>
      </w:r>
      <w:r>
        <w:rPr>
          <w:rFonts w:cs="Times New Roman"/>
          <w:noProof/>
          <w:sz w:val="20"/>
        </w:rPr>
        <w:t>intensive investments with lower risk and faster return on investment. Venture capital investments have decreased continuously in recent years, from close to 0.07% of GDP in 2007 to about 0.025% in 2014. The shortcomings in the state's venture capital acti</w:t>
      </w:r>
      <w:r>
        <w:rPr>
          <w:rFonts w:cs="Times New Roman"/>
          <w:noProof/>
          <w:sz w:val="20"/>
        </w:rPr>
        <w:t>vities consist in them not being active enough, being governed by sectoral and regional lock-ins, and being inefficient (Ministry of Industry, Employment and Communications, 2016).</w:t>
      </w:r>
    </w:p>
    <w:p w:rsidR="00823F06" w:rsidRDefault="0081280F">
      <w:pPr>
        <w:widowControl w:val="0"/>
        <w:spacing w:after="120" w:line="240" w:lineRule="auto"/>
        <w:jc w:val="both"/>
        <w:rPr>
          <w:rFonts w:cs="Times New Roman"/>
          <w:noProof/>
          <w:sz w:val="20"/>
        </w:rPr>
      </w:pPr>
      <w:r>
        <w:rPr>
          <w:rFonts w:cs="Times New Roman"/>
          <w:noProof/>
          <w:sz w:val="20"/>
        </w:rPr>
        <w:t>To tackle this, Sweden has included the establishment of a green investment</w:t>
      </w:r>
      <w:r>
        <w:rPr>
          <w:rFonts w:cs="Times New Roman"/>
          <w:noProof/>
          <w:sz w:val="20"/>
        </w:rPr>
        <w:t xml:space="preserve"> fund in the programmes for the Swedish use of EU regional funds 2014–2020, with the purpose of strengthening the supply of venture capital early stage funding to businesses in the climate and energy technologies and service sectors. The managing authority</w:t>
      </w:r>
      <w:r>
        <w:rPr>
          <w:rFonts w:cs="Times New Roman"/>
          <w:noProof/>
          <w:sz w:val="20"/>
        </w:rPr>
        <w:t xml:space="preserve">, the Swedish Agency for Economic and Regional Growth, is in the process of starting up this green fund. </w:t>
      </w:r>
    </w:p>
    <w:p w:rsidR="00823F06" w:rsidRDefault="0081280F">
      <w:pPr>
        <w:widowControl w:val="0"/>
        <w:spacing w:after="120" w:line="240" w:lineRule="auto"/>
        <w:jc w:val="both"/>
        <w:rPr>
          <w:rFonts w:cs="Times New Roman"/>
          <w:noProof/>
          <w:sz w:val="20"/>
        </w:rPr>
      </w:pPr>
      <w:r>
        <w:rPr>
          <w:rFonts w:cs="Times New Roman"/>
          <w:noProof/>
          <w:sz w:val="20"/>
        </w:rPr>
        <w:t>The government also presented a bill in March 2016 with a proposal on a new structure to finance innovation and sustainable growth. This new structure</w:t>
      </w:r>
      <w:r>
        <w:rPr>
          <w:rFonts w:cs="Times New Roman"/>
          <w:noProof/>
          <w:sz w:val="20"/>
        </w:rPr>
        <w:t xml:space="preserve"> was decided by the parliament in June 2016 and is now partly established</w:t>
      </w:r>
      <w:r>
        <w:rPr>
          <w:rFonts w:cs="Times New Roman"/>
          <w:noProof/>
          <w:sz w:val="20"/>
          <w:vertAlign w:val="superscript"/>
        </w:rPr>
        <w:footnoteReference w:id="17"/>
      </w:r>
      <w:r>
        <w:rPr>
          <w:rFonts w:cs="Times New Roman"/>
          <w:noProof/>
          <w:sz w:val="20"/>
        </w:rPr>
        <w:t xml:space="preserve">.  </w:t>
      </w:r>
    </w:p>
    <w:p w:rsidR="00823F06" w:rsidRDefault="0081280F">
      <w:pPr>
        <w:widowControl w:val="0"/>
        <w:spacing w:after="120" w:line="240" w:lineRule="auto"/>
        <w:jc w:val="both"/>
        <w:rPr>
          <w:rFonts w:cs="Times New Roman"/>
          <w:i/>
          <w:noProof/>
          <w:sz w:val="20"/>
        </w:rPr>
      </w:pPr>
      <w:r>
        <w:rPr>
          <w:rFonts w:cs="Times New Roman"/>
          <w:i/>
          <w:noProof/>
          <w:sz w:val="20"/>
        </w:rPr>
        <w:t>The Swedish Environmental Technology Strategy and Growth Analysis evaluation</w:t>
      </w:r>
    </w:p>
    <w:p w:rsidR="00823F06" w:rsidRDefault="0081280F">
      <w:pPr>
        <w:widowControl w:val="0"/>
        <w:spacing w:after="120" w:line="240" w:lineRule="auto"/>
        <w:jc w:val="both"/>
        <w:rPr>
          <w:rFonts w:cs="Times New Roman"/>
          <w:noProof/>
          <w:sz w:val="20"/>
        </w:rPr>
      </w:pPr>
      <w:r>
        <w:rPr>
          <w:rFonts w:cs="Times New Roman"/>
          <w:noProof/>
          <w:sz w:val="20"/>
        </w:rPr>
        <w:t>From 2011 to 2014, the Government of Sweden implemented an Environmental Technology Strategy with the following goals: increased commercialisation of innovative environmental technology, higher firm growth and increased exports from the environmental techn</w:t>
      </w:r>
      <w:r>
        <w:rPr>
          <w:rFonts w:cs="Times New Roman"/>
          <w:noProof/>
          <w:sz w:val="20"/>
        </w:rPr>
        <w:t>ology sector. SEK 400 million (about EUR 43 million) were allocated to the strategy. The Environmental Technology Strategy included 26 different measures that were carried out by 10 publicly funded agencies. Firms, and in some cases research institutes, ha</w:t>
      </w:r>
      <w:r>
        <w:rPr>
          <w:rFonts w:cs="Times New Roman"/>
          <w:noProof/>
          <w:sz w:val="20"/>
        </w:rPr>
        <w:t xml:space="preserve">ve directly received 28% of the resources allocated. The remaining resources reached companies indirectly through the activities carried out by the authorities, such as cooperation projects, information, education, support in connection with international </w:t>
      </w:r>
      <w:r>
        <w:rPr>
          <w:rFonts w:cs="Times New Roman"/>
          <w:noProof/>
          <w:sz w:val="20"/>
        </w:rPr>
        <w:t>cooperation, etc. The strategy was very broad, and did not focus on any one specific area. The actual support that firms have received has also been small in relation to the factors that are known to affect environmental technology firms’ growth potential.</w:t>
      </w:r>
      <w:r>
        <w:rPr>
          <w:rFonts w:cs="Times New Roman"/>
          <w:noProof/>
          <w:sz w:val="20"/>
        </w:rPr>
        <w:t xml:space="preserve"> </w:t>
      </w:r>
    </w:p>
    <w:p w:rsidR="00823F06" w:rsidRDefault="0081280F">
      <w:pPr>
        <w:widowControl w:val="0"/>
        <w:spacing w:after="120" w:line="240" w:lineRule="auto"/>
        <w:jc w:val="both"/>
        <w:rPr>
          <w:rFonts w:cs="Times New Roman"/>
          <w:noProof/>
          <w:sz w:val="20"/>
        </w:rPr>
      </w:pPr>
      <w:r>
        <w:rPr>
          <w:rFonts w:cs="Times New Roman"/>
          <w:noProof/>
          <w:sz w:val="20"/>
        </w:rPr>
        <w:t xml:space="preserve">The Swedish Agency for Growth Policy Analysis (Growth Analysis) conducted a comprehensive evaluation of this strategy and its implementation. The report was published in March 2015, in which Growth Analysis concluded that it is unlikely that these goals </w:t>
      </w:r>
      <w:r>
        <w:rPr>
          <w:rFonts w:cs="Times New Roman"/>
          <w:noProof/>
          <w:sz w:val="20"/>
        </w:rPr>
        <w:t>will be achieved. For future initiatives to lead to a high level of growth in the environmental technology sector, Growth Analysis recommended that they include: (1) a clear focus on a limited area, (2) a greater reliance on evidence-based measures, and, (</w:t>
      </w:r>
      <w:r>
        <w:rPr>
          <w:rFonts w:cs="Times New Roman"/>
          <w:noProof/>
          <w:sz w:val="20"/>
        </w:rPr>
        <w:t>3) a balance between supply-side focused and demand-side focused measures. Additionally, further efforts need to be undertaken to identify and evaluate the types of activities that many of the measures in the strategy include, such as export promotion acti</w:t>
      </w:r>
      <w:r>
        <w:rPr>
          <w:rFonts w:cs="Times New Roman"/>
          <w:noProof/>
          <w:sz w:val="20"/>
        </w:rPr>
        <w:t xml:space="preserve">vities, in order to gather evidence on what effects they have on firms. </w:t>
      </w:r>
    </w:p>
    <w:p w:rsidR="00823F06" w:rsidRDefault="0081280F">
      <w:pPr>
        <w:widowControl w:val="0"/>
        <w:spacing w:after="120" w:line="240" w:lineRule="auto"/>
        <w:jc w:val="both"/>
        <w:rPr>
          <w:rFonts w:cs="Times New Roman"/>
          <w:noProof/>
          <w:sz w:val="20"/>
        </w:rPr>
      </w:pPr>
      <w:r>
        <w:rPr>
          <w:rFonts w:cs="Times New Roman"/>
          <w:noProof/>
          <w:sz w:val="20"/>
        </w:rPr>
        <w:t>After the completion of the Environmental Technology Strategy, other measures have been integrated into other policy areas, for example in export policy and innovation policy. The Swe</w:t>
      </w:r>
      <w:r>
        <w:rPr>
          <w:rFonts w:cs="Times New Roman"/>
          <w:noProof/>
          <w:sz w:val="20"/>
        </w:rPr>
        <w:t>dish government has decided on an export strategy in which environmental technology is an important component. The Government has also appointed a National Innovation Council which focuses on environmental and climate technology as one of three priorities.</w:t>
      </w:r>
      <w:r>
        <w:rPr>
          <w:rFonts w:cs="Times New Roman"/>
          <w:noProof/>
          <w:sz w:val="20"/>
        </w:rPr>
        <w:t xml:space="preserve"> As an extension of the Innovation Council, five innovation partnership programmes</w:t>
      </w:r>
      <w:r>
        <w:rPr>
          <w:rFonts w:cs="Times New Roman"/>
          <w:noProof/>
          <w:sz w:val="20"/>
          <w:vertAlign w:val="superscript"/>
        </w:rPr>
        <w:footnoteReference w:id="18"/>
      </w:r>
      <w:r>
        <w:rPr>
          <w:rFonts w:cs="Times New Roman"/>
          <w:noProof/>
          <w:sz w:val="20"/>
        </w:rPr>
        <w:t xml:space="preserve"> have started, for example one on smart cities and one on circular bio-based economy.</w:t>
      </w:r>
    </w:p>
    <w:p w:rsidR="00823F06" w:rsidRDefault="0081280F">
      <w:pPr>
        <w:widowControl w:val="0"/>
        <w:spacing w:after="120" w:line="240" w:lineRule="auto"/>
        <w:jc w:val="both"/>
        <w:rPr>
          <w:rFonts w:cs="Times New Roman"/>
          <w:noProof/>
          <w:sz w:val="20"/>
        </w:rPr>
      </w:pPr>
      <w:r>
        <w:rPr>
          <w:rFonts w:cs="Times New Roman"/>
          <w:noProof/>
          <w:sz w:val="20"/>
        </w:rPr>
        <w:t>Sweden has 18 EMAS registered organisation, which is a quite low with respect to the to</w:t>
      </w:r>
      <w:r>
        <w:rPr>
          <w:rFonts w:cs="Times New Roman"/>
          <w:noProof/>
          <w:sz w:val="20"/>
        </w:rPr>
        <w:t xml:space="preserve">tal of 4034 organisations that hold a registration. Sweden has not seen any changes in the number of registered organisation since October 2015. </w:t>
      </w:r>
    </w:p>
    <w:p w:rsidR="00823F06" w:rsidRDefault="0081280F">
      <w:pPr>
        <w:widowControl w:val="0"/>
        <w:spacing w:after="120" w:line="240" w:lineRule="auto"/>
        <w:jc w:val="both"/>
        <w:rPr>
          <w:rFonts w:cs="Times New Roman"/>
          <w:noProof/>
          <w:sz w:val="20"/>
        </w:rPr>
      </w:pPr>
      <w:r>
        <w:rPr>
          <w:rFonts w:cs="Times New Roman"/>
          <w:noProof/>
          <w:sz w:val="20"/>
        </w:rPr>
        <w:t>Concerning the EU Ecolabel, Sweden has 24 licenses, which is quite a low number with respect to the 1875 total</w:t>
      </w:r>
      <w:r>
        <w:rPr>
          <w:rFonts w:cs="Times New Roman"/>
          <w:noProof/>
          <w:sz w:val="20"/>
        </w:rPr>
        <w:t xml:space="preserve"> number of licenses.</w:t>
      </w:r>
    </w:p>
    <w:p w:rsidR="00823F06" w:rsidRDefault="008128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823F06" w:rsidRDefault="0081280F">
      <w:pPr>
        <w:pStyle w:val="NoSpacing"/>
        <w:rPr>
          <w:noProof/>
        </w:rPr>
      </w:pPr>
      <w:r>
        <w:rPr>
          <w:noProof/>
        </w:rPr>
        <w:t>Strengthen the existing circular economy policy actions.</w:t>
      </w:r>
    </w:p>
    <w:p w:rsidR="00823F06" w:rsidRDefault="0081280F">
      <w:pPr>
        <w:pStyle w:val="NoSpacing"/>
        <w:rPr>
          <w:noProof/>
        </w:rPr>
      </w:pPr>
      <w:r>
        <w:rPr>
          <w:noProof/>
        </w:rPr>
        <w:t>Further facilitate green investments.</w:t>
      </w:r>
    </w:p>
    <w:p w:rsidR="00823F06" w:rsidRDefault="0081280F">
      <w:pPr>
        <w:widowControl w:val="0"/>
        <w:spacing w:before="360" w:after="120" w:line="240" w:lineRule="auto"/>
        <w:jc w:val="both"/>
        <w:outlineLvl w:val="1"/>
        <w:rPr>
          <w:rFonts w:cs="Times New Roman"/>
          <w:b/>
          <w:noProof/>
          <w:color w:val="1F497D" w:themeColor="text2"/>
          <w:sz w:val="24"/>
        </w:rPr>
      </w:pPr>
      <w:bookmarkStart w:id="12" w:name="_Toc433296157"/>
      <w:bookmarkStart w:id="13" w:name="_Toc454898100"/>
      <w:bookmarkStart w:id="14" w:name="_Toc469478342"/>
      <w:r>
        <w:rPr>
          <w:rFonts w:cs="Times New Roman"/>
          <w:b/>
          <w:noProof/>
          <w:color w:val="1F497D" w:themeColor="text2"/>
          <w:sz w:val="24"/>
        </w:rPr>
        <w:t>Waste management</w:t>
      </w:r>
      <w:bookmarkEnd w:id="12"/>
      <w:bookmarkEnd w:id="13"/>
      <w:bookmarkEnd w:id="14"/>
      <w:r>
        <w:rPr>
          <w:rFonts w:cs="Times New Roman"/>
          <w:b/>
          <w:noProof/>
          <w:color w:val="1F497D" w:themeColor="text2"/>
          <w:sz w:val="24"/>
        </w:rPr>
        <w:t xml:space="preserve"> </w:t>
      </w:r>
    </w:p>
    <w:p w:rsidR="00823F06" w:rsidRDefault="0081280F">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823F06" w:rsidRDefault="0081280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legislation, which includes </w:t>
      </w:r>
      <w:r>
        <w:rPr>
          <w:noProof/>
          <w:color w:val="FFFFFF" w:themeColor="background1"/>
          <w:sz w:val="20"/>
        </w:rPr>
        <w:t>the waste hierarchy; the need to ensure separate collection of waste; the landfill diversion targets etc.</w:t>
      </w:r>
    </w:p>
    <w:p w:rsidR="00823F06" w:rsidRDefault="0081280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823F06" w:rsidRDefault="0081280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w:t>
      </w:r>
      <w:r>
        <w:rPr>
          <w:noProof/>
          <w:color w:val="FFFFFF" w:themeColor="background1"/>
          <w:sz w:val="20"/>
        </w:rPr>
        <w:t>filling of recyclable or recoverable waste.</w:t>
      </w:r>
    </w:p>
    <w:p w:rsidR="00823F06" w:rsidRDefault="0081280F">
      <w:pPr>
        <w:widowControl w:val="0"/>
        <w:shd w:val="clear" w:color="auto" w:fill="4F81BD" w:themeFill="accent1"/>
        <w:spacing w:after="60" w:line="240" w:lineRule="auto"/>
        <w:contextualSpacing/>
        <w:jc w:val="both"/>
        <w:rPr>
          <w:rFonts w:cs="Times New Roman"/>
          <w:noProof/>
          <w:color w:val="FFFFFF" w:themeColor="background1"/>
          <w:sz w:val="20"/>
        </w:rPr>
      </w:pPr>
      <w:r>
        <w:rPr>
          <w:noProof/>
          <w:color w:val="FFFFFF" w:themeColor="background1"/>
          <w:sz w:val="20"/>
        </w:rPr>
        <w:t>SDG 12 invites countries to substantially reduce waste generation through prevention, reduction, recycling and reuse, by 2030.</w:t>
      </w:r>
    </w:p>
    <w:p w:rsidR="00823F06" w:rsidRDefault="0081280F">
      <w:pPr>
        <w:widowControl w:val="0"/>
        <w:spacing w:after="120" w:line="240" w:lineRule="auto"/>
        <w:jc w:val="both"/>
        <w:rPr>
          <w:rFonts w:cs="Times New Roman"/>
          <w:noProof/>
          <w:sz w:val="20"/>
        </w:rPr>
      </w:pPr>
      <w:r>
        <w:rPr>
          <w:rFonts w:cs="Times New Roman"/>
          <w:noProof/>
          <w:sz w:val="20"/>
        </w:rPr>
        <w:t>The EU's approach to waste management is based on the "waste hierarchy" which sets ou</w:t>
      </w:r>
      <w:r>
        <w:rPr>
          <w:rFonts w:cs="Times New Roman"/>
          <w:noProof/>
          <w:sz w:val="20"/>
        </w:rPr>
        <w:t>t an order of priority when shaping waste policy and managing waste at the operational level: prevention, (preparing for) reuse, recycling, recovery and, as the least preferred option, disposal (which includes landfilling and incineration without energy re</w:t>
      </w:r>
      <w:r>
        <w:rPr>
          <w:rFonts w:cs="Times New Roman"/>
          <w:noProof/>
          <w:sz w:val="20"/>
        </w:rPr>
        <w:t>covery). The progress towards reaching recycling targets and the adoption of adequate WMP/WPP</w:t>
      </w:r>
      <w:r>
        <w:rPr>
          <w:rFonts w:cs="Times New Roman"/>
          <w:noProof/>
          <w:sz w:val="20"/>
          <w:vertAlign w:val="superscript"/>
        </w:rPr>
        <w:footnoteReference w:id="19"/>
      </w:r>
      <w:r>
        <w:rPr>
          <w:rFonts w:cs="Times New Roman"/>
          <w:noProof/>
          <w:sz w:val="20"/>
        </w:rPr>
        <w:t xml:space="preserve"> should be the key items to measure the performance of Member States. This section focuses on management of municipal waste for which EU law sets mandatory recycl</w:t>
      </w:r>
      <w:r>
        <w:rPr>
          <w:rFonts w:cs="Times New Roman"/>
          <w:noProof/>
          <w:sz w:val="20"/>
        </w:rPr>
        <w:t>ing targets.</w:t>
      </w:r>
    </w:p>
    <w:p w:rsidR="00823F06" w:rsidRDefault="0081280F">
      <w:pPr>
        <w:widowControl w:val="0"/>
        <w:spacing w:after="120" w:line="240" w:lineRule="auto"/>
        <w:jc w:val="both"/>
        <w:rPr>
          <w:rFonts w:cs="Times New Roman"/>
          <w:noProof/>
          <w:sz w:val="20"/>
          <w:szCs w:val="24"/>
        </w:rPr>
      </w:pPr>
      <w:r>
        <w:rPr>
          <w:rFonts w:cs="Times New Roman"/>
          <w:noProof/>
          <w:sz w:val="20"/>
          <w:szCs w:val="24"/>
        </w:rPr>
        <w:t>Municipal waste</w:t>
      </w:r>
      <w:r>
        <w:rPr>
          <w:rFonts w:cs="Times New Roman"/>
          <w:noProof/>
          <w:sz w:val="20"/>
          <w:szCs w:val="24"/>
          <w:vertAlign w:val="superscript"/>
        </w:rPr>
        <w:footnoteReference w:id="20"/>
      </w:r>
      <w:r>
        <w:rPr>
          <w:rFonts w:cs="Times New Roman"/>
          <w:noProof/>
          <w:sz w:val="20"/>
          <w:szCs w:val="24"/>
        </w:rPr>
        <w:t xml:space="preserve"> generation has decreased in Sweden in 2014 (438 kg/y/inhabitant) and it remains below the EU average (475 kg/y/inhabitant)</w:t>
      </w:r>
      <w:r>
        <w:rPr>
          <w:rFonts w:cs="Times New Roman"/>
          <w:noProof/>
          <w:sz w:val="20"/>
          <w:vertAlign w:val="superscript"/>
        </w:rPr>
        <w:footnoteReference w:id="21"/>
      </w:r>
      <w:r>
        <w:rPr>
          <w:rFonts w:cs="Times New Roman"/>
          <w:noProof/>
          <w:sz w:val="20"/>
          <w:szCs w:val="24"/>
        </w:rPr>
        <w:t>.</w:t>
      </w:r>
    </w:p>
    <w:p w:rsidR="00823F06" w:rsidRDefault="0081280F">
      <w:pPr>
        <w:widowControl w:val="0"/>
        <w:spacing w:after="120" w:line="240" w:lineRule="auto"/>
        <w:jc w:val="both"/>
        <w:rPr>
          <w:rFonts w:cs="Times New Roman"/>
          <w:noProof/>
          <w:sz w:val="20"/>
        </w:rPr>
      </w:pPr>
      <w:r>
        <w:rPr>
          <w:rFonts w:eastAsia="Calibri" w:cs="Times New Roman"/>
          <w:noProof/>
          <w:sz w:val="20"/>
        </w:rPr>
        <w:t xml:space="preserve">Figure 3 depicts the municipal waste by treatment in Sweden in terms of kg per capita. </w:t>
      </w:r>
      <w:r>
        <w:rPr>
          <w:rFonts w:cs="Times New Roman"/>
          <w:noProof/>
          <w:sz w:val="20"/>
        </w:rPr>
        <w:t>Incineration a</w:t>
      </w:r>
      <w:r>
        <w:rPr>
          <w:rFonts w:cs="Times New Roman"/>
          <w:noProof/>
          <w:sz w:val="20"/>
        </w:rPr>
        <w:t>ccounts for 50% and landfilling only 1%. Sweden has taken appropriate steps to implement and to perform even better than the current European minimum targets.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keepNext/>
              <w:widowControl w:val="0"/>
              <w:spacing w:after="120"/>
              <w:jc w:val="both"/>
              <w:rPr>
                <w:rFonts w:cs="Times New Roman"/>
                <w:noProof/>
                <w:color w:val="1F497D" w:themeColor="text2"/>
                <w:sz w:val="20"/>
              </w:rPr>
            </w:pPr>
            <w:r>
              <w:rPr>
                <w:rFonts w:cs="Times New Roman"/>
                <w:b/>
                <w:bCs/>
                <w:noProof/>
                <w:color w:val="1F497D" w:themeColor="text2"/>
                <w:sz w:val="20"/>
              </w:rPr>
              <w:t>Figure 3: Municipal waste by treatment in Sweden 2007-14</w:t>
            </w:r>
            <w:r>
              <w:rPr>
                <w:b/>
                <w:bCs/>
                <w:noProof/>
                <w:color w:val="1F497D" w:themeColor="text2"/>
                <w:sz w:val="20"/>
                <w:vertAlign w:val="superscript"/>
              </w:rPr>
              <w:footnoteReference w:id="22"/>
            </w:r>
          </w:p>
        </w:tc>
      </w:tr>
      <w:tr w:rsidR="00823F06">
        <w:tc>
          <w:tcPr>
            <w:tcW w:w="4909" w:type="dxa"/>
          </w:tcPr>
          <w:p w:rsidR="00823F06" w:rsidRDefault="0081280F">
            <w:pPr>
              <w:widowControl w:val="0"/>
              <w:spacing w:after="120"/>
              <w:jc w:val="both"/>
              <w:rPr>
                <w:rFonts w:cs="Times New Roman"/>
                <w:noProof/>
                <w:sz w:val="20"/>
              </w:rPr>
            </w:pPr>
            <w:r>
              <w:rPr>
                <w:noProof/>
                <w:lang w:eastAsia="en-GB"/>
              </w:rPr>
              <w:drawing>
                <wp:inline distT="0" distB="0" distL="0" distR="0" wp14:anchorId="38FECCFB" wp14:editId="220A8B88">
                  <wp:extent cx="3010829" cy="266160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14316" cy="2664686"/>
                          </a:xfrm>
                          <a:prstGeom prst="rect">
                            <a:avLst/>
                          </a:prstGeom>
                        </pic:spPr>
                      </pic:pic>
                    </a:graphicData>
                  </a:graphic>
                </wp:inline>
              </w:drawing>
            </w:r>
          </w:p>
        </w:tc>
      </w:tr>
    </w:tbl>
    <w:p w:rsidR="00823F06" w:rsidRDefault="0081280F">
      <w:pPr>
        <w:widowControl w:val="0"/>
        <w:spacing w:after="120" w:line="240" w:lineRule="auto"/>
        <w:jc w:val="both"/>
        <w:rPr>
          <w:rFonts w:cs="Times New Roman"/>
          <w:noProof/>
          <w:sz w:val="20"/>
        </w:rPr>
      </w:pPr>
      <w:r>
        <w:rPr>
          <w:rFonts w:cs="Times New Roman"/>
          <w:noProof/>
          <w:sz w:val="20"/>
        </w:rPr>
        <w:t xml:space="preserve">Figure 4 shows that Sweden has </w:t>
      </w:r>
      <w:r>
        <w:rPr>
          <w:rFonts w:cs="Times New Roman"/>
          <w:noProof/>
          <w:sz w:val="20"/>
        </w:rPr>
        <w:t>reached the EU 2020 recycling rate target of 50% in 2014 (49.9%), being well ahead of the EU average (43%)</w:t>
      </w:r>
      <w:r>
        <w:rPr>
          <w:rFonts w:cs="Times New Roman"/>
          <w:noProof/>
          <w:sz w:val="20"/>
          <w:vertAlign w:val="superscript"/>
        </w:rPr>
        <w:footnoteReference w:id="23"/>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24"/>
            </w:r>
          </w:p>
        </w:tc>
      </w:tr>
      <w:tr w:rsidR="00823F06">
        <w:tc>
          <w:tcPr>
            <w:tcW w:w="4909" w:type="dxa"/>
          </w:tcPr>
          <w:p w:rsidR="00823F06" w:rsidRDefault="0081280F">
            <w:pPr>
              <w:widowControl w:val="0"/>
              <w:spacing w:after="120"/>
              <w:jc w:val="both"/>
              <w:rPr>
                <w:rFonts w:cs="Times New Roman"/>
                <w:noProof/>
                <w:sz w:val="20"/>
              </w:rPr>
            </w:pPr>
            <w:r>
              <w:rPr>
                <w:rFonts w:cs="Times New Roman"/>
                <w:noProof/>
                <w:sz w:val="20"/>
                <w:lang w:eastAsia="en-GB"/>
              </w:rPr>
              <w:drawing>
                <wp:inline distT="0" distB="0" distL="0" distR="0" wp14:anchorId="0997ABCA" wp14:editId="1AA60D85">
                  <wp:extent cx="3007605" cy="2495217"/>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5288" cy="2493295"/>
                          </a:xfrm>
                          <a:prstGeom prst="rect">
                            <a:avLst/>
                          </a:prstGeom>
                          <a:noFill/>
                        </pic:spPr>
                      </pic:pic>
                    </a:graphicData>
                  </a:graphic>
                </wp:inline>
              </w:drawing>
            </w:r>
          </w:p>
        </w:tc>
      </w:tr>
    </w:tbl>
    <w:p w:rsidR="00823F06" w:rsidRDefault="0081280F">
      <w:pPr>
        <w:widowControl w:val="0"/>
        <w:spacing w:before="240" w:after="120" w:line="240" w:lineRule="auto"/>
        <w:jc w:val="both"/>
        <w:rPr>
          <w:rFonts w:cs="Times New Roman"/>
          <w:noProof/>
          <w:sz w:val="20"/>
          <w:szCs w:val="24"/>
        </w:rPr>
      </w:pPr>
      <w:r>
        <w:rPr>
          <w:rFonts w:cs="Times New Roman"/>
          <w:noProof/>
          <w:sz w:val="20"/>
          <w:szCs w:val="24"/>
        </w:rPr>
        <w:t>The Swedish waste management plan for the years 2012-2017 includes measures to promote mat</w:t>
      </w:r>
      <w:r>
        <w:rPr>
          <w:rFonts w:cs="Times New Roman"/>
          <w:noProof/>
          <w:sz w:val="20"/>
          <w:szCs w:val="24"/>
        </w:rPr>
        <w:t>erial recycling and additional steps may be needed to meet future EU recycling targets.</w:t>
      </w:r>
    </w:p>
    <w:p w:rsidR="00823F06" w:rsidRDefault="0081280F">
      <w:pPr>
        <w:widowControl w:val="0"/>
        <w:spacing w:before="120" w:after="120" w:line="240" w:lineRule="auto"/>
        <w:jc w:val="both"/>
        <w:rPr>
          <w:rFonts w:cs="Times New Roman"/>
          <w:noProof/>
          <w:sz w:val="20"/>
        </w:rPr>
      </w:pPr>
      <w:r>
        <w:rPr>
          <w:rFonts w:cs="Times New Roman"/>
          <w:noProof/>
          <w:sz w:val="20"/>
        </w:rPr>
        <w:t xml:space="preserve">Moving towards the targets of the Roadmap on Resource Efficiency, which </w:t>
      </w:r>
      <w:r>
        <w:rPr>
          <w:rFonts w:cs="Times New Roman"/>
          <w:noProof/>
          <w:sz w:val="20"/>
          <w:lang w:val="en"/>
        </w:rPr>
        <w:t>outlines how we can transform Europe's economy into a sustainable one by 2050,</w:t>
      </w:r>
      <w:r>
        <w:rPr>
          <w:rFonts w:cs="Times New Roman"/>
          <w:noProof/>
          <w:sz w:val="20"/>
        </w:rPr>
        <w:t xml:space="preserve"> could create over</w:t>
      </w:r>
      <w:r>
        <w:rPr>
          <w:rFonts w:cs="Times New Roman"/>
          <w:noProof/>
          <w:sz w:val="20"/>
        </w:rPr>
        <w:t xml:space="preserve"> 2,300 additional jobs and increase the annual turnover of the waste sector by over EUR 240 million</w:t>
      </w:r>
      <w:r>
        <w:rPr>
          <w:rFonts w:eastAsia="Calibri" w:cs="Times New Roman"/>
          <w:noProof/>
          <w:sz w:val="20"/>
          <w:vertAlign w:val="superscript"/>
        </w:rPr>
        <w:footnoteReference w:id="25"/>
      </w:r>
      <w:r>
        <w:rPr>
          <w:rFonts w:cs="Times New Roman"/>
          <w:noProof/>
          <w:sz w:val="20"/>
        </w:rPr>
        <w:t>.</w:t>
      </w:r>
    </w:p>
    <w:p w:rsidR="00823F06" w:rsidRDefault="0081280F">
      <w:pPr>
        <w:widowControl w:val="0"/>
        <w:spacing w:before="120" w:after="120" w:line="240" w:lineRule="auto"/>
        <w:jc w:val="both"/>
        <w:rPr>
          <w:rFonts w:cs="Times New Roman"/>
          <w:noProof/>
          <w:sz w:val="20"/>
        </w:rPr>
      </w:pPr>
      <w:r>
        <w:rPr>
          <w:rFonts w:cs="Times New Roman"/>
          <w:noProof/>
          <w:sz w:val="20"/>
          <w:lang w:eastAsia="en-GB"/>
        </w:rPr>
        <w:drawing>
          <wp:inline distT="0" distB="0" distL="0" distR="0" wp14:anchorId="6F617670" wp14:editId="09099FB3">
            <wp:extent cx="2980055" cy="2106930"/>
            <wp:effectExtent l="0" t="0" r="0" b="7620"/>
            <wp:docPr id="14" name="Picture 14" descr="P:\ENV-E2\1. ENV IMPLEMENTATION REVIEW\EIR Data management\Pictures\LIFE pictures\Pictures_by_Country2\Sweden\LIFE09_ENV_SE_000348_Daniel Skog_Food Waste to Biogas Campaig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2\Sweden\LIFE09_ENV_SE_000348_Daniel Skog_Food Waste to Biogas Campaign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0055" cy="2106930"/>
                    </a:xfrm>
                    <a:prstGeom prst="rect">
                      <a:avLst/>
                    </a:prstGeom>
                    <a:noFill/>
                    <a:ln>
                      <a:noFill/>
                    </a:ln>
                  </pic:spPr>
                </pic:pic>
              </a:graphicData>
            </a:graphic>
          </wp:inline>
        </w:drawing>
      </w:r>
      <w:r>
        <w:rPr>
          <w:rFonts w:cs="Times New Roman"/>
          <w:noProof/>
          <w:sz w:val="20"/>
        </w:rPr>
        <w:t>Sweden has two official investigations working in the waste area: one on economic instruments and incineration and one on promoting reuse in order to pre</w:t>
      </w:r>
      <w:r>
        <w:rPr>
          <w:rFonts w:cs="Times New Roman"/>
          <w:noProof/>
          <w:sz w:val="20"/>
        </w:rPr>
        <w:t xml:space="preserve">vent waste. </w:t>
      </w:r>
    </w:p>
    <w:p w:rsidR="00823F06" w:rsidRDefault="0081280F">
      <w:pPr>
        <w:widowControl w:val="0"/>
        <w:spacing w:before="120" w:after="120" w:line="240" w:lineRule="auto"/>
        <w:jc w:val="both"/>
        <w:rPr>
          <w:rFonts w:cs="Times New Roman"/>
          <w:noProof/>
          <w:sz w:val="20"/>
        </w:rPr>
      </w:pPr>
      <w:r>
        <w:rPr>
          <w:rFonts w:cs="Times New Roman"/>
          <w:noProof/>
          <w:sz w:val="20"/>
        </w:rPr>
        <w:t>The Swedish EPA has different missions on waste, on better collection and treatment of waste textiles, on waste statistics and traceability, and on updating and revision of the waste management plan and the prevention programme. The Swedish go</w:t>
      </w:r>
      <w:r>
        <w:rPr>
          <w:rFonts w:cs="Times New Roman"/>
          <w:noProof/>
          <w:sz w:val="20"/>
        </w:rPr>
        <w:t>vernment has decided to use economic instruments through taxation to stimulate repair and reuse.</w:t>
      </w:r>
    </w:p>
    <w:p w:rsidR="00823F06" w:rsidRDefault="008128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823F06" w:rsidRDefault="0081280F">
      <w:pPr>
        <w:pStyle w:val="NoSpacing"/>
        <w:rPr>
          <w:noProof/>
        </w:rPr>
      </w:pPr>
      <w:r>
        <w:rPr>
          <w:noProof/>
        </w:rPr>
        <w:t xml:space="preserve">Introduce new policies, including economic instruments, to further reduce waste generation, and promote prevention, reuse and recycling. </w:t>
      </w:r>
    </w:p>
    <w:p w:rsidR="00823F06" w:rsidRDefault="0081280F">
      <w:pPr>
        <w:pStyle w:val="NoSpacing"/>
        <w:rPr>
          <w:noProof/>
        </w:rPr>
      </w:pPr>
      <w:r>
        <w:rPr>
          <w:noProof/>
        </w:rPr>
        <w:t>Shift reusable and recyclable waste away from incineration e.g. by gradually phasing out subsidies to incineration / introducing incineration taxes.</w:t>
      </w:r>
    </w:p>
    <w:p w:rsidR="00823F06" w:rsidRDefault="00823F06">
      <w:pPr>
        <w:widowControl w:val="0"/>
        <w:spacing w:after="120" w:line="240" w:lineRule="auto"/>
        <w:jc w:val="both"/>
        <w:rPr>
          <w:rFonts w:cs="Times New Roman"/>
          <w:noProof/>
          <w:sz w:val="20"/>
        </w:rPr>
        <w:sectPr w:rsidR="00823F06">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40" w:right="1080" w:bottom="1440" w:left="1080" w:header="708" w:footer="708" w:gutter="0"/>
          <w:cols w:num="2" w:space="360"/>
          <w:docGrid w:linePitch="360"/>
        </w:sectPr>
      </w:pPr>
    </w:p>
    <w:p w:rsidR="00823F06" w:rsidRDefault="0081280F">
      <w:pPr>
        <w:pStyle w:val="ListParagraph"/>
        <w:keepLines/>
        <w:widowControl w:val="0"/>
        <w:numPr>
          <w:ilvl w:val="0"/>
          <w:numId w:val="28"/>
        </w:numPr>
        <w:spacing w:after="240"/>
        <w:jc w:val="center"/>
        <w:outlineLvl w:val="0"/>
        <w:rPr>
          <w:rFonts w:cstheme="majorBidi"/>
          <w:b/>
          <w:bCs/>
          <w:noProof/>
          <w:color w:val="1F497D" w:themeColor="text2"/>
          <w:sz w:val="32"/>
          <w:szCs w:val="28"/>
        </w:rPr>
      </w:pPr>
      <w:bookmarkStart w:id="15" w:name="_Toc433296159"/>
      <w:bookmarkStart w:id="16" w:name="_Toc469478343"/>
      <w:r>
        <w:rPr>
          <w:rFonts w:cstheme="majorBidi"/>
          <w:b/>
          <w:bCs/>
          <w:noProof/>
          <w:color w:val="1F497D" w:themeColor="text2"/>
          <w:sz w:val="32"/>
          <w:szCs w:val="28"/>
        </w:rPr>
        <w:t>Protecting, conserving and enhancing natural capital</w:t>
      </w:r>
      <w:bookmarkStart w:id="17" w:name="_Toc432413878"/>
      <w:bookmarkEnd w:id="15"/>
      <w:bookmarkEnd w:id="16"/>
      <w:bookmarkEnd w:id="17"/>
    </w:p>
    <w:p w:rsidR="00823F06" w:rsidRDefault="00823F06">
      <w:pPr>
        <w:widowControl w:val="0"/>
        <w:spacing w:after="120" w:line="240" w:lineRule="auto"/>
        <w:jc w:val="both"/>
        <w:rPr>
          <w:rFonts w:cs="Times New Roman"/>
          <w:noProof/>
          <w:sz w:val="20"/>
        </w:rPr>
        <w:sectPr w:rsidR="00823F06">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40" w:right="1080" w:bottom="1440" w:left="1080" w:header="708" w:footer="708" w:gutter="0"/>
          <w:cols w:space="566"/>
          <w:docGrid w:linePitch="360"/>
        </w:sectPr>
      </w:pPr>
    </w:p>
    <w:p w:rsidR="00823F06" w:rsidRDefault="0081280F">
      <w:pPr>
        <w:widowControl w:val="0"/>
        <w:spacing w:before="360" w:after="120" w:line="240" w:lineRule="auto"/>
        <w:jc w:val="both"/>
        <w:outlineLvl w:val="1"/>
        <w:rPr>
          <w:rFonts w:cs="Times New Roman"/>
          <w:b/>
          <w:noProof/>
          <w:color w:val="1F497D" w:themeColor="text2"/>
          <w:sz w:val="24"/>
        </w:rPr>
      </w:pPr>
      <w:bookmarkStart w:id="18" w:name="_Toc433296160"/>
      <w:bookmarkStart w:id="19" w:name="_Toc469478344"/>
      <w:r>
        <w:rPr>
          <w:rFonts w:cs="Times New Roman"/>
          <w:b/>
          <w:noProof/>
          <w:color w:val="1F497D" w:themeColor="text2"/>
          <w:sz w:val="24"/>
        </w:rPr>
        <w:t>Nature and Biodiversity</w:t>
      </w:r>
      <w:bookmarkEnd w:id="18"/>
      <w:bookmarkEnd w:id="19"/>
      <w:r>
        <w:rPr>
          <w:rFonts w:cs="Times New Roman"/>
          <w:b/>
          <w:noProof/>
          <w:color w:val="1F497D" w:themeColor="text2"/>
          <w:sz w:val="24"/>
        </w:rPr>
        <w:t xml:space="preserve"> </w:t>
      </w:r>
    </w:p>
    <w:p w:rsidR="00823F06" w:rsidRDefault="0081280F">
      <w:pPr>
        <w:widowControl w:val="0"/>
        <w:shd w:val="clear" w:color="auto" w:fill="4F81BD" w:themeFill="accent1"/>
        <w:spacing w:after="60" w:line="240" w:lineRule="auto"/>
        <w:jc w:val="both"/>
        <w:rPr>
          <w:rFonts w:cs="Times New Roman"/>
          <w:noProof/>
          <w:color w:val="FFFFFF" w:themeColor="background1"/>
          <w:sz w:val="20"/>
        </w:rPr>
      </w:pPr>
      <w:bookmarkStart w:id="20" w:name="_Toc433296161"/>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823F06" w:rsidRDefault="0081280F">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823F06" w:rsidRDefault="0081280F">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w:t>
      </w:r>
      <w:r>
        <w:rPr>
          <w:rFonts w:cs="Times New Roman"/>
          <w:bCs/>
          <w:noProof/>
          <w:sz w:val="20"/>
          <w:lang w:val="en"/>
        </w:rPr>
        <w:t>rope's most valuable and threatened species and habitats</w:t>
      </w:r>
      <w:r>
        <w:rPr>
          <w:rFonts w:cs="Times New Roman"/>
          <w:bCs/>
          <w:noProof/>
          <w:sz w:val="20"/>
          <w:szCs w:val="20"/>
          <w:lang w:val="en"/>
        </w:rPr>
        <w:t xml:space="preserve"> and the ecosystems they underpin.</w:t>
      </w:r>
    </w:p>
    <w:p w:rsidR="00823F06" w:rsidRDefault="0081280F">
      <w:pPr>
        <w:widowControl w:val="0"/>
        <w:spacing w:after="120" w:line="240" w:lineRule="auto"/>
        <w:jc w:val="both"/>
        <w:rPr>
          <w:rFonts w:cs="Times New Roman"/>
          <w:noProof/>
          <w:sz w:val="20"/>
        </w:rPr>
      </w:pPr>
      <w:r>
        <w:rPr>
          <w:rFonts w:cs="Times New Roman"/>
          <w:noProof/>
          <w:sz w:val="20"/>
          <w:lang w:val="en"/>
        </w:rPr>
        <w:t xml:space="preserve">The adequate designation of protected sites as Special Ares of Conservation (SAC) under the Habitats Directive and as Special Protection Areas (SPA) under the Birds </w:t>
      </w:r>
      <w:r>
        <w:rPr>
          <w:rFonts w:cs="Times New Roman"/>
          <w:noProof/>
          <w:sz w:val="20"/>
          <w:lang w:val="en"/>
        </w:rPr>
        <w:t xml:space="preserve">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6"/>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823F06" w:rsidRDefault="0081280F">
      <w:pPr>
        <w:widowControl w:val="0"/>
        <w:spacing w:after="120" w:line="240" w:lineRule="auto"/>
        <w:jc w:val="both"/>
        <w:rPr>
          <w:rFonts w:cs="Times New Roman"/>
          <w:noProof/>
          <w:sz w:val="20"/>
        </w:rPr>
      </w:pPr>
      <w:r>
        <w:rPr>
          <w:rFonts w:cs="Times New Roman"/>
          <w:noProof/>
          <w:sz w:val="20"/>
        </w:rPr>
        <w:t>The area covered by old forest and of protected forest is increasing. The conservation status of many forest types is still inadequate and many forest species a</w:t>
      </w:r>
      <w:r>
        <w:rPr>
          <w:rFonts w:cs="Times New Roman"/>
          <w:noProof/>
          <w:sz w:val="20"/>
        </w:rPr>
        <w:t xml:space="preserve">re threatened. </w:t>
      </w:r>
      <w:r>
        <w:rPr>
          <w:rFonts w:cs="Times New Roman"/>
          <w:noProof/>
          <w:sz w:val="20"/>
          <w:lang w:val="en-US"/>
        </w:rPr>
        <w:t xml:space="preserve"> </w:t>
      </w:r>
    </w:p>
    <w:p w:rsidR="00823F06" w:rsidRDefault="0081280F">
      <w:pPr>
        <w:widowControl w:val="0"/>
        <w:spacing w:after="120" w:line="240" w:lineRule="auto"/>
        <w:jc w:val="both"/>
        <w:rPr>
          <w:rFonts w:cs="Times New Roman"/>
          <w:noProof/>
          <w:sz w:val="20"/>
          <w:szCs w:val="20"/>
        </w:rPr>
      </w:pPr>
      <w:r>
        <w:rPr>
          <w:rFonts w:cs="Times New Roman"/>
          <w:noProof/>
          <w:sz w:val="20"/>
          <w:szCs w:val="20"/>
        </w:rPr>
        <w:t>The latest Red List</w:t>
      </w:r>
      <w:r>
        <w:rPr>
          <w:rFonts w:cs="Times New Roman"/>
          <w:noProof/>
          <w:sz w:val="20"/>
          <w:szCs w:val="20"/>
          <w:vertAlign w:val="superscript"/>
        </w:rPr>
        <w:footnoteReference w:id="27"/>
      </w:r>
      <w:r>
        <w:rPr>
          <w:rFonts w:cs="Times New Roman"/>
          <w:noProof/>
          <w:sz w:val="20"/>
          <w:szCs w:val="20"/>
        </w:rPr>
        <w:t xml:space="preserve"> of Sweden (2015) shows that the rate of biodiversity loss has neither increased nor decreased over the past 15 years. Logging in old-growth forests and overgrowth of habitats including meadows, pastures forests and wetlands pose a threat to majority of th</w:t>
      </w:r>
      <w:r>
        <w:rPr>
          <w:rFonts w:cs="Times New Roman"/>
          <w:noProof/>
          <w:sz w:val="20"/>
          <w:szCs w:val="20"/>
        </w:rPr>
        <w:t>e species. However, positive trends can be seen e.g. with large carnivores.</w:t>
      </w:r>
    </w:p>
    <w:p w:rsidR="00823F06" w:rsidRDefault="0081280F">
      <w:pPr>
        <w:widowControl w:val="0"/>
        <w:spacing w:after="120" w:line="240" w:lineRule="auto"/>
        <w:jc w:val="both"/>
        <w:rPr>
          <w:rFonts w:cs="Times New Roman"/>
          <w:noProof/>
          <w:sz w:val="20"/>
          <w:szCs w:val="20"/>
        </w:rPr>
      </w:pPr>
      <w:r>
        <w:rPr>
          <w:rFonts w:cs="Times New Roman"/>
          <w:noProof/>
          <w:sz w:val="20"/>
          <w:szCs w:val="20"/>
        </w:rPr>
        <w:t>By early 2016, 13.3% of the Swedish national territory was covered by Natura 2000 (EU average 18.1%), with Birds Directive SPAs covering 6.1% (EU average 12.3%) and Habitats Direct</w:t>
      </w:r>
      <w:r>
        <w:rPr>
          <w:rFonts w:cs="Times New Roman"/>
          <w:noProof/>
          <w:sz w:val="20"/>
          <w:szCs w:val="20"/>
        </w:rPr>
        <w:t>ive SCIs covering 13.2% (EU average 13.8%). There are altogether 4,082 Natura 2000 sites in Sweden.</w:t>
      </w:r>
    </w:p>
    <w:p w:rsidR="00823F06" w:rsidRDefault="0081280F">
      <w:pPr>
        <w:widowControl w:val="0"/>
        <w:spacing w:after="120" w:line="240" w:lineRule="auto"/>
        <w:jc w:val="both"/>
        <w:rPr>
          <w:rFonts w:cs="Times New Roman"/>
          <w:noProof/>
          <w:sz w:val="20"/>
        </w:rPr>
      </w:pPr>
      <w:r>
        <w:rPr>
          <w:rFonts w:cs="Times New Roman"/>
          <w:noProof/>
          <w:sz w:val="20"/>
        </w:rPr>
        <w:t xml:space="preserve">Assessment of the SCI part of the Natura 2000 network shows that there are insufficiencies in designation, especially for the marine components of the </w:t>
      </w:r>
      <w:r>
        <w:rPr>
          <w:rFonts w:cs="Times New Roman"/>
          <w:noProof/>
          <w:sz w:val="20"/>
        </w:rPr>
        <w:t>network</w:t>
      </w:r>
      <w:r>
        <w:rPr>
          <w:rFonts w:cs="Times New Roman"/>
          <w:noProof/>
          <w:sz w:val="20"/>
          <w:szCs w:val="20"/>
          <w:vertAlign w:val="superscript"/>
          <w:lang w:val="en"/>
        </w:rPr>
        <w:footnoteReference w:id="28"/>
      </w:r>
      <w:r>
        <w:rPr>
          <w:rFonts w:cs="Times New Roman"/>
          <w:noProof/>
          <w:sz w:val="20"/>
        </w:rPr>
        <w:t xml:space="preserve"> (see Figure 5</w:t>
      </w:r>
      <w:r>
        <w:rPr>
          <w:rStyle w:val="FootnoteReference"/>
          <w:rFonts w:cs="Times New Roman"/>
          <w:noProof/>
          <w:sz w:val="20"/>
        </w:rPr>
        <w:footnoteReference w:id="29"/>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Sweden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30"/>
            </w:r>
            <w:r>
              <w:rPr>
                <w:rFonts w:cs="Times New Roman"/>
                <w:b/>
                <w:bCs/>
                <w:noProof/>
                <w:color w:val="1F497D" w:themeColor="text2"/>
                <w:sz w:val="20"/>
              </w:rPr>
              <w:t xml:space="preserve"> </w:t>
            </w:r>
          </w:p>
        </w:tc>
      </w:tr>
      <w:tr w:rsidR="00823F06">
        <w:tc>
          <w:tcPr>
            <w:tcW w:w="4909" w:type="dxa"/>
          </w:tcPr>
          <w:p w:rsidR="00823F06" w:rsidRDefault="0081280F">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59264" behindDoc="0" locked="0" layoutInCell="1" allowOverlap="1" wp14:anchorId="514056FD" wp14:editId="2C561442">
                  <wp:simplePos x="3891280" y="3954780"/>
                  <wp:positionH relativeFrom="margin">
                    <wp:align>center</wp:align>
                  </wp:positionH>
                  <wp:positionV relativeFrom="margin">
                    <wp:align>top</wp:align>
                  </wp:positionV>
                  <wp:extent cx="2597150" cy="269938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150" cy="2699385"/>
                          </a:xfrm>
                          <a:prstGeom prst="rect">
                            <a:avLst/>
                          </a:prstGeom>
                          <a:noFill/>
                        </pic:spPr>
                      </pic:pic>
                    </a:graphicData>
                  </a:graphic>
                </wp:anchor>
              </w:drawing>
            </w:r>
          </w:p>
        </w:tc>
      </w:tr>
    </w:tbl>
    <w:p w:rsidR="00823F06" w:rsidRDefault="0081280F">
      <w:pPr>
        <w:widowControl w:val="0"/>
        <w:spacing w:after="120" w:line="240" w:lineRule="auto"/>
        <w:jc w:val="both"/>
        <w:rPr>
          <w:rFonts w:cs="Times New Roman"/>
          <w:noProof/>
          <w:sz w:val="20"/>
          <w:szCs w:val="20"/>
        </w:rPr>
      </w:pPr>
      <w:r>
        <w:rPr>
          <w:rFonts w:cs="Times New Roman"/>
          <w:noProof/>
          <w:sz w:val="20"/>
          <w:szCs w:val="20"/>
        </w:rPr>
        <w:t>The process for the designation of the sites as special areas of conservation (SAC) is complete and all sites have a m</w:t>
      </w:r>
      <w:r>
        <w:rPr>
          <w:rFonts w:cs="Times New Roman"/>
          <w:noProof/>
          <w:sz w:val="20"/>
          <w:szCs w:val="20"/>
        </w:rPr>
        <w:t>anagement plan.</w:t>
      </w:r>
    </w:p>
    <w:p w:rsidR="00823F06" w:rsidRDefault="0081280F">
      <w:pPr>
        <w:widowControl w:val="0"/>
        <w:spacing w:after="120" w:line="240" w:lineRule="auto"/>
        <w:jc w:val="both"/>
        <w:rPr>
          <w:rFonts w:cs="Times New Roman"/>
          <w:noProof/>
          <w:sz w:val="20"/>
          <w:szCs w:val="20"/>
        </w:rPr>
      </w:pPr>
      <w:r>
        <w:rPr>
          <w:rFonts w:cs="Times New Roman"/>
          <w:noProof/>
          <w:sz w:val="20"/>
          <w:szCs w:val="20"/>
        </w:rPr>
        <w:t>Organisation of the Natura 2000 network in Sweden is good and their funding is not currently a critical issue. Sweden has good expertise on restoration of habitats and various restoration activities show good results e.g. on grasslands, bog</w:t>
      </w:r>
      <w:r>
        <w:rPr>
          <w:rFonts w:cs="Times New Roman"/>
          <w:noProof/>
          <w:sz w:val="20"/>
          <w:szCs w:val="20"/>
        </w:rPr>
        <w:t>s and sand dunes.</w:t>
      </w:r>
    </w:p>
    <w:p w:rsidR="00823F06" w:rsidRDefault="0081280F">
      <w:pPr>
        <w:widowControl w:val="0"/>
        <w:spacing w:after="120" w:line="240" w:lineRule="auto"/>
        <w:jc w:val="both"/>
        <w:rPr>
          <w:rFonts w:cs="Times New Roman"/>
          <w:noProof/>
          <w:sz w:val="20"/>
          <w:szCs w:val="20"/>
        </w:rPr>
      </w:pPr>
      <w:r>
        <w:rPr>
          <w:rFonts w:cs="Times New Roman"/>
          <w:noProof/>
          <w:sz w:val="20"/>
          <w:szCs w:val="20"/>
        </w:rPr>
        <w:t xml:space="preserve">The level of nature-related complaints and infringements in Sweden is not very high. Main topics are about hunting of wolves (use of derogations), wind farms and other land use activities e.g. quarries and access to justice. </w:t>
      </w:r>
    </w:p>
    <w:p w:rsidR="00823F06" w:rsidRDefault="0081280F">
      <w:pPr>
        <w:widowControl w:val="0"/>
        <w:autoSpaceDE w:val="0"/>
        <w:autoSpaceDN w:val="0"/>
        <w:adjustRightInd w:val="0"/>
        <w:spacing w:after="0" w:line="240" w:lineRule="auto"/>
        <w:jc w:val="both"/>
        <w:rPr>
          <w:rFonts w:cs="Times New Roman"/>
          <w:noProof/>
          <w:sz w:val="20"/>
          <w:szCs w:val="20"/>
        </w:rPr>
      </w:pPr>
      <w:r>
        <w:rPr>
          <w:rFonts w:cs="Times New Roman"/>
          <w:noProof/>
          <w:sz w:val="20"/>
          <w:szCs w:val="20"/>
        </w:rPr>
        <w:t>According to</w:t>
      </w:r>
      <w:r>
        <w:rPr>
          <w:rFonts w:cs="Times New Roman"/>
          <w:noProof/>
          <w:sz w:val="20"/>
          <w:szCs w:val="20"/>
        </w:rPr>
        <w:t xml:space="preserve"> the Swedish report</w:t>
      </w:r>
      <w:r>
        <w:rPr>
          <w:rFonts w:cs="Times New Roman"/>
          <w:noProof/>
          <w:sz w:val="20"/>
          <w:szCs w:val="20"/>
          <w:vertAlign w:val="superscript"/>
        </w:rPr>
        <w:footnoteReference w:id="31"/>
      </w:r>
      <w:r>
        <w:rPr>
          <w:rFonts w:cs="Times New Roman"/>
          <w:noProof/>
          <w:sz w:val="20"/>
          <w:szCs w:val="20"/>
        </w:rPr>
        <w:t xml:space="preserve"> under Article 17 Habitats Directive, based on expert assessment,  26% of habitat assessments show favourable status (16% at EU27-level)</w:t>
      </w:r>
      <w:r>
        <w:rPr>
          <w:rFonts w:cs="Times New Roman"/>
          <w:noProof/>
          <w:sz w:val="20"/>
          <w:vertAlign w:val="superscript"/>
        </w:rPr>
        <w:footnoteReference w:id="32"/>
      </w:r>
      <w:r>
        <w:rPr>
          <w:rFonts w:cs="Times New Roman"/>
          <w:noProof/>
          <w:sz w:val="20"/>
          <w:szCs w:val="20"/>
        </w:rPr>
        <w:t>. Furthermore, 25% are considered to be unfavourable–inadequate</w:t>
      </w:r>
      <w:r>
        <w:rPr>
          <w:rFonts w:cs="Times New Roman"/>
          <w:noProof/>
          <w:sz w:val="20"/>
          <w:szCs w:val="20"/>
          <w:vertAlign w:val="superscript"/>
        </w:rPr>
        <w:footnoteReference w:id="33"/>
      </w:r>
      <w:r>
        <w:rPr>
          <w:rFonts w:cs="Times New Roman"/>
          <w:noProof/>
          <w:sz w:val="20"/>
          <w:szCs w:val="20"/>
        </w:rPr>
        <w:t xml:space="preserve"> (EU27: 47%) and 48% are unfavourable – bad (EU27 is 30%). Alarming is that 70-80% of forest, grassland and dune habitats' assessments are Unfavourable-Bad. </w:t>
      </w:r>
    </w:p>
    <w:p w:rsidR="00823F06" w:rsidRDefault="00823F06">
      <w:pPr>
        <w:widowControl w:val="0"/>
        <w:autoSpaceDE w:val="0"/>
        <w:autoSpaceDN w:val="0"/>
        <w:adjustRightInd w:val="0"/>
        <w:spacing w:after="0" w:line="240" w:lineRule="auto"/>
        <w:jc w:val="both"/>
        <w:rPr>
          <w:rFonts w:cs="Times New Roman"/>
          <w:noProof/>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widowControl w:val="0"/>
              <w:spacing w:after="12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Sweden in 2007/2013 (%)</w:t>
            </w:r>
            <w:r>
              <w:rPr>
                <w:rFonts w:cs="Times New Roman"/>
                <w:b/>
                <w:bCs/>
                <w:noProof/>
                <w:color w:val="1F497D" w:themeColor="text2"/>
                <w:sz w:val="20"/>
                <w:vertAlign w:val="superscript"/>
              </w:rPr>
              <w:footnoteReference w:id="34"/>
            </w:r>
          </w:p>
        </w:tc>
      </w:tr>
      <w:tr w:rsidR="00823F06">
        <w:tc>
          <w:tcPr>
            <w:tcW w:w="4909" w:type="dxa"/>
          </w:tcPr>
          <w:p w:rsidR="00823F06" w:rsidRDefault="0081280F">
            <w:pPr>
              <w:widowControl w:val="0"/>
              <w:spacing w:after="120"/>
              <w:jc w:val="both"/>
              <w:rPr>
                <w:rFonts w:cs="Times New Roman"/>
                <w:noProof/>
                <w:sz w:val="20"/>
              </w:rPr>
            </w:pPr>
            <w:r>
              <w:rPr>
                <w:rFonts w:cs="Times New Roman"/>
                <w:noProof/>
                <w:sz w:val="20"/>
                <w:lang w:eastAsia="en-GB"/>
              </w:rPr>
              <w:drawing>
                <wp:inline distT="0" distB="0" distL="0" distR="0" wp14:anchorId="7D53F47A" wp14:editId="18D6D79F">
                  <wp:extent cx="2952521" cy="3293880"/>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0564" cy="3291697"/>
                          </a:xfrm>
                          <a:prstGeom prst="rect">
                            <a:avLst/>
                          </a:prstGeom>
                          <a:noFill/>
                        </pic:spPr>
                      </pic:pic>
                    </a:graphicData>
                  </a:graphic>
                </wp:inline>
              </w:drawing>
            </w:r>
          </w:p>
        </w:tc>
      </w:tr>
    </w:tbl>
    <w:p w:rsidR="00823F06" w:rsidRDefault="0081280F">
      <w:pPr>
        <w:widowControl w:val="0"/>
        <w:spacing w:after="120" w:line="240" w:lineRule="auto"/>
        <w:jc w:val="both"/>
        <w:rPr>
          <w:rFonts w:cs="Times New Roman"/>
          <w:noProof/>
          <w:sz w:val="20"/>
          <w:szCs w:val="20"/>
        </w:rPr>
      </w:pPr>
      <w:r>
        <w:rPr>
          <w:rFonts w:cs="Times New Roman"/>
          <w:noProof/>
          <w:sz w:val="20"/>
          <w:szCs w:val="20"/>
        </w:rPr>
        <w:t xml:space="preserve">Concerning </w:t>
      </w:r>
      <w:r>
        <w:rPr>
          <w:rFonts w:cs="Times New Roman"/>
          <w:noProof/>
          <w:sz w:val="20"/>
          <w:szCs w:val="20"/>
        </w:rPr>
        <w:t>species assessments (other than birds) 45% are at favourable status (EU27: 23%), 14% at unfavourable-inadequate (EU27: 42%) and 41% unfavourable-bad status (EU27: 18%). This is depicted in Figure 6</w:t>
      </w:r>
      <w:r>
        <w:rPr>
          <w:rFonts w:cs="Times New Roman"/>
          <w:noProof/>
          <w:sz w:val="20"/>
          <w:szCs w:val="20"/>
          <w:vertAlign w:val="superscript"/>
        </w:rPr>
        <w:footnoteReference w:id="35"/>
      </w:r>
      <w:r>
        <w:rPr>
          <w:rFonts w:cs="Times New Roman"/>
          <w:noProof/>
          <w:sz w:val="20"/>
          <w:szCs w:val="20"/>
        </w:rPr>
        <w:t>.</w:t>
      </w:r>
    </w:p>
    <w:p w:rsidR="00823F06" w:rsidRDefault="0081280F">
      <w:pPr>
        <w:widowControl w:val="0"/>
        <w:spacing w:after="120" w:line="240" w:lineRule="auto"/>
        <w:jc w:val="both"/>
        <w:rPr>
          <w:rFonts w:cs="Times New Roman"/>
          <w:noProof/>
          <w:sz w:val="20"/>
        </w:rPr>
      </w:pPr>
      <w:r>
        <w:rPr>
          <w:rFonts w:cs="Times New Roman"/>
          <w:noProof/>
          <w:sz w:val="20"/>
        </w:rPr>
        <w:t>In addition, considerable part of the unfavourable asses</w:t>
      </w:r>
      <w:r>
        <w:rPr>
          <w:rFonts w:cs="Times New Roman"/>
          <w:noProof/>
          <w:sz w:val="20"/>
        </w:rPr>
        <w:t>sments for species and habitats are reported to have further declining trend. Agriculture, natural systems modification, forestry (birds) and natural biotic/abiotic processes are the most frequently reported pressure categories of high importance. The same</w:t>
      </w:r>
      <w:r>
        <w:rPr>
          <w:rFonts w:cs="Times New Roman"/>
          <w:noProof/>
          <w:sz w:val="20"/>
        </w:rPr>
        <w:t xml:space="preserve"> main pressure categories apply also for birds. However, animal farming is a necessary main factor when protecting grasslands and birds nesting in well grazed wetlands.</w:t>
      </w:r>
    </w:p>
    <w:p w:rsidR="00823F06" w:rsidRDefault="0081280F">
      <w:pPr>
        <w:widowControl w:val="0"/>
        <w:spacing w:after="120" w:line="240" w:lineRule="auto"/>
        <w:jc w:val="both"/>
        <w:rPr>
          <w:rFonts w:cs="Times New Roman"/>
          <w:noProof/>
          <w:sz w:val="20"/>
        </w:rPr>
      </w:pPr>
      <w:r>
        <w:rPr>
          <w:rFonts w:cs="Times New Roman"/>
          <w:noProof/>
          <w:sz w:val="20"/>
        </w:rPr>
        <w:t>The results from the Article 12 report</w:t>
      </w:r>
      <w:r>
        <w:rPr>
          <w:rFonts w:cs="Times New Roman"/>
          <w:noProof/>
          <w:sz w:val="20"/>
          <w:szCs w:val="20"/>
          <w:vertAlign w:val="superscript"/>
        </w:rPr>
        <w:footnoteReference w:id="36"/>
      </w:r>
      <w:r>
        <w:rPr>
          <w:rFonts w:cs="Times New Roman"/>
          <w:noProof/>
          <w:sz w:val="20"/>
        </w:rPr>
        <w:t xml:space="preserve"> under Birds Directive show that short-term tren</w:t>
      </w:r>
      <w:r>
        <w:rPr>
          <w:rFonts w:cs="Times New Roman"/>
          <w:noProof/>
          <w:sz w:val="20"/>
        </w:rPr>
        <w:t>ds of breeding birds are improving for 22% of the species and stable for 26%, however decreasing even for 48% of the species. This is depicted in Figure 7. The same categories for long-term trends are 33%, 28% and 38%.</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widowControl w:val="0"/>
              <w:spacing w:after="120"/>
              <w:jc w:val="both"/>
              <w:rPr>
                <w:rFonts w:cs="Times New Roman"/>
                <w:noProof/>
                <w:color w:val="1F497D" w:themeColor="text2"/>
                <w:sz w:val="20"/>
              </w:rPr>
            </w:pPr>
            <w:r>
              <w:rPr>
                <w:rFonts w:cs="Times New Roman"/>
                <w:b/>
                <w:bCs/>
                <w:noProof/>
                <w:color w:val="1F497D" w:themeColor="text2"/>
                <w:sz w:val="20"/>
              </w:rPr>
              <w:t>Figure 7: Short-term population trend</w:t>
            </w:r>
            <w:r>
              <w:rPr>
                <w:rFonts w:cs="Times New Roman"/>
                <w:b/>
                <w:bCs/>
                <w:noProof/>
                <w:color w:val="1F497D" w:themeColor="text2"/>
                <w:sz w:val="20"/>
              </w:rPr>
              <w:t xml:space="preserve"> of breeding and wintering bird species in Sweden in 2012 (%)</w:t>
            </w:r>
            <w:r>
              <w:rPr>
                <w:rFonts w:cs="Times New Roman"/>
                <w:b/>
                <w:bCs/>
                <w:noProof/>
                <w:color w:val="1F497D" w:themeColor="text2"/>
                <w:sz w:val="20"/>
                <w:vertAlign w:val="superscript"/>
              </w:rPr>
              <w:footnoteReference w:id="37"/>
            </w:r>
          </w:p>
        </w:tc>
      </w:tr>
      <w:tr w:rsidR="00823F06">
        <w:tc>
          <w:tcPr>
            <w:tcW w:w="4909" w:type="dxa"/>
          </w:tcPr>
          <w:p w:rsidR="00823F06" w:rsidRDefault="0081280F">
            <w:pPr>
              <w:widowControl w:val="0"/>
              <w:spacing w:after="120"/>
              <w:jc w:val="both"/>
              <w:rPr>
                <w:rFonts w:cs="Times New Roman"/>
                <w:noProof/>
                <w:sz w:val="20"/>
              </w:rPr>
            </w:pPr>
            <w:r>
              <w:rPr>
                <w:rFonts w:cs="Times New Roman"/>
                <w:noProof/>
                <w:sz w:val="20"/>
                <w:lang w:eastAsia="en-GB"/>
              </w:rPr>
              <w:drawing>
                <wp:inline distT="0" distB="0" distL="0" distR="0" wp14:anchorId="051AA670" wp14:editId="6A6FC896">
                  <wp:extent cx="2998382" cy="214428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5846" cy="2142467"/>
                          </a:xfrm>
                          <a:prstGeom prst="rect">
                            <a:avLst/>
                          </a:prstGeom>
                          <a:noFill/>
                        </pic:spPr>
                      </pic:pic>
                    </a:graphicData>
                  </a:graphic>
                </wp:inline>
              </w:drawing>
            </w:r>
          </w:p>
        </w:tc>
      </w:tr>
    </w:tbl>
    <w:p w:rsidR="00823F06" w:rsidRDefault="00823F06">
      <w:pPr>
        <w:widowControl w:val="0"/>
        <w:spacing w:after="120" w:line="240" w:lineRule="auto"/>
        <w:jc w:val="both"/>
        <w:rPr>
          <w:rFonts w:cs="Times New Roman"/>
          <w:noProof/>
          <w:sz w:val="20"/>
          <w:szCs w:val="20"/>
        </w:rPr>
      </w:pPr>
    </w:p>
    <w:p w:rsidR="00823F06" w:rsidRDefault="0081280F">
      <w:pPr>
        <w:widowControl w:val="0"/>
        <w:spacing w:after="120" w:line="240" w:lineRule="auto"/>
        <w:jc w:val="both"/>
        <w:rPr>
          <w:rFonts w:cs="Times New Roman"/>
          <w:noProof/>
          <w:sz w:val="20"/>
          <w:szCs w:val="20"/>
        </w:rPr>
      </w:pPr>
      <w:r>
        <w:rPr>
          <w:rFonts w:cs="Times New Roman"/>
          <w:iCs/>
          <w:noProof/>
          <w:sz w:val="20"/>
          <w:szCs w:val="20"/>
        </w:rPr>
        <w:t>All grassland habitats and many of their associated species suffer from an unfavourable conservation status which indicates a substantial need for management and restoration of those habit</w:t>
      </w:r>
      <w:r>
        <w:rPr>
          <w:rFonts w:cs="Times New Roman"/>
          <w:iCs/>
          <w:noProof/>
          <w:sz w:val="20"/>
          <w:szCs w:val="20"/>
        </w:rPr>
        <w:t xml:space="preserve">ats as well as a need to enlarge nationally protected areas. </w:t>
      </w:r>
    </w:p>
    <w:p w:rsidR="00823F06" w:rsidRDefault="0081280F">
      <w:pPr>
        <w:widowControl w:val="0"/>
        <w:spacing w:after="120" w:line="240" w:lineRule="auto"/>
        <w:jc w:val="both"/>
        <w:rPr>
          <w:rFonts w:cs="Times New Roman"/>
          <w:iCs/>
          <w:noProof/>
          <w:sz w:val="20"/>
          <w:szCs w:val="20"/>
        </w:rPr>
      </w:pPr>
      <w:r>
        <w:rPr>
          <w:rFonts w:cs="Times New Roman"/>
          <w:iCs/>
          <w:noProof/>
          <w:sz w:val="20"/>
          <w:szCs w:val="20"/>
        </w:rPr>
        <w:t>Although Sweden has substantially invested in land purchase and compensation payments over the years to protect its forests (including use of LIFE funding), mainly in high latitude and high-alti</w:t>
      </w:r>
      <w:r>
        <w:rPr>
          <w:rFonts w:cs="Times New Roman"/>
          <w:iCs/>
          <w:noProof/>
          <w:sz w:val="20"/>
          <w:szCs w:val="20"/>
        </w:rPr>
        <w:t xml:space="preserve">tude areas in Sweden, the expert based assessment of the Article 17 reporting clearly recognises further need to increase protection of the various forest habitats, if to achieve targets related to a favourable conservation status. </w:t>
      </w:r>
    </w:p>
    <w:p w:rsidR="00823F06" w:rsidRDefault="0081280F">
      <w:pPr>
        <w:keepNext/>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823F06" w:rsidRDefault="0081280F">
      <w:pPr>
        <w:pStyle w:val="NoSpacing"/>
        <w:rPr>
          <w:noProof/>
        </w:rPr>
      </w:pPr>
      <w:r>
        <w:rPr>
          <w:noProof/>
        </w:rPr>
        <w:t>Complete the SAC designation process especially the marine component and put in place clearly defined conservation objectives and the necessary conservation measures for the sites and provide adequate resources for their implementation in order to maintain</w:t>
      </w:r>
      <w:r>
        <w:rPr>
          <w:noProof/>
        </w:rPr>
        <w:t>/restore species and habitats of community interest to a favourable conservation status across their natural range.</w:t>
      </w:r>
    </w:p>
    <w:p w:rsidR="00823F06" w:rsidRDefault="0081280F">
      <w:pPr>
        <w:pStyle w:val="NoSpacing"/>
        <w:rPr>
          <w:noProof/>
        </w:rPr>
      </w:pPr>
      <w:r>
        <w:rPr>
          <w:noProof/>
        </w:rPr>
        <w:t xml:space="preserve">Improve the conservation status of </w:t>
      </w:r>
      <w:r>
        <w:rPr>
          <w:noProof/>
          <w:szCs w:val="20"/>
        </w:rPr>
        <w:t xml:space="preserve">forest, grassland and dune </w:t>
      </w:r>
      <w:r>
        <w:rPr>
          <w:noProof/>
        </w:rPr>
        <w:t xml:space="preserve">habitats. </w:t>
      </w:r>
    </w:p>
    <w:p w:rsidR="00823F06" w:rsidRDefault="0081280F">
      <w:pPr>
        <w:widowControl w:val="0"/>
        <w:spacing w:before="360" w:after="120" w:line="240" w:lineRule="auto"/>
        <w:jc w:val="both"/>
        <w:outlineLvl w:val="1"/>
        <w:rPr>
          <w:rFonts w:cs="Times New Roman"/>
          <w:b/>
          <w:noProof/>
          <w:color w:val="1F497D" w:themeColor="text2"/>
        </w:rPr>
      </w:pPr>
      <w:bookmarkStart w:id="21" w:name="_Toc469478345"/>
      <w:r>
        <w:rPr>
          <w:rFonts w:cs="Times New Roman"/>
          <w:b/>
          <w:noProof/>
          <w:color w:val="1F497D" w:themeColor="text2"/>
        </w:rPr>
        <w:t>Estimating natural capital</w:t>
      </w:r>
      <w:bookmarkEnd w:id="21"/>
    </w:p>
    <w:p w:rsidR="00823F06" w:rsidRDefault="0081280F">
      <w:pPr>
        <w:widowControl w:val="0"/>
        <w:spacing w:after="120" w:line="240" w:lineRule="auto"/>
        <w:jc w:val="both"/>
        <w:rPr>
          <w:rFonts w:cs="Arial"/>
          <w:noProof/>
          <w:sz w:val="20"/>
        </w:rPr>
      </w:pPr>
      <w:r>
        <w:rPr>
          <w:rFonts w:cs="Arial"/>
          <w:noProof/>
          <w:sz w:val="20"/>
        </w:rPr>
        <w:t>The EU Biodiversity Strategy to 2020 cal</w:t>
      </w:r>
      <w:r>
        <w:rPr>
          <w:rFonts w:cs="Arial"/>
          <w:noProof/>
          <w:sz w:val="20"/>
        </w:rPr>
        <w:t>ls on the Member States to map and asses the state of ecosystems and their services in their national territory by 2014, assess the economic value of such services, and promote the integration of these values into accounting and reporting systems at EU and</w:t>
      </w:r>
      <w:r>
        <w:rPr>
          <w:rFonts w:cs="Arial"/>
          <w:noProof/>
          <w:sz w:val="20"/>
        </w:rPr>
        <w:t xml:space="preserve"> national level by 2020.</w:t>
      </w:r>
    </w:p>
    <w:p w:rsidR="00823F06" w:rsidRDefault="0081280F">
      <w:pPr>
        <w:widowControl w:val="0"/>
        <w:spacing w:after="120" w:line="240" w:lineRule="auto"/>
        <w:jc w:val="both"/>
        <w:rPr>
          <w:rFonts w:cs="Times New Roman"/>
          <w:noProof/>
          <w:sz w:val="20"/>
        </w:rPr>
      </w:pPr>
      <w:r>
        <w:rPr>
          <w:rFonts w:cs="Times New Roman"/>
          <w:iCs/>
          <w:noProof/>
          <w:sz w:val="20"/>
        </w:rPr>
        <w:t>Sweden has produced a preliminary report on its most important ecosystem services</w:t>
      </w:r>
      <w:r>
        <w:rPr>
          <w:rFonts w:cs="Times New Roman"/>
          <w:iCs/>
          <w:noProof/>
          <w:sz w:val="20"/>
          <w:vertAlign w:val="superscript"/>
        </w:rPr>
        <w:footnoteReference w:id="38"/>
      </w:r>
      <w:r>
        <w:rPr>
          <w:rFonts w:cs="Times New Roman"/>
          <w:iCs/>
          <w:noProof/>
          <w:sz w:val="20"/>
        </w:rPr>
        <w:t>. The inventory also considered pressures and driving forces that have an impact on the ecosystem services. Sweden will incorporate the ecosystem ser</w:t>
      </w:r>
      <w:r>
        <w:rPr>
          <w:rFonts w:cs="Times New Roman"/>
          <w:iCs/>
          <w:noProof/>
          <w:sz w:val="20"/>
        </w:rPr>
        <w:t>vices assessments within the regional action plans for Green Infrastructure. There are ongoing projects on capacity building and awareness raising about the value of ecosystem services, and a research programme “The value of ecosystems and their services”.</w:t>
      </w:r>
      <w:r>
        <w:rPr>
          <w:rFonts w:cs="Times New Roman"/>
          <w:iCs/>
          <w:noProof/>
          <w:sz w:val="20"/>
        </w:rPr>
        <w:t xml:space="preserve"> Statistics Sweden has been assigned to develop methods for including the value of ecosystem services in environmental accounting. These projects aim to contribute</w:t>
      </w:r>
      <w:r>
        <w:rPr>
          <w:rFonts w:cs="Times New Roman"/>
          <w:noProof/>
          <w:sz w:val="20"/>
        </w:rPr>
        <w:t xml:space="preserve"> to one of the milestone targets of Sweden’s system of environmental objectives: "by 2018, th</w:t>
      </w:r>
      <w:r>
        <w:rPr>
          <w:rFonts w:cs="Times New Roman"/>
          <w:noProof/>
          <w:sz w:val="20"/>
        </w:rPr>
        <w:t>e importance of biodiversity and the value of ecosystem services are to be generally known and integrated into economic positions, political considerations and other decisions in society where it is relevant and reasonable to do so".</w:t>
      </w:r>
    </w:p>
    <w:p w:rsidR="00823F06" w:rsidRDefault="0081280F">
      <w:pPr>
        <w:keepNext/>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823F06" w:rsidRDefault="0081280F">
      <w:pPr>
        <w:widowControl w:val="0"/>
        <w:spacing w:after="120" w:line="240" w:lineRule="auto"/>
        <w:jc w:val="both"/>
        <w:rPr>
          <w:rFonts w:cs="Times New Roman"/>
          <w:noProof/>
          <w:sz w:val="20"/>
        </w:rPr>
      </w:pPr>
      <w:r>
        <w:rPr>
          <w:rFonts w:cs="Times New Roman"/>
          <w:noProof/>
          <w:sz w:val="20"/>
        </w:rPr>
        <w:t>Conti</w:t>
      </w:r>
      <w:r>
        <w:rPr>
          <w:rFonts w:cs="Times New Roman"/>
          <w:noProof/>
          <w:sz w:val="20"/>
        </w:rPr>
        <w:t>nue support to the mapping and assessment of ecosystems and their services, valuation and development of natural capital accounting systems.</w:t>
      </w:r>
    </w:p>
    <w:p w:rsidR="00823F06" w:rsidRDefault="0081280F">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5D6F21A5" wp14:editId="0B6A9A26">
            <wp:extent cx="2984740" cy="1946873"/>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landscape iStock_67397339_SMAL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92517" cy="1951946"/>
                    </a:xfrm>
                    <a:prstGeom prst="rect">
                      <a:avLst/>
                    </a:prstGeom>
                  </pic:spPr>
                </pic:pic>
              </a:graphicData>
            </a:graphic>
          </wp:inline>
        </w:drawing>
      </w:r>
    </w:p>
    <w:p w:rsidR="00823F06" w:rsidRDefault="0081280F">
      <w:pPr>
        <w:widowControl w:val="0"/>
        <w:spacing w:before="360" w:after="120" w:line="240" w:lineRule="auto"/>
        <w:jc w:val="both"/>
        <w:outlineLvl w:val="1"/>
        <w:rPr>
          <w:rFonts w:cs="Times New Roman"/>
          <w:b/>
          <w:noProof/>
          <w:color w:val="1F497D" w:themeColor="text2"/>
          <w:sz w:val="24"/>
          <w:lang w:eastAsia="en-GB"/>
        </w:rPr>
      </w:pPr>
      <w:bookmarkStart w:id="22" w:name="_Toc454460679"/>
      <w:bookmarkStart w:id="23" w:name="_Toc469478346"/>
      <w:bookmarkStart w:id="24" w:name="_Toc433296162"/>
      <w:bookmarkEnd w:id="20"/>
      <w:r>
        <w:rPr>
          <w:rFonts w:cs="Times New Roman"/>
          <w:b/>
          <w:noProof/>
          <w:color w:val="1F497D" w:themeColor="text2"/>
          <w:sz w:val="24"/>
          <w:lang w:eastAsia="en-GB"/>
        </w:rPr>
        <w:t>Green Infrastructure</w:t>
      </w:r>
      <w:bookmarkEnd w:id="22"/>
      <w:bookmarkEnd w:id="23"/>
      <w:r>
        <w:rPr>
          <w:rFonts w:cs="Times New Roman"/>
          <w:b/>
          <w:noProof/>
          <w:color w:val="1F497D" w:themeColor="text2"/>
          <w:sz w:val="24"/>
          <w:lang w:eastAsia="en-GB"/>
        </w:rPr>
        <w:t xml:space="preserve"> </w:t>
      </w:r>
    </w:p>
    <w:p w:rsidR="00823F06" w:rsidRDefault="0081280F">
      <w:pPr>
        <w:widowControl w:val="0"/>
        <w:shd w:val="clear" w:color="auto" w:fill="4F81BD" w:themeFill="accent1"/>
        <w:spacing w:before="240"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39"/>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infrastructure</w:t>
      </w:r>
      <w:r>
        <w:rPr>
          <w:rFonts w:ascii="Calibri" w:eastAsia="Calibri" w:hAnsi="Calibri" w:cs="Times New Roman"/>
          <w:noProof/>
          <w:color w:val="FFFFFF" w:themeColor="background1"/>
          <w:sz w:val="20"/>
          <w:lang w:eastAsia="ar-SA"/>
        </w:rPr>
        <w:t xml:space="preserve"> into related plans and programmes to help overcome fragmentation of habitats and preserve or restore ecological connectivity, enhance ecosystem resilience and thereby ensure the continued provision of ecosystem services.</w:t>
      </w:r>
    </w:p>
    <w:p w:rsidR="00823F06" w:rsidRDefault="0081280F">
      <w:pPr>
        <w:widowControl w:val="0"/>
        <w:spacing w:after="120" w:line="240" w:lineRule="auto"/>
        <w:jc w:val="both"/>
        <w:rPr>
          <w:rFonts w:cs="Times New Roman"/>
          <w:noProof/>
          <w:sz w:val="20"/>
        </w:rPr>
      </w:pPr>
      <w:r>
        <w:rPr>
          <w:rFonts w:cs="Times New Roman"/>
          <w:noProof/>
          <w:sz w:val="20"/>
        </w:rPr>
        <w:t>Green Infrastructure provides ecol</w:t>
      </w:r>
      <w:r>
        <w:rPr>
          <w:rFonts w:cs="Times New Roman"/>
          <w:noProof/>
          <w:sz w:val="20"/>
        </w:rPr>
        <w:t>ogical, economic and social benefits through natural solutions. It helps to understand the value of the benefits that nature provides to human society and to mobilise investments to sustain and enhance them.</w:t>
      </w:r>
    </w:p>
    <w:p w:rsidR="00823F06" w:rsidRDefault="0081280F">
      <w:pPr>
        <w:widowControl w:val="0"/>
        <w:spacing w:after="120" w:line="240" w:lineRule="auto"/>
        <w:jc w:val="both"/>
        <w:rPr>
          <w:rFonts w:cs="Times New Roman"/>
          <w:noProof/>
          <w:sz w:val="20"/>
        </w:rPr>
      </w:pPr>
      <w:r>
        <w:rPr>
          <w:rFonts w:cs="Times New Roman"/>
          <w:noProof/>
          <w:sz w:val="20"/>
        </w:rPr>
        <w:t xml:space="preserve">A planned national strategy for the building of </w:t>
      </w:r>
      <w:r>
        <w:rPr>
          <w:rFonts w:cs="Times New Roman"/>
          <w:noProof/>
          <w:sz w:val="20"/>
        </w:rPr>
        <w:t>a green infrastructure will constitute a tool for a more detailed identification of ecosystem services</w:t>
      </w:r>
      <w:r>
        <w:rPr>
          <w:rFonts w:cs="Times New Roman"/>
          <w:noProof/>
          <w:sz w:val="20"/>
          <w:vertAlign w:val="superscript"/>
        </w:rPr>
        <w:footnoteReference w:id="40"/>
      </w:r>
      <w:r>
        <w:rPr>
          <w:rFonts w:cs="Times New Roman"/>
          <w:noProof/>
          <w:sz w:val="20"/>
        </w:rPr>
        <w:t>, and for the management of landscape structure and function that will promote the continued delivery of ecosystem services. The proposed strategy includ</w:t>
      </w:r>
      <w:r>
        <w:rPr>
          <w:rFonts w:cs="Times New Roman"/>
          <w:noProof/>
          <w:sz w:val="20"/>
        </w:rPr>
        <w:t>es a landscape analysis of the spatial distribution and connectivity of important habitats, with the aim to maintain and restore sufficient natural habitats for the conservation of biodiversity and ecosystem services.</w:t>
      </w:r>
    </w:p>
    <w:p w:rsidR="00823F06" w:rsidRDefault="0081280F">
      <w:pPr>
        <w:widowControl w:val="0"/>
        <w:shd w:val="clear" w:color="auto" w:fill="FFFFFF"/>
        <w:spacing w:after="120" w:line="240" w:lineRule="auto"/>
        <w:jc w:val="both"/>
        <w:rPr>
          <w:rFonts w:eastAsia="Times New Roman" w:cs="Times New Roman"/>
          <w:noProof/>
          <w:sz w:val="24"/>
          <w:szCs w:val="20"/>
          <w:lang w:eastAsia="en-GB"/>
        </w:rPr>
      </w:pPr>
      <w:r>
        <w:rPr>
          <w:rFonts w:cs="Times New Roman"/>
          <w:noProof/>
          <w:sz w:val="20"/>
        </w:rPr>
        <w:t>The Swedish Environmental Protection A</w:t>
      </w:r>
      <w:r>
        <w:rPr>
          <w:rFonts w:cs="Times New Roman"/>
          <w:noProof/>
          <w:sz w:val="20"/>
        </w:rPr>
        <w:t xml:space="preserve">gency (together with other government agencies) performed a review of policy instruments in the context of the preparation of the national strategy for the building of a green infrastructure. The report reviewed about a hundred different relevant existing </w:t>
      </w:r>
      <w:r>
        <w:rPr>
          <w:rFonts w:cs="Times New Roman"/>
          <w:noProof/>
          <w:sz w:val="20"/>
        </w:rPr>
        <w:t>policy instruments. There is a need to revise some instruments, as well as to create new instruments. Policy instruments that regulate the current use of land and water bodies need to be strengthened to achieve sustainable use in a landscape perspective</w:t>
      </w:r>
      <w:r>
        <w:rPr>
          <w:rFonts w:cs="Times New Roman"/>
          <w:noProof/>
          <w:sz w:val="24"/>
          <w:szCs w:val="24"/>
        </w:rPr>
        <w:t>.</w:t>
      </w:r>
    </w:p>
    <w:p w:rsidR="00823F06" w:rsidRDefault="0081280F">
      <w:pPr>
        <w:widowControl w:val="0"/>
        <w:spacing w:before="360" w:after="120" w:line="240" w:lineRule="auto"/>
        <w:jc w:val="both"/>
        <w:outlineLvl w:val="1"/>
        <w:rPr>
          <w:rFonts w:cs="Times New Roman"/>
          <w:b/>
          <w:noProof/>
          <w:color w:val="1F497D" w:themeColor="text2"/>
          <w:sz w:val="24"/>
        </w:rPr>
      </w:pPr>
      <w:bookmarkStart w:id="25" w:name="_Toc469478347"/>
      <w:r>
        <w:rPr>
          <w:rFonts w:cs="Times New Roman"/>
          <w:b/>
          <w:noProof/>
          <w:color w:val="1F497D" w:themeColor="text2"/>
          <w:sz w:val="24"/>
        </w:rPr>
        <w:t>S</w:t>
      </w:r>
      <w:r>
        <w:rPr>
          <w:rFonts w:cs="Times New Roman"/>
          <w:b/>
          <w:noProof/>
          <w:color w:val="1F497D" w:themeColor="text2"/>
          <w:sz w:val="24"/>
        </w:rPr>
        <w:t>oil protection</w:t>
      </w:r>
      <w:bookmarkEnd w:id="24"/>
      <w:bookmarkEnd w:id="25"/>
      <w:r>
        <w:rPr>
          <w:rFonts w:cs="Times New Roman"/>
          <w:b/>
          <w:noProof/>
          <w:color w:val="1F497D" w:themeColor="text2"/>
          <w:sz w:val="24"/>
        </w:rPr>
        <w:t xml:space="preserve"> </w:t>
      </w:r>
    </w:p>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Soil Thematic Strategy highlights the need to ensure a sustainable use of soils. This requires the prevention of further soil degradation and the preservation of its functions, as well as the restoration of degraded soils. The 2011 R</w:t>
      </w:r>
      <w:r>
        <w:rPr>
          <w:rFonts w:cs="Times New Roman"/>
          <w:noProof/>
          <w:color w:val="FFFFFF" w:themeColor="background1"/>
          <w:sz w:val="20"/>
        </w:rPr>
        <w:t>oad Map for Resource-Efficient Europe, part of Europe 2020 Strategy provides that by 2020, EU policies take into account their direct and indirect impact on land use in the EU and globally, and the rate of land take is on track with an aim to achieve no ne</w:t>
      </w:r>
      <w:r>
        <w:rPr>
          <w:rFonts w:cs="Times New Roman"/>
          <w:noProof/>
          <w:color w:val="FFFFFF" w:themeColor="background1"/>
          <w:sz w:val="20"/>
        </w:rPr>
        <w:t>t land take by 2050.</w:t>
      </w:r>
    </w:p>
    <w:p w:rsidR="00823F06" w:rsidRDefault="0081280F">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 2030.</w:t>
      </w:r>
    </w:p>
    <w:p w:rsidR="00823F06" w:rsidRDefault="0081280F">
      <w:pPr>
        <w:widowControl w:val="0"/>
        <w:spacing w:before="120" w:after="120" w:line="240" w:lineRule="auto"/>
        <w:jc w:val="both"/>
        <w:rPr>
          <w:noProof/>
          <w:sz w:val="20"/>
          <w:lang w:eastAsia="en-GB"/>
        </w:rPr>
      </w:pPr>
      <w:r>
        <w:rPr>
          <w:noProof/>
          <w:sz w:val="20"/>
          <w:lang w:eastAsia="en-GB"/>
        </w:rPr>
        <w:t xml:space="preserve">Soil is an important </w:t>
      </w:r>
      <w:r>
        <w:rPr>
          <w:noProof/>
          <w:sz w:val="20"/>
          <w:lang w:eastAsia="en-GB"/>
        </w:rPr>
        <w:t>resource for life and the economy. It provides key ecosystem services including the provision of food, fibre and biomass for renewable energy, carbon sequestration, water purification and flood regulation, the provision of raw and building material. Soil i</w:t>
      </w:r>
      <w:r>
        <w:rPr>
          <w:noProof/>
          <w:sz w:val="20"/>
          <w:lang w:eastAsia="en-GB"/>
        </w:rPr>
        <w:t>s a finite and extremely fragile resource and increasingly degrading in the EU. Land taken by urban development and infrastructure is highly unlikely to be reverted to its natural state; it consumes mostly agricultural land and increases fragmentation of h</w:t>
      </w:r>
      <w:r>
        <w:rPr>
          <w:noProof/>
          <w:sz w:val="20"/>
          <w:lang w:eastAsia="en-GB"/>
        </w:rPr>
        <w:t>abitats. Soil protection is indirectly addressed in existing EU policies in areas such as agriculture, water, waste, chemicals, and prevention of industrial pollution.</w:t>
      </w:r>
    </w:p>
    <w:p w:rsidR="00823F06" w:rsidRDefault="0081280F">
      <w:pPr>
        <w:widowControl w:val="0"/>
        <w:spacing w:after="120" w:line="240" w:lineRule="auto"/>
        <w:jc w:val="both"/>
        <w:rPr>
          <w:rFonts w:ascii="Calibri" w:eastAsia="Calibri" w:hAnsi="Calibri" w:cs="Times New Roman"/>
          <w:noProof/>
          <w:sz w:val="20"/>
          <w:szCs w:val="20"/>
        </w:rPr>
      </w:pPr>
      <w:r>
        <w:rPr>
          <w:rFonts w:ascii="Calibri" w:eastAsia="Calibri" w:hAnsi="Calibri" w:cs="Times New Roman"/>
          <w:noProof/>
          <w:sz w:val="20"/>
          <w:szCs w:val="20"/>
        </w:rPr>
        <w:t xml:space="preserve">The annual land take rate (growth of artificial areas) as provided by CORINE Land Cover </w:t>
      </w:r>
      <w:r>
        <w:rPr>
          <w:rFonts w:ascii="Calibri" w:eastAsia="Calibri" w:hAnsi="Calibri" w:cs="Times New Roman"/>
          <w:noProof/>
          <w:sz w:val="20"/>
          <w:szCs w:val="20"/>
        </w:rPr>
        <w:t>was 0.36% in Sweden over the period 2006-12, well below the EU average (0.41%). It represented 2328 hectares per year mainly driven by housing, services and recreation as well as transport and infrastructures</w:t>
      </w:r>
      <w:r>
        <w:rPr>
          <w:rFonts w:ascii="Calibri" w:eastAsia="Calibri" w:hAnsi="Calibri" w:cs="Times New Roman"/>
          <w:noProof/>
          <w:sz w:val="20"/>
          <w:szCs w:val="20"/>
          <w:vertAlign w:val="superscript"/>
        </w:rPr>
        <w:footnoteReference w:id="41"/>
      </w:r>
      <w:r>
        <w:rPr>
          <w:rFonts w:ascii="Calibri" w:eastAsia="Calibri" w:hAnsi="Calibri" w:cs="Times New Roman"/>
          <w:noProof/>
          <w:sz w:val="20"/>
          <w:szCs w:val="20"/>
        </w:rPr>
        <w:t>.</w:t>
      </w:r>
    </w:p>
    <w:p w:rsidR="00823F06" w:rsidRDefault="0081280F">
      <w:pPr>
        <w:widowControl w:val="0"/>
        <w:spacing w:after="120" w:line="240" w:lineRule="auto"/>
        <w:jc w:val="both"/>
        <w:rPr>
          <w:rFonts w:cs="Times New Roman"/>
          <w:noProof/>
          <w:sz w:val="20"/>
        </w:rPr>
      </w:pPr>
      <w:r>
        <w:rPr>
          <w:rFonts w:cs="Times New Roman"/>
          <w:noProof/>
          <w:sz w:val="20"/>
        </w:rPr>
        <w:t>Artificial land cover is used for settlements</w:t>
      </w:r>
      <w:r>
        <w:rPr>
          <w:rFonts w:cs="Times New Roman"/>
          <w:noProof/>
          <w:sz w:val="20"/>
        </w:rPr>
        <w:t xml:space="preserve">, production systems and infrastructure. It may itself be split between built-up areas (buildings) and non-built-up areas (such as linear transport networks and associated areas). </w:t>
      </w:r>
      <w:r>
        <w:rPr>
          <w:rFonts w:cs="Times New Roman"/>
          <w:noProof/>
          <w:sz w:val="20"/>
          <w:szCs w:val="20"/>
        </w:rPr>
        <w:t xml:space="preserve">The percentage of built up land in 2009 was </w:t>
      </w:r>
      <w:r>
        <w:rPr>
          <w:rFonts w:cs="Times New Roman"/>
          <w:noProof/>
          <w:sz w:val="20"/>
        </w:rPr>
        <w:t>0.48</w:t>
      </w:r>
      <w:r>
        <w:rPr>
          <w:rFonts w:cs="Times New Roman"/>
          <w:noProof/>
          <w:sz w:val="20"/>
          <w:szCs w:val="20"/>
        </w:rPr>
        <w:t xml:space="preserve">%, </w:t>
      </w:r>
      <w:r>
        <w:rPr>
          <w:rFonts w:cs="Times New Roman"/>
          <w:noProof/>
          <w:sz w:val="20"/>
        </w:rPr>
        <w:t>well below</w:t>
      </w:r>
      <w:r>
        <w:rPr>
          <w:rFonts w:cs="Times New Roman"/>
          <w:noProof/>
          <w:sz w:val="20"/>
          <w:szCs w:val="20"/>
        </w:rPr>
        <w:t xml:space="preserve"> the EU average</w:t>
      </w:r>
      <w:r>
        <w:rPr>
          <w:rFonts w:cs="Times New Roman"/>
          <w:noProof/>
          <w:sz w:val="20"/>
          <w:szCs w:val="20"/>
        </w:rPr>
        <w:t xml:space="preserve"> (3.23%)</w:t>
      </w:r>
      <w:r>
        <w:rPr>
          <w:rFonts w:cs="Times New Roman"/>
          <w:noProof/>
          <w:sz w:val="20"/>
          <w:vertAlign w:val="superscript"/>
        </w:rPr>
        <w:footnoteReference w:id="42"/>
      </w:r>
      <w:r>
        <w:rPr>
          <w:rFonts w:cs="Times New Roman"/>
          <w:noProof/>
          <w:sz w:val="20"/>
        </w:rPr>
        <w:t>.</w:t>
      </w:r>
    </w:p>
    <w:p w:rsidR="00823F06" w:rsidRDefault="0081280F">
      <w:pPr>
        <w:widowControl w:val="0"/>
        <w:spacing w:after="120" w:line="240" w:lineRule="auto"/>
        <w:jc w:val="both"/>
        <w:rPr>
          <w:rFonts w:cs="Times New Roman"/>
          <w:i/>
          <w:noProof/>
          <w:sz w:val="20"/>
          <w:szCs w:val="20"/>
        </w:rPr>
      </w:pPr>
      <w:r>
        <w:rPr>
          <w:rFonts w:cs="Times New Roman"/>
          <w:noProof/>
          <w:sz w:val="20"/>
          <w:szCs w:val="20"/>
        </w:rPr>
        <w:t xml:space="preserve">The soil water erosion rate in 2010 was </w:t>
      </w:r>
      <w:r>
        <w:rPr>
          <w:rFonts w:cs="Times New Roman"/>
          <w:noProof/>
          <w:sz w:val="20"/>
        </w:rPr>
        <w:t>0.41</w:t>
      </w:r>
      <w:r>
        <w:rPr>
          <w:rFonts w:cs="Times New Roman"/>
          <w:noProof/>
          <w:sz w:val="20"/>
          <w:szCs w:val="20"/>
        </w:rPr>
        <w:t xml:space="preserve"> tonnes per ha per year, </w:t>
      </w:r>
      <w:r>
        <w:rPr>
          <w:rFonts w:cs="Times New Roman"/>
          <w:noProof/>
          <w:sz w:val="20"/>
        </w:rPr>
        <w:t>well below</w:t>
      </w:r>
      <w:r>
        <w:rPr>
          <w:rFonts w:cs="Times New Roman"/>
          <w:noProof/>
          <w:sz w:val="20"/>
          <w:szCs w:val="20"/>
        </w:rPr>
        <w:t xml:space="preserve"> EU28 average (2.46 tonnes)</w:t>
      </w:r>
      <w:r>
        <w:rPr>
          <w:rFonts w:cs="Times New Roman"/>
          <w:noProof/>
          <w:sz w:val="20"/>
          <w:szCs w:val="20"/>
          <w:vertAlign w:val="superscript"/>
        </w:rPr>
        <w:t xml:space="preserve"> </w:t>
      </w:r>
      <w:r>
        <w:rPr>
          <w:rFonts w:cs="Times New Roman"/>
          <w:noProof/>
          <w:sz w:val="20"/>
          <w:szCs w:val="20"/>
          <w:vertAlign w:val="superscript"/>
        </w:rPr>
        <w:footnoteReference w:id="43"/>
      </w:r>
      <w:r>
        <w:rPr>
          <w:rFonts w:cs="Times New Roman"/>
          <w:noProof/>
          <w:sz w:val="20"/>
          <w:szCs w:val="20"/>
        </w:rPr>
        <w:t>.</w:t>
      </w:r>
    </w:p>
    <w:p w:rsidR="00823F06" w:rsidRDefault="0081280F">
      <w:pPr>
        <w:widowControl w:val="0"/>
        <w:spacing w:after="120" w:line="240" w:lineRule="auto"/>
        <w:jc w:val="both"/>
        <w:rPr>
          <w:rFonts w:cs="Times New Roman"/>
          <w:noProof/>
          <w:sz w:val="20"/>
        </w:rPr>
      </w:pPr>
      <w:r>
        <w:rPr>
          <w:rFonts w:cs="Times New Roman"/>
          <w:noProof/>
          <w:sz w:val="20"/>
        </w:rPr>
        <w:t>Figure 8 shows the different land cover types in Sweden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keepNext/>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Sweden in 2012</w:t>
            </w:r>
            <w:r>
              <w:rPr>
                <w:rFonts w:cs="Times New Roman"/>
                <w:b/>
                <w:bCs/>
                <w:noProof/>
                <w:color w:val="1F497D" w:themeColor="text2"/>
                <w:sz w:val="20"/>
                <w:vertAlign w:val="superscript"/>
              </w:rPr>
              <w:footnoteReference w:id="44"/>
            </w:r>
          </w:p>
        </w:tc>
      </w:tr>
      <w:tr w:rsidR="00823F06">
        <w:tc>
          <w:tcPr>
            <w:tcW w:w="4909" w:type="dxa"/>
          </w:tcPr>
          <w:p w:rsidR="00823F06" w:rsidRDefault="0081280F">
            <w:pPr>
              <w:widowControl w:val="0"/>
              <w:spacing w:after="120"/>
              <w:jc w:val="both"/>
              <w:rPr>
                <w:rFonts w:cs="Times New Roman"/>
                <w:b/>
                <w:bCs/>
                <w:noProof/>
                <w:color w:val="1F497D" w:themeColor="text2"/>
                <w:sz w:val="20"/>
              </w:rPr>
            </w:pPr>
            <w:r>
              <w:rPr>
                <w:rFonts w:ascii="Arial" w:hAnsi="Arial" w:cs="Arial"/>
                <w:noProof/>
                <w:sz w:val="20"/>
                <w:szCs w:val="20"/>
                <w:lang w:eastAsia="en-GB"/>
              </w:rPr>
              <w:drawing>
                <wp:inline distT="0" distB="0" distL="0" distR="0" wp14:anchorId="13A86A2A" wp14:editId="3EFD963D">
                  <wp:extent cx="3067050" cy="3648075"/>
                  <wp:effectExtent l="0" t="0" r="0" b="9525"/>
                  <wp:docPr id="25" name="Picture 25" descr="SE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_CS_CLC_ty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7050" cy="3648075"/>
                          </a:xfrm>
                          <a:prstGeom prst="rect">
                            <a:avLst/>
                          </a:prstGeom>
                          <a:noFill/>
                          <a:ln>
                            <a:noFill/>
                          </a:ln>
                        </pic:spPr>
                      </pic:pic>
                    </a:graphicData>
                  </a:graphic>
                </wp:inline>
              </w:drawing>
            </w:r>
          </w:p>
        </w:tc>
      </w:tr>
    </w:tbl>
    <w:p w:rsidR="00823F06" w:rsidRDefault="0081280F">
      <w:pPr>
        <w:spacing w:after="120" w:line="240" w:lineRule="auto"/>
        <w:jc w:val="both"/>
        <w:rPr>
          <w:rFonts w:cs="Times New Roman"/>
          <w:noProof/>
          <w:sz w:val="20"/>
          <w:lang w:eastAsia="en-GB"/>
        </w:rPr>
      </w:pPr>
      <w:bookmarkStart w:id="26" w:name="_Toc454460681"/>
      <w:r>
        <w:rPr>
          <w:rFonts w:cs="Times New Roman"/>
          <w:noProof/>
          <w:sz w:val="20"/>
          <w:lang w:eastAsia="en-GB"/>
        </w:rPr>
        <w:t xml:space="preserve">There are still not EU-wide datasets enabling the provision of benchmark indicators for soil organic matter decline, contaminated sites, pressures on soil biology and diffuse pollution. </w:t>
      </w:r>
      <w:r>
        <w:rPr>
          <w:rFonts w:cs="Times New Roman"/>
          <w:noProof/>
          <w:sz w:val="20"/>
        </w:rPr>
        <w:t>An updated inventory and assessment of soil protection policy instrume</w:t>
      </w:r>
      <w:r>
        <w:rPr>
          <w:rFonts w:cs="Times New Roman"/>
          <w:noProof/>
          <w:sz w:val="20"/>
        </w:rPr>
        <w:t>nts in Sweden and other EU Member States is being performed by the EU Expert Group on Soil Protection.</w:t>
      </w:r>
    </w:p>
    <w:p w:rsidR="00823F06" w:rsidRDefault="0081280F">
      <w:pPr>
        <w:widowControl w:val="0"/>
        <w:spacing w:before="360" w:after="120" w:line="240" w:lineRule="auto"/>
        <w:jc w:val="both"/>
        <w:outlineLvl w:val="1"/>
        <w:rPr>
          <w:rFonts w:cs="Times New Roman"/>
          <w:b/>
          <w:noProof/>
          <w:color w:val="1F497D" w:themeColor="text2"/>
          <w:sz w:val="24"/>
          <w:lang w:eastAsia="en-GB"/>
        </w:rPr>
      </w:pPr>
      <w:bookmarkStart w:id="27" w:name="_Toc469478348"/>
      <w:r>
        <w:rPr>
          <w:rFonts w:cs="Times New Roman"/>
          <w:b/>
          <w:noProof/>
          <w:color w:val="1F497D" w:themeColor="text2"/>
          <w:sz w:val="24"/>
          <w:lang w:eastAsia="en-GB"/>
        </w:rPr>
        <w:t>Marine protection</w:t>
      </w:r>
      <w:bookmarkEnd w:id="26"/>
      <w:bookmarkEnd w:id="27"/>
    </w:p>
    <w:p w:rsidR="00823F06" w:rsidRDefault="008128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Coastal and Marine Policy and legislation require that by 2020 the impact of pressures on marine waters is reduced to achieve or</w:t>
      </w:r>
      <w:r>
        <w:rPr>
          <w:rFonts w:cs="Times New Roman"/>
          <w:noProof/>
          <w:color w:val="FFFFFF" w:themeColor="background1"/>
          <w:sz w:val="20"/>
        </w:rPr>
        <w:t xml:space="preserve"> maintain good environmental status and coastal zones are managed sustainably.</w:t>
      </w:r>
    </w:p>
    <w:p w:rsidR="00823F06" w:rsidRDefault="008128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823F06" w:rsidRDefault="0081280F">
      <w:pPr>
        <w:widowControl w:val="0"/>
        <w:spacing w:after="120" w:line="240" w:lineRule="auto"/>
        <w:jc w:val="both"/>
        <w:rPr>
          <w:rFonts w:cs="Times New Roman"/>
          <w:noProof/>
          <w:sz w:val="20"/>
        </w:rPr>
      </w:pPr>
      <w:r>
        <w:rPr>
          <w:rFonts w:cs="Times New Roman"/>
          <w:noProof/>
          <w:sz w:val="20"/>
        </w:rPr>
        <w:t>The Marine Strategy Framework Directive (MSFD)</w:t>
      </w:r>
      <w:r>
        <w:rPr>
          <w:rFonts w:cs="Times New Roman"/>
          <w:noProof/>
          <w:sz w:val="20"/>
          <w:vertAlign w:val="superscript"/>
        </w:rPr>
        <w:footnoteReference w:id="45"/>
      </w:r>
      <w:r>
        <w:rPr>
          <w:rFonts w:cs="Times New Roman"/>
          <w:noProof/>
          <w:sz w:val="20"/>
        </w:rPr>
        <w:t xml:space="preserve"> aims</w:t>
      </w:r>
      <w:r>
        <w:rPr>
          <w:rFonts w:cs="Times New Roman"/>
          <w:noProof/>
          <w:sz w:val="20"/>
        </w:rPr>
        <w:t xml:space="preserve"> to achieve Good Environmental Status (GES) of the EU's marine waters by 2020 by</w:t>
      </w:r>
      <w:r>
        <w:rPr>
          <w:rFonts w:cs="Times New Roman"/>
          <w:noProof/>
          <w:sz w:val="20"/>
          <w:lang w:val="en"/>
        </w:rPr>
        <w:t xml:space="preserve"> providing an ecosystem approach to the management of human activities with impact on the marine environment</w:t>
      </w:r>
      <w:r>
        <w:rPr>
          <w:rFonts w:cs="Times New Roman"/>
          <w:noProof/>
          <w:sz w:val="20"/>
        </w:rPr>
        <w:t xml:space="preserve">. The Directive requires Member States to develop and implement a </w:t>
      </w:r>
      <w:r>
        <w:rPr>
          <w:rFonts w:cs="Times New Roman"/>
          <w:noProof/>
          <w:sz w:val="20"/>
        </w:rPr>
        <w:t>marine strategy for their marine waters, and cooperate with Member States sharing the same marine region or subregion.</w:t>
      </w:r>
    </w:p>
    <w:p w:rsidR="00823F06" w:rsidRDefault="0081280F">
      <w:pPr>
        <w:widowControl w:val="0"/>
        <w:spacing w:after="120" w:line="240" w:lineRule="auto"/>
        <w:jc w:val="both"/>
        <w:rPr>
          <w:rFonts w:cs="Times New Roman"/>
          <w:noProof/>
          <w:color w:val="FF0000"/>
          <w:sz w:val="20"/>
        </w:rPr>
      </w:pPr>
      <w:r>
        <w:rPr>
          <w:rFonts w:cs="Times New Roman"/>
          <w:noProof/>
          <w:sz w:val="20"/>
        </w:rPr>
        <w:t>As part of their marine strategies, Member States had to make an initial assessment of their marine waters, determine GES</w:t>
      </w:r>
      <w:r>
        <w:rPr>
          <w:rFonts w:cs="Times New Roman"/>
          <w:noProof/>
          <w:sz w:val="20"/>
          <w:vertAlign w:val="superscript"/>
        </w:rPr>
        <w:footnoteReference w:id="46"/>
      </w:r>
      <w:r>
        <w:rPr>
          <w:rFonts w:cs="Times New Roman"/>
          <w:noProof/>
          <w:sz w:val="20"/>
        </w:rPr>
        <w:t xml:space="preserve"> and establish </w:t>
      </w:r>
      <w:r>
        <w:rPr>
          <w:rFonts w:cs="Times New Roman"/>
          <w:noProof/>
          <w:sz w:val="20"/>
        </w:rPr>
        <w:t>environmental targets by July 2012. They also had to establish monitoring programmes for the on-going assessment of their marine waters by July 2014. The next element of their marine strategy is to establish a Programme of Measures (2016). The Commission a</w:t>
      </w:r>
      <w:r>
        <w:rPr>
          <w:rFonts w:cs="Times New Roman"/>
          <w:noProof/>
          <w:sz w:val="20"/>
        </w:rPr>
        <w:t>ssesses whether these elements constitute an appropriate framework to meet the requirements of the MSFD.</w:t>
      </w:r>
    </w:p>
    <w:p w:rsidR="00823F06" w:rsidRDefault="0081280F">
      <w:pPr>
        <w:widowControl w:val="0"/>
        <w:spacing w:after="120" w:line="240" w:lineRule="auto"/>
        <w:jc w:val="both"/>
        <w:rPr>
          <w:rFonts w:ascii="Times New Roman" w:hAnsi="Times New Roman" w:cs="Times New Roman"/>
          <w:noProof/>
          <w:sz w:val="24"/>
          <w:szCs w:val="24"/>
          <w:lang w:eastAsia="en-GB"/>
        </w:rPr>
      </w:pPr>
      <w:r>
        <w:rPr>
          <w:rFonts w:cs="Times New Roman"/>
          <w:noProof/>
          <w:sz w:val="20"/>
          <w:lang w:eastAsia="en-GB"/>
        </w:rPr>
        <w:drawing>
          <wp:inline distT="0" distB="0" distL="0" distR="0" wp14:anchorId="217978DB" wp14:editId="4C1E231A">
            <wp:extent cx="2980055" cy="19951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980055" cy="1995170"/>
                    </a:xfrm>
                    <a:prstGeom prst="rect">
                      <a:avLst/>
                    </a:prstGeom>
                  </pic:spPr>
                </pic:pic>
              </a:graphicData>
            </a:graphic>
          </wp:inline>
        </w:drawing>
      </w:r>
      <w:r>
        <w:rPr>
          <w:rFonts w:cs="Times New Roman"/>
          <w:noProof/>
          <w:sz w:val="20"/>
        </w:rPr>
        <w:t>The Swedish marine waters are part of two marine regions, the North-East Atlantic Ocean and the Baltic Sea. Sweden is therefore party to both the Conv</w:t>
      </w:r>
      <w:r>
        <w:rPr>
          <w:rFonts w:cs="Times New Roman"/>
          <w:noProof/>
          <w:sz w:val="20"/>
        </w:rPr>
        <w:t>ention for the protection of the marine environment of the North-East Atlantic (OSPAR Convention) and the Convention on the Protection of the Marine Environment of the Baltic Sea (HELCOM). The North Sea is one of the busiest maritime areas, also subject to</w:t>
      </w:r>
      <w:r>
        <w:rPr>
          <w:rFonts w:cs="Times New Roman"/>
          <w:noProof/>
          <w:sz w:val="20"/>
        </w:rPr>
        <w:t xml:space="preserve"> eutrophication, and the coastal zone is used intensively for recreation. In addition, there is extensive fishing by bottom trawling which causes damage to the sea-floor and is a threat to its biodiversity, particularly in open sea areas. In the Baltic Sea</w:t>
      </w:r>
      <w:r>
        <w:rPr>
          <w:rFonts w:cs="Times New Roman"/>
          <w:noProof/>
          <w:sz w:val="20"/>
        </w:rPr>
        <w:t>, the main risks for biodiversity relate to eutrophication, fishing pressure, pollution by contaminants and oil, and introduction of non-indigenous species</w:t>
      </w:r>
      <w:r>
        <w:rPr>
          <w:rFonts w:cs="Times New Roman"/>
          <w:noProof/>
          <w:sz w:val="20"/>
          <w:vertAlign w:val="superscript"/>
        </w:rPr>
        <w:footnoteReference w:id="47"/>
      </w:r>
      <w:r>
        <w:rPr>
          <w:rFonts w:cs="Times New Roman"/>
          <w:noProof/>
          <w:sz w:val="20"/>
        </w:rPr>
        <w:t>.</w:t>
      </w:r>
      <w:r>
        <w:rPr>
          <w:rFonts w:ascii="Times New Roman" w:hAnsi="Times New Roman" w:cs="Times New Roman"/>
          <w:noProof/>
          <w:sz w:val="24"/>
          <w:szCs w:val="24"/>
          <w:lang w:eastAsia="en-GB"/>
        </w:rPr>
        <w:t xml:space="preserve"> </w:t>
      </w:r>
    </w:p>
    <w:p w:rsidR="00823F06" w:rsidRDefault="0081280F">
      <w:pPr>
        <w:widowControl w:val="0"/>
        <w:spacing w:after="120" w:line="240" w:lineRule="auto"/>
        <w:jc w:val="both"/>
        <w:rPr>
          <w:rFonts w:cs="Times New Roman"/>
          <w:noProof/>
          <w:color w:val="FF0000"/>
          <w:sz w:val="20"/>
        </w:rPr>
      </w:pPr>
      <w:r>
        <w:rPr>
          <w:rFonts w:cs="Times New Roman"/>
          <w:noProof/>
          <w:sz w:val="20"/>
          <w:lang w:val="en-US"/>
        </w:rPr>
        <w:t xml:space="preserve">With regard to the implementation of the MSFD, Sweden has given a robust legal status to its GES </w:t>
      </w:r>
      <w:r>
        <w:rPr>
          <w:rFonts w:cs="Times New Roman"/>
          <w:noProof/>
          <w:sz w:val="20"/>
          <w:lang w:val="en-US"/>
        </w:rPr>
        <w:t>definition by incorporating it in legislation, which is a good practice. Sweden’s GES are set in comprehensive manner, covering all descriptors, and taking into account existing EU law and other standards from the relevant Regional Sea Conventions. However</w:t>
      </w:r>
      <w:r>
        <w:rPr>
          <w:rFonts w:cs="Times New Roman"/>
          <w:noProof/>
          <w:sz w:val="20"/>
          <w:lang w:val="en-US"/>
        </w:rPr>
        <w:t xml:space="preserve">, </w:t>
      </w:r>
      <w:r>
        <w:rPr>
          <w:rFonts w:cs="Times New Roman"/>
          <w:noProof/>
          <w:sz w:val="20"/>
        </w:rPr>
        <w:t xml:space="preserve">despite an ambitious determination of the </w:t>
      </w:r>
      <w:r>
        <w:rPr>
          <w:rFonts w:cs="Times New Roman"/>
          <w:noProof/>
          <w:sz w:val="20"/>
          <w:lang w:val="en-US"/>
        </w:rPr>
        <w:t>GES</w:t>
      </w:r>
      <w:r>
        <w:rPr>
          <w:rFonts w:cs="Times New Roman"/>
          <w:noProof/>
          <w:sz w:val="20"/>
        </w:rPr>
        <w:t>, all too often, the GES set remain difficult to measure</w:t>
      </w:r>
      <w:r>
        <w:rPr>
          <w:rFonts w:cs="Times New Roman"/>
          <w:noProof/>
          <w:sz w:val="20"/>
          <w:vertAlign w:val="superscript"/>
        </w:rPr>
        <w:footnoteReference w:id="48"/>
      </w:r>
      <w:r>
        <w:rPr>
          <w:rFonts w:cs="Times New Roman"/>
          <w:noProof/>
          <w:sz w:val="20"/>
        </w:rPr>
        <w:t>. Sweden is currently working both at a national and at a regional level to develop the GES. For example, the GES is currently being reviewed by the Swe</w:t>
      </w:r>
      <w:r>
        <w:rPr>
          <w:rFonts w:cs="Times New Roman"/>
          <w:noProof/>
          <w:sz w:val="20"/>
        </w:rPr>
        <w:t xml:space="preserve">dish Agency for Marine and Water Management and Sweden participates in regional cooperation under both HELCOM and OSPAR with a view to improve the GES definition. </w:t>
      </w:r>
    </w:p>
    <w:p w:rsidR="00823F06" w:rsidRDefault="0081280F">
      <w:pPr>
        <w:widowControl w:val="0"/>
        <w:spacing w:after="120" w:line="240" w:lineRule="auto"/>
        <w:jc w:val="both"/>
        <w:rPr>
          <w:rFonts w:cs="Times New Roman"/>
          <w:noProof/>
          <w:sz w:val="20"/>
        </w:rPr>
      </w:pPr>
      <w:r>
        <w:rPr>
          <w:rFonts w:cs="Times New Roman"/>
          <w:noProof/>
          <w:sz w:val="20"/>
        </w:rPr>
        <w:t>Sweden established a monitoring programme of its marine waters in 2014, however it seems tha</w:t>
      </w:r>
      <w:r>
        <w:rPr>
          <w:rFonts w:cs="Times New Roman"/>
          <w:noProof/>
          <w:sz w:val="20"/>
        </w:rPr>
        <w:t xml:space="preserve">t its monitoring programme needs further refinement except for commercial fisheries and eutrophication, to constitute an appropriate framework to monitor progress towards </w:t>
      </w:r>
      <w:r>
        <w:rPr>
          <w:rFonts w:cs="Times New Roman"/>
          <w:noProof/>
          <w:sz w:val="20"/>
          <w:lang w:val="en-US"/>
        </w:rPr>
        <w:t>GES</w:t>
      </w:r>
      <w:r>
        <w:rPr>
          <w:rFonts w:cs="Times New Roman"/>
          <w:noProof/>
          <w:sz w:val="20"/>
        </w:rPr>
        <w:t xml:space="preserve"> and targets</w:t>
      </w:r>
      <w:r>
        <w:rPr>
          <w:rFonts w:cs="Times New Roman"/>
          <w:noProof/>
          <w:sz w:val="20"/>
          <w:vertAlign w:val="superscript"/>
        </w:rPr>
        <w:footnoteReference w:id="49"/>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In its reports on the implementation of the MSFD, the Commission pr</w:t>
      </w:r>
      <w:r>
        <w:rPr>
          <w:rFonts w:cs="Times New Roman"/>
          <w:noProof/>
          <w:sz w:val="20"/>
        </w:rPr>
        <w:t>ovided guidance to assist Sweden in its implementation of the Marine Strategy Framework Directive.</w:t>
      </w:r>
    </w:p>
    <w:p w:rsidR="00823F06" w:rsidRDefault="0081280F">
      <w:pPr>
        <w:widowControl w:val="0"/>
        <w:spacing w:after="120" w:line="240" w:lineRule="auto"/>
        <w:jc w:val="both"/>
        <w:rPr>
          <w:rFonts w:cs="Times New Roman"/>
          <w:noProof/>
          <w:color w:val="FF0000"/>
          <w:sz w:val="20"/>
          <w:lang w:val="en-US"/>
        </w:rPr>
      </w:pPr>
      <w:r>
        <w:rPr>
          <w:rFonts w:cs="Times New Roman"/>
          <w:noProof/>
          <w:sz w:val="20"/>
          <w:lang w:val="en-US"/>
        </w:rPr>
        <w:t>In 2012, Swedish marine protected areas covered 12,710.4 square kilometers of its marine waters, with 9,644.6 square kilometers in the Baltic Sea and 3,065.8</w:t>
      </w:r>
      <w:r>
        <w:rPr>
          <w:rFonts w:cs="Times New Roman"/>
          <w:noProof/>
          <w:sz w:val="20"/>
          <w:lang w:val="en-US"/>
        </w:rPr>
        <w:t xml:space="preserve"> square kilometers in the North Sea</w:t>
      </w:r>
      <w:r>
        <w:rPr>
          <w:rFonts w:cs="Times New Roman"/>
          <w:noProof/>
          <w:sz w:val="20"/>
          <w:vertAlign w:val="superscript"/>
          <w:lang w:val="en-US"/>
        </w:rPr>
        <w:footnoteReference w:id="50"/>
      </w:r>
      <w:r>
        <w:rPr>
          <w:rFonts w:cs="Times New Roman"/>
          <w:noProof/>
          <w:color w:val="FF0000"/>
          <w:sz w:val="20"/>
          <w:lang w:val="en-US"/>
        </w:rPr>
        <w:t>.</w:t>
      </w:r>
    </w:p>
    <w:p w:rsidR="00823F06" w:rsidRDefault="008128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823F06" w:rsidRDefault="0081280F">
      <w:pPr>
        <w:pStyle w:val="NoSpacing"/>
        <w:rPr>
          <w:noProof/>
        </w:rPr>
      </w:pPr>
      <w:r>
        <w:rPr>
          <w:noProof/>
        </w:rPr>
        <w:t>Continue work to improve the definitions of GES in particular for biodiversity descriptors, including through regional cooperation by using the work of the relevant Regional Sea Conventions.</w:t>
      </w:r>
    </w:p>
    <w:p w:rsidR="00823F06" w:rsidRDefault="0081280F">
      <w:pPr>
        <w:pStyle w:val="NoSpacing"/>
        <w:rPr>
          <w:noProof/>
        </w:rPr>
      </w:pPr>
      <w:r>
        <w:rPr>
          <w:noProof/>
        </w:rPr>
        <w:t xml:space="preserve">Further </w:t>
      </w:r>
      <w:r>
        <w:rPr>
          <w:noProof/>
        </w:rPr>
        <w:t>develop approaches assessing (and quantifying) impacts from the main pressures in order to lead to improved and more conclusive assessment results for 2018 reporting.</w:t>
      </w:r>
    </w:p>
    <w:p w:rsidR="00823F06" w:rsidRDefault="0081280F">
      <w:pPr>
        <w:pStyle w:val="NoSpacing"/>
        <w:rPr>
          <w:noProof/>
          <w:lang w:val="en-US"/>
        </w:rPr>
      </w:pPr>
      <w:r>
        <w:rPr>
          <w:noProof/>
        </w:rPr>
        <w:t xml:space="preserve">Continue to integrate already existing monitoring programmes under EU legislation </w:t>
      </w:r>
      <w:r>
        <w:rPr>
          <w:noProof/>
          <w:lang w:val="en-US"/>
        </w:rPr>
        <w:t>and con</w:t>
      </w:r>
      <w:r>
        <w:rPr>
          <w:noProof/>
          <w:lang w:val="en-US"/>
        </w:rPr>
        <w:t>tinue to implement</w:t>
      </w:r>
      <w:r>
        <w:rPr>
          <w:noProof/>
        </w:rPr>
        <w:t>, where they exist, coordinated and joint monitoring programmes developed at subregional level, for instance by OSPAR and HELCOM</w:t>
      </w:r>
      <w:r>
        <w:rPr>
          <w:noProof/>
          <w:lang w:val="en-US"/>
        </w:rPr>
        <w:t>.</w:t>
      </w:r>
    </w:p>
    <w:p w:rsidR="00823F06" w:rsidRDefault="0081280F">
      <w:pPr>
        <w:pStyle w:val="NoSpacing"/>
        <w:rPr>
          <w:noProof/>
        </w:rPr>
      </w:pPr>
      <w:r>
        <w:rPr>
          <w:noProof/>
        </w:rPr>
        <w:t>Continue to enhance comparability and consistency of monitoring methods within the country's marine regions.</w:t>
      </w:r>
    </w:p>
    <w:p w:rsidR="00823F06" w:rsidRDefault="0081280F">
      <w:pPr>
        <w:pStyle w:val="NoSpacing"/>
        <w:rPr>
          <w:noProof/>
        </w:rPr>
      </w:pPr>
      <w:r>
        <w:rPr>
          <w:noProof/>
        </w:rPr>
        <w:t>Ensure that all of its monitoring programme is implemented without delay, and is appropriate to monitor progress towards its GES.</w:t>
      </w:r>
    </w:p>
    <w:p w:rsidR="00823F06" w:rsidRDefault="00823F06">
      <w:pPr>
        <w:widowControl w:val="0"/>
        <w:spacing w:after="120" w:line="240" w:lineRule="auto"/>
        <w:jc w:val="both"/>
        <w:rPr>
          <w:rFonts w:cs="Times New Roman"/>
          <w:noProof/>
          <w:sz w:val="20"/>
          <w:lang w:val="en-US"/>
        </w:rPr>
      </w:pPr>
    </w:p>
    <w:p w:rsidR="00823F06" w:rsidRDefault="00823F06">
      <w:pPr>
        <w:widowControl w:val="0"/>
        <w:spacing w:after="120" w:line="240" w:lineRule="auto"/>
        <w:jc w:val="both"/>
        <w:rPr>
          <w:rFonts w:cs="Times New Roman"/>
          <w:noProof/>
          <w:sz w:val="20"/>
          <w:lang w:val="en-US"/>
        </w:rPr>
      </w:pPr>
    </w:p>
    <w:p w:rsidR="00823F06" w:rsidRDefault="00823F06">
      <w:pPr>
        <w:widowControl w:val="0"/>
        <w:spacing w:after="120" w:line="240" w:lineRule="auto"/>
        <w:jc w:val="both"/>
        <w:rPr>
          <w:rFonts w:cs="Times New Roman"/>
          <w:noProof/>
          <w:sz w:val="20"/>
        </w:rPr>
        <w:sectPr w:rsidR="00823F06">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num="2" w:space="360"/>
          <w:docGrid w:linePitch="360"/>
        </w:sectPr>
      </w:pPr>
    </w:p>
    <w:p w:rsidR="00823F06" w:rsidRDefault="0081280F">
      <w:pPr>
        <w:pStyle w:val="ListParagraph"/>
        <w:keepLines/>
        <w:widowControl w:val="0"/>
        <w:numPr>
          <w:ilvl w:val="0"/>
          <w:numId w:val="28"/>
        </w:numPr>
        <w:spacing w:after="240"/>
        <w:jc w:val="center"/>
        <w:outlineLvl w:val="0"/>
        <w:rPr>
          <w:rFonts w:eastAsiaTheme="majorEastAsia" w:cstheme="majorBidi"/>
          <w:b/>
          <w:bCs/>
          <w:noProof/>
          <w:color w:val="1F497D" w:themeColor="text2"/>
          <w:sz w:val="32"/>
          <w:szCs w:val="28"/>
        </w:rPr>
      </w:pPr>
      <w:bookmarkStart w:id="28" w:name="_Toc469478349"/>
      <w:r>
        <w:rPr>
          <w:rFonts w:eastAsiaTheme="majorEastAsia" w:cstheme="majorBidi"/>
          <w:b/>
          <w:bCs/>
          <w:noProof/>
          <w:color w:val="1F497D" w:themeColor="text2"/>
          <w:sz w:val="32"/>
          <w:szCs w:val="28"/>
        </w:rPr>
        <w:t xml:space="preserve">Ensuring citizens' health </w:t>
      </w:r>
      <w:r>
        <w:rPr>
          <w:rFonts w:eastAsiaTheme="majorEastAsia" w:cstheme="majorBidi"/>
          <w:b/>
          <w:bCs/>
          <w:noProof/>
          <w:color w:val="1F497D" w:themeColor="text2"/>
          <w:sz w:val="32"/>
          <w:szCs w:val="28"/>
        </w:rPr>
        <w:t>and quality of life</w:t>
      </w:r>
      <w:bookmarkEnd w:id="28"/>
    </w:p>
    <w:p w:rsidR="00823F06" w:rsidRDefault="00823F06">
      <w:pPr>
        <w:widowControl w:val="0"/>
        <w:spacing w:after="120" w:line="240" w:lineRule="auto"/>
        <w:jc w:val="both"/>
        <w:rPr>
          <w:rFonts w:cs="Times New Roman"/>
          <w:noProof/>
          <w:sz w:val="20"/>
        </w:rPr>
        <w:sectPr w:rsidR="00823F06">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space="566"/>
          <w:docGrid w:linePitch="360"/>
        </w:sectPr>
      </w:pPr>
    </w:p>
    <w:p w:rsidR="00823F06" w:rsidRDefault="0081280F">
      <w:pPr>
        <w:widowControl w:val="0"/>
        <w:spacing w:after="0" w:line="240" w:lineRule="auto"/>
        <w:jc w:val="both"/>
        <w:outlineLvl w:val="1"/>
        <w:rPr>
          <w:rFonts w:cs="Times New Roman"/>
          <w:b/>
          <w:noProof/>
          <w:color w:val="1F497D" w:themeColor="text2"/>
          <w:sz w:val="24"/>
        </w:rPr>
      </w:pPr>
      <w:bookmarkStart w:id="29" w:name="_Toc433296166"/>
      <w:bookmarkStart w:id="30" w:name="_Toc454813115"/>
      <w:bookmarkStart w:id="31" w:name="_Toc469478350"/>
      <w:r>
        <w:rPr>
          <w:rFonts w:cs="Times New Roman"/>
          <w:b/>
          <w:noProof/>
          <w:color w:val="1F497D" w:themeColor="text2"/>
          <w:sz w:val="24"/>
        </w:rPr>
        <w:t>Air quality</w:t>
      </w:r>
      <w:bookmarkEnd w:id="29"/>
      <w:bookmarkEnd w:id="30"/>
      <w:bookmarkEnd w:id="31"/>
      <w:r>
        <w:rPr>
          <w:rFonts w:cs="Times New Roman"/>
          <w:b/>
          <w:noProof/>
          <w:color w:val="1F497D" w:themeColor="text2"/>
          <w:sz w:val="24"/>
        </w:rPr>
        <w:t xml:space="preserve"> </w:t>
      </w:r>
    </w:p>
    <w:tbl>
      <w:tblPr>
        <w:tblStyle w:val="TableGrid11"/>
        <w:tblpPr w:leftFromText="180" w:rightFromText="180" w:vertAnchor="text" w:horzAnchor="margin" w:tblpY="3084"/>
        <w:tblW w:w="101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6"/>
      </w:tblGrid>
      <w:tr w:rsidR="00823F06">
        <w:trPr>
          <w:trHeight w:val="328"/>
        </w:trPr>
        <w:tc>
          <w:tcPr>
            <w:tcW w:w="10146" w:type="dxa"/>
          </w:tcPr>
          <w:p w:rsidR="00823F06" w:rsidRDefault="0081280F">
            <w:pPr>
              <w:spacing w:before="60" w:after="120"/>
              <w:jc w:val="both"/>
              <w:rPr>
                <w:rFonts w:cs="Times New Roman"/>
                <w:b/>
                <w:bCs/>
                <w:noProof/>
                <w:color w:val="1F497D" w:themeColor="text2"/>
                <w:sz w:val="20"/>
              </w:rPr>
            </w:pPr>
            <w:r>
              <w:rPr>
                <w:rFonts w:cs="Times New Roman"/>
                <w:b/>
                <w:bCs/>
                <w:noProof/>
                <w:color w:val="1F497D" w:themeColor="text2"/>
                <w:sz w:val="20"/>
              </w:rPr>
              <w:t>Figure 9: Attainment situation for PM10, NO2 and O3 in 2014 in Sweden</w:t>
            </w:r>
          </w:p>
        </w:tc>
      </w:tr>
      <w:tr w:rsidR="00823F06">
        <w:trPr>
          <w:trHeight w:val="4030"/>
        </w:trPr>
        <w:tc>
          <w:tcPr>
            <w:tcW w:w="10146" w:type="dxa"/>
          </w:tcPr>
          <w:p w:rsidR="00823F06" w:rsidRDefault="0081280F">
            <w:pPr>
              <w:spacing w:after="120"/>
              <w:jc w:val="both"/>
              <w:rPr>
                <w:rFonts w:cs="Times New Roman"/>
                <w:noProof/>
                <w:sz w:val="20"/>
              </w:rPr>
            </w:pPr>
            <w:r>
              <w:rPr>
                <w:rFonts w:cs="Times New Roman"/>
                <w:noProof/>
                <w:sz w:val="20"/>
                <w:lang w:eastAsia="en-GB"/>
              </w:rPr>
              <w:drawing>
                <wp:inline distT="0" distB="0" distL="0" distR="0" wp14:anchorId="3B358977" wp14:editId="0FE77F16">
                  <wp:extent cx="6301648" cy="3114336"/>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12493" cy="3119696"/>
                          </a:xfrm>
                          <a:prstGeom prst="rect">
                            <a:avLst/>
                          </a:prstGeom>
                          <a:noFill/>
                        </pic:spPr>
                      </pic:pic>
                    </a:graphicData>
                  </a:graphic>
                </wp:inline>
              </w:drawing>
            </w:r>
          </w:p>
        </w:tc>
      </w:tr>
    </w:tbl>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szCs w:val="20"/>
        </w:rPr>
      </w:pPr>
      <w:bookmarkStart w:id="32" w:name="_Toc454898109"/>
      <w:bookmarkStart w:id="33" w:name="_Toc469478351"/>
      <w:bookmarkStart w:id="34" w:name="_Toc433296167"/>
      <w:r>
        <w:rPr>
          <w:rFonts w:cs="Times New Roman"/>
          <w:noProof/>
          <w:color w:val="FFFFFF" w:themeColor="background1"/>
          <w:sz w:val="20"/>
          <w:szCs w:val="20"/>
        </w:rPr>
        <w:t xml:space="preserve">The EU Clean Air Policy and legislation require that </w:t>
      </w:r>
      <w:r>
        <w:rPr>
          <w:rFonts w:cs="Times New Roman"/>
          <w:noProof/>
          <w:color w:val="FFFFFF" w:themeColor="background1"/>
          <w:sz w:val="20"/>
          <w:szCs w:val="20"/>
        </w:rPr>
        <w:t xml:space="preserve">air quality in the Union is significantly improved, moving closer to the WHO recommended levels. Air pollution and its impacts on ecosystems and biodiversity should be further reduced with the long-term aim of not exceeding critical loads and levels. This </w:t>
      </w:r>
      <w:r>
        <w:rPr>
          <w:rFonts w:cs="Times New Roman"/>
          <w:noProof/>
          <w:color w:val="FFFFFF" w:themeColor="background1"/>
          <w:sz w:val="20"/>
          <w:szCs w:val="20"/>
        </w:rPr>
        <w:t>requires strengthening efforts to reach full compliance with Union air quality legislation and defining strategic targets and actions beyond 2020.</w:t>
      </w:r>
    </w:p>
    <w:p w:rsidR="00823F06" w:rsidRDefault="0081280F">
      <w:pPr>
        <w:widowControl w:val="0"/>
        <w:spacing w:after="120" w:line="240" w:lineRule="auto"/>
        <w:jc w:val="both"/>
        <w:rPr>
          <w:rFonts w:cs="Times New Roman"/>
          <w:noProof/>
          <w:sz w:val="20"/>
          <w:szCs w:val="20"/>
        </w:rPr>
      </w:pPr>
      <w:r>
        <w:rPr>
          <w:rFonts w:cs="Times New Roman"/>
          <w:noProof/>
          <w:sz w:val="20"/>
          <w:szCs w:val="20"/>
        </w:rPr>
        <w:t>The EU has developed a comprehensive suite of air quality legislation</w:t>
      </w:r>
      <w:r>
        <w:rPr>
          <w:rFonts w:cs="Times New Roman"/>
          <w:noProof/>
          <w:sz w:val="20"/>
          <w:szCs w:val="20"/>
          <w:vertAlign w:val="superscript"/>
        </w:rPr>
        <w:footnoteReference w:id="51"/>
      </w:r>
      <w:r>
        <w:rPr>
          <w:rFonts w:cs="Times New Roman"/>
          <w:noProof/>
          <w:sz w:val="20"/>
          <w:szCs w:val="20"/>
        </w:rPr>
        <w:t>,</w:t>
      </w:r>
      <w:r>
        <w:rPr>
          <w:rFonts w:cs="Times New Roman"/>
          <w:noProof/>
          <w:sz w:val="20"/>
          <w:szCs w:val="20"/>
          <w:lang w:val="en"/>
        </w:rPr>
        <w:t xml:space="preserve"> </w:t>
      </w:r>
      <w:r>
        <w:rPr>
          <w:rFonts w:cs="Times New Roman"/>
          <w:noProof/>
          <w:sz w:val="20"/>
          <w:szCs w:val="20"/>
        </w:rPr>
        <w:t>which establishes health-based standa</w:t>
      </w:r>
      <w:r>
        <w:rPr>
          <w:rFonts w:cs="Times New Roman"/>
          <w:noProof/>
          <w:sz w:val="20"/>
          <w:szCs w:val="20"/>
        </w:rPr>
        <w:t>rds and objectives for a number of air pollutants. As part of this, Member States are also required to ensure that up-to-date information on ambient concentrations of different air pollutants is routinely made available to the public. In addition, the Nati</w:t>
      </w:r>
      <w:r>
        <w:rPr>
          <w:rFonts w:cs="Times New Roman"/>
          <w:noProof/>
          <w:sz w:val="20"/>
          <w:szCs w:val="20"/>
        </w:rPr>
        <w:t>onal Emission Ceilings Directive provides for emission reductions at national level that should be achieved for main pollutants.</w:t>
      </w:r>
    </w:p>
    <w:p w:rsidR="00823F06" w:rsidRDefault="0081280F">
      <w:pPr>
        <w:widowControl w:val="0"/>
        <w:spacing w:after="120" w:line="240" w:lineRule="auto"/>
        <w:jc w:val="both"/>
        <w:rPr>
          <w:rFonts w:cs="Times New Roman"/>
          <w:noProof/>
          <w:sz w:val="20"/>
          <w:szCs w:val="20"/>
          <w:lang w:eastAsia="en-GB"/>
        </w:rPr>
      </w:pPr>
      <w:r>
        <w:rPr>
          <w:rFonts w:cs="Times New Roman"/>
          <w:noProof/>
          <w:sz w:val="20"/>
          <w:szCs w:val="20"/>
          <w:lang w:eastAsia="en-GB"/>
        </w:rPr>
        <w:t>The emission of several air pollutants has decreased significantly in Sweden</w:t>
      </w:r>
      <w:r>
        <w:rPr>
          <w:rFonts w:cs="Times New Roman"/>
          <w:noProof/>
          <w:sz w:val="20"/>
          <w:szCs w:val="20"/>
          <w:vertAlign w:val="superscript"/>
          <w:lang w:eastAsia="en-GB"/>
        </w:rPr>
        <w:footnoteReference w:id="52"/>
      </w:r>
      <w:r>
        <w:rPr>
          <w:rFonts w:cs="Times New Roman"/>
          <w:noProof/>
          <w:sz w:val="20"/>
          <w:szCs w:val="20"/>
          <w:lang w:eastAsia="en-GB"/>
        </w:rPr>
        <w:t>. Reductions between 1990 and 2014 for sulphur oxi</w:t>
      </w:r>
      <w:r>
        <w:rPr>
          <w:rFonts w:cs="Times New Roman"/>
          <w:noProof/>
          <w:sz w:val="20"/>
          <w:szCs w:val="20"/>
          <w:lang w:eastAsia="en-GB"/>
        </w:rPr>
        <w:t>des (</w:t>
      </w:r>
      <w:r>
        <w:rPr>
          <w:rFonts w:cs="Times New Roman"/>
          <w:noProof/>
          <w:sz w:val="20"/>
          <w:szCs w:val="20"/>
          <w:lang w:eastAsia="en-GB"/>
        </w:rPr>
        <w:noBreakHyphen/>
        <w:t>77%), nitrogen oxides (-51%), ammonia (-5%) as well as volatile organic compounds (</w:t>
      </w:r>
      <w:r>
        <w:rPr>
          <w:rFonts w:cs="Times New Roman"/>
          <w:noProof/>
          <w:sz w:val="20"/>
          <w:szCs w:val="20"/>
          <w:lang w:eastAsia="en-GB"/>
        </w:rPr>
        <w:noBreakHyphen/>
        <w:t>50%) ensure air emissions for these pollutants are within the currently applicable national emission ceilings</w:t>
      </w:r>
      <w:r>
        <w:rPr>
          <w:rFonts w:cs="Times New Roman"/>
          <w:noProof/>
          <w:sz w:val="20"/>
          <w:szCs w:val="20"/>
          <w:vertAlign w:val="superscript"/>
          <w:lang w:eastAsia="en-GB"/>
        </w:rPr>
        <w:footnoteReference w:id="53"/>
      </w:r>
      <w:r>
        <w:rPr>
          <w:rFonts w:cs="Times New Roman"/>
          <w:noProof/>
          <w:sz w:val="20"/>
          <w:szCs w:val="20"/>
          <w:lang w:eastAsia="en-GB"/>
        </w:rPr>
        <w:t>.</w:t>
      </w:r>
    </w:p>
    <w:p w:rsidR="00823F06" w:rsidRDefault="0081280F">
      <w:pPr>
        <w:widowControl w:val="0"/>
        <w:spacing w:after="120" w:line="240" w:lineRule="auto"/>
        <w:jc w:val="both"/>
        <w:rPr>
          <w:rFonts w:cs="Times New Roman"/>
          <w:noProof/>
          <w:sz w:val="20"/>
          <w:szCs w:val="20"/>
          <w:lang w:eastAsia="en-GB"/>
        </w:rPr>
      </w:pPr>
      <w:r>
        <w:rPr>
          <w:rFonts w:cs="Times New Roman"/>
          <w:noProof/>
          <w:sz w:val="20"/>
          <w:szCs w:val="20"/>
          <w:lang w:eastAsia="en-GB"/>
        </w:rPr>
        <w:t>At the same time, air quality in Sweden continues to g</w:t>
      </w:r>
      <w:r>
        <w:rPr>
          <w:rFonts w:cs="Times New Roman"/>
          <w:noProof/>
          <w:sz w:val="20"/>
          <w:szCs w:val="20"/>
          <w:lang w:eastAsia="en-GB"/>
        </w:rPr>
        <w:t>ive cause for concern. For the year 2013, the European Environment Agency estimated that about 3 020 premature deaths were attributable to fine particulate matter</w:t>
      </w:r>
      <w:r>
        <w:rPr>
          <w:rFonts w:cs="Times New Roman"/>
          <w:noProof/>
          <w:sz w:val="20"/>
          <w:szCs w:val="20"/>
          <w:vertAlign w:val="superscript"/>
          <w:lang w:eastAsia="en-GB"/>
        </w:rPr>
        <w:footnoteReference w:id="54"/>
      </w:r>
      <w:r>
        <w:rPr>
          <w:rFonts w:cs="Times New Roman"/>
          <w:noProof/>
          <w:sz w:val="20"/>
          <w:szCs w:val="20"/>
          <w:lang w:eastAsia="en-GB"/>
        </w:rPr>
        <w:t xml:space="preserve"> concentrations, 160 to ozone</w:t>
      </w:r>
      <w:r>
        <w:rPr>
          <w:rFonts w:cs="Times New Roman"/>
          <w:noProof/>
          <w:sz w:val="20"/>
          <w:szCs w:val="20"/>
          <w:vertAlign w:val="superscript"/>
          <w:lang w:eastAsia="en-GB"/>
        </w:rPr>
        <w:footnoteReference w:id="55"/>
      </w:r>
      <w:r>
        <w:rPr>
          <w:rFonts w:cs="Times New Roman"/>
          <w:noProof/>
          <w:sz w:val="20"/>
          <w:szCs w:val="20"/>
          <w:lang w:eastAsia="en-GB"/>
        </w:rPr>
        <w:t xml:space="preserve"> concentration and less than five to nitrogen dioxide</w:t>
      </w:r>
      <w:r>
        <w:rPr>
          <w:rFonts w:cs="Times New Roman"/>
          <w:noProof/>
          <w:sz w:val="20"/>
          <w:szCs w:val="20"/>
          <w:vertAlign w:val="superscript"/>
          <w:lang w:eastAsia="en-GB"/>
        </w:rPr>
        <w:footnoteReference w:id="56"/>
      </w:r>
      <w:r>
        <w:rPr>
          <w:rFonts w:cs="Times New Roman"/>
          <w:noProof/>
          <w:sz w:val="20"/>
          <w:szCs w:val="20"/>
          <w:lang w:eastAsia="en-GB"/>
        </w:rPr>
        <w:t xml:space="preserve"> concentr</w:t>
      </w:r>
      <w:r>
        <w:rPr>
          <w:rFonts w:cs="Times New Roman"/>
          <w:noProof/>
          <w:sz w:val="20"/>
          <w:szCs w:val="20"/>
          <w:lang w:eastAsia="en-GB"/>
        </w:rPr>
        <w:t>ations</w:t>
      </w:r>
      <w:r>
        <w:rPr>
          <w:rFonts w:cs="Times New Roman"/>
          <w:noProof/>
          <w:sz w:val="20"/>
          <w:szCs w:val="20"/>
          <w:vertAlign w:val="superscript"/>
          <w:lang w:eastAsia="en-GB"/>
        </w:rPr>
        <w:footnoteReference w:id="57"/>
      </w:r>
      <w:r>
        <w:rPr>
          <w:rFonts w:cs="Times New Roman"/>
          <w:noProof/>
          <w:sz w:val="20"/>
          <w:szCs w:val="20"/>
          <w:lang w:eastAsia="en-GB"/>
        </w:rPr>
        <w:t>. This is due also to exceedances above the EU air quality standards such as shown in Figure 9</w:t>
      </w:r>
      <w:r>
        <w:rPr>
          <w:rFonts w:cs="Times New Roman"/>
          <w:noProof/>
          <w:sz w:val="20"/>
          <w:szCs w:val="20"/>
          <w:vertAlign w:val="superscript"/>
          <w:lang w:eastAsia="en-GB"/>
        </w:rPr>
        <w:footnoteReference w:id="58"/>
      </w:r>
      <w:r>
        <w:rPr>
          <w:rFonts w:cs="Times New Roman"/>
          <w:noProof/>
          <w:sz w:val="20"/>
          <w:szCs w:val="20"/>
          <w:lang w:eastAsia="en-GB"/>
        </w:rPr>
        <w:t xml:space="preserve">.  </w:t>
      </w:r>
    </w:p>
    <w:p w:rsidR="00823F06" w:rsidRDefault="0081280F">
      <w:pPr>
        <w:widowControl w:val="0"/>
        <w:spacing w:after="120" w:line="240" w:lineRule="auto"/>
        <w:jc w:val="both"/>
        <w:rPr>
          <w:rFonts w:cs="Times New Roman"/>
          <w:noProof/>
          <w:sz w:val="20"/>
          <w:szCs w:val="20"/>
          <w:lang w:eastAsia="en-GB"/>
        </w:rPr>
      </w:pPr>
      <w:r>
        <w:rPr>
          <w:rFonts w:cs="Times New Roman"/>
          <w:noProof/>
          <w:sz w:val="20"/>
          <w:szCs w:val="20"/>
          <w:lang w:eastAsia="en-GB"/>
        </w:rPr>
        <w:t>For 2014, exceedances above the EU air quality standards have been registered related to annual mean concentration of nitrogen dioxide (NO</w:t>
      </w:r>
      <w:r>
        <w:rPr>
          <w:rFonts w:cs="Times New Roman"/>
          <w:noProof/>
          <w:sz w:val="20"/>
          <w:szCs w:val="20"/>
          <w:vertAlign w:val="subscript"/>
          <w:lang w:eastAsia="en-GB"/>
        </w:rPr>
        <w:t>2</w:t>
      </w:r>
      <w:r>
        <w:rPr>
          <w:rFonts w:cs="Times New Roman"/>
          <w:noProof/>
          <w:sz w:val="20"/>
          <w:szCs w:val="20"/>
          <w:lang w:eastAsia="en-GB"/>
        </w:rPr>
        <w:t xml:space="preserve">) in two air quality zones (Gothenburg, and Stockholm) and related to daily concentration of particulate matter </w:t>
      </w:r>
      <w:r>
        <w:rPr>
          <w:rFonts w:cs="Times New Roman"/>
          <w:noProof/>
          <w:sz w:val="20"/>
          <w:szCs w:val="20"/>
        </w:rPr>
        <w:t>(PM</w:t>
      </w:r>
      <w:r>
        <w:rPr>
          <w:rFonts w:cs="Times New Roman"/>
          <w:noProof/>
          <w:sz w:val="20"/>
          <w:szCs w:val="20"/>
          <w:vertAlign w:val="subscript"/>
        </w:rPr>
        <w:t>10</w:t>
      </w:r>
      <w:r>
        <w:rPr>
          <w:rFonts w:cs="Times New Roman"/>
          <w:noProof/>
          <w:sz w:val="20"/>
          <w:szCs w:val="20"/>
        </w:rPr>
        <w:t>)</w:t>
      </w:r>
      <w:r>
        <w:rPr>
          <w:rFonts w:cs="Times New Roman"/>
          <w:noProof/>
          <w:sz w:val="20"/>
          <w:szCs w:val="20"/>
          <w:lang w:eastAsia="en-GB"/>
        </w:rPr>
        <w:t xml:space="preserve"> in two air quality zones (Stockholm, and Middle Sweden). Furthermore, for several air quality zones the long-term objectives regarding oz</w:t>
      </w:r>
      <w:r>
        <w:rPr>
          <w:rFonts w:cs="Times New Roman"/>
          <w:noProof/>
          <w:sz w:val="20"/>
          <w:szCs w:val="20"/>
          <w:lang w:eastAsia="en-GB"/>
        </w:rPr>
        <w:t>one concentration are not being met</w:t>
      </w:r>
      <w:r>
        <w:rPr>
          <w:rFonts w:cs="Times New Roman"/>
          <w:noProof/>
          <w:sz w:val="20"/>
          <w:szCs w:val="20"/>
          <w:vertAlign w:val="superscript"/>
          <w:lang w:eastAsia="en-GB"/>
        </w:rPr>
        <w:footnoteReference w:id="59"/>
      </w:r>
      <w:r>
        <w:rPr>
          <w:rFonts w:cs="Times New Roman"/>
          <w:noProof/>
          <w:sz w:val="20"/>
          <w:szCs w:val="20"/>
          <w:lang w:eastAsia="en-GB"/>
        </w:rPr>
        <w:t>.</w:t>
      </w:r>
    </w:p>
    <w:p w:rsidR="00823F06" w:rsidRDefault="0081280F">
      <w:pPr>
        <w:widowControl w:val="0"/>
        <w:spacing w:after="120" w:line="240" w:lineRule="auto"/>
        <w:jc w:val="both"/>
        <w:rPr>
          <w:rFonts w:cs="Times New Roman"/>
          <w:noProof/>
          <w:sz w:val="20"/>
          <w:szCs w:val="20"/>
          <w:lang w:eastAsia="en-GB"/>
        </w:rPr>
      </w:pPr>
      <w:r>
        <w:rPr>
          <w:rFonts w:cs="Times New Roman"/>
          <w:noProof/>
          <w:sz w:val="20"/>
          <w:szCs w:val="20"/>
          <w:lang w:eastAsia="en-GB"/>
        </w:rPr>
        <w:t>The persistent breaches of air quality requirements (for PM</w:t>
      </w:r>
      <w:r>
        <w:rPr>
          <w:rFonts w:cs="Times New Roman"/>
          <w:noProof/>
          <w:sz w:val="20"/>
          <w:szCs w:val="20"/>
          <w:vertAlign w:val="subscript"/>
          <w:lang w:eastAsia="en-GB"/>
        </w:rPr>
        <w:t>10</w:t>
      </w:r>
      <w:r>
        <w:rPr>
          <w:rFonts w:cs="Times New Roman"/>
          <w:noProof/>
          <w:sz w:val="20"/>
          <w:szCs w:val="20"/>
          <w:lang w:eastAsia="en-GB"/>
        </w:rPr>
        <w:t xml:space="preserve"> and NO</w:t>
      </w:r>
      <w:r>
        <w:rPr>
          <w:rFonts w:cs="Times New Roman"/>
          <w:noProof/>
          <w:sz w:val="20"/>
          <w:szCs w:val="20"/>
          <w:vertAlign w:val="subscript"/>
          <w:lang w:eastAsia="en-GB"/>
        </w:rPr>
        <w:t>2</w:t>
      </w:r>
      <w:r>
        <w:rPr>
          <w:rFonts w:cs="Times New Roman"/>
          <w:noProof/>
          <w:sz w:val="20"/>
          <w:szCs w:val="20"/>
          <w:lang w:eastAsia="en-GB"/>
        </w:rPr>
        <w:t>), which have severe negative effects on health and environment, are being followed up by the European Commission through infringement procedures cov</w:t>
      </w:r>
      <w:r>
        <w:rPr>
          <w:rFonts w:cs="Times New Roman"/>
          <w:noProof/>
          <w:sz w:val="20"/>
          <w:szCs w:val="20"/>
          <w:lang w:eastAsia="en-GB"/>
        </w:rPr>
        <w:t>ering all the Member States concerned, including Sweden. The aim is that adequate measures are put in place to bring all zones into compliance.</w:t>
      </w:r>
    </w:p>
    <w:p w:rsidR="00823F06" w:rsidRDefault="0081280F">
      <w:pPr>
        <w:widowControl w:val="0"/>
        <w:spacing w:after="120" w:line="240" w:lineRule="auto"/>
        <w:jc w:val="both"/>
        <w:rPr>
          <w:rFonts w:cs="Times New Roman"/>
          <w:noProof/>
          <w:sz w:val="20"/>
          <w:szCs w:val="20"/>
          <w:lang w:eastAsia="en-GB"/>
        </w:rPr>
      </w:pPr>
      <w:r>
        <w:rPr>
          <w:rFonts w:cs="Times New Roman"/>
          <w:noProof/>
          <w:sz w:val="20"/>
          <w:szCs w:val="20"/>
          <w:lang w:eastAsia="en-GB"/>
        </w:rPr>
        <w:t>It is estimated that the health-related external costs from air pollution in Sweden are above EUR 3 billion/year</w:t>
      </w:r>
      <w:r>
        <w:rPr>
          <w:rFonts w:cs="Times New Roman"/>
          <w:noProof/>
          <w:sz w:val="20"/>
          <w:szCs w:val="20"/>
          <w:lang w:eastAsia="en-GB"/>
        </w:rPr>
        <w:t xml:space="preserve"> (income adjusted, 2010), which include not only the intrinsic value of living a full health life but also direct costs to the economy. These direct economic costs relate to 803 thousand workdays lost each year due to sickness related to air pollution, wit</w:t>
      </w:r>
      <w:r>
        <w:rPr>
          <w:rFonts w:cs="Times New Roman"/>
          <w:noProof/>
          <w:sz w:val="20"/>
          <w:szCs w:val="20"/>
          <w:lang w:eastAsia="en-GB"/>
        </w:rPr>
        <w:t>h associated costs for employers of EUR 111 million/year (income adjusted, 2010), for healthcare of above EUR 11 million/year (income adjusted, 2010), and for agriculture (crop losses) of EUR 48 million/year (2010)</w:t>
      </w:r>
      <w:r>
        <w:rPr>
          <w:rFonts w:cs="Times New Roman"/>
          <w:noProof/>
          <w:sz w:val="20"/>
          <w:szCs w:val="20"/>
          <w:vertAlign w:val="superscript"/>
          <w:lang w:eastAsia="en-GB"/>
        </w:rPr>
        <w:footnoteReference w:id="60"/>
      </w:r>
      <w:r>
        <w:rPr>
          <w:rFonts w:cs="Times New Roman"/>
          <w:noProof/>
          <w:sz w:val="20"/>
          <w:szCs w:val="20"/>
          <w:lang w:eastAsia="en-GB"/>
        </w:rPr>
        <w:t>.</w:t>
      </w:r>
    </w:p>
    <w:p w:rsidR="00823F06" w:rsidRDefault="0081280F">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823F06" w:rsidRDefault="0081280F">
      <w:pPr>
        <w:pStyle w:val="NoSpacing"/>
        <w:rPr>
          <w:noProof/>
        </w:rPr>
      </w:pPr>
      <w:r>
        <w:rPr>
          <w:noProof/>
        </w:rPr>
        <w:t>Maintain downward emis</w:t>
      </w:r>
      <w:r>
        <w:rPr>
          <w:noProof/>
        </w:rPr>
        <w:t>sions trends of air pollutants in order to achieve full compliance with air quality limit values - and reduce adverse air pollution impacts on health, environment and economy.</w:t>
      </w:r>
    </w:p>
    <w:p w:rsidR="00823F06" w:rsidRDefault="0081280F">
      <w:pPr>
        <w:pStyle w:val="NoSpacing"/>
        <w:rPr>
          <w:noProof/>
        </w:rPr>
      </w:pPr>
      <w:r>
        <w:rPr>
          <w:noProof/>
        </w:rPr>
        <w:t>Reduce nitrogen oxide (NO</w:t>
      </w:r>
      <w:r>
        <w:rPr>
          <w:noProof/>
          <w:vertAlign w:val="subscript"/>
        </w:rPr>
        <w:t>x</w:t>
      </w:r>
      <w:r>
        <w:rPr>
          <w:noProof/>
        </w:rPr>
        <w:t>) emissions to comply with currently applicable nation</w:t>
      </w:r>
      <w:r>
        <w:rPr>
          <w:noProof/>
        </w:rPr>
        <w:t>al emission ceilings</w:t>
      </w:r>
      <w:r>
        <w:rPr>
          <w:noProof/>
          <w:vertAlign w:val="superscript"/>
        </w:rPr>
        <w:footnoteReference w:id="61"/>
      </w:r>
      <w:r>
        <w:rPr>
          <w:noProof/>
        </w:rPr>
        <w:t xml:space="preserve"> and/or to reduce nitrogen dioxide (NO</w:t>
      </w:r>
      <w:r>
        <w:rPr>
          <w:noProof/>
          <w:vertAlign w:val="subscript"/>
        </w:rPr>
        <w:t>2</w:t>
      </w:r>
      <w:r>
        <w:rPr>
          <w:noProof/>
        </w:rPr>
        <w:t>) (and ozone concentrations), inter alia, by reducing transport related emissions - in particular in urban areas.</w:t>
      </w:r>
    </w:p>
    <w:p w:rsidR="00823F06" w:rsidRDefault="0081280F">
      <w:pPr>
        <w:pStyle w:val="NoSpacing"/>
        <w:spacing w:after="240"/>
        <w:rPr>
          <w:noProof/>
        </w:rPr>
      </w:pPr>
      <w:r>
        <w:rPr>
          <w:noProof/>
        </w:rPr>
        <w:t>Reduce PM</w:t>
      </w:r>
      <w:r>
        <w:rPr>
          <w:noProof/>
          <w:vertAlign w:val="subscript"/>
        </w:rPr>
        <w:t>10</w:t>
      </w:r>
      <w:r>
        <w:rPr>
          <w:noProof/>
        </w:rPr>
        <w:t xml:space="preserve"> emission and concentration, inter alia, by reducing emissions related </w:t>
      </w:r>
      <w:r>
        <w:rPr>
          <w:noProof/>
        </w:rPr>
        <w:t>to energy and heat generation using solid fuels, to transport and to agriculture.</w:t>
      </w:r>
    </w:p>
    <w:p w:rsidR="00823F06" w:rsidRDefault="0081280F">
      <w:pPr>
        <w:widowControl w:val="0"/>
        <w:spacing w:after="120" w:line="240" w:lineRule="auto"/>
        <w:jc w:val="both"/>
        <w:rPr>
          <w:rFonts w:cs="Times New Roman"/>
          <w:b/>
          <w:noProof/>
          <w:color w:val="1F497D" w:themeColor="text2"/>
          <w:sz w:val="24"/>
        </w:rPr>
      </w:pPr>
      <w:r>
        <w:rPr>
          <w:rFonts w:cs="Times New Roman"/>
          <w:b/>
          <w:noProof/>
          <w:color w:val="1F497D" w:themeColor="text2"/>
          <w:sz w:val="24"/>
        </w:rPr>
        <w:t>Noise</w:t>
      </w:r>
      <w:bookmarkEnd w:id="32"/>
      <w:bookmarkEnd w:id="33"/>
    </w:p>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and reduction of harmful effects due to exposure to environmental noise.</w:t>
      </w:r>
    </w:p>
    <w:p w:rsidR="00823F06" w:rsidRDefault="0081280F">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62"/>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information on environmental noise and</w:t>
      </w:r>
      <w:r>
        <w:rPr>
          <w:rFonts w:cs="Times New Roman"/>
          <w:noProof/>
          <w:sz w:val="20"/>
        </w:rPr>
        <w:t xml:space="preserve"> its effects is made available to the public, and adopting action plans with a view to preventing and reducing environmental noise where necessary and to preserving the acoustic environment quality where it is good.</w:t>
      </w:r>
    </w:p>
    <w:p w:rsidR="00823F06" w:rsidRDefault="0081280F">
      <w:pPr>
        <w:widowControl w:val="0"/>
        <w:spacing w:after="120" w:line="240" w:lineRule="auto"/>
        <w:jc w:val="both"/>
        <w:rPr>
          <w:rFonts w:cs="Times New Roman"/>
          <w:noProof/>
          <w:sz w:val="20"/>
        </w:rPr>
      </w:pPr>
      <w:r>
        <w:rPr>
          <w:rFonts w:cs="Times New Roman"/>
          <w:noProof/>
          <w:sz w:val="20"/>
        </w:rPr>
        <w:t>Swedish authorities have fulfilled all t</w:t>
      </w:r>
      <w:r>
        <w:rPr>
          <w:rFonts w:cs="Times New Roman"/>
          <w:noProof/>
          <w:sz w:val="20"/>
        </w:rPr>
        <w:t>heir obligations with regards to noise mapping for the most recent reporting round, for the reference year 2011 in the Environmental Noise Directive</w:t>
      </w:r>
      <w:r>
        <w:rPr>
          <w:rFonts w:cs="Times New Roman"/>
          <w:noProof/>
          <w:sz w:val="20"/>
          <w:vertAlign w:val="superscript"/>
        </w:rPr>
        <w:footnoteReference w:id="63"/>
      </w:r>
      <w:r>
        <w:rPr>
          <w:rFonts w:cs="Times New Roman"/>
          <w:noProof/>
          <w:sz w:val="20"/>
        </w:rPr>
        <w:t>. Action plans for noise management in the current period have been adopted for all major roads, major rail</w:t>
      </w:r>
      <w:r>
        <w:rPr>
          <w:rFonts w:cs="Times New Roman"/>
          <w:noProof/>
          <w:sz w:val="20"/>
        </w:rPr>
        <w:t>ways and major airports. For agglomerations, the action plan for one agglomeration is still outstanding.</w:t>
      </w:r>
    </w:p>
    <w:p w:rsidR="00823F06" w:rsidRDefault="008128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823F06" w:rsidRDefault="0081280F">
      <w:pPr>
        <w:pStyle w:val="NoSpacing"/>
        <w:rPr>
          <w:noProof/>
        </w:rPr>
      </w:pPr>
      <w:r>
        <w:rPr>
          <w:noProof/>
        </w:rPr>
        <w:t>Complete action plan for noise management for the last outstanding agglomeration.</w:t>
      </w:r>
    </w:p>
    <w:p w:rsidR="00823F06" w:rsidRDefault="0081280F">
      <w:pPr>
        <w:widowControl w:val="0"/>
        <w:spacing w:before="360" w:after="120" w:line="240" w:lineRule="auto"/>
        <w:jc w:val="both"/>
        <w:outlineLvl w:val="1"/>
        <w:rPr>
          <w:rFonts w:cs="Times New Roman"/>
          <w:b/>
          <w:noProof/>
          <w:color w:val="1F497D" w:themeColor="text2"/>
          <w:sz w:val="24"/>
        </w:rPr>
      </w:pPr>
      <w:bookmarkStart w:id="35" w:name="_Toc454813117"/>
      <w:bookmarkStart w:id="36" w:name="_Toc469478352"/>
      <w:bookmarkEnd w:id="34"/>
      <w:r>
        <w:rPr>
          <w:rFonts w:cs="Times New Roman"/>
          <w:b/>
          <w:noProof/>
          <w:color w:val="1F497D" w:themeColor="text2"/>
          <w:sz w:val="24"/>
        </w:rPr>
        <w:t>Water quality and management</w:t>
      </w:r>
      <w:bookmarkEnd w:id="35"/>
      <w:bookmarkEnd w:id="36"/>
    </w:p>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water policy and</w:t>
      </w:r>
      <w:r>
        <w:rPr>
          <w:rFonts w:cs="Times New Roman"/>
          <w:noProof/>
          <w:color w:val="FFFFFF" w:themeColor="background1"/>
          <w:sz w:val="20"/>
        </w:rPr>
        <w:t xml:space="preserve"> legislation require that the impact of pressures on transitional, coastal and fresh waters (including surface and ground waters) is significantly reduced to achieve, maintain or enhance good status of water bodies, as defined by the Water Framework Direct</w:t>
      </w:r>
      <w:r>
        <w:rPr>
          <w:rFonts w:cs="Times New Roman"/>
          <w:noProof/>
          <w:color w:val="FFFFFF" w:themeColor="background1"/>
          <w:sz w:val="20"/>
        </w:rPr>
        <w:t>ive; that citizens throughout the Union benefit from high standards for safe drinking and bathing water; and that the nutrient cycle (nitrogen and phosphorus) is managed in a more sustainable and resource-efficient way.</w:t>
      </w:r>
    </w:p>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w:t>
      </w:r>
      <w:r>
        <w:rPr>
          <w:rFonts w:cs="Times New Roman"/>
          <w:noProof/>
          <w:color w:val="FFFFFF" w:themeColor="background1"/>
          <w:sz w:val="20"/>
        </w:rPr>
        <w:t xml:space="preserve"> availability and sustainable management of water and sanitation for all.</w:t>
      </w:r>
    </w:p>
    <w:p w:rsidR="00823F06" w:rsidRDefault="0081280F">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4"/>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823F06" w:rsidRDefault="0081280F">
      <w:pPr>
        <w:widowControl w:val="0"/>
        <w:autoSpaceDE w:val="0"/>
        <w:spacing w:after="120" w:line="240" w:lineRule="auto"/>
        <w:jc w:val="both"/>
        <w:rPr>
          <w:rFonts w:cs="Times New Roman"/>
          <w:noProof/>
          <w:sz w:val="20"/>
        </w:rPr>
      </w:pPr>
      <w:r>
        <w:rPr>
          <w:rFonts w:cs="Times New Roman"/>
          <w:noProof/>
          <w:sz w:val="20"/>
        </w:rPr>
        <w:t xml:space="preserve">River Basin Management Plans (RBMPs) are a requirement of the Water Framework Directive and a means of achieving the protection, improvement and sustainable use of the water environment across Europe. This includes surface freshwaters such as lakes and </w:t>
      </w:r>
      <w:r>
        <w:rPr>
          <w:rFonts w:cs="Times New Roman"/>
          <w:noProof/>
          <w:sz w:val="20"/>
        </w:rPr>
        <w:t>rivers, groundwater, estuaries and coastal waters up to one nautical mile.</w:t>
      </w:r>
    </w:p>
    <w:p w:rsidR="00823F06" w:rsidRDefault="0081280F">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its first generation of RBMPs Sweden reported the status of 15,563 rivers, 7,232 lakes, 21 transitional, 602 coastal and 3,021 groundwater bodies. 58% of natural surface water bo</w:t>
      </w:r>
      <w:r>
        <w:rPr>
          <w:rFonts w:eastAsia="Times New Roman" w:cs="Times New Roman"/>
          <w:noProof/>
          <w:color w:val="000000"/>
          <w:sz w:val="20"/>
          <w:szCs w:val="20"/>
        </w:rPr>
        <w:t>dies achieve a good or high ecological status</w:t>
      </w:r>
      <w:r>
        <w:rPr>
          <w:rFonts w:eastAsia="Times New Roman" w:cs="Times New Roman"/>
          <w:noProof/>
          <w:color w:val="000000"/>
          <w:sz w:val="20"/>
          <w:szCs w:val="20"/>
          <w:vertAlign w:val="superscript"/>
        </w:rPr>
        <w:footnoteReference w:id="65"/>
      </w:r>
      <w:r>
        <w:rPr>
          <w:rFonts w:eastAsia="Times New Roman" w:cs="Times New Roman"/>
          <w:noProof/>
          <w:color w:val="000000"/>
          <w:sz w:val="20"/>
          <w:szCs w:val="20"/>
        </w:rPr>
        <w:t xml:space="preserve"> and only 2% of heavily modified or artificial water bodies achieve a good or high ecological potential (while the status of 20% is unknown). None of surface water bodies, none of heavily modified and artificia</w:t>
      </w:r>
      <w:r>
        <w:rPr>
          <w:rFonts w:eastAsia="Times New Roman" w:cs="Times New Roman"/>
          <w:noProof/>
          <w:color w:val="000000"/>
          <w:sz w:val="20"/>
          <w:szCs w:val="20"/>
        </w:rPr>
        <w:t>l water bodies</w:t>
      </w:r>
      <w:r>
        <w:rPr>
          <w:rFonts w:eastAsia="Times New Roman" w:cs="Times New Roman"/>
          <w:noProof/>
          <w:color w:val="000000"/>
          <w:sz w:val="20"/>
          <w:szCs w:val="20"/>
          <w:vertAlign w:val="superscript"/>
        </w:rPr>
        <w:footnoteReference w:id="66"/>
      </w:r>
      <w:r>
        <w:rPr>
          <w:rFonts w:eastAsia="Times New Roman" w:cs="Times New Roman"/>
          <w:noProof/>
          <w:color w:val="000000"/>
          <w:sz w:val="20"/>
          <w:szCs w:val="20"/>
        </w:rPr>
        <w:t xml:space="preserve"> and 98% of groundwater bodies achieve good chemical status</w:t>
      </w:r>
      <w:r>
        <w:rPr>
          <w:rFonts w:eastAsia="Times New Roman" w:cs="Times New Roman"/>
          <w:noProof/>
          <w:color w:val="000000"/>
          <w:sz w:val="20"/>
          <w:szCs w:val="20"/>
          <w:vertAlign w:val="superscript"/>
        </w:rPr>
        <w:footnoteReference w:id="67"/>
      </w:r>
      <w:r>
        <w:rPr>
          <w:rFonts w:eastAsia="Times New Roman" w:cs="Times New Roman"/>
          <w:noProof/>
          <w:color w:val="000000"/>
          <w:sz w:val="20"/>
          <w:szCs w:val="20"/>
        </w:rPr>
        <w:t>. 87% of groundwater bodies are in good quantitative status.</w:t>
      </w:r>
    </w:p>
    <w:p w:rsidR="00823F06" w:rsidRDefault="0081280F">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pressure on Swedish surface waters is diffuse pollution</w:t>
      </w:r>
      <w:r>
        <w:rPr>
          <w:rFonts w:eastAsia="Times New Roman" w:cs="Times New Roman"/>
          <w:noProof/>
          <w:color w:val="000000"/>
          <w:sz w:val="20"/>
          <w:szCs w:val="20"/>
          <w:vertAlign w:val="superscript"/>
        </w:rPr>
        <w:footnoteReference w:id="68"/>
      </w:r>
      <w:r>
        <w:rPr>
          <w:rFonts w:eastAsia="Times New Roman" w:cs="Times New Roman"/>
          <w:noProof/>
          <w:color w:val="000000"/>
          <w:sz w:val="20"/>
          <w:szCs w:val="20"/>
        </w:rPr>
        <w:t>, especially long range transported mercury, which affe</w:t>
      </w:r>
      <w:r>
        <w:rPr>
          <w:rFonts w:eastAsia="Times New Roman" w:cs="Times New Roman"/>
          <w:noProof/>
          <w:color w:val="000000"/>
          <w:sz w:val="20"/>
          <w:szCs w:val="20"/>
        </w:rPr>
        <w:t>cts 100% of water bodies. Flow regulation and morphological alterations affect 29% and river management affects negatively 8% of water bodies. There are some regional differences, e.g. low regulation and morphological alterations affect 42% in the North Ba</w:t>
      </w:r>
      <w:r>
        <w:rPr>
          <w:rFonts w:eastAsia="Times New Roman" w:cs="Times New Roman"/>
          <w:noProof/>
          <w:color w:val="000000"/>
          <w:sz w:val="20"/>
          <w:szCs w:val="20"/>
        </w:rPr>
        <w:t>ltic river basin district but much smaller proportion of water bodies in the North and West of the country.</w:t>
      </w:r>
    </w:p>
    <w:p w:rsidR="00823F06" w:rsidRDefault="0081280F">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Swedish River Basin Management Plans have some deficiencies that result in uncertainties about the status and effectiveness of Programmes of Mea</w:t>
      </w:r>
      <w:r>
        <w:rPr>
          <w:rFonts w:eastAsia="Times New Roman" w:cs="Times New Roman"/>
          <w:noProof/>
          <w:color w:val="000000"/>
          <w:sz w:val="20"/>
          <w:szCs w:val="20"/>
        </w:rPr>
        <w:t>sures. In particular there are weaknesses in monitoring. A number of exemptions were applied. The planned measures are expected to result in improvement of ecological status of surface water bodies by 6%</w:t>
      </w:r>
      <w:r>
        <w:rPr>
          <w:rFonts w:eastAsia="Times New Roman" w:cs="Times New Roman"/>
          <w:noProof/>
          <w:color w:val="000000"/>
          <w:sz w:val="20"/>
          <w:szCs w:val="20"/>
          <w:vertAlign w:val="superscript"/>
        </w:rPr>
        <w:footnoteReference w:id="69"/>
      </w:r>
      <w:r>
        <w:rPr>
          <w:rFonts w:eastAsia="Times New Roman" w:cs="Times New Roman"/>
          <w:noProof/>
          <w:color w:val="000000"/>
          <w:sz w:val="20"/>
          <w:szCs w:val="20"/>
        </w:rPr>
        <w:t>. The measures should also bring improvement of ecol</w:t>
      </w:r>
      <w:r>
        <w:rPr>
          <w:rFonts w:eastAsia="Times New Roman" w:cs="Times New Roman"/>
          <w:noProof/>
          <w:color w:val="000000"/>
          <w:sz w:val="20"/>
          <w:szCs w:val="20"/>
        </w:rPr>
        <w:t>ogical potential of artificial and heavily modified water bodies by 4%</w:t>
      </w:r>
      <w:r>
        <w:rPr>
          <w:rFonts w:eastAsia="Times New Roman" w:cs="Times New Roman"/>
          <w:noProof/>
          <w:color w:val="000000"/>
          <w:sz w:val="20"/>
          <w:szCs w:val="20"/>
          <w:vertAlign w:val="superscript"/>
        </w:rPr>
        <w:t>62</w:t>
      </w:r>
      <w:r>
        <w:rPr>
          <w:rFonts w:eastAsia="Times New Roman" w:cs="Times New Roman"/>
          <w:noProof/>
          <w:color w:val="000000"/>
          <w:sz w:val="20"/>
          <w:szCs w:val="20"/>
        </w:rPr>
        <w:t xml:space="preserve">. </w:t>
      </w:r>
    </w:p>
    <w:p w:rsidR="00823F06" w:rsidRDefault="0081280F">
      <w:pPr>
        <w:widowControl w:val="0"/>
        <w:autoSpaceDE w:val="0"/>
        <w:spacing w:after="120" w:line="240" w:lineRule="auto"/>
        <w:jc w:val="both"/>
        <w:rPr>
          <w:rFonts w:cs="Times New Roman"/>
          <w:noProof/>
          <w:color w:val="000000"/>
          <w:sz w:val="20"/>
        </w:rPr>
      </w:pPr>
      <w:r>
        <w:rPr>
          <w:rFonts w:eastAsia="Times New Roman" w:cs="Times New Roman"/>
          <w:noProof/>
          <w:color w:val="000000"/>
          <w:sz w:val="20"/>
          <w:szCs w:val="20"/>
        </w:rPr>
        <w:t>The Nitrates Directive 2008-2011 reporting showed positive results in terms of nitrates concentrations; however data on eutrophication of inland waters showed the need for further i</w:t>
      </w:r>
      <w:r>
        <w:rPr>
          <w:rFonts w:eastAsia="Times New Roman" w:cs="Times New Roman"/>
          <w:noProof/>
          <w:color w:val="000000"/>
          <w:sz w:val="20"/>
          <w:szCs w:val="20"/>
        </w:rPr>
        <w:t xml:space="preserve">mprovements. Additionally, Sweden is one of the countries bordering the Baltic Sea, which is heavily affected by nutrients pollution. </w:t>
      </w:r>
    </w:p>
    <w:p w:rsidR="00823F06" w:rsidRDefault="0081280F">
      <w:pPr>
        <w:widowControl w:val="0"/>
        <w:spacing w:after="120" w:line="240" w:lineRule="auto"/>
        <w:jc w:val="both"/>
        <w:rPr>
          <w:rFonts w:cs="Times New Roman"/>
          <w:noProof/>
          <w:sz w:val="20"/>
        </w:rPr>
      </w:pPr>
      <w:r>
        <w:rPr>
          <w:rFonts w:cs="Times New Roman"/>
          <w:noProof/>
          <w:sz w:val="20"/>
          <w:szCs w:val="20"/>
          <w:lang w:val="en-US"/>
        </w:rPr>
        <w:t>As regards drinking water, Sweden reaches very high compliance rates of 99-100% for microbiological, chemical and indicat</w:t>
      </w:r>
      <w:r>
        <w:rPr>
          <w:rFonts w:cs="Times New Roman"/>
          <w:noProof/>
          <w:sz w:val="20"/>
          <w:szCs w:val="20"/>
          <w:lang w:val="en-US"/>
        </w:rPr>
        <w:t>or parameters laid down in the Drinking Water Directive</w:t>
      </w:r>
      <w:r>
        <w:rPr>
          <w:rFonts w:cs="Times New Roman"/>
          <w:noProof/>
          <w:sz w:val="20"/>
          <w:vertAlign w:val="superscript"/>
          <w:lang w:val="en-US"/>
        </w:rPr>
        <w:footnoteReference w:id="70"/>
      </w:r>
      <w:r>
        <w:rPr>
          <w:rFonts w:cs="Times New Roman"/>
          <w:noProof/>
          <w:sz w:val="20"/>
        </w:rPr>
        <w:t>.</w:t>
      </w:r>
    </w:p>
    <w:p w:rsidR="00823F06" w:rsidRDefault="0081280F">
      <w:pPr>
        <w:widowControl w:val="0"/>
        <w:spacing w:after="120" w:line="240" w:lineRule="auto"/>
        <w:jc w:val="both"/>
        <w:rPr>
          <w:rFonts w:cs="Times New Roman"/>
          <w:noProof/>
          <w:color w:val="FF0000"/>
          <w:sz w:val="20"/>
          <w:lang w:val="en-US"/>
        </w:rPr>
      </w:pPr>
      <w:r>
        <w:rPr>
          <w:rFonts w:cs="Times New Roman"/>
          <w:noProof/>
          <w:sz w:val="20"/>
        </w:rPr>
        <w:t>As shown in Figure 10, in 2015, in Sweden</w:t>
      </w:r>
      <w:r>
        <w:rPr>
          <w:rFonts w:cs="Times New Roman"/>
          <w:noProof/>
          <w:sz w:val="20"/>
          <w:lang w:val="en-US"/>
        </w:rPr>
        <w:t>, out of 445 bathing waters, 62.2% were of excellent quality, 17.3% of good quality, 3.6% of sufficient quality. 10 bathing waters were of poor quality or no</w:t>
      </w:r>
      <w:r>
        <w:rPr>
          <w:rFonts w:cs="Times New Roman"/>
          <w:noProof/>
          <w:sz w:val="20"/>
          <w:lang w:val="en-US"/>
        </w:rPr>
        <w:t>n-compliant while it was not possible to assess the remaining 64 bathing waters</w:t>
      </w:r>
      <w:r>
        <w:rPr>
          <w:rFonts w:cs="Times New Roman"/>
          <w:noProof/>
          <w:sz w:val="20"/>
          <w:vertAlign w:val="superscript"/>
          <w:lang w:val="en-US"/>
        </w:rPr>
        <w:footnoteReference w:id="71"/>
      </w:r>
      <w:r>
        <w:rPr>
          <w:rFonts w:cs="Times New Roman"/>
          <w:noProof/>
          <w:sz w:val="20"/>
          <w:lang w:val="en-US"/>
        </w:rPr>
        <w:t>. Overall, Sweden's bathing water quality has improved since 2014.</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72"/>
            </w:r>
          </w:p>
        </w:tc>
      </w:tr>
      <w:tr w:rsidR="00823F06">
        <w:tc>
          <w:tcPr>
            <w:tcW w:w="4909" w:type="dxa"/>
          </w:tcPr>
          <w:p w:rsidR="00823F06" w:rsidRDefault="0081280F">
            <w:pPr>
              <w:widowControl w:val="0"/>
              <w:spacing w:after="120"/>
              <w:jc w:val="both"/>
              <w:rPr>
                <w:rFonts w:cs="Times New Roman"/>
                <w:noProof/>
                <w:sz w:val="20"/>
              </w:rPr>
            </w:pPr>
            <w:r>
              <w:rPr>
                <w:rFonts w:cs="Times New Roman"/>
                <w:noProof/>
                <w:sz w:val="20"/>
                <w:lang w:eastAsia="en-GB"/>
              </w:rPr>
              <w:drawing>
                <wp:inline distT="0" distB="0" distL="0" distR="0" wp14:anchorId="3F033533" wp14:editId="791CC6EE">
                  <wp:extent cx="3125202" cy="2631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25478" cy="2631466"/>
                          </a:xfrm>
                          <a:prstGeom prst="rect">
                            <a:avLst/>
                          </a:prstGeom>
                          <a:noFill/>
                        </pic:spPr>
                      </pic:pic>
                    </a:graphicData>
                  </a:graphic>
                </wp:inline>
              </w:drawing>
            </w:r>
          </w:p>
        </w:tc>
      </w:tr>
    </w:tbl>
    <w:p w:rsidR="00823F06" w:rsidRDefault="0081280F">
      <w:pPr>
        <w:widowControl w:val="0"/>
        <w:spacing w:after="120" w:line="240" w:lineRule="auto"/>
        <w:jc w:val="both"/>
        <w:rPr>
          <w:rFonts w:cs="Times New Roman"/>
          <w:noProof/>
          <w:sz w:val="20"/>
        </w:rPr>
      </w:pPr>
      <w:r>
        <w:rPr>
          <w:rFonts w:cs="Times New Roman"/>
          <w:noProof/>
          <w:sz w:val="20"/>
        </w:rPr>
        <w:t xml:space="preserve">With regard to the implementation of the Urban Waste Water </w:t>
      </w:r>
      <w:r>
        <w:rPr>
          <w:rFonts w:cs="Times New Roman"/>
          <w:noProof/>
          <w:sz w:val="20"/>
        </w:rPr>
        <w:t>Treatment Directive, in the latest reporting exercise (data from 2012)</w:t>
      </w:r>
      <w:r>
        <w:rPr>
          <w:rFonts w:cs="Times New Roman"/>
          <w:noProof/>
          <w:sz w:val="20"/>
          <w:vertAlign w:val="superscript"/>
        </w:rPr>
        <w:footnoteReference w:id="73"/>
      </w:r>
      <w:r>
        <w:rPr>
          <w:rFonts w:cs="Times New Roman"/>
          <w:noProof/>
          <w:sz w:val="20"/>
        </w:rPr>
        <w:t xml:space="preserve"> Sweden reported 367 relevant agglomerations which represents an increase from 327 agglomerations in the year 2010.Following information by Swedish authorities, the generated waste wate</w:t>
      </w:r>
      <w:r>
        <w:rPr>
          <w:rFonts w:cs="Times New Roman"/>
          <w:noProof/>
          <w:sz w:val="20"/>
        </w:rPr>
        <w:t xml:space="preserve">r load changed due to a new calculation methodology. This reporting and calculation issue needs to be resolved by the Swedish authorities to ensure certainty in the figures that are communicated to the Commission. </w:t>
      </w:r>
    </w:p>
    <w:p w:rsidR="00823F06" w:rsidRDefault="0081280F">
      <w:pPr>
        <w:widowControl w:val="0"/>
        <w:spacing w:after="120" w:line="240" w:lineRule="auto"/>
        <w:jc w:val="both"/>
        <w:rPr>
          <w:rFonts w:cs="Times New Roman"/>
          <w:noProof/>
          <w:sz w:val="20"/>
        </w:rPr>
      </w:pPr>
      <w:r>
        <w:rPr>
          <w:rFonts w:cs="Times New Roman"/>
          <w:noProof/>
          <w:sz w:val="20"/>
        </w:rPr>
        <w:t xml:space="preserve">Sweden also reported that in 2012, 88.9% </w:t>
      </w:r>
      <w:r>
        <w:rPr>
          <w:rFonts w:cs="Times New Roman"/>
          <w:noProof/>
          <w:sz w:val="20"/>
        </w:rPr>
        <w:t>of the waste water load collected is subject to more stringent treatment in accordance with Article 5 of the Urban Waste Treatment Directive – amounting to 116 agglomerations out of 155 subject to those obligations</w:t>
      </w:r>
      <w:r>
        <w:rPr>
          <w:rFonts w:cs="Times New Roman"/>
          <w:noProof/>
          <w:sz w:val="20"/>
          <w:vertAlign w:val="superscript"/>
        </w:rPr>
        <w:footnoteReference w:id="74"/>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The Commission is following-up on a num</w:t>
      </w:r>
      <w:r>
        <w:rPr>
          <w:rFonts w:cs="Times New Roman"/>
          <w:noProof/>
          <w:sz w:val="20"/>
        </w:rPr>
        <w:t>ber of issues in Sweden, as regards the urban waste water treatment in both small and large agglomerations, by means of infringements.</w:t>
      </w:r>
    </w:p>
    <w:p w:rsidR="00823F06" w:rsidRDefault="0081280F">
      <w:pPr>
        <w:widowControl w:val="0"/>
        <w:spacing w:after="120" w:line="240" w:lineRule="auto"/>
        <w:jc w:val="both"/>
        <w:rPr>
          <w:rFonts w:cs="Times New Roman"/>
          <w:noProof/>
          <w:sz w:val="20"/>
          <w:lang w:val="en-US"/>
        </w:rPr>
      </w:pPr>
      <w:r>
        <w:rPr>
          <w:rFonts w:cs="Times New Roman"/>
          <w:noProof/>
          <w:sz w:val="20"/>
        </w:rPr>
        <w:t>Sweden undertook a preliminary assessment of the risk of flooding from rivers and lakes only as the majority of historica</w:t>
      </w:r>
      <w:r>
        <w:rPr>
          <w:rFonts w:cs="Times New Roman"/>
          <w:noProof/>
          <w:sz w:val="20"/>
        </w:rPr>
        <w:t>l floods are of this type</w:t>
      </w:r>
      <w:r>
        <w:rPr>
          <w:rFonts w:cs="Times New Roman"/>
          <w:noProof/>
          <w:sz w:val="20"/>
          <w:vertAlign w:val="superscript"/>
          <w:lang w:val="it-IT"/>
        </w:rPr>
        <w:footnoteReference w:id="75"/>
      </w:r>
      <w:r>
        <w:rPr>
          <w:rFonts w:cs="Times New Roman"/>
          <w:noProof/>
          <w:sz w:val="20"/>
        </w:rPr>
        <w:t xml:space="preserve">. </w:t>
      </w:r>
      <w:r>
        <w:rPr>
          <w:rFonts w:cs="Times New Roman"/>
          <w:noProof/>
          <w:sz w:val="20"/>
          <w:lang w:val="en-US"/>
        </w:rPr>
        <w:t xml:space="preserve">Sweden has up to now been relatively spared from serious flooding. However, with increasing temperatures above global average, and changing precipitation patterns the risk of flooding in parts of the country will increase. </w:t>
      </w:r>
    </w:p>
    <w:p w:rsidR="00823F06" w:rsidRDefault="0081280F">
      <w:pPr>
        <w:widowControl w:val="0"/>
        <w:spacing w:after="120" w:line="240" w:lineRule="auto"/>
        <w:jc w:val="both"/>
        <w:rPr>
          <w:rFonts w:cs="Times New Roman"/>
          <w:noProof/>
          <w:sz w:val="20"/>
        </w:rPr>
      </w:pPr>
      <w:r>
        <w:rPr>
          <w:rFonts w:cs="Times New Roman"/>
          <w:noProof/>
          <w:sz w:val="20"/>
          <w:lang w:val="en-US"/>
        </w:rPr>
        <w:t>Betw</w:t>
      </w:r>
      <w:r>
        <w:rPr>
          <w:rFonts w:cs="Times New Roman"/>
          <w:noProof/>
          <w:sz w:val="20"/>
          <w:lang w:val="en-US"/>
        </w:rPr>
        <w:t>een 2002 and 2013, for the one flood recorded the total direct costs were EUR 320 million. The average cost per flood was EUR 320 million</w:t>
      </w:r>
      <w:r>
        <w:rPr>
          <w:rFonts w:cs="Times New Roman"/>
          <w:noProof/>
          <w:sz w:val="20"/>
        </w:rPr>
        <w:t>, close to the EU average of EUR 370 million</w:t>
      </w:r>
      <w:r>
        <w:rPr>
          <w:rFonts w:cs="Times New Roman"/>
          <w:noProof/>
          <w:sz w:val="20"/>
          <w:lang w:val="en-US"/>
        </w:rPr>
        <w:t>.</w:t>
      </w:r>
      <w:r>
        <w:rPr>
          <w:rFonts w:cs="Times New Roman"/>
          <w:noProof/>
          <w:sz w:val="20"/>
          <w:vertAlign w:val="superscript"/>
        </w:rPr>
        <w:t xml:space="preserve"> </w:t>
      </w:r>
      <w:r>
        <w:rPr>
          <w:rFonts w:cs="Times New Roman"/>
          <w:noProof/>
          <w:sz w:val="20"/>
        </w:rPr>
        <w:t>Between 2002 and 2013, EUR 289 million was invested in flood risk managem</w:t>
      </w:r>
      <w:r>
        <w:rPr>
          <w:rFonts w:cs="Times New Roman"/>
          <w:noProof/>
          <w:sz w:val="20"/>
        </w:rPr>
        <w:t>ent measures, equivalent to EUR 26 million per year on average. EUR 183 million was from EU funds (but not all of this total may have been used for flood risk management)</w:t>
      </w:r>
      <w:r>
        <w:rPr>
          <w:rFonts w:cs="Times New Roman"/>
          <w:noProof/>
          <w:sz w:val="20"/>
          <w:vertAlign w:val="superscript"/>
        </w:rPr>
        <w:footnoteReference w:id="76"/>
      </w:r>
      <w:r>
        <w:rPr>
          <w:rFonts w:cs="Times New Roman"/>
          <w:noProof/>
          <w:sz w:val="20"/>
        </w:rPr>
        <w:t>.</w:t>
      </w:r>
    </w:p>
    <w:p w:rsidR="00823F06" w:rsidRDefault="0081280F">
      <w:pPr>
        <w:widowControl w:val="0"/>
        <w:spacing w:after="120" w:line="240" w:lineRule="auto"/>
        <w:jc w:val="both"/>
        <w:rPr>
          <w:rFonts w:ascii="Times New Roman" w:hAnsi="Times New Roman" w:cs="Times New Roman"/>
          <w:noProof/>
          <w:sz w:val="20"/>
          <w:szCs w:val="20"/>
        </w:rPr>
      </w:pPr>
      <w:r>
        <w:rPr>
          <w:rFonts w:cstheme="minorHAnsi"/>
          <w:noProof/>
          <w:color w:val="1F497D" w:themeColor="text2"/>
          <w:szCs w:val="26"/>
        </w:rPr>
        <w:t>Suggested action</w:t>
      </w:r>
    </w:p>
    <w:p w:rsidR="00823F06" w:rsidRDefault="0081280F">
      <w:pPr>
        <w:pStyle w:val="NoSpacing"/>
        <w:rPr>
          <w:noProof/>
        </w:rPr>
      </w:pPr>
      <w:r>
        <w:rPr>
          <w:noProof/>
        </w:rPr>
        <w:t>Improve the water monitoring system and status assessment.</w:t>
      </w:r>
    </w:p>
    <w:p w:rsidR="00823F06" w:rsidRDefault="0081280F">
      <w:pPr>
        <w:pStyle w:val="NoSpacing"/>
        <w:rPr>
          <w:noProof/>
        </w:rPr>
      </w:pPr>
      <w:r>
        <w:rPr>
          <w:noProof/>
        </w:rPr>
        <w:t xml:space="preserve">Cover all identified pressures and implementation gaps with Programmes of Measures that should be adequately funded. </w:t>
      </w:r>
    </w:p>
    <w:p w:rsidR="00823F06" w:rsidRDefault="0081280F">
      <w:pPr>
        <w:pStyle w:val="NoSpacing"/>
        <w:spacing w:after="240"/>
        <w:rPr>
          <w:noProof/>
        </w:rPr>
      </w:pPr>
      <w:r>
        <w:rPr>
          <w:noProof/>
        </w:rPr>
        <w:t xml:space="preserve">Review and improve measures to reduce hydromorphological pressure in river basins. Also, licencing policy to allow or maintain hydropower </w:t>
      </w:r>
      <w:r>
        <w:rPr>
          <w:noProof/>
        </w:rPr>
        <w:t>plants should be reviewed and updated.</w:t>
      </w:r>
    </w:p>
    <w:p w:rsidR="00823F06" w:rsidRDefault="0081280F">
      <w:pPr>
        <w:widowControl w:val="0"/>
        <w:spacing w:after="120" w:line="240" w:lineRule="auto"/>
        <w:jc w:val="both"/>
        <w:outlineLvl w:val="1"/>
        <w:rPr>
          <w:rFonts w:cs="Times New Roman"/>
          <w:b/>
          <w:noProof/>
          <w:color w:val="1F497D" w:themeColor="text2"/>
          <w:sz w:val="24"/>
          <w:lang w:eastAsia="en-GB"/>
        </w:rPr>
      </w:pPr>
      <w:bookmarkStart w:id="37" w:name="_Toc436815691"/>
      <w:bookmarkStart w:id="38" w:name="_Toc454460686"/>
      <w:bookmarkStart w:id="39" w:name="_Toc469478353"/>
      <w:r>
        <w:rPr>
          <w:rFonts w:cs="Times New Roman"/>
          <w:b/>
          <w:noProof/>
          <w:color w:val="1F497D" w:themeColor="text2"/>
          <w:sz w:val="24"/>
          <w:lang w:eastAsia="en-GB"/>
        </w:rPr>
        <w:t>Enhancing the sustainability of cities</w:t>
      </w:r>
      <w:bookmarkEnd w:id="37"/>
      <w:bookmarkEnd w:id="38"/>
      <w:bookmarkEnd w:id="39"/>
      <w:r>
        <w:rPr>
          <w:rFonts w:cs="Times New Roman"/>
          <w:b/>
          <w:noProof/>
          <w:color w:val="1F497D" w:themeColor="text2"/>
          <w:sz w:val="24"/>
          <w:lang w:eastAsia="en-GB"/>
        </w:rPr>
        <w:t xml:space="preserve"> </w:t>
      </w:r>
    </w:p>
    <w:p w:rsidR="00823F06" w:rsidRDefault="008128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w:t>
      </w:r>
      <w:r>
        <w:rPr>
          <w:rFonts w:cs="Times New Roman"/>
          <w:noProof/>
          <w:color w:val="FFFFFF" w:themeColor="background1"/>
          <w:sz w:val="20"/>
        </w:rPr>
        <w:t xml:space="preserve">ort and mobility, sustainable buildings, energy efficiency and urban biodiversity conservation. </w:t>
      </w:r>
    </w:p>
    <w:p w:rsidR="00823F06" w:rsidRDefault="0081280F">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823F06" w:rsidRDefault="0081280F">
      <w:pPr>
        <w:widowControl w:val="0"/>
        <w:spacing w:after="120" w:line="240" w:lineRule="auto"/>
        <w:jc w:val="both"/>
        <w:rPr>
          <w:rFonts w:cs="Times New Roman"/>
          <w:noProof/>
          <w:sz w:val="20"/>
        </w:rPr>
      </w:pPr>
      <w:r>
        <w:rPr>
          <w:rFonts w:cs="Times New Roman"/>
          <w:noProof/>
          <w:sz w:val="20"/>
        </w:rPr>
        <w:t>Europe is a Union of cities and towns; around 75% of the EU popul</w:t>
      </w:r>
      <w:r>
        <w:rPr>
          <w:rFonts w:cs="Times New Roman"/>
          <w:noProof/>
          <w:sz w:val="20"/>
        </w:rPr>
        <w:t>ation are living in urban areas</w:t>
      </w:r>
      <w:r>
        <w:rPr>
          <w:rFonts w:cs="Times New Roman"/>
          <w:noProof/>
          <w:sz w:val="20"/>
          <w:vertAlign w:val="superscript"/>
        </w:rPr>
        <w:footnoteReference w:id="77"/>
      </w:r>
      <w:r>
        <w:rPr>
          <w:rFonts w:cs="Times New Roman"/>
          <w:noProof/>
          <w:sz w:val="20"/>
        </w:rPr>
        <w:t xml:space="preserve">. The urban environment poses particular challenges for the environment and human health, whilst also providing opportunities and efficiency gains in the use of resources. </w:t>
      </w:r>
    </w:p>
    <w:p w:rsidR="00823F06" w:rsidRDefault="0081280F">
      <w:pPr>
        <w:widowControl w:val="0"/>
        <w:spacing w:after="120" w:line="240" w:lineRule="auto"/>
        <w:jc w:val="both"/>
        <w:rPr>
          <w:rFonts w:cs="Times New Roman"/>
          <w:noProof/>
          <w:sz w:val="20"/>
        </w:rPr>
      </w:pPr>
      <w:r>
        <w:rPr>
          <w:rFonts w:cs="Times New Roman"/>
          <w:noProof/>
          <w:sz w:val="20"/>
        </w:rPr>
        <w:t>The Member States, European institutions, cities an</w:t>
      </w:r>
      <w:r>
        <w:rPr>
          <w:rFonts w:cs="Times New Roman"/>
          <w:noProof/>
          <w:sz w:val="20"/>
        </w:rPr>
        <w:t>d stakeholders have prepared a new Urban Agenda for the EU (incorporating the Smart Cities initiative) to tackle these issues in a comprehensive way, including their connections with social and economic challenges. At the heart of this Urban Agenda will be</w:t>
      </w:r>
      <w:r>
        <w:rPr>
          <w:rFonts w:cs="Times New Roman"/>
          <w:noProof/>
          <w:sz w:val="20"/>
        </w:rPr>
        <w:t xml:space="preserve"> the development of twelve partnerships on the identified urban challenges, including air quality and housing</w:t>
      </w:r>
      <w:r>
        <w:rPr>
          <w:rFonts w:cs="Times New Roman"/>
          <w:noProof/>
          <w:sz w:val="20"/>
          <w:vertAlign w:val="superscript"/>
        </w:rPr>
        <w:footnoteReference w:id="78"/>
      </w:r>
      <w:r>
        <w:rPr>
          <w:rFonts w:cs="Times New Roman"/>
          <w:noProof/>
          <w:sz w:val="20"/>
        </w:rPr>
        <w:t xml:space="preserve">. </w:t>
      </w:r>
    </w:p>
    <w:p w:rsidR="00823F06" w:rsidRDefault="0081280F">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79"/>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 xml:space="preserve">The EU stimulates green cities through awards and funding, such as the </w:t>
      </w:r>
      <w:r>
        <w:rPr>
          <w:rFonts w:cs="Times New Roman"/>
          <w:noProof/>
          <w:sz w:val="20"/>
        </w:rPr>
        <w:t xml:space="preserve">EU Green Capital Award aimed at cities with more than 100,000 inhabitants and the EU Green Leaf initiative aimed at cities and towns, with between 20,000 and 100,000 inhabitants. </w:t>
      </w:r>
    </w:p>
    <w:p w:rsidR="00823F06" w:rsidRDefault="0081280F">
      <w:pPr>
        <w:widowControl w:val="0"/>
        <w:spacing w:after="120" w:line="240" w:lineRule="auto"/>
        <w:jc w:val="both"/>
        <w:rPr>
          <w:rFonts w:cs="Times New Roman"/>
          <w:noProof/>
          <w:sz w:val="20"/>
        </w:rPr>
      </w:pPr>
      <w:r>
        <w:rPr>
          <w:rFonts w:cs="Times New Roman"/>
          <w:noProof/>
          <w:sz w:val="20"/>
        </w:rPr>
        <w:t xml:space="preserve">Stockholm was the first winner of the European Green Capital Award in 2010. </w:t>
      </w:r>
      <w:r>
        <w:rPr>
          <w:rFonts w:cs="Times New Roman"/>
          <w:noProof/>
          <w:sz w:val="20"/>
        </w:rPr>
        <w:t>Stockholm introduced a number of measures to make local transport more sustainable, including the promotion of bicycle lanes and public transport, use of alternative fuels and road pricing. Road pricing was introduced in 2006 in the form of a congestion ta</w:t>
      </w:r>
      <w:r>
        <w:rPr>
          <w:rFonts w:cs="Times New Roman"/>
          <w:noProof/>
          <w:sz w:val="20"/>
        </w:rPr>
        <w:t>x. The tax is imposed on Swedish registered vehicles driving in and out of the Stockholm inner city zone on weekdays. Consequently, traffic work and emissions in the city centre are down by 10-15%</w:t>
      </w:r>
      <w:r>
        <w:rPr>
          <w:rFonts w:cs="Times New Roman"/>
          <w:noProof/>
          <w:sz w:val="20"/>
          <w:vertAlign w:val="superscript"/>
        </w:rPr>
        <w:footnoteReference w:id="80"/>
      </w:r>
      <w:r>
        <w:rPr>
          <w:rFonts w:cs="Times New Roman"/>
          <w:noProof/>
          <w:sz w:val="20"/>
        </w:rPr>
        <w:t>. The city has taken action to reduce traffic noise: Proact</w:t>
      </w:r>
      <w:r>
        <w:rPr>
          <w:rFonts w:cs="Times New Roman"/>
          <w:noProof/>
          <w:sz w:val="20"/>
        </w:rPr>
        <w:t>ive actions, regulations, planning and reduction of noise at the source</w:t>
      </w:r>
      <w:r>
        <w:rPr>
          <w:rFonts w:cs="Times New Roman"/>
          <w:noProof/>
          <w:sz w:val="20"/>
          <w:vertAlign w:val="superscript"/>
        </w:rPr>
        <w:footnoteReference w:id="81"/>
      </w:r>
      <w:r>
        <w:rPr>
          <w:rFonts w:cs="Times New Roman"/>
          <w:noProof/>
          <w:sz w:val="20"/>
        </w:rPr>
        <w:t>. Furthermore, Stockholm has adopted an ambitious planning strategy, aimed at building the city inwards</w:t>
      </w:r>
      <w:r>
        <w:rPr>
          <w:rFonts w:cs="Times New Roman"/>
          <w:noProof/>
          <w:sz w:val="20"/>
          <w:vertAlign w:val="superscript"/>
        </w:rPr>
        <w:footnoteReference w:id="82"/>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In Malmö, the SYSAV Waste to Energy plant in Malmö is the most energy efficien</w:t>
      </w:r>
      <w:r>
        <w:rPr>
          <w:rFonts w:cs="Times New Roman"/>
          <w:noProof/>
          <w:sz w:val="20"/>
        </w:rPr>
        <w:t>t plant in Sweden producing district heating</w:t>
      </w:r>
      <w:r>
        <w:rPr>
          <w:rFonts w:cs="Times New Roman"/>
          <w:noProof/>
          <w:sz w:val="20"/>
          <w:vertAlign w:val="superscript"/>
        </w:rPr>
        <w:footnoteReference w:id="83"/>
      </w:r>
      <w:r>
        <w:rPr>
          <w:rFonts w:cs="Times New Roman"/>
          <w:noProof/>
          <w:sz w:val="20"/>
        </w:rPr>
        <w:t>.  The Traffic Environment Programme aims to foresee Malmö to become quieter, more efficient, cleaner, as well as to reduce its impact on the health of Malmö inhabitants</w:t>
      </w:r>
      <w:r>
        <w:rPr>
          <w:rFonts w:cs="Times New Roman"/>
          <w:noProof/>
          <w:sz w:val="20"/>
          <w:vertAlign w:val="superscript"/>
        </w:rPr>
        <w:footnoteReference w:id="84"/>
      </w:r>
      <w:r>
        <w:rPr>
          <w:rFonts w:cs="Times New Roman"/>
          <w:noProof/>
          <w:sz w:val="20"/>
        </w:rPr>
        <w:t xml:space="preserve">. Measures aim to: reduce fossil fuels; </w:t>
      </w:r>
      <w:r>
        <w:rPr>
          <w:rFonts w:cs="Times New Roman"/>
          <w:noProof/>
          <w:sz w:val="20"/>
        </w:rPr>
        <w:t>improve air quality; reduce noise; and increase cycling, walking and public transport. Malmö’s large</w:t>
      </w:r>
      <w:r>
        <w:rPr>
          <w:rFonts w:ascii="Cambria Math" w:hAnsi="Cambria Math" w:cs="Cambria Math"/>
          <w:noProof/>
          <w:sz w:val="20"/>
        </w:rPr>
        <w:t>‐</w:t>
      </w:r>
      <w:r>
        <w:rPr>
          <w:rFonts w:cs="Times New Roman"/>
          <w:noProof/>
          <w:sz w:val="20"/>
        </w:rPr>
        <w:t>scale new development area, the Western Harbour (or Västra Hamnen), since initial planning stages, transport strategies were incorporated to prioritise col</w:t>
      </w:r>
      <w:r>
        <w:rPr>
          <w:rFonts w:cs="Times New Roman"/>
          <w:noProof/>
          <w:sz w:val="20"/>
        </w:rPr>
        <w:t>lective transport, cycles and pedestrians ahead of cars to reduce the environmental impact. The world’s first botanical roof garden was launched in 1999 in Malmo co-financed by the LIFE programme. It cover almost one hectare, and is a unique attraction for</w:t>
      </w:r>
      <w:r>
        <w:rPr>
          <w:rFonts w:cs="Times New Roman"/>
          <w:noProof/>
          <w:sz w:val="20"/>
        </w:rPr>
        <w:t xml:space="preserve"> Malmö and Sweden</w:t>
      </w:r>
      <w:r>
        <w:rPr>
          <w:rFonts w:cs="Times New Roman"/>
          <w:noProof/>
          <w:sz w:val="20"/>
          <w:vertAlign w:val="superscript"/>
        </w:rPr>
        <w:footnoteReference w:id="85"/>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60089DC2" wp14:editId="4598FAB6">
            <wp:extent cx="3001993" cy="2000149"/>
            <wp:effectExtent l="0" t="0" r="825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Stockholm iStock_18979092_SMALL.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04000" cy="2001486"/>
                    </a:xfrm>
                    <a:prstGeom prst="rect">
                      <a:avLst/>
                    </a:prstGeom>
                  </pic:spPr>
                </pic:pic>
              </a:graphicData>
            </a:graphic>
          </wp:inline>
        </w:drawing>
      </w:r>
      <w:r>
        <w:rPr>
          <w:rFonts w:cs="Times New Roman"/>
          <w:noProof/>
          <w:sz w:val="20"/>
        </w:rPr>
        <w:t>Umea has developed an impressive tool called the ‘Green Target’ that is used as a quality control in the planning process</w:t>
      </w:r>
      <w:r>
        <w:rPr>
          <w:rFonts w:cs="Times New Roman"/>
          <w:noProof/>
          <w:sz w:val="20"/>
          <w:vertAlign w:val="superscript"/>
        </w:rPr>
        <w:footnoteReference w:id="86"/>
      </w:r>
      <w:r>
        <w:rPr>
          <w:rFonts w:cs="Times New Roman"/>
          <w:noProof/>
          <w:sz w:val="20"/>
        </w:rPr>
        <w:t xml:space="preserve">. It is the objective of Umea to ensure that all citizens have access to facilities including playgrounds, small </w:t>
      </w:r>
      <w:r>
        <w:rPr>
          <w:rFonts w:cs="Times New Roman"/>
          <w:noProof/>
          <w:sz w:val="20"/>
        </w:rPr>
        <w:t>groves, lawns etc. within 250m of their homes. In 2015 approximately 89% of citizens were living within 300m of green urban areas larger than 5,000m</w:t>
      </w:r>
      <w:r>
        <w:rPr>
          <w:rFonts w:cs="Times New Roman"/>
          <w:noProof/>
          <w:sz w:val="20"/>
          <w:vertAlign w:val="superscript"/>
        </w:rPr>
        <w:t>2</w:t>
      </w:r>
      <w:r>
        <w:rPr>
          <w:rFonts w:cs="Times New Roman"/>
          <w:noProof/>
          <w:sz w:val="20"/>
        </w:rPr>
        <w:t xml:space="preserve"> in inner city. The town is pioneering the use of ultra-fast charged electric full-size urban buses with hy</w:t>
      </w:r>
      <w:r>
        <w:rPr>
          <w:rFonts w:cs="Times New Roman"/>
          <w:noProof/>
          <w:sz w:val="20"/>
        </w:rPr>
        <w:t>brid back-up with benefit for air quality, noise and climate</w:t>
      </w:r>
      <w:r>
        <w:rPr>
          <w:rFonts w:cs="Times New Roman"/>
          <w:noProof/>
          <w:sz w:val="20"/>
          <w:vertAlign w:val="superscript"/>
        </w:rPr>
        <w:footnoteReference w:id="87"/>
      </w:r>
      <w:r>
        <w:rPr>
          <w:rFonts w:cs="Times New Roman"/>
          <w:noProof/>
          <w:sz w:val="20"/>
        </w:rPr>
        <w:t>.</w:t>
      </w:r>
    </w:p>
    <w:p w:rsidR="00823F06" w:rsidRDefault="0081280F">
      <w:pPr>
        <w:widowControl w:val="0"/>
        <w:spacing w:before="360" w:after="120" w:line="240" w:lineRule="auto"/>
        <w:jc w:val="both"/>
        <w:outlineLvl w:val="1"/>
        <w:rPr>
          <w:rFonts w:cs="Times New Roman"/>
          <w:b/>
          <w:noProof/>
          <w:color w:val="1F497D" w:themeColor="text2"/>
          <w:sz w:val="24"/>
        </w:rPr>
      </w:pPr>
      <w:bookmarkStart w:id="40" w:name="_Toc453686116"/>
      <w:bookmarkStart w:id="41" w:name="_Toc469478354"/>
      <w:r>
        <w:rPr>
          <w:rFonts w:cs="Times New Roman"/>
          <w:b/>
          <w:noProof/>
          <w:color w:val="1F497D" w:themeColor="text2"/>
          <w:sz w:val="24"/>
        </w:rPr>
        <w:t>International agreements</w:t>
      </w:r>
      <w:bookmarkEnd w:id="40"/>
      <w:bookmarkEnd w:id="41"/>
      <w:r>
        <w:rPr>
          <w:rFonts w:cs="Times New Roman"/>
          <w:b/>
          <w:noProof/>
          <w:color w:val="1F497D" w:themeColor="text2"/>
          <w:sz w:val="24"/>
        </w:rPr>
        <w:t xml:space="preserve"> </w:t>
      </w:r>
    </w:p>
    <w:p w:rsidR="00823F06" w:rsidRDefault="0081280F">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worldwide environmental problems</w:t>
      </w:r>
      <w:r>
        <w:rPr>
          <w:rFonts w:cs="Times New Roman"/>
          <w:noProof/>
          <w:color w:val="FFFFFF" w:themeColor="background1"/>
          <w:sz w:val="20"/>
        </w:rPr>
        <w:t>.</w:t>
      </w:r>
    </w:p>
    <w:p w:rsidR="00823F06" w:rsidRDefault="0081280F">
      <w:pPr>
        <w:spacing w:after="120" w:line="240" w:lineRule="auto"/>
        <w:jc w:val="both"/>
        <w:rPr>
          <w:noProof/>
          <w:sz w:val="20"/>
          <w:szCs w:val="20"/>
        </w:rPr>
      </w:pPr>
      <w:r>
        <w:rPr>
          <w:noProof/>
          <w:sz w:val="20"/>
          <w:szCs w:val="20"/>
        </w:rPr>
        <w:t>Most environmental problems have a transboundary nature and often a global scope and they can only be addressed effectively through international co-operation. International environmental agreements concluded by the Union are binding upon the institution</w:t>
      </w:r>
      <w:r>
        <w:rPr>
          <w:noProof/>
          <w:sz w:val="20"/>
          <w:szCs w:val="20"/>
        </w:rPr>
        <w:t xml:space="preserve">s of the Union and on its Member States. This requires the EU and the Member States to sign, ratify and effectively implement all relevant multilateral environmental agreements (MEAs) in a timely manner. This will also be an important contribution towards </w:t>
      </w:r>
      <w:r>
        <w:rPr>
          <w:noProof/>
          <w:sz w:val="20"/>
          <w:szCs w:val="20"/>
        </w:rPr>
        <w:t>the achievement of the SDGs, which Member States committed to in 2015 and include many commitments contained already in legally binding agreements.</w:t>
      </w:r>
    </w:p>
    <w:p w:rsidR="00823F06" w:rsidRDefault="0081280F">
      <w:pPr>
        <w:widowControl w:val="0"/>
        <w:spacing w:after="120" w:line="240" w:lineRule="auto"/>
        <w:jc w:val="both"/>
        <w:rPr>
          <w:rFonts w:cs="Times New Roman"/>
          <w:noProof/>
          <w:sz w:val="20"/>
        </w:rPr>
      </w:pPr>
      <w:r>
        <w:rPr>
          <w:noProof/>
          <w:sz w:val="20"/>
          <w:szCs w:val="20"/>
        </w:rPr>
        <w:t>The fact that some Member States did not sign and/or ratify a number of MEAs compromises environmental imple</w:t>
      </w:r>
      <w:r>
        <w:rPr>
          <w:noProof/>
          <w:sz w:val="20"/>
          <w:szCs w:val="20"/>
        </w:rPr>
        <w:t>mentation, including within the Union, as well as the Union’s credibility in related negotiations and international meetings where supporting the participation of third countries to such agreements is an established EU policy objective. In agreements where</w:t>
      </w:r>
      <w:r>
        <w:rPr>
          <w:noProof/>
          <w:sz w:val="20"/>
          <w:szCs w:val="20"/>
        </w:rPr>
        <w:t xml:space="preserve"> voting takes place it has a direct impact on the number of votes to be cast by the EU</w:t>
      </w:r>
      <w:r>
        <w:rPr>
          <w:rFonts w:cs="Times New Roman"/>
          <w:noProof/>
          <w:sz w:val="20"/>
        </w:rPr>
        <w:t xml:space="preserve">. </w:t>
      </w:r>
    </w:p>
    <w:p w:rsidR="00823F06" w:rsidRDefault="0081280F">
      <w:pPr>
        <w:widowControl w:val="0"/>
        <w:spacing w:after="120" w:line="240" w:lineRule="auto"/>
        <w:jc w:val="both"/>
        <w:rPr>
          <w:rFonts w:cs="Times New Roman"/>
          <w:noProof/>
          <w:sz w:val="20"/>
        </w:rPr>
      </w:pPr>
      <w:r>
        <w:rPr>
          <w:rFonts w:cs="Times New Roman"/>
          <w:noProof/>
          <w:sz w:val="20"/>
        </w:rPr>
        <w:t xml:space="preserve">Sweden has signed and ratified almost all MEAs. </w:t>
      </w:r>
    </w:p>
    <w:p w:rsidR="00823F06" w:rsidRDefault="00823F06">
      <w:pPr>
        <w:widowControl w:val="0"/>
        <w:spacing w:line="240" w:lineRule="auto"/>
        <w:jc w:val="both"/>
        <w:rPr>
          <w:rFonts w:cs="Times New Roman"/>
          <w:noProof/>
          <w:sz w:val="20"/>
        </w:rPr>
      </w:pPr>
    </w:p>
    <w:p w:rsidR="00823F06" w:rsidRDefault="00823F06">
      <w:pPr>
        <w:widowControl w:val="0"/>
        <w:spacing w:line="240" w:lineRule="auto"/>
        <w:rPr>
          <w:rFonts w:cs="Times New Roman"/>
          <w:noProof/>
          <w:sz w:val="20"/>
        </w:rPr>
      </w:pPr>
    </w:p>
    <w:p w:rsidR="00823F06" w:rsidRDefault="00823F06">
      <w:pPr>
        <w:widowControl w:val="0"/>
        <w:spacing w:after="120" w:line="240" w:lineRule="auto"/>
        <w:jc w:val="both"/>
        <w:rPr>
          <w:rFonts w:cs="Times New Roman"/>
          <w:noProof/>
          <w:sz w:val="20"/>
        </w:rPr>
      </w:pPr>
    </w:p>
    <w:p w:rsidR="00823F06" w:rsidRDefault="00823F06">
      <w:pPr>
        <w:widowControl w:val="0"/>
        <w:spacing w:after="120" w:line="240" w:lineRule="auto"/>
        <w:jc w:val="both"/>
        <w:rPr>
          <w:rFonts w:cs="Times New Roman"/>
          <w:noProof/>
          <w:sz w:val="20"/>
        </w:rPr>
        <w:sectPr w:rsidR="00823F06">
          <w:headerReference w:type="even" r:id="rId86"/>
          <w:headerReference w:type="default" r:id="rId87"/>
          <w:footerReference w:type="even" r:id="rId88"/>
          <w:footerReference w:type="default" r:id="rId89"/>
          <w:headerReference w:type="first" r:id="rId90"/>
          <w:footerReference w:type="first" r:id="rId91"/>
          <w:type w:val="continuous"/>
          <w:pgSz w:w="11906" w:h="16838"/>
          <w:pgMar w:top="1440" w:right="1080" w:bottom="1440" w:left="1080" w:header="708" w:footer="708" w:gutter="0"/>
          <w:cols w:num="2" w:space="360"/>
          <w:docGrid w:linePitch="360"/>
        </w:sectPr>
      </w:pPr>
    </w:p>
    <w:p w:rsidR="00823F06" w:rsidRDefault="0081280F">
      <w:pPr>
        <w:keepLines/>
        <w:widowControl w:val="0"/>
        <w:spacing w:after="240" w:line="240" w:lineRule="auto"/>
        <w:ind w:left="720"/>
        <w:jc w:val="center"/>
        <w:outlineLvl w:val="0"/>
        <w:rPr>
          <w:rFonts w:eastAsiaTheme="majorEastAsia" w:cstheme="majorBidi"/>
          <w:b/>
          <w:bCs/>
          <w:noProof/>
          <w:color w:val="1F497D" w:themeColor="text2"/>
          <w:sz w:val="32"/>
          <w:szCs w:val="28"/>
        </w:rPr>
      </w:pPr>
      <w:bookmarkStart w:id="42" w:name="_Toc433296176"/>
      <w:bookmarkStart w:id="43" w:name="_Toc469478355"/>
      <w:r>
        <w:rPr>
          <w:rFonts w:eastAsiaTheme="majorEastAsia" w:cstheme="majorBidi"/>
          <w:b/>
          <w:bCs/>
          <w:noProof/>
          <w:color w:val="1F497D" w:themeColor="text2"/>
          <w:sz w:val="32"/>
          <w:szCs w:val="28"/>
        </w:rPr>
        <w:t xml:space="preserve">Part II: </w:t>
      </w:r>
      <w:bookmarkEnd w:id="42"/>
      <w:r>
        <w:rPr>
          <w:rFonts w:eastAsiaTheme="majorEastAsia" w:cstheme="majorBidi"/>
          <w:b/>
          <w:bCs/>
          <w:noProof/>
          <w:color w:val="1F497D" w:themeColor="text2"/>
          <w:sz w:val="32"/>
          <w:szCs w:val="28"/>
        </w:rPr>
        <w:t xml:space="preserve">Enabling </w:t>
      </w:r>
      <w:r>
        <w:rPr>
          <w:rFonts w:eastAsiaTheme="majorEastAsia" w:cstheme="majorBidi"/>
          <w:b/>
          <w:bCs/>
          <w:noProof/>
          <w:color w:val="1F497D" w:themeColor="text2"/>
          <w:sz w:val="32"/>
          <w:szCs w:val="28"/>
        </w:rPr>
        <w:t>Framework: Implementation Tools</w:t>
      </w:r>
      <w:bookmarkEnd w:id="43"/>
    </w:p>
    <w:p w:rsidR="00823F06" w:rsidRDefault="00823F06">
      <w:pPr>
        <w:widowControl w:val="0"/>
        <w:spacing w:after="120" w:line="240" w:lineRule="auto"/>
        <w:rPr>
          <w:rFonts w:cs="Times New Roman"/>
          <w:noProof/>
          <w:sz w:val="20"/>
        </w:rPr>
        <w:sectPr w:rsidR="00823F06">
          <w:headerReference w:type="even" r:id="rId92"/>
          <w:headerReference w:type="default" r:id="rId93"/>
          <w:footerReference w:type="even" r:id="rId94"/>
          <w:footerReference w:type="default" r:id="rId95"/>
          <w:headerReference w:type="first" r:id="rId96"/>
          <w:footerReference w:type="first" r:id="rId97"/>
          <w:pgSz w:w="11906" w:h="16838" w:code="9"/>
          <w:pgMar w:top="1080" w:right="1440" w:bottom="1080" w:left="1440" w:header="709" w:footer="709" w:gutter="0"/>
          <w:cols w:space="566"/>
          <w:docGrid w:linePitch="360"/>
        </w:sectPr>
      </w:pPr>
    </w:p>
    <w:p w:rsidR="00823F06" w:rsidRDefault="0081280F">
      <w:pPr>
        <w:pStyle w:val="ListParagraph"/>
        <w:keepLines/>
        <w:widowControl w:val="0"/>
        <w:numPr>
          <w:ilvl w:val="0"/>
          <w:numId w:val="28"/>
        </w:numPr>
        <w:spacing w:after="240"/>
        <w:jc w:val="center"/>
        <w:outlineLvl w:val="0"/>
        <w:rPr>
          <w:rFonts w:eastAsiaTheme="majorEastAsia" w:cstheme="majorBidi"/>
          <w:b/>
          <w:bCs/>
          <w:noProof/>
          <w:color w:val="1F497D" w:themeColor="text2"/>
          <w:sz w:val="32"/>
          <w:szCs w:val="28"/>
        </w:rPr>
      </w:pPr>
      <w:bookmarkStart w:id="44" w:name="_Toc469478356"/>
      <w:r>
        <w:rPr>
          <w:rFonts w:eastAsiaTheme="majorEastAsia" w:cstheme="majorBidi"/>
          <w:b/>
          <w:bCs/>
          <w:noProof/>
          <w:color w:val="1F497D" w:themeColor="text2"/>
          <w:sz w:val="32"/>
          <w:szCs w:val="28"/>
        </w:rPr>
        <w:t>Market based instruments and investment</w:t>
      </w:r>
      <w:bookmarkStart w:id="45" w:name="_Toc433296178"/>
      <w:bookmarkStart w:id="46" w:name="_Toc433296181"/>
      <w:bookmarkEnd w:id="44"/>
      <w:r>
        <w:rPr>
          <w:rFonts w:eastAsiaTheme="majorEastAsia" w:cstheme="majorBidi"/>
          <w:b/>
          <w:bCs/>
          <w:noProof/>
          <w:color w:val="1F497D" w:themeColor="text2"/>
          <w:sz w:val="32"/>
          <w:szCs w:val="28"/>
        </w:rPr>
        <w:t xml:space="preserve"> </w:t>
      </w:r>
    </w:p>
    <w:p w:rsidR="00823F06" w:rsidRDefault="00823F06">
      <w:pPr>
        <w:widowControl w:val="0"/>
        <w:spacing w:after="120" w:line="240" w:lineRule="auto"/>
        <w:rPr>
          <w:rFonts w:cs="Times New Roman"/>
          <w:noProof/>
          <w:sz w:val="20"/>
        </w:rPr>
        <w:sectPr w:rsidR="00823F06">
          <w:headerReference w:type="even" r:id="rId98"/>
          <w:headerReference w:type="default" r:id="rId99"/>
          <w:footerReference w:type="even" r:id="rId100"/>
          <w:footerReference w:type="default" r:id="rId101"/>
          <w:headerReference w:type="first" r:id="rId102"/>
          <w:footerReference w:type="first" r:id="rId103"/>
          <w:type w:val="continuous"/>
          <w:pgSz w:w="11906" w:h="16838" w:code="9"/>
          <w:pgMar w:top="1080" w:right="1440" w:bottom="1080" w:left="1440" w:header="709" w:footer="709" w:gutter="0"/>
          <w:cols w:space="566"/>
          <w:docGrid w:linePitch="360"/>
        </w:sectPr>
      </w:pPr>
    </w:p>
    <w:p w:rsidR="00823F06" w:rsidRDefault="0081280F">
      <w:pPr>
        <w:widowControl w:val="0"/>
        <w:spacing w:before="360" w:after="120" w:line="240" w:lineRule="auto"/>
        <w:jc w:val="both"/>
        <w:outlineLvl w:val="1"/>
        <w:rPr>
          <w:rFonts w:cs="Times New Roman"/>
          <w:b/>
          <w:noProof/>
          <w:color w:val="1F497D" w:themeColor="text2"/>
          <w:sz w:val="24"/>
        </w:rPr>
      </w:pPr>
      <w:bookmarkStart w:id="47" w:name="_Toc454898115"/>
      <w:bookmarkStart w:id="48" w:name="_Toc469478357"/>
      <w:bookmarkEnd w:id="45"/>
      <w:r>
        <w:rPr>
          <w:rFonts w:cs="Times New Roman"/>
          <w:b/>
          <w:noProof/>
          <w:color w:val="1F497D" w:themeColor="text2"/>
          <w:sz w:val="24"/>
        </w:rPr>
        <w:t>Green taxation and environmentally harmful subsidies</w:t>
      </w:r>
      <w:bookmarkEnd w:id="47"/>
      <w:bookmarkEnd w:id="48"/>
    </w:p>
    <w:p w:rsidR="00823F06" w:rsidRDefault="0081280F">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incentives and economic instruments, such as taxation to ensure that product prices better reflect </w:t>
      </w:r>
      <w:r>
        <w:rPr>
          <w:rFonts w:ascii="Calibri" w:eastAsia="Calibri" w:hAnsi="Calibri" w:cs="Times New Roman"/>
          <w:noProof/>
          <w:color w:val="FFFFFF"/>
          <w:sz w:val="20"/>
          <w:lang w:eastAsia="ar-SA"/>
        </w:rPr>
        <w:t>environmental costs. The phasing out of environmentally harmful subsidies is monitored in the context of the European Semester and in national reform programmes submitted by Member States.</w:t>
      </w:r>
    </w:p>
    <w:p w:rsidR="00823F06" w:rsidRDefault="0081280F">
      <w:pPr>
        <w:widowControl w:val="0"/>
        <w:spacing w:after="120" w:line="240" w:lineRule="auto"/>
        <w:jc w:val="both"/>
        <w:rPr>
          <w:rFonts w:cs="Times New Roman"/>
          <w:noProof/>
          <w:sz w:val="20"/>
          <w:lang w:val="en-US" w:eastAsia="x-none"/>
        </w:rPr>
      </w:pPr>
      <w:r>
        <w:rPr>
          <w:rFonts w:cs="Times New Roman"/>
          <w:noProof/>
          <w:sz w:val="20"/>
        </w:rPr>
        <w:t xml:space="preserve">Taxing pollution and resource use can generate increased revenue </w:t>
      </w:r>
      <w:r>
        <w:rPr>
          <w:rFonts w:cs="Times New Roman"/>
          <w:noProof/>
          <w:sz w:val="20"/>
        </w:rPr>
        <w:t>and bring important social and environmental benefits.</w:t>
      </w:r>
    </w:p>
    <w:p w:rsidR="00823F06" w:rsidRDefault="0081280F">
      <w:pPr>
        <w:widowControl w:val="0"/>
        <w:spacing w:after="120" w:line="240" w:lineRule="auto"/>
        <w:jc w:val="both"/>
        <w:rPr>
          <w:rFonts w:cs="Times New Roman"/>
          <w:noProof/>
          <w:sz w:val="20"/>
          <w:szCs w:val="24"/>
        </w:rPr>
      </w:pPr>
      <w:r>
        <w:rPr>
          <w:rFonts w:cs="Times New Roman"/>
          <w:noProof/>
          <w:sz w:val="20"/>
          <w:lang w:val="en-US" w:eastAsia="x-none"/>
        </w:rPr>
        <w:t xml:space="preserve">Expressed in terms of percentage share of GDP, Sweden’s environmental tax revenue for 2014 was below the EU28 average of 2.46% with 2.21%. </w:t>
      </w:r>
      <w:r>
        <w:rPr>
          <w:rFonts w:cs="Times New Roman"/>
          <w:noProof/>
          <w:sz w:val="20"/>
          <w:szCs w:val="24"/>
        </w:rPr>
        <w:t>In the same year environmental tax revenues accounted for 5.18</w:t>
      </w:r>
      <w:r>
        <w:rPr>
          <w:rFonts w:cs="Times New Roman"/>
          <w:noProof/>
          <w:sz w:val="20"/>
          <w:szCs w:val="24"/>
        </w:rPr>
        <w:t xml:space="preserve">% of total revenues from taxes and social-security contributions (EU28 average: 6.35%). As shown in Figure 11, Sweden is among the countries with the least environmental tax revenues as a percentage of total tax revenues. </w:t>
      </w:r>
    </w:p>
    <w:p w:rsidR="00823F06" w:rsidRDefault="0081280F">
      <w:pPr>
        <w:widowControl w:val="0"/>
        <w:spacing w:after="120" w:line="240" w:lineRule="auto"/>
        <w:jc w:val="both"/>
        <w:rPr>
          <w:rFonts w:cs="Times New Roman"/>
          <w:bCs/>
          <w:noProof/>
          <w:sz w:val="20"/>
          <w:lang w:eastAsia="x-none"/>
        </w:rPr>
      </w:pPr>
      <w:r>
        <w:rPr>
          <w:rFonts w:cs="Times New Roman"/>
          <w:noProof/>
          <w:sz w:val="20"/>
          <w:szCs w:val="24"/>
        </w:rPr>
        <w:t xml:space="preserve"> </w:t>
      </w:r>
      <w:r>
        <w:rPr>
          <w:rFonts w:cs="Times New Roman"/>
          <w:bCs/>
          <w:noProof/>
          <w:sz w:val="20"/>
          <w:lang w:eastAsia="x-none"/>
        </w:rPr>
        <w:t>A 2016 study</w:t>
      </w:r>
      <w:r>
        <w:rPr>
          <w:rStyle w:val="FootnoteReference"/>
          <w:rFonts w:cs="Times New Roman"/>
          <w:bCs/>
          <w:noProof/>
          <w:sz w:val="20"/>
          <w:lang w:eastAsia="x-none"/>
        </w:rPr>
        <w:footnoteReference w:id="88"/>
      </w:r>
      <w:r>
        <w:rPr>
          <w:rFonts w:cs="Times New Roman"/>
          <w:bCs/>
          <w:noProof/>
          <w:sz w:val="20"/>
          <w:lang w:eastAsia="x-none"/>
        </w:rPr>
        <w:t xml:space="preserve"> based on levels of</w:t>
      </w:r>
      <w:r>
        <w:rPr>
          <w:rFonts w:cs="Times New Roman"/>
          <w:bCs/>
          <w:noProof/>
          <w:sz w:val="20"/>
          <w:lang w:eastAsia="x-none"/>
        </w:rPr>
        <w:t xml:space="preserve"> environmental taxes that already exist in similar countries, shows there might be considerable potential for </w:t>
      </w:r>
      <w:r>
        <w:rPr>
          <w:rFonts w:cs="Times New Roman"/>
          <w:bCs/>
          <w:noProof/>
          <w:sz w:val="20"/>
        </w:rPr>
        <w:t xml:space="preserve">shifting taxes from labour to </w:t>
      </w:r>
      <w:r>
        <w:rPr>
          <w:rFonts w:cs="Times New Roman"/>
          <w:bCs/>
          <w:noProof/>
          <w:sz w:val="20"/>
          <w:lang w:eastAsia="x-none"/>
        </w:rPr>
        <w:t xml:space="preserve">environmental taxes in Sweden, which could be used to increase revenues or reduce other taxes. </w:t>
      </w:r>
      <w:r>
        <w:rPr>
          <w:rFonts w:cs="Times New Roman"/>
          <w:bCs/>
          <w:noProof/>
          <w:sz w:val="20"/>
        </w:rPr>
        <w:t>Under a good practice</w:t>
      </w:r>
      <w:r>
        <w:rPr>
          <w:rFonts w:cs="Times New Roman"/>
          <w:bCs/>
          <w:noProof/>
          <w:sz w:val="20"/>
        </w:rPr>
        <w:t xml:space="preserve"> scenario</w:t>
      </w:r>
      <w:r>
        <w:rPr>
          <w:rStyle w:val="FootnoteReference"/>
          <w:rFonts w:cs="Times New Roman"/>
          <w:bCs/>
          <w:noProof/>
          <w:sz w:val="20"/>
        </w:rPr>
        <w:footnoteReference w:id="89"/>
      </w:r>
      <w:r>
        <w:rPr>
          <w:rFonts w:cs="Times New Roman"/>
          <w:bCs/>
          <w:noProof/>
          <w:sz w:val="20"/>
        </w:rPr>
        <w:t xml:space="preserve">, these </w:t>
      </w:r>
      <w:r>
        <w:rPr>
          <w:rFonts w:cs="Times New Roman"/>
          <w:bCs/>
          <w:noProof/>
          <w:sz w:val="20"/>
          <w:lang w:eastAsia="x-none"/>
        </w:rPr>
        <w:t>taxes could generate an additional SEK 30.84 billion (EUR 3.36 billion) in 2018, rising to SEK 79.34 billion (EUR 8.64 billion) in 2030 (both in real 2015 terms). This is equivalent to an increase by 0.68% and 1.26% of GDP in 2018 and 203</w:t>
      </w:r>
      <w:r>
        <w:rPr>
          <w:rFonts w:cs="Times New Roman"/>
          <w:bCs/>
          <w:noProof/>
          <w:sz w:val="20"/>
          <w:lang w:eastAsia="x-none"/>
        </w:rPr>
        <w:t>0, respectively</w:t>
      </w:r>
      <w:r>
        <w:rPr>
          <w:rFonts w:cs="Times New Roman"/>
          <w:bCs/>
          <w:noProof/>
          <w:sz w:val="20"/>
          <w:vertAlign w:val="superscript"/>
          <w:lang w:val="it-IT" w:eastAsia="x-none"/>
        </w:rPr>
        <w:footnoteReference w:id="90"/>
      </w:r>
      <w:r>
        <w:rPr>
          <w:rFonts w:cs="Times New Roman"/>
          <w:bCs/>
          <w:noProof/>
          <w:sz w:val="20"/>
          <w:lang w:eastAsia="x-none"/>
        </w:rPr>
        <w:t xml:space="preserve">. </w:t>
      </w:r>
    </w:p>
    <w:p w:rsidR="00823F06" w:rsidRDefault="0081280F">
      <w:pPr>
        <w:widowControl w:val="0"/>
        <w:spacing w:after="120" w:line="240" w:lineRule="auto"/>
        <w:jc w:val="both"/>
        <w:rPr>
          <w:rFonts w:cs="Times New Roman"/>
          <w:bCs/>
          <w:noProof/>
          <w:sz w:val="20"/>
          <w:lang w:eastAsia="x-none"/>
        </w:rPr>
      </w:pPr>
      <w:r>
        <w:rPr>
          <w:rFonts w:cs="Times New Roman"/>
          <w:bCs/>
          <w:noProof/>
          <w:sz w:val="20"/>
          <w:lang w:eastAsia="x-none"/>
        </w:rPr>
        <w:t>The largest additional contribution would come from the amendments to vehicle taxes generating SEK 68.51 billion in 2030 (EUR 7.46 billion) (real 2015 terms), equivalent to 1.09% of GDP</w:t>
      </w:r>
      <w:r>
        <w:rPr>
          <w:rFonts w:cs="Times New Roman"/>
          <w:bCs/>
          <w:noProof/>
          <w:sz w:val="20"/>
          <w:vertAlign w:val="superscript"/>
          <w:lang w:eastAsia="x-none"/>
        </w:rPr>
        <w:t>81</w:t>
      </w:r>
      <w:r>
        <w:rPr>
          <w:rFonts w:cs="Times New Roman"/>
          <w:bCs/>
          <w:noProof/>
          <w:sz w:val="20"/>
          <w:lang w:eastAsia="x-none"/>
        </w:rPr>
        <w:t>, although this might imply a different tax struct</w:t>
      </w:r>
      <w:r>
        <w:rPr>
          <w:rFonts w:cs="Times New Roman"/>
          <w:bCs/>
          <w:noProof/>
          <w:sz w:val="20"/>
          <w:lang w:eastAsia="x-none"/>
        </w:rPr>
        <w:t xml:space="preserve">ure in SE and does not take into account the indexation of the CO2 tax. </w:t>
      </w:r>
    </w:p>
    <w:p w:rsidR="00823F06" w:rsidRDefault="0081280F">
      <w:pPr>
        <w:widowControl w:val="0"/>
        <w:spacing w:after="120" w:line="240" w:lineRule="auto"/>
        <w:jc w:val="both"/>
        <w:rPr>
          <w:rFonts w:cs="Times New Roman"/>
          <w:noProof/>
          <w:sz w:val="20"/>
          <w:lang w:val="en-US" w:eastAsia="x-none"/>
        </w:rPr>
      </w:pPr>
      <w:r>
        <w:rPr>
          <w:rFonts w:cs="Times New Roman"/>
          <w:bCs/>
          <w:noProof/>
          <w:sz w:val="20"/>
          <w:lang w:val="en-US" w:eastAsia="x-none"/>
        </w:rPr>
        <w:t>From 2001 to 2006 a Green Tax Shift reform</w:t>
      </w:r>
      <w:r>
        <w:rPr>
          <w:rFonts w:cs="Times New Roman"/>
          <w:noProof/>
          <w:sz w:val="20"/>
          <w:lang w:val="en-US" w:eastAsia="x-none"/>
        </w:rPr>
        <w:t xml:space="preserve"> programme was undertaken to reallocate taxes from labour to environmentally harmful activities. The main change as regards environmental tax</w:t>
      </w:r>
      <w:r>
        <w:rPr>
          <w:rFonts w:cs="Times New Roman"/>
          <w:noProof/>
          <w:sz w:val="20"/>
          <w:lang w:val="en-US" w:eastAsia="x-none"/>
        </w:rPr>
        <w:t>es was that the carbon tax was increased, but other taxes were adjusted too, including those for vehicles, waste and pesticides. Despite the ambitious reform programme, revenues from environmentally-related taxes have not kept pace with increases in GDP. H</w:t>
      </w:r>
      <w:r>
        <w:rPr>
          <w:rFonts w:cs="Times New Roman"/>
          <w:noProof/>
          <w:sz w:val="20"/>
          <w:lang w:val="en-US" w:eastAsia="x-none"/>
        </w:rPr>
        <w:t xml:space="preserve">ence, since 2001, in Sweden, environment-related taxes as a share of GDP have not increased. Partly this has been due to the intended behavioral impacts of taxes, and </w:t>
      </w:r>
      <w:r>
        <w:rPr>
          <w:rFonts w:cs="Times New Roman"/>
          <w:noProof/>
          <w:sz w:val="20"/>
          <w:lang w:eastAsia="x-none"/>
        </w:rPr>
        <w:t>an increased substitution to biofuels in the transport sector</w:t>
      </w:r>
      <w:r>
        <w:rPr>
          <w:rFonts w:cs="Times New Roman"/>
          <w:noProof/>
          <w:sz w:val="20"/>
          <w:lang w:val="en-US" w:eastAsia="x-none"/>
        </w:rPr>
        <w:t>. Also the relative advantag</w:t>
      </w:r>
      <w:r>
        <w:rPr>
          <w:rFonts w:cs="Times New Roman"/>
          <w:noProof/>
          <w:sz w:val="20"/>
          <w:lang w:val="en-US" w:eastAsia="x-none"/>
        </w:rPr>
        <w:t xml:space="preserve">e for diesel vehicles has eroded revenues from the higher-taxed petrol vehicles as the vehicle stock changed.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keepNext/>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11: </w:t>
            </w:r>
            <w:r>
              <w:rPr>
                <w:b/>
                <w:bCs/>
                <w:noProof/>
                <w:color w:val="1F497D" w:themeColor="text2"/>
                <w:sz w:val="20"/>
              </w:rPr>
              <w:t xml:space="preserve">Environmental tax revenues as a share of total revenues from taxes and social contributions (excluding imputed social contributions) </w:t>
            </w:r>
            <w:r>
              <w:rPr>
                <w:b/>
                <w:bCs/>
                <w:noProof/>
                <w:color w:val="1F497D" w:themeColor="text2"/>
                <w:sz w:val="20"/>
              </w:rPr>
              <w:t>in 2014</w:t>
            </w:r>
            <w:r>
              <w:rPr>
                <w:b/>
                <w:bCs/>
                <w:noProof/>
                <w:color w:val="1F497D" w:themeColor="text2"/>
                <w:sz w:val="20"/>
                <w:vertAlign w:val="superscript"/>
              </w:rPr>
              <w:footnoteReference w:id="91"/>
            </w:r>
          </w:p>
        </w:tc>
      </w:tr>
      <w:tr w:rsidR="00823F06">
        <w:tc>
          <w:tcPr>
            <w:tcW w:w="4909" w:type="dxa"/>
          </w:tcPr>
          <w:p w:rsidR="00823F06" w:rsidRDefault="0081280F">
            <w:pPr>
              <w:widowControl w:val="0"/>
              <w:spacing w:after="120"/>
              <w:jc w:val="both"/>
              <w:rPr>
                <w:rFonts w:cs="Times New Roman"/>
                <w:noProof/>
                <w:sz w:val="20"/>
              </w:rPr>
            </w:pPr>
            <w:r>
              <w:rPr>
                <w:rFonts w:cs="Times New Roman"/>
                <w:noProof/>
                <w:sz w:val="20"/>
                <w:lang w:eastAsia="en-GB"/>
              </w:rPr>
              <w:drawing>
                <wp:inline distT="0" distB="0" distL="0" distR="0" wp14:anchorId="18D6ECCA" wp14:editId="0846BE9A">
                  <wp:extent cx="2896784" cy="41198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97213" cy="4120434"/>
                          </a:xfrm>
                          <a:prstGeom prst="rect">
                            <a:avLst/>
                          </a:prstGeom>
                          <a:noFill/>
                        </pic:spPr>
                      </pic:pic>
                    </a:graphicData>
                  </a:graphic>
                </wp:inline>
              </w:drawing>
            </w:r>
          </w:p>
        </w:tc>
      </w:tr>
    </w:tbl>
    <w:p w:rsidR="00823F06" w:rsidRDefault="0081280F">
      <w:pPr>
        <w:widowControl w:val="0"/>
        <w:spacing w:after="120" w:line="240" w:lineRule="auto"/>
        <w:jc w:val="both"/>
        <w:rPr>
          <w:rFonts w:cs="Times New Roman"/>
          <w:noProof/>
          <w:sz w:val="20"/>
          <w:lang w:val="en-US" w:eastAsia="x-none"/>
        </w:rPr>
      </w:pPr>
      <w:r>
        <w:rPr>
          <w:rFonts w:cs="Times New Roman"/>
          <w:noProof/>
          <w:sz w:val="20"/>
          <w:lang w:val="en-US" w:eastAsia="x-none"/>
        </w:rPr>
        <w:t>There has been a focus on removing, or limiting, exemptions, and reductions in tax rates for carbon and energy. A package agreed in 2009 aims at limiting these, stepwise, up to 2015, with the biggest reductions to materialize in the final year</w:t>
      </w:r>
      <w:r>
        <w:rPr>
          <w:rFonts w:cs="Times New Roman"/>
          <w:noProof/>
          <w:sz w:val="20"/>
          <w:lang w:val="en-US" w:eastAsia="x-none"/>
        </w:rPr>
        <w:t>. Further, discounts in carbon tax on heating fuels in the non-ETS sectors have been progressively reduced and will be totally abolished in 2018. From 2017 an additional annual appreciation rule for taxes on petrol and diesel is has been introduced. The en</w:t>
      </w:r>
      <w:r>
        <w:rPr>
          <w:rFonts w:cs="Times New Roman"/>
          <w:noProof/>
          <w:sz w:val="20"/>
          <w:lang w:val="en-US" w:eastAsia="x-none"/>
        </w:rPr>
        <w:t>ergy and carbon taxes on fossil fuels have been adjusted annually in line with the consumer price index since the 1990’s, and for taxes on petrol and diesel a link to GDP growth has been introduced from 2017 by an annual adjustment at the rate of GDP growt</w:t>
      </w:r>
      <w:r>
        <w:rPr>
          <w:rFonts w:cs="Times New Roman"/>
          <w:noProof/>
          <w:sz w:val="20"/>
          <w:lang w:val="en-US" w:eastAsia="x-none"/>
        </w:rPr>
        <w:t>h plus two percentage points.</w:t>
      </w:r>
    </w:p>
    <w:p w:rsidR="00823F06" w:rsidRDefault="0081280F">
      <w:pPr>
        <w:widowControl w:val="0"/>
        <w:spacing w:after="120" w:line="240" w:lineRule="auto"/>
        <w:jc w:val="both"/>
        <w:rPr>
          <w:rFonts w:cs="Times New Roman"/>
          <w:noProof/>
          <w:sz w:val="20"/>
          <w:lang w:val="en-US"/>
        </w:rPr>
      </w:pPr>
      <w:r>
        <w:rPr>
          <w:rFonts w:cs="Times New Roman"/>
          <w:noProof/>
          <w:sz w:val="20"/>
          <w:lang w:val="en-US"/>
        </w:rPr>
        <w:t xml:space="preserve">Sweden’s move towards environmental taxes seems to have lost some momentum, since the end of the Green Tax Shift in 2006. The shares of taxes related to transport remain fairly modest and so are the taxes related to pollution </w:t>
      </w:r>
      <w:r>
        <w:rPr>
          <w:rFonts w:cs="Times New Roman"/>
          <w:noProof/>
          <w:sz w:val="20"/>
          <w:lang w:val="en-US"/>
        </w:rPr>
        <w:t>and resources.</w:t>
      </w:r>
    </w:p>
    <w:p w:rsidR="00823F06" w:rsidRDefault="0081280F">
      <w:pPr>
        <w:widowControl w:val="0"/>
        <w:spacing w:before="360" w:after="120" w:line="240" w:lineRule="auto"/>
        <w:jc w:val="both"/>
        <w:outlineLvl w:val="1"/>
        <w:rPr>
          <w:rFonts w:cs="Times New Roman"/>
          <w:b/>
          <w:noProof/>
          <w:color w:val="1F497D" w:themeColor="text2"/>
          <w:sz w:val="24"/>
        </w:rPr>
      </w:pPr>
      <w:bookmarkStart w:id="49" w:name="_Toc433296179"/>
      <w:bookmarkStart w:id="50" w:name="_Toc469478358"/>
      <w:r>
        <w:rPr>
          <w:rFonts w:cs="Times New Roman"/>
          <w:b/>
          <w:noProof/>
          <w:color w:val="1F497D" w:themeColor="text2"/>
          <w:sz w:val="24"/>
        </w:rPr>
        <w:t>Green Public Procurement</w:t>
      </w:r>
      <w:bookmarkEnd w:id="49"/>
      <w:bookmarkEnd w:id="50"/>
      <w:r>
        <w:rPr>
          <w:rFonts w:cs="Times New Roman"/>
          <w:b/>
          <w:noProof/>
          <w:color w:val="1F497D" w:themeColor="text2"/>
          <w:sz w:val="24"/>
        </w:rPr>
        <w:t xml:space="preserve"> </w:t>
      </w:r>
    </w:p>
    <w:p w:rsidR="00823F06" w:rsidRDefault="0081280F">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The EU green public procurement policies encourage Member States to take further steps to reach the target of applying green procurement criteria to at least 50% of public tenders.</w:t>
      </w:r>
    </w:p>
    <w:p w:rsidR="00823F06" w:rsidRDefault="0081280F">
      <w:pPr>
        <w:widowControl w:val="0"/>
        <w:spacing w:after="120" w:line="240" w:lineRule="auto"/>
        <w:jc w:val="both"/>
        <w:rPr>
          <w:rFonts w:cs="Times New Roman"/>
          <w:noProof/>
          <w:sz w:val="20"/>
        </w:rPr>
      </w:pPr>
      <w:r>
        <w:rPr>
          <w:rFonts w:cs="Times New Roman"/>
          <w:noProof/>
          <w:sz w:val="20"/>
        </w:rPr>
        <w:t xml:space="preserve">Green Public Procurement (GPP) is a process whereby public authorities seek to procure goods, services and works with a reduced environmental impact throughout their life-cycle when compared to goods, services and works with the same primary function that </w:t>
      </w:r>
      <w:r>
        <w:rPr>
          <w:rFonts w:cs="Times New Roman"/>
          <w:noProof/>
          <w:sz w:val="20"/>
        </w:rPr>
        <w:t xml:space="preserve">would otherwise be procured. </w:t>
      </w:r>
    </w:p>
    <w:p w:rsidR="00823F06" w:rsidRDefault="0081280F">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92"/>
      </w:r>
      <w:r>
        <w:rPr>
          <w:rFonts w:cs="Times New Roman"/>
          <w:noProof/>
          <w:sz w:val="20"/>
        </w:rPr>
        <w:t>. A substantial part of this money is spent on sectors with high environmental impact such as construction or transport, so GPP can help to signific</w:t>
      </w:r>
      <w:r>
        <w:rPr>
          <w:rFonts w:cs="Times New Roman"/>
          <w:noProof/>
          <w:sz w:val="20"/>
        </w:rPr>
        <w:t>antly lower the impact of public spending and foster sustainable innovative businesses. The Commission has proposed EU GPP criteria</w:t>
      </w:r>
      <w:r>
        <w:rPr>
          <w:rFonts w:cs="Times New Roman"/>
          <w:noProof/>
          <w:sz w:val="20"/>
          <w:vertAlign w:val="superscript"/>
        </w:rPr>
        <w:footnoteReference w:id="93"/>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 xml:space="preserve">Sweden is one of the forerunners on GPP. A national strategy on public procurement, including GPP, was endorsed by </w:t>
      </w:r>
      <w:r>
        <w:rPr>
          <w:rFonts w:cs="Times New Roman"/>
          <w:noProof/>
          <w:sz w:val="20"/>
        </w:rPr>
        <w:t>government on 30 June 2016 GPP criteria are developed at the national level for construction and real estate, cleaning and chemicals, vehicles and transportation, office and textiles, electricity and lighting, food, health and care, services, and toxic fre</w:t>
      </w:r>
      <w:r>
        <w:rPr>
          <w:rFonts w:cs="Times New Roman"/>
          <w:noProof/>
          <w:sz w:val="20"/>
        </w:rPr>
        <w:t>e child care.</w:t>
      </w:r>
    </w:p>
    <w:p w:rsidR="00823F06" w:rsidRDefault="0081280F">
      <w:pPr>
        <w:widowControl w:val="0"/>
        <w:spacing w:after="120" w:line="240" w:lineRule="auto"/>
        <w:jc w:val="both"/>
        <w:rPr>
          <w:rFonts w:cs="Times New Roman"/>
          <w:noProof/>
          <w:sz w:val="20"/>
        </w:rPr>
      </w:pPr>
      <w:r>
        <w:rPr>
          <w:rFonts w:cs="Times New Roman"/>
          <w:noProof/>
          <w:sz w:val="20"/>
        </w:rPr>
        <w:t>Since 2013, green and sustainable public procurement have been at the forefront of government initiatives to strengthen public procurement. To this end, the financial envelope dedicated to GPP support actions was increased.</w:t>
      </w:r>
    </w:p>
    <w:p w:rsidR="00823F06" w:rsidRDefault="0081280F">
      <w:pPr>
        <w:widowControl w:val="0"/>
        <w:spacing w:after="120" w:line="240" w:lineRule="auto"/>
        <w:jc w:val="both"/>
        <w:rPr>
          <w:rFonts w:cs="Times New Roman"/>
          <w:noProof/>
          <w:sz w:val="20"/>
        </w:rPr>
      </w:pPr>
      <w:r>
        <w:rPr>
          <w:rFonts w:cs="Times New Roman"/>
          <w:noProof/>
          <w:sz w:val="20"/>
        </w:rPr>
        <w:t xml:space="preserve">In September 2016 </w:t>
      </w:r>
      <w:r>
        <w:rPr>
          <w:rFonts w:cs="Times New Roman"/>
          <w:noProof/>
          <w:sz w:val="20"/>
        </w:rPr>
        <w:t>the Swedish National Agency for Public Procurement (UHM) was founded. The agency has an overall responsibility for developing and supporting the procurement carried out by the contracting authorities and entities. Sweden has adopted a voluntary GPP approac</w:t>
      </w:r>
      <w:r>
        <w:rPr>
          <w:rFonts w:cs="Times New Roman"/>
          <w:noProof/>
          <w:sz w:val="20"/>
        </w:rPr>
        <w:t>h and UHM’s criteria library consists of a comprehensive database of sustainability standards. With the help of an online wizard, contracting authorities are guided through the different environmental criteria available for a number of products. The wizard</w:t>
      </w:r>
      <w:r>
        <w:rPr>
          <w:rFonts w:cs="Times New Roman"/>
          <w:noProof/>
          <w:sz w:val="20"/>
        </w:rPr>
        <w:t xml:space="preserve"> allows the selection of three levels of criteria: basic, advanced and frontrunner. </w:t>
      </w:r>
    </w:p>
    <w:p w:rsidR="00823F06" w:rsidRDefault="0081280F">
      <w:pPr>
        <w:widowControl w:val="0"/>
        <w:spacing w:after="120" w:line="240" w:lineRule="auto"/>
        <w:jc w:val="both"/>
        <w:rPr>
          <w:rFonts w:cs="Times New Roman"/>
          <w:noProof/>
          <w:sz w:val="20"/>
        </w:rPr>
      </w:pPr>
      <w:r>
        <w:rPr>
          <w:rFonts w:cs="Times New Roman"/>
          <w:noProof/>
          <w:sz w:val="20"/>
        </w:rPr>
        <w:t>In addition to the ready-to-use criteria, contracting authorities are able to ‘design’ their own GPP criteria with the support available on the website of the UHM. In this</w:t>
      </w:r>
      <w:r>
        <w:rPr>
          <w:rFonts w:cs="Times New Roman"/>
          <w:noProof/>
          <w:sz w:val="20"/>
        </w:rPr>
        <w:t xml:space="preserve"> case, criteria consist predominantly of Eco-labels and environmental management systems</w:t>
      </w:r>
      <w:r>
        <w:rPr>
          <w:rFonts w:cs="Times New Roman"/>
          <w:noProof/>
          <w:sz w:val="20"/>
          <w:vertAlign w:val="superscript"/>
        </w:rPr>
        <w:footnoteReference w:id="94"/>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According to a GPP monitoring survey from 2013 carried out by the Swedish Environmental Protection Agency 53% of organisations have internal environmental objectives</w:t>
      </w:r>
      <w:r>
        <w:rPr>
          <w:rFonts w:cs="Times New Roman"/>
          <w:noProof/>
          <w:sz w:val="20"/>
        </w:rPr>
        <w:t xml:space="preserve"> and/or internal GPP policies, in case internal environmental objectives are set up, these are monitored in 56% of cases, environmental requirements are applied by respondents in transportation: 74%, energy: 69%, IT equipment: 66%, food products: 58%, and </w:t>
      </w:r>
      <w:r>
        <w:rPr>
          <w:rFonts w:cs="Times New Roman"/>
          <w:noProof/>
          <w:sz w:val="20"/>
        </w:rPr>
        <w:t>construction: 52%</w:t>
      </w:r>
      <w:r>
        <w:rPr>
          <w:rFonts w:cs="Times New Roman"/>
          <w:noProof/>
          <w:sz w:val="20"/>
          <w:vertAlign w:val="superscript"/>
        </w:rPr>
        <w:footnoteReference w:id="95"/>
      </w:r>
      <w:r>
        <w:rPr>
          <w:rFonts w:cs="Times New Roman"/>
          <w:noProof/>
          <w:sz w:val="20"/>
        </w:rPr>
        <w:t>.</w:t>
      </w:r>
    </w:p>
    <w:p w:rsidR="00823F06" w:rsidRDefault="0081280F">
      <w:pPr>
        <w:widowControl w:val="0"/>
        <w:spacing w:before="360" w:after="120" w:line="240" w:lineRule="auto"/>
        <w:jc w:val="both"/>
        <w:outlineLvl w:val="1"/>
        <w:rPr>
          <w:rFonts w:cs="Times New Roman"/>
          <w:b/>
          <w:noProof/>
          <w:color w:val="1F497D" w:themeColor="text2"/>
          <w:sz w:val="24"/>
        </w:rPr>
      </w:pPr>
      <w:bookmarkStart w:id="51" w:name="_Toc469478359"/>
      <w:r>
        <w:rPr>
          <w:rFonts w:cs="Times New Roman"/>
          <w:b/>
          <w:noProof/>
          <w:color w:val="1F497D" w:themeColor="text2"/>
          <w:sz w:val="24"/>
        </w:rPr>
        <w:t xml:space="preserve">Investments: the contribution of EU </w:t>
      </w:r>
      <w:bookmarkEnd w:id="46"/>
      <w:r>
        <w:rPr>
          <w:rFonts w:cs="Times New Roman"/>
          <w:b/>
          <w:noProof/>
          <w:color w:val="1F497D" w:themeColor="text2"/>
          <w:sz w:val="24"/>
        </w:rPr>
        <w:t>funds</w:t>
      </w:r>
      <w:bookmarkEnd w:id="51"/>
      <w:r>
        <w:rPr>
          <w:rFonts w:cs="Times New Roman"/>
          <w:b/>
          <w:noProof/>
          <w:color w:val="1F497D" w:themeColor="text2"/>
          <w:sz w:val="24"/>
        </w:rPr>
        <w:t xml:space="preserve"> </w:t>
      </w:r>
    </w:p>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Regulations provide that Member States promote environment and climate objectives in their funding strategies and programmes for economic, social and te</w:t>
      </w:r>
      <w:r>
        <w:rPr>
          <w:rFonts w:cs="Times New Roman"/>
          <w:noProof/>
          <w:color w:val="FFFFFF" w:themeColor="background1"/>
          <w:sz w:val="20"/>
        </w:rPr>
        <w:t>rritorial cohesion, rural development and maritime policy, and reinforce the capacity of implementing bodies to deliver cost-effective and sustainable investments in these areas.</w:t>
      </w:r>
    </w:p>
    <w:p w:rsidR="00823F06" w:rsidRDefault="0081280F">
      <w:pPr>
        <w:widowControl w:val="0"/>
        <w:spacing w:after="120" w:line="240" w:lineRule="auto"/>
        <w:jc w:val="both"/>
        <w:rPr>
          <w:rFonts w:cs="Times New Roman"/>
          <w:noProof/>
          <w:sz w:val="20"/>
        </w:rPr>
      </w:pPr>
      <w:r>
        <w:rPr>
          <w:rFonts w:cs="Times New Roman"/>
          <w:noProof/>
          <w:sz w:val="20"/>
        </w:rPr>
        <w:t xml:space="preserve">Making good use of the </w:t>
      </w:r>
      <w:r>
        <w:rPr>
          <w:rFonts w:cs="Times New Roman"/>
          <w:noProof/>
          <w:sz w:val="20"/>
          <w:szCs w:val="24"/>
        </w:rPr>
        <w:t>European Structural and Investment Funds (ESIF)</w:t>
      </w:r>
      <w:r>
        <w:rPr>
          <w:rFonts w:cs="Times New Roman"/>
          <w:noProof/>
          <w:sz w:val="20"/>
          <w:szCs w:val="24"/>
          <w:vertAlign w:val="superscript"/>
        </w:rPr>
        <w:footnoteReference w:id="96"/>
      </w:r>
      <w:r>
        <w:rPr>
          <w:rFonts w:cs="Times New Roman"/>
          <w:noProof/>
          <w:sz w:val="20"/>
          <w:szCs w:val="24"/>
        </w:rPr>
        <w:t xml:space="preserve"> </w:t>
      </w:r>
      <w:r>
        <w:rPr>
          <w:rFonts w:cs="Times New Roman"/>
          <w:noProof/>
          <w:sz w:val="20"/>
        </w:rPr>
        <w:t>is es</w:t>
      </w:r>
      <w:r>
        <w:rPr>
          <w:rFonts w:cs="Times New Roman"/>
          <w:noProof/>
          <w:sz w:val="20"/>
        </w:rPr>
        <w:t>sential to achieve the environmental goals and integrate these into other policy areas. Other instruments such as the Horizon 2020, the LIFE programme and European Fund for Strategic Investment</w:t>
      </w:r>
      <w:r>
        <w:rPr>
          <w:rFonts w:cs="Times New Roman"/>
          <w:noProof/>
          <w:sz w:val="20"/>
          <w:vertAlign w:val="superscript"/>
        </w:rPr>
        <w:footnoteReference w:id="97"/>
      </w:r>
      <w:r>
        <w:rPr>
          <w:rFonts w:cs="Times New Roman"/>
          <w:noProof/>
          <w:sz w:val="20"/>
        </w:rPr>
        <w:t xml:space="preserve"> (EFSI) may also support implementation and spread of best pra</w:t>
      </w:r>
      <w:r>
        <w:rPr>
          <w:rFonts w:cs="Times New Roman"/>
          <w:noProof/>
          <w:sz w:val="20"/>
        </w:rPr>
        <w:t>ctice.</w:t>
      </w:r>
    </w:p>
    <w:p w:rsidR="00823F06" w:rsidRDefault="0081280F">
      <w:pPr>
        <w:widowControl w:val="0"/>
        <w:spacing w:after="120" w:line="240" w:lineRule="auto"/>
        <w:jc w:val="both"/>
        <w:rPr>
          <w:rFonts w:cs="Times New Roman"/>
          <w:noProof/>
          <w:sz w:val="20"/>
        </w:rPr>
      </w:pPr>
      <w:r>
        <w:rPr>
          <w:rFonts w:cs="Times New Roman"/>
          <w:noProof/>
          <w:sz w:val="20"/>
        </w:rPr>
        <w:t>Sweden has ERDF funding of EUR 945m over the 2014-2020 programming period (see Figure 12), and focuses this limited allocation on smart and sustainable growth areas which explicitly or not – contribute to the improvement of the environment or addres</w:t>
      </w:r>
      <w:r>
        <w:rPr>
          <w:rFonts w:cs="Times New Roman"/>
          <w:noProof/>
          <w:sz w:val="20"/>
        </w:rPr>
        <w:t>s climate change.</w:t>
      </w:r>
    </w:p>
    <w:p w:rsidR="00823F06" w:rsidRDefault="0081280F">
      <w:pPr>
        <w:widowControl w:val="0"/>
        <w:spacing w:after="120" w:line="240" w:lineRule="auto"/>
        <w:jc w:val="both"/>
        <w:rPr>
          <w:rFonts w:cs="Times New Roman"/>
          <w:noProof/>
          <w:sz w:val="20"/>
        </w:rPr>
      </w:pPr>
      <w:r>
        <w:rPr>
          <w:rFonts w:cs="Times New Roman"/>
          <w:noProof/>
          <w:sz w:val="20"/>
        </w:rPr>
        <w:t>The Swedish priorities in EAFRD where SE has EUR 1 764m European funding over the 2014-2020 programming period are 63% for measures that support environment and climate (including investments).</w:t>
      </w:r>
    </w:p>
    <w:tbl>
      <w:tblPr>
        <w:tblStyle w:val="TableGrid2"/>
        <w:tblpPr w:leftFromText="180" w:rightFromText="180" w:vertAnchor="text" w:horzAnchor="margin"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rPr>
          <w:trHeight w:val="541"/>
        </w:trPr>
        <w:tc>
          <w:tcPr>
            <w:tcW w:w="4909" w:type="dxa"/>
          </w:tcPr>
          <w:p w:rsidR="00823F06" w:rsidRDefault="0081280F">
            <w:pPr>
              <w:keepNext/>
              <w:spacing w:after="120"/>
              <w:jc w:val="both"/>
              <w:rPr>
                <w:rFonts w:cs="Times New Roman"/>
                <w:noProof/>
                <w:sz w:val="20"/>
              </w:rPr>
            </w:pPr>
            <w:r>
              <w:rPr>
                <w:rFonts w:cs="Times New Roman"/>
                <w:b/>
                <w:bCs/>
                <w:noProof/>
                <w:color w:val="1F497D" w:themeColor="text2"/>
                <w:sz w:val="20"/>
              </w:rPr>
              <w:t>Figure 12: European Structural and Investmen</w:t>
            </w:r>
            <w:r>
              <w:rPr>
                <w:rFonts w:cs="Times New Roman"/>
                <w:b/>
                <w:bCs/>
                <w:noProof/>
                <w:color w:val="1F497D" w:themeColor="text2"/>
                <w:sz w:val="20"/>
              </w:rPr>
              <w:t>t Funds 2014-2020: Budget Sweden by theme, EUR billion</w:t>
            </w:r>
            <w:r>
              <w:rPr>
                <w:rFonts w:cs="Times New Roman"/>
                <w:noProof/>
                <w:sz w:val="20"/>
                <w:vertAlign w:val="superscript"/>
              </w:rPr>
              <w:footnoteReference w:id="98"/>
            </w:r>
          </w:p>
        </w:tc>
      </w:tr>
      <w:tr w:rsidR="00823F06">
        <w:trPr>
          <w:trHeight w:val="558"/>
        </w:trPr>
        <w:tc>
          <w:tcPr>
            <w:tcW w:w="4909" w:type="dxa"/>
          </w:tcPr>
          <w:p w:rsidR="00823F06" w:rsidRDefault="0081280F">
            <w:pPr>
              <w:spacing w:after="120"/>
              <w:jc w:val="both"/>
              <w:rPr>
                <w:rFonts w:cs="Times New Roman"/>
                <w:noProof/>
                <w:sz w:val="20"/>
              </w:rPr>
            </w:pPr>
            <w:r>
              <w:rPr>
                <w:rFonts w:cs="Times New Roman"/>
                <w:noProof/>
                <w:sz w:val="20"/>
                <w:lang w:eastAsia="en-GB"/>
              </w:rPr>
              <w:drawing>
                <wp:inline distT="0" distB="0" distL="0" distR="0" wp14:anchorId="1D0ADCC9" wp14:editId="44C4BF65">
                  <wp:extent cx="3104707" cy="3104707"/>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108580" cy="3108580"/>
                          </a:xfrm>
                          <a:prstGeom prst="rect">
                            <a:avLst/>
                          </a:prstGeom>
                        </pic:spPr>
                      </pic:pic>
                    </a:graphicData>
                  </a:graphic>
                </wp:inline>
              </w:drawing>
            </w:r>
          </w:p>
        </w:tc>
      </w:tr>
    </w:tbl>
    <w:p w:rsidR="00823F06" w:rsidRDefault="0081280F">
      <w:pPr>
        <w:widowControl w:val="0"/>
        <w:spacing w:after="120" w:line="240" w:lineRule="auto"/>
        <w:jc w:val="both"/>
        <w:rPr>
          <w:rFonts w:cs="Times New Roman"/>
          <w:noProof/>
          <w:sz w:val="20"/>
        </w:rPr>
      </w:pPr>
      <w:r>
        <w:rPr>
          <w:rFonts w:cs="Times New Roman"/>
          <w:iCs/>
          <w:noProof/>
          <w:sz w:val="20"/>
        </w:rPr>
        <w:t>It is too early to draw conclusions as regards the use and results of ESIF funds for the period 2014-2020, as the relevant programmes are still in an early stage of their implementation.</w:t>
      </w:r>
      <w:r>
        <w:rPr>
          <w:rFonts w:cs="Times New Roman"/>
          <w:noProof/>
          <w:sz w:val="20"/>
        </w:rPr>
        <w:t xml:space="preserve"> </w:t>
      </w:r>
    </w:p>
    <w:p w:rsidR="00823F06" w:rsidRDefault="0081280F">
      <w:pPr>
        <w:widowControl w:val="0"/>
        <w:spacing w:after="120" w:line="240" w:lineRule="auto"/>
        <w:jc w:val="both"/>
        <w:rPr>
          <w:rFonts w:cs="Times New Roman"/>
          <w:noProof/>
          <w:sz w:val="20"/>
        </w:rPr>
      </w:pPr>
      <w:r>
        <w:rPr>
          <w:rFonts w:cs="Times New Roman"/>
          <w:noProof/>
          <w:sz w:val="20"/>
        </w:rPr>
        <w:t xml:space="preserve">To </w:t>
      </w:r>
      <w:r>
        <w:rPr>
          <w:rFonts w:cs="Times New Roman"/>
          <w:noProof/>
          <w:sz w:val="20"/>
        </w:rPr>
        <w:t xml:space="preserve">address the venture capital gap in the green sector, a Green fund with a total budget of SEK 1 300m has been set up within the National ERDF programme. The green sector is a high risk market as there is a long time to market and large investments required </w:t>
      </w:r>
      <w:r>
        <w:rPr>
          <w:rFonts w:cs="Times New Roman"/>
          <w:noProof/>
          <w:sz w:val="20"/>
        </w:rPr>
        <w:t>in the early stages. The managing authority is therefore setting up a Green fund to provide venture capital to companies in the clean energy sector (50% ERDF and 50% financial intermediary) which will then co-finance (pari-passu with private capital) portf</w:t>
      </w:r>
      <w:r>
        <w:rPr>
          <w:rFonts w:cs="Times New Roman"/>
          <w:noProof/>
          <w:sz w:val="20"/>
        </w:rPr>
        <w:t>olio companies.</w:t>
      </w:r>
    </w:p>
    <w:p w:rsidR="00823F06" w:rsidRDefault="00823F06">
      <w:pPr>
        <w:keepLines/>
        <w:widowControl w:val="0"/>
        <w:spacing w:after="240" w:line="240" w:lineRule="auto"/>
        <w:ind w:left="720" w:hanging="360"/>
        <w:jc w:val="center"/>
        <w:outlineLvl w:val="0"/>
        <w:rPr>
          <w:rFonts w:eastAsiaTheme="majorEastAsia" w:cstheme="majorBidi"/>
          <w:b/>
          <w:bCs/>
          <w:noProof/>
          <w:color w:val="1F497D" w:themeColor="text2"/>
          <w:sz w:val="32"/>
          <w:szCs w:val="28"/>
        </w:rPr>
        <w:sectPr w:rsidR="00823F06">
          <w:headerReference w:type="even" r:id="rId106"/>
          <w:headerReference w:type="default" r:id="rId107"/>
          <w:footerReference w:type="even" r:id="rId108"/>
          <w:footerReference w:type="default" r:id="rId109"/>
          <w:headerReference w:type="first" r:id="rId110"/>
          <w:footerReference w:type="first" r:id="rId111"/>
          <w:type w:val="continuous"/>
          <w:pgSz w:w="11906" w:h="16838" w:code="9"/>
          <w:pgMar w:top="1440" w:right="1080" w:bottom="1440" w:left="1080" w:header="709" w:footer="709" w:gutter="0"/>
          <w:cols w:num="2" w:space="360"/>
          <w:docGrid w:linePitch="360"/>
        </w:sectPr>
      </w:pPr>
    </w:p>
    <w:p w:rsidR="00823F06" w:rsidRDefault="0081280F">
      <w:pPr>
        <w:pStyle w:val="ListParagraph"/>
        <w:keepLines/>
        <w:widowControl w:val="0"/>
        <w:numPr>
          <w:ilvl w:val="0"/>
          <w:numId w:val="28"/>
        </w:numPr>
        <w:spacing w:after="240"/>
        <w:jc w:val="center"/>
        <w:outlineLvl w:val="0"/>
        <w:rPr>
          <w:rFonts w:eastAsiaTheme="majorEastAsia" w:cstheme="majorBidi"/>
          <w:b/>
          <w:bCs/>
          <w:noProof/>
          <w:color w:val="1F497D" w:themeColor="text2"/>
          <w:sz w:val="32"/>
          <w:szCs w:val="28"/>
        </w:rPr>
      </w:pPr>
      <w:bookmarkStart w:id="52" w:name="_Toc469478360"/>
      <w:r>
        <w:rPr>
          <w:rFonts w:eastAsiaTheme="majorEastAsia" w:cstheme="majorBidi"/>
          <w:b/>
          <w:bCs/>
          <w:noProof/>
          <w:color w:val="1F497D" w:themeColor="text2"/>
          <w:sz w:val="32"/>
          <w:szCs w:val="28"/>
        </w:rPr>
        <w:t>Effective governance and knowledge</w:t>
      </w:r>
      <w:bookmarkEnd w:id="52"/>
    </w:p>
    <w:p w:rsidR="00823F06" w:rsidRDefault="00823F06">
      <w:pPr>
        <w:widowControl w:val="0"/>
        <w:spacing w:after="120" w:line="240" w:lineRule="auto"/>
        <w:jc w:val="both"/>
        <w:rPr>
          <w:rFonts w:cs="Times New Roman"/>
          <w:noProof/>
          <w:sz w:val="20"/>
        </w:rPr>
        <w:sectPr w:rsidR="00823F06">
          <w:headerReference w:type="even" r:id="rId112"/>
          <w:headerReference w:type="default" r:id="rId113"/>
          <w:footerReference w:type="even" r:id="rId114"/>
          <w:footerReference w:type="default" r:id="rId115"/>
          <w:headerReference w:type="first" r:id="rId116"/>
          <w:footerReference w:type="first" r:id="rId117"/>
          <w:pgSz w:w="11906" w:h="16838" w:code="9"/>
          <w:pgMar w:top="1440" w:right="1080" w:bottom="1440" w:left="1080" w:header="709" w:footer="709" w:gutter="0"/>
          <w:cols w:space="360"/>
          <w:docGrid w:linePitch="360"/>
        </w:sectPr>
      </w:pPr>
    </w:p>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rPr>
      </w:pPr>
      <w:bookmarkStart w:id="53" w:name="_Toc454457665"/>
      <w:bookmarkStart w:id="54" w:name="_Toc433798401"/>
      <w:r>
        <w:rPr>
          <w:rFonts w:cs="Times New Roman"/>
          <w:noProof/>
          <w:color w:val="FFFFFF" w:themeColor="background1"/>
          <w:sz w:val="20"/>
        </w:rPr>
        <w:t xml:space="preserve">SDG 16 aims </w:t>
      </w:r>
      <w:r>
        <w:rPr>
          <w:rFonts w:cs="Times New Roman"/>
          <w:noProof/>
          <w:color w:val="FFFFFF" w:themeColor="background1"/>
          <w:sz w:val="20"/>
        </w:rPr>
        <w:t>at providing access to justice and building effective, accountable and inclusive institutions at all levels. SDG 17 aims at better implementation, improving policy coordination and policy coherence, stimulating science, technology and innovation, establish</w:t>
      </w:r>
      <w:r>
        <w:rPr>
          <w:rFonts w:cs="Times New Roman"/>
          <w:noProof/>
          <w:color w:val="FFFFFF" w:themeColor="background1"/>
          <w:sz w:val="20"/>
        </w:rPr>
        <w:t>ing partnerships and developing measurements of progress.</w:t>
      </w:r>
    </w:p>
    <w:p w:rsidR="00823F06" w:rsidRDefault="0081280F">
      <w:pPr>
        <w:widowControl w:val="0"/>
        <w:spacing w:after="120" w:line="240" w:lineRule="auto"/>
        <w:jc w:val="both"/>
        <w:rPr>
          <w:rFonts w:cs="Times New Roman"/>
          <w:noProof/>
          <w:sz w:val="20"/>
        </w:rPr>
      </w:pPr>
      <w:r>
        <w:rPr>
          <w:rFonts w:cs="Times New Roman"/>
          <w:noProof/>
          <w:sz w:val="20"/>
        </w:rPr>
        <w:t>Effective governance of EU environmental legislation and policies requires having an appropriate institutional framework, policy coherence and coordination, applying legal and non-legal instruments,</w:t>
      </w:r>
      <w:r>
        <w:rPr>
          <w:rFonts w:cs="Times New Roman"/>
          <w:noProof/>
          <w:sz w:val="20"/>
        </w:rPr>
        <w:t xml:space="preserve"> engaging with non-governmental stakeholders, and having adequate levels of knowledge and skills</w:t>
      </w:r>
      <w:r>
        <w:rPr>
          <w:rFonts w:cs="Times New Roman"/>
          <w:noProof/>
          <w:sz w:val="20"/>
          <w:vertAlign w:val="superscript"/>
        </w:rPr>
        <w:footnoteReference w:id="99"/>
      </w:r>
      <w:r>
        <w:rPr>
          <w:rFonts w:cs="Times New Roman"/>
          <w:noProof/>
          <w:sz w:val="20"/>
        </w:rPr>
        <w:t xml:space="preserve">. Successful implementation depends, to a large extent, on central, regional and local government fulfilling key legislative and administrative tasks, notably </w:t>
      </w:r>
      <w:r>
        <w:rPr>
          <w:rFonts w:cs="Times New Roman"/>
          <w:noProof/>
          <w:sz w:val="20"/>
        </w:rPr>
        <w:t xml:space="preserve">adoption of sound implementing legislation, co-ordinated action to meet environmental objectives and correct decision-making on matters such as industrial permits. Beyond fulfilment of these tasks, government must intervene to ensure day-to-day compliance </w:t>
      </w:r>
      <w:r>
        <w:rPr>
          <w:rFonts w:cs="Times New Roman"/>
          <w:noProof/>
          <w:sz w:val="20"/>
        </w:rPr>
        <w:t>by economic operators, utilities and individuals ("compliance assurance"). Civil society also has a role to play, including through legal action. To underpin the roles of all actors, it is crucial to collect and share knowledge and evidence on the state of</w:t>
      </w:r>
      <w:r>
        <w:rPr>
          <w:rFonts w:cs="Times New Roman"/>
          <w:noProof/>
          <w:sz w:val="20"/>
        </w:rPr>
        <w:t xml:space="preserve"> the environment and on environmental pressures, drivers and impacts.</w:t>
      </w:r>
    </w:p>
    <w:p w:rsidR="00823F06" w:rsidRDefault="0081280F">
      <w:pPr>
        <w:widowControl w:val="0"/>
        <w:spacing w:after="120" w:line="240" w:lineRule="auto"/>
        <w:jc w:val="both"/>
        <w:rPr>
          <w:rFonts w:cs="Times New Roman"/>
          <w:noProof/>
          <w:sz w:val="20"/>
        </w:rPr>
      </w:pPr>
      <w:bookmarkStart w:id="55" w:name="_Toc455577490"/>
      <w:r>
        <w:rPr>
          <w:rFonts w:cs="Times New Roman"/>
          <w:noProof/>
          <w:sz w:val="20"/>
          <w:szCs w:val="20"/>
          <w:lang w:val="en-US"/>
        </w:rPr>
        <w:t>Equally, effective governance of EU environmental legislation and policies benefits from a dialogue within Member States and between Member States and the Commission on whether the curre</w:t>
      </w:r>
      <w:r>
        <w:rPr>
          <w:rFonts w:cs="Times New Roman"/>
          <w:noProof/>
          <w:sz w:val="20"/>
          <w:szCs w:val="20"/>
          <w:lang w:val="en-US"/>
        </w:rPr>
        <w:t>nt EU environmental legislation is fit for purpose. Legislation can only be properly implemented when it takes into account experiences at Member State level with putting EU commitments into effect. The Make it Work initiative, a Member State driven projec</w:t>
      </w:r>
      <w:r>
        <w:rPr>
          <w:rFonts w:cs="Times New Roman"/>
          <w:noProof/>
          <w:sz w:val="20"/>
          <w:szCs w:val="20"/>
          <w:lang w:val="en-US"/>
        </w:rPr>
        <w:t>t, established in 2014, organizes a discussion on how the clarity, coherence and structure of EU environmental legislation can be improved without lowering existing protection standards.</w:t>
      </w:r>
    </w:p>
    <w:p w:rsidR="00823F06" w:rsidRDefault="0081280F">
      <w:pPr>
        <w:widowControl w:val="0"/>
        <w:spacing w:before="360" w:after="120" w:line="240" w:lineRule="auto"/>
        <w:jc w:val="both"/>
        <w:outlineLvl w:val="1"/>
        <w:rPr>
          <w:rFonts w:cs="Times New Roman"/>
          <w:b/>
          <w:noProof/>
          <w:color w:val="1F497D" w:themeColor="text2"/>
          <w:sz w:val="24"/>
        </w:rPr>
      </w:pPr>
      <w:bookmarkStart w:id="56" w:name="_Toc469478361"/>
      <w:r>
        <w:rPr>
          <w:rFonts w:cs="Times New Roman"/>
          <w:b/>
          <w:noProof/>
          <w:color w:val="1F497D" w:themeColor="text2"/>
          <w:sz w:val="24"/>
        </w:rPr>
        <w:t>Effective governance within central, regional and local government</w:t>
      </w:r>
      <w:bookmarkEnd w:id="53"/>
      <w:bookmarkEnd w:id="55"/>
      <w:bookmarkEnd w:id="56"/>
    </w:p>
    <w:bookmarkEnd w:id="54"/>
    <w:p w:rsidR="00823F06" w:rsidRDefault="008128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knowledge, tools and capacity to improve the delivery of benefits from that legislation, and the governance of the enforcement</w:t>
      </w:r>
      <w:r>
        <w:rPr>
          <w:rFonts w:cs="Times New Roman"/>
          <w:noProof/>
          <w:color w:val="FFFFFF" w:themeColor="background1"/>
          <w:sz w:val="20"/>
        </w:rPr>
        <w:t xml:space="preserve"> process.</w:t>
      </w:r>
    </w:p>
    <w:p w:rsidR="00823F06" w:rsidRDefault="00823F06">
      <w:pPr>
        <w:widowControl w:val="0"/>
        <w:spacing w:after="120" w:line="240" w:lineRule="auto"/>
        <w:jc w:val="both"/>
        <w:outlineLvl w:val="2"/>
        <w:rPr>
          <w:rFonts w:cs="Times New Roman"/>
          <w:b/>
          <w:noProof/>
          <w:color w:val="1F497D" w:themeColor="text2"/>
        </w:rPr>
      </w:pPr>
    </w:p>
    <w:p w:rsidR="00823F06" w:rsidRDefault="0081280F">
      <w:pPr>
        <w:widowControl w:val="0"/>
        <w:spacing w:after="120" w:line="240" w:lineRule="auto"/>
        <w:jc w:val="both"/>
        <w:outlineLvl w:val="2"/>
        <w:rPr>
          <w:rFonts w:cs="Times New Roman"/>
          <w:b/>
          <w:noProof/>
          <w:color w:val="1F497D" w:themeColor="text2"/>
        </w:rPr>
      </w:pPr>
      <w:r>
        <w:rPr>
          <w:rFonts w:cs="Times New Roman"/>
          <w:b/>
          <w:noProof/>
          <w:color w:val="1F497D" w:themeColor="text2"/>
        </w:rPr>
        <w:t>Capacity to implement rules</w:t>
      </w:r>
    </w:p>
    <w:p w:rsidR="00823F06" w:rsidRDefault="0081280F">
      <w:pPr>
        <w:widowControl w:val="0"/>
        <w:spacing w:after="120" w:line="240" w:lineRule="auto"/>
        <w:jc w:val="both"/>
        <w:rPr>
          <w:rFonts w:cs="Times New Roman"/>
          <w:noProof/>
          <w:sz w:val="20"/>
        </w:rPr>
      </w:pPr>
      <w:r>
        <w:rPr>
          <w:rFonts w:cs="Times New Roman"/>
          <w:noProof/>
          <w:sz w:val="20"/>
        </w:rPr>
        <w:t>It is crucial that central, regional and local administrations have the necessary capacities and skills and training to carry out their own tasks and co-operate and co-ordinate effectively with each other, within a sy</w:t>
      </w:r>
      <w:r>
        <w:rPr>
          <w:rFonts w:cs="Times New Roman"/>
          <w:noProof/>
          <w:sz w:val="20"/>
        </w:rPr>
        <w:t>stem of multi-level governance.</w:t>
      </w:r>
    </w:p>
    <w:p w:rsidR="00823F06" w:rsidRDefault="0081280F">
      <w:pPr>
        <w:widowControl w:val="0"/>
        <w:spacing w:after="120" w:line="240" w:lineRule="auto"/>
        <w:jc w:val="both"/>
        <w:rPr>
          <w:rFonts w:cs="Times New Roman"/>
          <w:noProof/>
          <w:sz w:val="20"/>
        </w:rPr>
      </w:pPr>
      <w:r>
        <w:rPr>
          <w:rFonts w:cs="Times New Roman"/>
          <w:noProof/>
          <w:sz w:val="20"/>
        </w:rPr>
        <w:t>While environmental policy is highly integrated in other policy areas and in the work of sectoral policy areas, it is the Ministry of the Environment and Energy that is responsible for establishing environmental policies reg</w:t>
      </w:r>
      <w:r>
        <w:rPr>
          <w:rFonts w:cs="Times New Roman"/>
          <w:noProof/>
          <w:sz w:val="20"/>
        </w:rPr>
        <w:t>arding chemicals, natural environment and biological diversity. The Swedish Environmental Protection Agency founded in 1967 reports to the Ministry. There is also IVL the Swedish Environmental Research Institute which is an independent, non-profit research</w:t>
      </w:r>
      <w:r>
        <w:rPr>
          <w:rFonts w:cs="Times New Roman"/>
          <w:noProof/>
          <w:sz w:val="20"/>
        </w:rPr>
        <w:t xml:space="preserve"> institute, owned by a foundation jointly established by the Swedish Government and Swedish industry.  The 2013 European Quality of Government Index puts Sweden in third place out of the 28 Member States</w:t>
      </w:r>
      <w:r>
        <w:rPr>
          <w:rFonts w:cs="Times New Roman"/>
          <w:noProof/>
          <w:sz w:val="20"/>
          <w:vertAlign w:val="superscript"/>
        </w:rPr>
        <w:footnoteReference w:id="100"/>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Transposition and implementation of EU environment</w:t>
      </w:r>
      <w:r>
        <w:rPr>
          <w:rFonts w:cs="Times New Roman"/>
          <w:noProof/>
          <w:sz w:val="20"/>
        </w:rPr>
        <w:t>al legislation by Sweden has traditionally been good. In general, Sweden communicates the transposition legislation fast and the overall conformity of Swedish environmental legislation with the EU legislation is good. The number of infringements and compla</w:t>
      </w:r>
      <w:r>
        <w:rPr>
          <w:rFonts w:cs="Times New Roman"/>
          <w:noProof/>
          <w:sz w:val="20"/>
        </w:rPr>
        <w:t xml:space="preserve">ints is low. However, lodged complaints are often very well-reasoned and serious. </w:t>
      </w:r>
    </w:p>
    <w:p w:rsidR="00823F06" w:rsidRDefault="0081280F">
      <w:pPr>
        <w:widowControl w:val="0"/>
        <w:spacing w:after="120" w:line="240" w:lineRule="auto"/>
        <w:jc w:val="both"/>
        <w:rPr>
          <w:rFonts w:cs="Times New Roman"/>
          <w:noProof/>
          <w:sz w:val="20"/>
        </w:rPr>
      </w:pPr>
      <w:r>
        <w:rPr>
          <w:rFonts w:cs="Times New Roman"/>
          <w:noProof/>
          <w:sz w:val="20"/>
        </w:rPr>
        <w:t>The implementation of the urban waste water treatment Directive is currently the issue of with two ongoing infringement cases related to agglomerations which do not meet the</w:t>
      </w:r>
      <w:r>
        <w:rPr>
          <w:rFonts w:cs="Times New Roman"/>
          <w:noProof/>
          <w:sz w:val="20"/>
        </w:rPr>
        <w:t xml:space="preserve"> EU law standards. Licensed wolf hunting, initiated in 2010 and still pursued, is also a major issue of implementation of the nature protection legislation. </w:t>
      </w:r>
    </w:p>
    <w:p w:rsidR="00823F06" w:rsidRDefault="0081280F">
      <w:pPr>
        <w:widowControl w:val="0"/>
        <w:spacing w:after="120" w:line="240" w:lineRule="auto"/>
        <w:jc w:val="both"/>
        <w:outlineLvl w:val="2"/>
        <w:rPr>
          <w:rFonts w:cs="Times New Roman"/>
          <w:b/>
          <w:noProof/>
          <w:color w:val="1F497D" w:themeColor="text2"/>
        </w:rPr>
      </w:pPr>
      <w:r>
        <w:rPr>
          <w:rFonts w:cs="Times New Roman"/>
          <w:b/>
          <w:noProof/>
          <w:color w:val="1F497D" w:themeColor="text2"/>
        </w:rPr>
        <w:t>Coordination and integration</w:t>
      </w:r>
    </w:p>
    <w:p w:rsidR="00823F06" w:rsidRDefault="0081280F">
      <w:pPr>
        <w:widowControl w:val="0"/>
        <w:spacing w:after="120" w:line="240" w:lineRule="auto"/>
        <w:jc w:val="both"/>
        <w:rPr>
          <w:rFonts w:cs="Times New Roman"/>
          <w:noProof/>
          <w:sz w:val="20"/>
        </w:rPr>
      </w:pPr>
      <w:r>
        <w:rPr>
          <w:rFonts w:cs="Times New Roman"/>
          <w:noProof/>
          <w:sz w:val="20"/>
        </w:rPr>
        <w:t>It is crucial that the Ministry of Environment and the Agency have th</w:t>
      </w:r>
      <w:r>
        <w:rPr>
          <w:rFonts w:cs="Times New Roman"/>
          <w:noProof/>
          <w:sz w:val="20"/>
        </w:rPr>
        <w:t>e necessary capacities and skills and training to carry out their own tasks and co-operate and co-ordinate effectively with each other, within a system of multi-level governance.</w:t>
      </w:r>
    </w:p>
    <w:p w:rsidR="00823F06" w:rsidRDefault="0081280F">
      <w:pPr>
        <w:widowControl w:val="0"/>
        <w:spacing w:after="120" w:line="240" w:lineRule="auto"/>
        <w:jc w:val="both"/>
        <w:rPr>
          <w:rFonts w:cs="Times New Roman"/>
          <w:noProof/>
          <w:sz w:val="20"/>
        </w:rPr>
      </w:pPr>
      <w:r>
        <w:rPr>
          <w:rFonts w:cs="Times New Roman"/>
          <w:noProof/>
          <w:sz w:val="20"/>
        </w:rPr>
        <w:t>Impact assessments are important tools to ensure environmental integration in</w:t>
      </w:r>
      <w:r>
        <w:rPr>
          <w:rFonts w:cs="Times New Roman"/>
          <w:noProof/>
          <w:sz w:val="20"/>
        </w:rPr>
        <w:t xml:space="preserve"> all government policies</w:t>
      </w:r>
      <w:r>
        <w:rPr>
          <w:rFonts w:cs="Times New Roman"/>
          <w:noProof/>
          <w:sz w:val="20"/>
          <w:vertAlign w:val="superscript"/>
        </w:rPr>
        <w:footnoteReference w:id="101"/>
      </w:r>
      <w:r>
        <w:rPr>
          <w:rFonts w:cs="Times New Roman"/>
          <w:noProof/>
          <w:sz w:val="20"/>
        </w:rPr>
        <w:t xml:space="preserve">. </w:t>
      </w:r>
    </w:p>
    <w:p w:rsidR="00823F06" w:rsidRDefault="0081280F">
      <w:pPr>
        <w:widowControl w:val="0"/>
        <w:spacing w:after="120" w:line="240" w:lineRule="auto"/>
        <w:jc w:val="both"/>
        <w:rPr>
          <w:rFonts w:cs="Times New Roman"/>
          <w:noProof/>
          <w:sz w:val="20"/>
        </w:rPr>
      </w:pPr>
      <w:r>
        <w:rPr>
          <w:rFonts w:cs="Times New Roman"/>
          <w:noProof/>
          <w:sz w:val="20"/>
        </w:rPr>
        <w:t>The Commission issued a guidance document in 2016</w:t>
      </w:r>
      <w:r>
        <w:rPr>
          <w:rStyle w:val="FootnoteReference"/>
          <w:rFonts w:cs="Times New Roman"/>
          <w:noProof/>
          <w:sz w:val="20"/>
        </w:rPr>
        <w:footnoteReference w:id="102"/>
      </w:r>
      <w:r>
        <w:rPr>
          <w:rFonts w:cs="Times New Roman"/>
          <w:noProof/>
          <w:sz w:val="20"/>
        </w:rPr>
        <w:t xml:space="preserve"> regarding the setting up of coordinated and/or joint procedures that are simultaneously subject to assessments under the EIA Directive, Habitats Directive, Water Framework Direc</w:t>
      </w:r>
      <w:r>
        <w:rPr>
          <w:rFonts w:cs="Times New Roman"/>
          <w:noProof/>
          <w:sz w:val="20"/>
        </w:rPr>
        <w:t>tive, and the Industrial Emissions Directive</w:t>
      </w:r>
      <w:r>
        <w:rPr>
          <w:rFonts w:cs="Times New Roman"/>
          <w:noProof/>
          <w:sz w:val="20"/>
          <w:vertAlign w:val="superscript"/>
        </w:rPr>
        <w:footnoteReference w:id="103"/>
      </w:r>
      <w:r>
        <w:rPr>
          <w:rFonts w:cs="Times New Roman"/>
          <w:noProof/>
          <w:sz w:val="20"/>
        </w:rPr>
        <w:t xml:space="preserve">. </w:t>
      </w:r>
    </w:p>
    <w:p w:rsidR="00823F06" w:rsidRDefault="0081280F">
      <w:pPr>
        <w:widowControl w:val="0"/>
        <w:spacing w:before="360" w:after="120" w:line="240" w:lineRule="auto"/>
        <w:jc w:val="both"/>
        <w:outlineLvl w:val="1"/>
        <w:rPr>
          <w:rFonts w:cs="Times New Roman"/>
          <w:b/>
          <w:noProof/>
          <w:color w:val="1F497D" w:themeColor="text2"/>
          <w:sz w:val="24"/>
        </w:rPr>
      </w:pPr>
      <w:bookmarkStart w:id="57" w:name="_Toc469478362"/>
      <w:r>
        <w:rPr>
          <w:rFonts w:cs="Times New Roman"/>
          <w:b/>
          <w:noProof/>
          <w:color w:val="1F497D" w:themeColor="text2"/>
          <w:sz w:val="24"/>
        </w:rPr>
        <w:t>Compliance assurance</w:t>
      </w:r>
      <w:bookmarkEnd w:id="57"/>
    </w:p>
    <w:p w:rsidR="00823F06" w:rsidRDefault="0081280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EU law generally and specific provisions on inspections, other checks, penalties and environmental liability help lay the basis for the systems Member States need to have in place to secu</w:t>
      </w:r>
      <w:r>
        <w:rPr>
          <w:rFonts w:cs="Times New Roman"/>
          <w:noProof/>
          <w:color w:val="FFFFFF" w:themeColor="background1"/>
          <w:sz w:val="20"/>
        </w:rPr>
        <w:t>re compliance with EU environmental rules.</w:t>
      </w:r>
    </w:p>
    <w:p w:rsidR="00823F06" w:rsidRDefault="0081280F">
      <w:pPr>
        <w:widowControl w:val="0"/>
        <w:spacing w:after="120" w:line="240" w:lineRule="auto"/>
        <w:jc w:val="both"/>
        <w:rPr>
          <w:rFonts w:cs="Times New Roman"/>
          <w:noProof/>
          <w:sz w:val="20"/>
        </w:rPr>
      </w:pPr>
      <w:r>
        <w:rPr>
          <w:rFonts w:cs="Times New Roman"/>
          <w:noProof/>
          <w:sz w:val="20"/>
        </w:rPr>
        <w:t xml:space="preserve">Public authorities help ensure accountability of duty-holders by monitoring and promoting compliance and by taking credible follow-up action (i.e. enforcement) when breaches occur or liabilities arise. Compliance </w:t>
      </w:r>
      <w:r>
        <w:rPr>
          <w:rFonts w:cs="Times New Roman"/>
          <w:noProof/>
          <w:sz w:val="20"/>
        </w:rPr>
        <w:t>monitoring can be done both on the initiative of authorities themselves and in response to citizen complaints. It can involve using various kinds of checks, including inspections for permitted activities, surveillance for possible illegal activities, inves</w:t>
      </w:r>
      <w:r>
        <w:rPr>
          <w:rFonts w:cs="Times New Roman"/>
          <w:noProof/>
          <w:sz w:val="20"/>
        </w:rPr>
        <w:t>tigations for crimes and audits for systemic weaknesses. Similarly, there is a range of means to promote compliance, including awareness-raising campaigns and use of guidance documents and online information tools. Follow-up to breaches and liabilities can</w:t>
      </w:r>
      <w:r>
        <w:rPr>
          <w:rFonts w:cs="Times New Roman"/>
          <w:noProof/>
          <w:sz w:val="20"/>
        </w:rPr>
        <w:t xml:space="preserve"> include administrative action (e.g. withdrawal of a permit), use of criminal law</w:t>
      </w:r>
      <w:r>
        <w:rPr>
          <w:rFonts w:cs="Times New Roman"/>
          <w:noProof/>
          <w:sz w:val="20"/>
          <w:vertAlign w:val="superscript"/>
        </w:rPr>
        <w:footnoteReference w:id="104"/>
      </w:r>
      <w:r>
        <w:rPr>
          <w:rFonts w:cs="Times New Roman"/>
          <w:noProof/>
          <w:sz w:val="20"/>
        </w:rPr>
        <w:t xml:space="preserve"> and action under liability law (e.g. required remediation after damage from an accident using liability rules) and contractual law (e.g. measures to require compliance with </w:t>
      </w:r>
      <w:r>
        <w:rPr>
          <w:rFonts w:cs="Times New Roman"/>
          <w:noProof/>
          <w:sz w:val="20"/>
        </w:rPr>
        <w:t xml:space="preserve">nature conservation contracts). Taken together, all of these interventions represent "compliance assurance" as shown in Figure 13. </w:t>
      </w:r>
    </w:p>
    <w:p w:rsidR="00823F06" w:rsidRDefault="0081280F">
      <w:pPr>
        <w:widowControl w:val="0"/>
        <w:spacing w:after="120" w:line="240" w:lineRule="auto"/>
        <w:jc w:val="both"/>
        <w:rPr>
          <w:rFonts w:cs="Times New Roman"/>
          <w:noProof/>
          <w:sz w:val="20"/>
        </w:rPr>
      </w:pPr>
      <w:r>
        <w:rPr>
          <w:rFonts w:cs="Times New Roman"/>
          <w:noProof/>
          <w:sz w:val="20"/>
        </w:rPr>
        <w:t>Best practice has moved towards a risk-based approach at strategic and operational levels in which the best mix of complianc</w:t>
      </w:r>
      <w:r>
        <w:rPr>
          <w:rFonts w:cs="Times New Roman"/>
          <w:noProof/>
          <w:sz w:val="20"/>
        </w:rPr>
        <w:t>e monitoring, promotion and enforcement is directed at the most serious problems. Best practice also recognises the need for coordination and cooperation between different authorities to ensure consistency, avoid duplication of work and reduce administrati</w:t>
      </w:r>
      <w:r>
        <w:rPr>
          <w:rFonts w:cs="Times New Roman"/>
          <w:noProof/>
          <w:sz w:val="20"/>
        </w:rPr>
        <w:t>ve burden. Active participation in established pan-European networks of inspectors, police, prosecutors and judges, such as</w:t>
      </w:r>
      <w:r>
        <w:rPr>
          <w:rFonts w:cs="Times New Roman"/>
          <w:i/>
          <w:noProof/>
          <w:sz w:val="20"/>
        </w:rPr>
        <w:t xml:space="preserve"> IMPEL</w:t>
      </w:r>
      <w:r>
        <w:rPr>
          <w:rFonts w:cs="Times New Roman"/>
          <w:i/>
          <w:noProof/>
          <w:sz w:val="20"/>
          <w:vertAlign w:val="superscript"/>
        </w:rPr>
        <w:footnoteReference w:id="105"/>
      </w:r>
      <w:r>
        <w:rPr>
          <w:rFonts w:cs="Times New Roman"/>
          <w:i/>
          <w:noProof/>
          <w:sz w:val="20"/>
        </w:rPr>
        <w:t>, EUFJE</w:t>
      </w:r>
      <w:r>
        <w:rPr>
          <w:rFonts w:cs="Times New Roman"/>
          <w:i/>
          <w:noProof/>
          <w:sz w:val="20"/>
          <w:vertAlign w:val="superscript"/>
        </w:rPr>
        <w:footnoteReference w:id="106"/>
      </w:r>
      <w:r>
        <w:rPr>
          <w:rFonts w:cs="Times New Roman"/>
          <w:i/>
          <w:noProof/>
          <w:sz w:val="20"/>
        </w:rPr>
        <w:t>, ENPE</w:t>
      </w:r>
      <w:r>
        <w:rPr>
          <w:rFonts w:cs="Times New Roman"/>
          <w:i/>
          <w:noProof/>
          <w:sz w:val="20"/>
          <w:vertAlign w:val="superscript"/>
        </w:rPr>
        <w:footnoteReference w:id="107"/>
      </w:r>
      <w:r>
        <w:rPr>
          <w:rFonts w:cs="Times New Roman"/>
          <w:i/>
          <w:noProof/>
          <w:sz w:val="20"/>
        </w:rPr>
        <w:t xml:space="preserve"> and EnviCrimeNet</w:t>
      </w:r>
      <w:r>
        <w:rPr>
          <w:rFonts w:cs="Times New Roman"/>
          <w:i/>
          <w:noProof/>
          <w:sz w:val="20"/>
          <w:vertAlign w:val="superscript"/>
        </w:rPr>
        <w:footnoteReference w:id="108"/>
      </w:r>
      <w:r>
        <w:rPr>
          <w:rFonts w:cs="Times New Roman"/>
          <w:noProof/>
          <w:sz w:val="20"/>
        </w:rPr>
        <w:t>, is a valuable tool for sharing experience and good practices.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23F06">
        <w:tc>
          <w:tcPr>
            <w:tcW w:w="4909" w:type="dxa"/>
          </w:tcPr>
          <w:p w:rsidR="00823F06" w:rsidRDefault="0081280F">
            <w:pPr>
              <w:keepNext/>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13: Environmental </w:t>
            </w:r>
            <w:r>
              <w:rPr>
                <w:rFonts w:cs="Times New Roman"/>
                <w:b/>
                <w:bCs/>
                <w:noProof/>
                <w:color w:val="1F497D" w:themeColor="text2"/>
                <w:sz w:val="20"/>
              </w:rPr>
              <w:t>compliance assurance</w:t>
            </w:r>
          </w:p>
          <w:p w:rsidR="00823F06" w:rsidRDefault="0081280F">
            <w:pPr>
              <w:widowControl w:val="0"/>
              <w:spacing w:after="120"/>
              <w:jc w:val="both"/>
              <w:rPr>
                <w:rFonts w:cs="Times New Roman"/>
                <w:b/>
                <w:bCs/>
                <w:noProof/>
                <w:color w:val="1F497D" w:themeColor="text2"/>
                <w:sz w:val="20"/>
              </w:rPr>
            </w:pPr>
            <w:r>
              <w:rPr>
                <w:rFonts w:cs="Times New Roman"/>
                <w:noProof/>
                <w:sz w:val="20"/>
                <w:lang w:eastAsia="en-GB"/>
              </w:rPr>
              <w:drawing>
                <wp:inline distT="0" distB="0" distL="0" distR="0" wp14:anchorId="4AEF5E42" wp14:editId="5BFFD846">
                  <wp:extent cx="2980055" cy="210566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823F06" w:rsidRDefault="0081280F">
      <w:pPr>
        <w:widowControl w:val="0"/>
        <w:spacing w:after="120" w:line="240" w:lineRule="auto"/>
        <w:jc w:val="both"/>
        <w:rPr>
          <w:rFonts w:cs="Times New Roman"/>
          <w:noProof/>
          <w:sz w:val="20"/>
        </w:rPr>
      </w:pPr>
      <w:r>
        <w:rPr>
          <w:rFonts w:cs="Times New Roman"/>
          <w:noProof/>
          <w:sz w:val="20"/>
        </w:rPr>
        <w:t>Currently, there exist a number of sectoral obligations on inspections and the EU directive on environmental liability (ELD)</w:t>
      </w:r>
      <w:r>
        <w:rPr>
          <w:rFonts w:cs="Times New Roman"/>
          <w:noProof/>
          <w:sz w:val="20"/>
          <w:vertAlign w:val="superscript"/>
        </w:rPr>
        <w:footnoteReference w:id="109"/>
      </w:r>
      <w:r>
        <w:rPr>
          <w:rFonts w:cs="Times New Roman"/>
          <w:noProof/>
          <w:sz w:val="20"/>
        </w:rPr>
        <w:t xml:space="preserve"> provides a means of ensuring that the "polluter-pays principle" is applied when there are accidents and incidents that harm the environment. There is also publically available information giving insights into existing strengths and weaknesses in each Memb</w:t>
      </w:r>
      <w:r>
        <w:rPr>
          <w:rFonts w:cs="Times New Roman"/>
          <w:noProof/>
          <w:sz w:val="20"/>
        </w:rPr>
        <w:t xml:space="preserve">er State. </w:t>
      </w:r>
    </w:p>
    <w:p w:rsidR="00823F06" w:rsidRDefault="0081280F">
      <w:pPr>
        <w:widowControl w:val="0"/>
        <w:spacing w:after="120" w:line="240" w:lineRule="auto"/>
        <w:jc w:val="both"/>
        <w:rPr>
          <w:rFonts w:cs="Times New Roman"/>
          <w:noProof/>
          <w:sz w:val="20"/>
        </w:rPr>
      </w:pPr>
      <w:r>
        <w:rPr>
          <w:rFonts w:cs="Times New Roman"/>
          <w:noProof/>
          <w:sz w:val="20"/>
        </w:rPr>
        <w:t>For each Member State, the following were therefore reviewed: use of risk-based compliance assurance; coordination and co-operation between authorities and participation in pan-European networks; and key aspects of implementation of the ELD base</w:t>
      </w:r>
      <w:r>
        <w:rPr>
          <w:rFonts w:cs="Times New Roman"/>
          <w:noProof/>
          <w:sz w:val="20"/>
        </w:rPr>
        <w:t>d on the Commission's recently published implementation report and REFIT evaluation</w:t>
      </w:r>
      <w:r>
        <w:rPr>
          <w:rFonts w:cs="Times New Roman"/>
          <w:noProof/>
          <w:sz w:val="20"/>
          <w:vertAlign w:val="superscript"/>
        </w:rPr>
        <w:footnoteReference w:id="110"/>
      </w:r>
      <w:r>
        <w:rPr>
          <w:rFonts w:cs="Times New Roman"/>
          <w:noProof/>
          <w:sz w:val="20"/>
        </w:rPr>
        <w:t xml:space="preserve">. </w:t>
      </w:r>
    </w:p>
    <w:p w:rsidR="00823F06" w:rsidRDefault="0081280F">
      <w:pPr>
        <w:widowControl w:val="0"/>
        <w:spacing w:after="120" w:line="240" w:lineRule="auto"/>
        <w:jc w:val="both"/>
        <w:rPr>
          <w:rFonts w:cs="Times New Roman"/>
          <w:noProof/>
          <w:sz w:val="20"/>
        </w:rPr>
      </w:pPr>
      <w:r>
        <w:rPr>
          <w:rFonts w:cs="Times New Roman"/>
          <w:noProof/>
          <w:sz w:val="20"/>
        </w:rPr>
        <w:t>In Sweden, compliance promotion activities are conducted at regional and local level but there is evidence that these could be improved</w:t>
      </w:r>
      <w:r>
        <w:rPr>
          <w:rFonts w:cs="Times New Roman"/>
          <w:noProof/>
          <w:sz w:val="20"/>
          <w:vertAlign w:val="superscript"/>
        </w:rPr>
        <w:footnoteReference w:id="111"/>
      </w:r>
      <w:r>
        <w:rPr>
          <w:rFonts w:cs="Times New Roman"/>
          <w:noProof/>
          <w:sz w:val="20"/>
        </w:rPr>
        <w:t>. Planning of environmental compl</w:t>
      </w:r>
      <w:r>
        <w:rPr>
          <w:rFonts w:cs="Times New Roman"/>
          <w:noProof/>
          <w:sz w:val="20"/>
        </w:rPr>
        <w:t>iance monitoring based on risk-based approaches is widely used in Sweden and thematic inspection campaigns based on standard inspection manuals and checklists are regularly conducted in attempts to establish a tailored approach to individual economic secto</w:t>
      </w:r>
      <w:r>
        <w:rPr>
          <w:rFonts w:cs="Times New Roman"/>
          <w:noProof/>
          <w:sz w:val="20"/>
        </w:rPr>
        <w:t>rs</w:t>
      </w:r>
      <w:r>
        <w:rPr>
          <w:rFonts w:cs="Times New Roman"/>
          <w:noProof/>
          <w:sz w:val="20"/>
          <w:vertAlign w:val="superscript"/>
        </w:rPr>
        <w:footnoteReference w:id="112"/>
      </w:r>
      <w:r>
        <w:rPr>
          <w:rFonts w:cs="Times New Roman"/>
          <w:noProof/>
          <w:sz w:val="20"/>
        </w:rPr>
        <w:t>. However, variations still exist, reflecting factors such as resource constraints</w:t>
      </w:r>
      <w:r>
        <w:rPr>
          <w:rFonts w:cs="Times New Roman"/>
          <w:noProof/>
          <w:sz w:val="20"/>
          <w:vertAlign w:val="superscript"/>
        </w:rPr>
        <w:footnoteReference w:id="113"/>
      </w:r>
      <w:r>
        <w:rPr>
          <w:rFonts w:cs="Times New Roman"/>
          <w:noProof/>
          <w:sz w:val="20"/>
        </w:rPr>
        <w:t>. As regards enforcement, , the use of conditional fines (that are linked to compliance order and determined on the basis of the estimated costs for the prescribed correc</w:t>
      </w:r>
      <w:r>
        <w:rPr>
          <w:rFonts w:cs="Times New Roman"/>
          <w:noProof/>
          <w:sz w:val="20"/>
        </w:rPr>
        <w:t>tive actions) seems to be a useful tool for bringing duty-holders back to compliance</w:t>
      </w:r>
      <w:r>
        <w:rPr>
          <w:rFonts w:cs="Times New Roman"/>
          <w:noProof/>
          <w:sz w:val="20"/>
          <w:vertAlign w:val="superscript"/>
        </w:rPr>
        <w:footnoteReference w:id="114"/>
      </w:r>
      <w:r>
        <w:rPr>
          <w:rFonts w:cs="Times New Roman"/>
          <w:noProof/>
          <w:sz w:val="20"/>
        </w:rPr>
        <w:t>. However, the set of sanctions applicable to environmental offences is not flexible enough to respond to different types of non-compliance behaviour</w:t>
      </w:r>
      <w:r>
        <w:rPr>
          <w:rFonts w:cs="Times New Roman"/>
          <w:noProof/>
          <w:sz w:val="20"/>
          <w:vertAlign w:val="superscript"/>
        </w:rPr>
        <w:footnoteReference w:id="115"/>
      </w:r>
      <w:r>
        <w:rPr>
          <w:rFonts w:cs="Times New Roman"/>
          <w:noProof/>
          <w:sz w:val="20"/>
        </w:rPr>
        <w:t>, there are significa</w:t>
      </w:r>
      <w:r>
        <w:rPr>
          <w:rFonts w:cs="Times New Roman"/>
          <w:noProof/>
          <w:sz w:val="20"/>
        </w:rPr>
        <w:t>nt differences in sanctions application across the country have been observed</w:t>
      </w:r>
      <w:r>
        <w:rPr>
          <w:rFonts w:cs="Times New Roman"/>
          <w:noProof/>
          <w:sz w:val="20"/>
          <w:vertAlign w:val="superscript"/>
        </w:rPr>
        <w:footnoteReference w:id="116"/>
      </w:r>
      <w:r>
        <w:rPr>
          <w:rFonts w:cs="Times New Roman"/>
          <w:noProof/>
          <w:sz w:val="20"/>
        </w:rPr>
        <w:t>, and there is evidence of scope for improvement in how inspectors and prosecutors work together</w:t>
      </w:r>
      <w:r>
        <w:rPr>
          <w:rFonts w:cs="Times New Roman"/>
          <w:noProof/>
          <w:sz w:val="20"/>
          <w:vertAlign w:val="superscript"/>
        </w:rPr>
        <w:footnoteReference w:id="117"/>
      </w:r>
      <w:r>
        <w:rPr>
          <w:rFonts w:cs="Times New Roman"/>
          <w:noProof/>
          <w:sz w:val="20"/>
        </w:rPr>
        <w:t>, given low prosecution rates in serious cases</w:t>
      </w:r>
      <w:r>
        <w:rPr>
          <w:rFonts w:cs="Times New Roman"/>
          <w:noProof/>
          <w:sz w:val="20"/>
          <w:vertAlign w:val="superscript"/>
        </w:rPr>
        <w:footnoteReference w:id="118"/>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Since 2011, the Swedish Environm</w:t>
      </w:r>
      <w:r>
        <w:rPr>
          <w:rFonts w:cs="Times New Roman"/>
          <w:noProof/>
          <w:sz w:val="20"/>
        </w:rPr>
        <w:t>ental Protection Agency (SEPA) has produced annual compliance monitoring and enforcement reports which include in- and output statistics and SEPA has commissioned a big research project to explore tools for more effective inspection work and better perform</w:t>
      </w:r>
      <w:r>
        <w:rPr>
          <w:rFonts w:cs="Times New Roman"/>
          <w:noProof/>
          <w:sz w:val="20"/>
        </w:rPr>
        <w:t>ance evaluation and to tackle the problem of insufficient data on compliance assurance</w:t>
      </w:r>
      <w:r>
        <w:rPr>
          <w:rFonts w:cs="Times New Roman"/>
          <w:noProof/>
          <w:sz w:val="20"/>
          <w:vertAlign w:val="superscript"/>
        </w:rPr>
        <w:footnoteReference w:id="119"/>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Up-to-date information is lacking in relation to the following:</w:t>
      </w:r>
    </w:p>
    <w:p w:rsidR="00823F06" w:rsidRDefault="0081280F">
      <w:pPr>
        <w:widowControl w:val="0"/>
        <w:numPr>
          <w:ilvl w:val="0"/>
          <w:numId w:val="26"/>
        </w:numPr>
        <w:spacing w:after="120" w:line="240" w:lineRule="auto"/>
        <w:contextualSpacing/>
        <w:jc w:val="both"/>
        <w:rPr>
          <w:rFonts w:cs="Times New Roman"/>
          <w:noProof/>
          <w:sz w:val="20"/>
        </w:rPr>
      </w:pPr>
      <w:r>
        <w:rPr>
          <w:rFonts w:cs="Times New Roman"/>
          <w:noProof/>
          <w:sz w:val="20"/>
        </w:rPr>
        <w:t>data-collection arrangements to track the use and effectiveness of different compliance assurance inter</w:t>
      </w:r>
      <w:r>
        <w:rPr>
          <w:rFonts w:cs="Times New Roman"/>
          <w:noProof/>
          <w:sz w:val="20"/>
        </w:rPr>
        <w:t>ventions, in particular the results of the SEPA research project;</w:t>
      </w:r>
    </w:p>
    <w:p w:rsidR="00823F06" w:rsidRDefault="0081280F">
      <w:pPr>
        <w:widowControl w:val="0"/>
        <w:numPr>
          <w:ilvl w:val="0"/>
          <w:numId w:val="26"/>
        </w:numPr>
        <w:spacing w:after="120" w:line="240" w:lineRule="auto"/>
        <w:contextualSpacing/>
        <w:jc w:val="both"/>
        <w:rPr>
          <w:rFonts w:cs="Times New Roman"/>
          <w:noProof/>
          <w:sz w:val="20"/>
        </w:rPr>
      </w:pPr>
      <w:r>
        <w:rPr>
          <w:rFonts w:cs="Times New Roman"/>
          <w:noProof/>
          <w:sz w:val="20"/>
        </w:rPr>
        <w:t xml:space="preserve">the extent to which risk-based methods are used to direct compliance assurance at the strategic level and in relation to specific problem-areas highlighted elsewhere in this Country Report, </w:t>
      </w:r>
      <w:r>
        <w:rPr>
          <w:rFonts w:cs="Times New Roman"/>
          <w:noProof/>
          <w:sz w:val="20"/>
        </w:rPr>
        <w:t xml:space="preserve">i.e. the threats to protected habitat types and species, air quality breaches and the pressures on water quality from diffuse pollution. </w:t>
      </w:r>
    </w:p>
    <w:p w:rsidR="00823F06" w:rsidRDefault="0081280F">
      <w:pPr>
        <w:widowControl w:val="0"/>
        <w:spacing w:after="120" w:line="240" w:lineRule="auto"/>
        <w:jc w:val="both"/>
        <w:rPr>
          <w:rFonts w:cs="Times New Roman"/>
          <w:noProof/>
          <w:sz w:val="20"/>
        </w:rPr>
      </w:pPr>
      <w:r>
        <w:rPr>
          <w:rFonts w:cs="Times New Roman"/>
          <w:noProof/>
          <w:sz w:val="20"/>
        </w:rPr>
        <w:t>Sweden reported five incidents of environmental damage in the period 2007 – 2013, of which two were initiated by reque</w:t>
      </w:r>
      <w:r>
        <w:rPr>
          <w:rFonts w:cs="Times New Roman"/>
          <w:noProof/>
          <w:sz w:val="20"/>
        </w:rPr>
        <w:t xml:space="preserve">sts for action. One of the five involved remediation costs exceeding EUR 1 million. There is a lack of information on the take-up of financial security provided by the insurance industry (to cover remediation costs where the operator cannot pay) following </w:t>
      </w:r>
      <w:r>
        <w:rPr>
          <w:rFonts w:cs="Times New Roman"/>
          <w:noProof/>
          <w:sz w:val="20"/>
        </w:rPr>
        <w:t xml:space="preserve">Sweden's abolition in 2010 of mandatory financial security.  </w:t>
      </w:r>
    </w:p>
    <w:p w:rsidR="00823F06" w:rsidRDefault="0081280F">
      <w:pPr>
        <w:widowControl w:val="0"/>
        <w:spacing w:after="120" w:line="240" w:lineRule="auto"/>
        <w:rPr>
          <w:rFonts w:cstheme="minorHAnsi"/>
          <w:noProof/>
          <w:color w:val="1F497D" w:themeColor="text2"/>
          <w:szCs w:val="26"/>
        </w:rPr>
      </w:pPr>
      <w:r>
        <w:rPr>
          <w:rFonts w:cstheme="minorHAnsi"/>
          <w:noProof/>
          <w:color w:val="1F497D" w:themeColor="text2"/>
          <w:szCs w:val="26"/>
        </w:rPr>
        <w:t xml:space="preserve">Suggested action </w:t>
      </w:r>
    </w:p>
    <w:p w:rsidR="00823F06" w:rsidRDefault="0081280F">
      <w:pPr>
        <w:pStyle w:val="NoSpacing"/>
        <w:rPr>
          <w:noProof/>
        </w:rPr>
      </w:pPr>
      <w:r>
        <w:rPr>
          <w:noProof/>
        </w:rPr>
        <w:t>Improve transparency on the organisation and functioning of compliance assurance and on how significant risks are addressed, as outlined above.</w:t>
      </w:r>
    </w:p>
    <w:p w:rsidR="00823F06" w:rsidRDefault="0081280F">
      <w:pPr>
        <w:pStyle w:val="NoSpacing"/>
        <w:rPr>
          <w:noProof/>
        </w:rPr>
      </w:pPr>
      <w:r>
        <w:rPr>
          <w:noProof/>
        </w:rPr>
        <w:t xml:space="preserve">Encourage greater participation of competent authorities in the activities of the European environmental enforcement networks. </w:t>
      </w:r>
    </w:p>
    <w:p w:rsidR="00823F06" w:rsidRDefault="0081280F">
      <w:pPr>
        <w:pStyle w:val="NoSpacing"/>
        <w:rPr>
          <w:noProof/>
        </w:rPr>
      </w:pPr>
      <w:r>
        <w:rPr>
          <w:noProof/>
        </w:rPr>
        <w:t>Step up efforts in the implementation of the Environmental Liability Directive (ELD) with proactive initiatives, in particular b</w:t>
      </w:r>
      <w:r>
        <w:rPr>
          <w:noProof/>
        </w:rPr>
        <w:t xml:space="preserve">y setting up a national register of ELD incidents. It should moreover take further steps to ensure an effective system of financial security for environmental liabilities (so that operators not only have insurance cover available to them but actually take </w:t>
      </w:r>
      <w:r>
        <w:rPr>
          <w:noProof/>
        </w:rPr>
        <w:t>it up). The Swedish government has already started to investigate if actions or measures need to be taken in order to improve the current system for financial securities to ensure sufficient financial security when needed.</w:t>
      </w:r>
    </w:p>
    <w:p w:rsidR="00823F06" w:rsidRDefault="0081280F">
      <w:pPr>
        <w:widowControl w:val="0"/>
        <w:spacing w:before="360" w:after="120" w:line="240" w:lineRule="auto"/>
        <w:jc w:val="both"/>
        <w:outlineLvl w:val="1"/>
        <w:rPr>
          <w:rFonts w:cs="Times New Roman"/>
          <w:b/>
          <w:noProof/>
          <w:color w:val="1F497D" w:themeColor="text2"/>
          <w:sz w:val="24"/>
        </w:rPr>
      </w:pPr>
      <w:bookmarkStart w:id="58" w:name="_Toc439678163"/>
      <w:bookmarkStart w:id="59" w:name="_Toc454457667"/>
      <w:bookmarkStart w:id="60" w:name="_Toc469478363"/>
      <w:r>
        <w:rPr>
          <w:rFonts w:cs="Times New Roman"/>
          <w:b/>
          <w:noProof/>
          <w:color w:val="1F497D" w:themeColor="text2"/>
          <w:sz w:val="24"/>
        </w:rPr>
        <w:t xml:space="preserve">Public participation and access </w:t>
      </w:r>
      <w:r>
        <w:rPr>
          <w:rFonts w:cs="Times New Roman"/>
          <w:b/>
          <w:noProof/>
          <w:color w:val="1F497D" w:themeColor="text2"/>
          <w:sz w:val="24"/>
        </w:rPr>
        <w:t>to justice</w:t>
      </w:r>
      <w:bookmarkEnd w:id="58"/>
      <w:bookmarkEnd w:id="59"/>
      <w:bookmarkEnd w:id="60"/>
    </w:p>
    <w:p w:rsidR="00823F06" w:rsidRDefault="008128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Convention, related EU legislation on public participation and environmental impact assessment, and the case-law of the Court of Justice require that citizens and their associations should be able to participate in decision-making on </w:t>
      </w:r>
      <w:r>
        <w:rPr>
          <w:rFonts w:cs="Times New Roman"/>
          <w:noProof/>
          <w:color w:val="FFFFFF" w:themeColor="background1"/>
          <w:sz w:val="20"/>
        </w:rPr>
        <w:t>projects and plans and should enjoy effective environmental access to justice.</w:t>
      </w:r>
    </w:p>
    <w:p w:rsidR="00823F06" w:rsidRDefault="0081280F">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w:t>
      </w:r>
      <w:r>
        <w:rPr>
          <w:rFonts w:cs="Times New Roman"/>
          <w:noProof/>
          <w:sz w:val="20"/>
        </w:rPr>
        <w:t xml:space="preserve"> and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 The Commission</w:t>
      </w:r>
      <w:r>
        <w:rPr>
          <w:rFonts w:cs="Times New Roman"/>
          <w:noProof/>
          <w:sz w:val="20"/>
        </w:rPr>
        <w:t xml:space="preserve"> intends to examine compliance with mandatory public participation requirements more systematically at a later stage.</w:t>
      </w:r>
    </w:p>
    <w:p w:rsidR="00823F06" w:rsidRDefault="0081280F">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w:t>
      </w:r>
      <w:r>
        <w:rPr>
          <w:rFonts w:cs="Times New Roman"/>
          <w:noProof/>
          <w:sz w:val="20"/>
        </w:rPr>
        <w:t>ns of the public administration before a court. It is a tool for decentralised implementation of EU environmental law.</w:t>
      </w:r>
    </w:p>
    <w:p w:rsidR="00823F06" w:rsidRDefault="0081280F">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w:t>
      </w:r>
      <w:r>
        <w:rPr>
          <w:rFonts w:cs="Times New Roman"/>
          <w:noProof/>
          <w:sz w:val="20"/>
        </w:rPr>
        <w:t xml:space="preserve"> public, including NGOs and the extent to which prohibitive costs represent a barrier.</w:t>
      </w:r>
    </w:p>
    <w:p w:rsidR="00823F06" w:rsidRDefault="0081280F">
      <w:pPr>
        <w:widowControl w:val="0"/>
        <w:spacing w:after="120" w:line="240" w:lineRule="auto"/>
        <w:jc w:val="both"/>
        <w:rPr>
          <w:rFonts w:cs="Times New Roman"/>
          <w:noProof/>
          <w:sz w:val="20"/>
        </w:rPr>
      </w:pPr>
      <w:r>
        <w:rPr>
          <w:rFonts w:cs="Times New Roman"/>
          <w:noProof/>
          <w:sz w:val="20"/>
        </w:rPr>
        <w:t>In general, the existing rules and provisions in Sweden concerning access to administrative appeal and to judicial review are predictable and transparent. However, envir</w:t>
      </w:r>
      <w:r>
        <w:rPr>
          <w:rFonts w:cs="Times New Roman"/>
          <w:noProof/>
          <w:sz w:val="20"/>
        </w:rPr>
        <w:t>onmental NGOs still do not have legal standing in all environmental sectors. Also the conditions to be recognised as an environmental NGOs are partly too restricted. The costs of administrative court procedure, however, are not considered as being prohibit</w:t>
      </w:r>
      <w:r>
        <w:rPr>
          <w:rFonts w:cs="Times New Roman"/>
          <w:noProof/>
          <w:sz w:val="20"/>
        </w:rPr>
        <w:t>ively high</w:t>
      </w:r>
      <w:r>
        <w:rPr>
          <w:rFonts w:cs="Times New Roman"/>
          <w:noProof/>
          <w:sz w:val="20"/>
          <w:vertAlign w:val="superscript"/>
        </w:rPr>
        <w:footnoteReference w:id="120"/>
      </w:r>
      <w:r>
        <w:rPr>
          <w:rFonts w:cs="Times New Roman"/>
          <w:noProof/>
          <w:sz w:val="20"/>
        </w:rPr>
        <w:t>.</w:t>
      </w:r>
    </w:p>
    <w:p w:rsidR="00823F06" w:rsidRDefault="0081280F">
      <w:pPr>
        <w:widowControl w:val="0"/>
        <w:spacing w:after="120" w:line="240" w:lineRule="auto"/>
        <w:jc w:val="both"/>
        <w:rPr>
          <w:rFonts w:cs="Times New Roman"/>
          <w:noProof/>
          <w:sz w:val="20"/>
        </w:rPr>
      </w:pPr>
      <w:r>
        <w:rPr>
          <w:rFonts w:cs="Times New Roman"/>
          <w:noProof/>
          <w:sz w:val="20"/>
        </w:rPr>
        <w:t>The Swedish government has assigned a government committee (Dir. 2015:121) with the task of investigating, among other things, whether further measures are necessary in order for Sweden to comply with the Aarhus Convention with regard to legal</w:t>
      </w:r>
      <w:r>
        <w:rPr>
          <w:rFonts w:cs="Times New Roman"/>
          <w:noProof/>
          <w:sz w:val="20"/>
        </w:rPr>
        <w:t xml:space="preserve"> standing for environmental NGOs in the forestry sector</w:t>
      </w:r>
      <w:r>
        <w:rPr>
          <w:rFonts w:cs="Times New Roman"/>
          <w:noProof/>
          <w:sz w:val="20"/>
          <w:vertAlign w:val="superscript"/>
        </w:rPr>
        <w:footnoteReference w:id="121"/>
      </w:r>
      <w:r>
        <w:rPr>
          <w:rFonts w:cs="Times New Roman"/>
          <w:noProof/>
          <w:sz w:val="20"/>
        </w:rPr>
        <w:t xml:space="preserve">. </w:t>
      </w:r>
    </w:p>
    <w:p w:rsidR="00823F06" w:rsidRDefault="008128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 xml:space="preserve">Suggested action </w:t>
      </w:r>
    </w:p>
    <w:p w:rsidR="00823F06" w:rsidRDefault="0081280F">
      <w:pPr>
        <w:pStyle w:val="NoSpacing"/>
        <w:rPr>
          <w:noProof/>
        </w:rPr>
      </w:pPr>
      <w:r>
        <w:rPr>
          <w:noProof/>
        </w:rPr>
        <w:t>Take the necessary measures to ensure standing of environmental NGOs to challenge acts or omissions of a public authority in all sectoral EU environmental laws, in full compliance</w:t>
      </w:r>
      <w:r>
        <w:rPr>
          <w:noProof/>
        </w:rPr>
        <w:t xml:space="preserve"> with EU law as well as the Convention on Access to Information, Public Participation in Decision-making and Access to Justice in environmental matters (Aarhus Convention). </w:t>
      </w:r>
    </w:p>
    <w:p w:rsidR="00823F06" w:rsidRDefault="0081280F">
      <w:pPr>
        <w:widowControl w:val="0"/>
        <w:spacing w:before="360" w:after="120" w:line="240" w:lineRule="auto"/>
        <w:jc w:val="both"/>
        <w:outlineLvl w:val="1"/>
        <w:rPr>
          <w:rFonts w:cs="Times New Roman"/>
          <w:b/>
          <w:noProof/>
          <w:color w:val="1F497D" w:themeColor="text2"/>
          <w:sz w:val="24"/>
        </w:rPr>
      </w:pPr>
      <w:bookmarkStart w:id="61" w:name="_Toc454457668"/>
      <w:bookmarkStart w:id="62" w:name="_Toc469478364"/>
      <w:r>
        <w:rPr>
          <w:rFonts w:cs="Times New Roman"/>
          <w:b/>
          <w:noProof/>
          <w:color w:val="1F497D" w:themeColor="text2"/>
          <w:sz w:val="24"/>
        </w:rPr>
        <w:t>Access to information, knowledge and evidence</w:t>
      </w:r>
      <w:bookmarkEnd w:id="61"/>
      <w:bookmarkEnd w:id="62"/>
    </w:p>
    <w:p w:rsidR="00823F06" w:rsidRDefault="008128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w:t>
      </w:r>
      <w:r>
        <w:rPr>
          <w:rFonts w:cs="Times New Roman"/>
          <w:noProof/>
          <w:color w:val="FFFFFF" w:themeColor="background1"/>
          <w:sz w:val="20"/>
        </w:rPr>
        <w:t xml:space="preserve"> legislation on access to information and the sharing of spatial data require that the public has access to clear information on the environment, including on how Union environmental law is being implemented.</w:t>
      </w:r>
    </w:p>
    <w:p w:rsidR="00823F06" w:rsidRDefault="0081280F">
      <w:pPr>
        <w:widowControl w:val="0"/>
        <w:spacing w:after="120" w:line="240" w:lineRule="auto"/>
        <w:jc w:val="both"/>
        <w:rPr>
          <w:rFonts w:cs="Times New Roman"/>
          <w:noProof/>
          <w:sz w:val="20"/>
        </w:rPr>
      </w:pPr>
      <w:r>
        <w:rPr>
          <w:rFonts w:cs="Times New Roman"/>
          <w:noProof/>
          <w:sz w:val="20"/>
        </w:rPr>
        <w:t>It is of crucial importance to public authoriti</w:t>
      </w:r>
      <w:r>
        <w:rPr>
          <w:rFonts w:cs="Times New Roman"/>
          <w:noProof/>
          <w:sz w:val="20"/>
        </w:rPr>
        <w:t>es, the public and business that environmental information is shared in an efficient and effective way. This covers reporting by businesses and public authorities and active dissemination to the public, increasingly through electronic means.</w:t>
      </w:r>
    </w:p>
    <w:p w:rsidR="00823F06" w:rsidRDefault="0081280F">
      <w:pPr>
        <w:widowControl w:val="0"/>
        <w:spacing w:after="120" w:line="240" w:lineRule="auto"/>
        <w:jc w:val="both"/>
        <w:rPr>
          <w:rFonts w:cs="Times New Roman"/>
          <w:noProof/>
          <w:sz w:val="20"/>
        </w:rPr>
      </w:pPr>
      <w:r>
        <w:rPr>
          <w:rFonts w:cs="Times New Roman"/>
          <w:noProof/>
          <w:sz w:val="20"/>
        </w:rPr>
        <w:t>The Aarhus Con</w:t>
      </w:r>
      <w:r>
        <w:rPr>
          <w:rFonts w:cs="Times New Roman"/>
          <w:noProof/>
          <w:sz w:val="20"/>
        </w:rPr>
        <w:t>vention</w:t>
      </w:r>
      <w:r>
        <w:rPr>
          <w:rFonts w:cs="Times New Roman"/>
          <w:noProof/>
          <w:sz w:val="20"/>
          <w:vertAlign w:val="superscript"/>
        </w:rPr>
        <w:footnoteReference w:id="122"/>
      </w:r>
      <w:r>
        <w:rPr>
          <w:rFonts w:cs="Times New Roman"/>
          <w:noProof/>
          <w:sz w:val="20"/>
        </w:rPr>
        <w:t>, the Access to Environmental Information Directive</w:t>
      </w:r>
      <w:r>
        <w:rPr>
          <w:rFonts w:cs="Times New Roman"/>
          <w:noProof/>
          <w:sz w:val="20"/>
          <w:vertAlign w:val="superscript"/>
        </w:rPr>
        <w:footnoteReference w:id="123"/>
      </w:r>
      <w:r>
        <w:rPr>
          <w:rFonts w:cs="Times New Roman"/>
          <w:noProof/>
          <w:sz w:val="20"/>
        </w:rPr>
        <w:t xml:space="preserve"> and the INSPIRE Directive</w:t>
      </w:r>
      <w:r>
        <w:rPr>
          <w:rFonts w:cs="Times New Roman"/>
          <w:noProof/>
          <w:sz w:val="20"/>
          <w:vertAlign w:val="superscript"/>
        </w:rPr>
        <w:footnoteReference w:id="124"/>
      </w:r>
      <w:r>
        <w:rPr>
          <w:rFonts w:cs="Times New Roman"/>
          <w:noProof/>
          <w:sz w:val="20"/>
        </w:rPr>
        <w:t xml:space="preserve"> together create a legal foundation for the sharing of environmental information between public authorities and with the public. They also represent the green part of the ongoing EU e-Government Action Plan</w:t>
      </w:r>
      <w:r>
        <w:rPr>
          <w:rFonts w:cs="Times New Roman"/>
          <w:noProof/>
          <w:sz w:val="20"/>
          <w:vertAlign w:val="superscript"/>
        </w:rPr>
        <w:footnoteReference w:id="125"/>
      </w:r>
      <w:r>
        <w:rPr>
          <w:rFonts w:cs="Times New Roman"/>
          <w:noProof/>
          <w:sz w:val="20"/>
        </w:rPr>
        <w:t>. The first two instruments create obligations to</w:t>
      </w:r>
      <w:r>
        <w:rPr>
          <w:rFonts w:cs="Times New Roman"/>
          <w:noProof/>
          <w:sz w:val="20"/>
        </w:rPr>
        <w:t xml:space="preserve"> provide information to the public, both on request and actively. The INSPIRE Directive is a pioneering instrument for electronic data-sharing between public authorities who can vary in their data-sharing policies, e.g. on whether access to data is for fre</w:t>
      </w:r>
      <w:r>
        <w:rPr>
          <w:rFonts w:cs="Times New Roman"/>
          <w:noProof/>
          <w:sz w:val="20"/>
        </w:rPr>
        <w:t>e. The INSPIRE Directive sets up a geoportal which indicates the level of shared spatial data in each Member State – i.e. data related to specific locations, such as air quality monitoring data. Amongst other benefits it facilitates the public authorities'</w:t>
      </w:r>
      <w:r>
        <w:rPr>
          <w:rFonts w:cs="Times New Roman"/>
          <w:noProof/>
          <w:sz w:val="20"/>
        </w:rPr>
        <w:t xml:space="preserve"> reporting obligations. </w:t>
      </w:r>
    </w:p>
    <w:p w:rsidR="00823F06" w:rsidRDefault="0081280F">
      <w:pPr>
        <w:widowControl w:val="0"/>
        <w:spacing w:after="120" w:line="240" w:lineRule="auto"/>
        <w:jc w:val="both"/>
        <w:rPr>
          <w:rFonts w:cs="Times New Roman"/>
          <w:noProof/>
          <w:sz w:val="20"/>
        </w:rPr>
      </w:pPr>
      <w:r>
        <w:rPr>
          <w:rFonts w:cs="Times New Roman"/>
          <w:noProof/>
          <w:sz w:val="20"/>
        </w:rPr>
        <w:t xml:space="preserve">For each Member State, the accessibility of environmental data (based on what the INSPIRE Directive envisages) as well as data-sharing policies ('open data') have been systematically reviewed. </w:t>
      </w:r>
    </w:p>
    <w:p w:rsidR="00823F06" w:rsidRDefault="0081280F">
      <w:pPr>
        <w:widowControl w:val="0"/>
        <w:spacing w:after="120" w:line="240" w:lineRule="auto"/>
        <w:jc w:val="both"/>
        <w:rPr>
          <w:rFonts w:cs="Times New Roman"/>
          <w:noProof/>
          <w:sz w:val="20"/>
        </w:rPr>
      </w:pPr>
      <w:r>
        <w:rPr>
          <w:rFonts w:cs="Times New Roman"/>
          <w:noProof/>
          <w:sz w:val="20"/>
        </w:rPr>
        <w:t>Sweden's performance on the implement</w:t>
      </w:r>
      <w:r>
        <w:rPr>
          <w:rFonts w:cs="Times New Roman"/>
          <w:noProof/>
          <w:sz w:val="20"/>
        </w:rPr>
        <w:t>ation of the INSPIRE Directive as enabling framework to actively disseminate environmental information to the public is good, but leaves room for improvement. Sweden has indicated in the 3-yearly INSPIRE implementation report</w:t>
      </w:r>
      <w:r>
        <w:rPr>
          <w:rFonts w:cs="Times New Roman"/>
          <w:noProof/>
          <w:sz w:val="20"/>
          <w:vertAlign w:val="superscript"/>
        </w:rPr>
        <w:footnoteReference w:id="126"/>
      </w:r>
      <w:r>
        <w:rPr>
          <w:rFonts w:cs="Times New Roman"/>
          <w:noProof/>
          <w:sz w:val="20"/>
        </w:rPr>
        <w:t xml:space="preserve"> that the necessary data-shari</w:t>
      </w:r>
      <w:r>
        <w:rPr>
          <w:rFonts w:cs="Times New Roman"/>
          <w:noProof/>
          <w:sz w:val="20"/>
        </w:rPr>
        <w:t>ng policies allowing access and use of spatial data by national administrations, other Member States' administrations and EU institutions without procedural obstacles are available and implemented. Sweden has currently no common digital licence administrat</w:t>
      </w:r>
      <w:r>
        <w:rPr>
          <w:rFonts w:cs="Times New Roman"/>
          <w:noProof/>
          <w:sz w:val="20"/>
        </w:rPr>
        <w:t>ion regarding access to data and services infrastructure, but the data-sharing policies in place provide the essential conditions necessary for sharing spatial data sets and services. It is still common that the access to spatial data requires registration</w:t>
      </w:r>
      <w:r>
        <w:rPr>
          <w:rFonts w:cs="Times New Roman"/>
          <w:noProof/>
          <w:sz w:val="20"/>
        </w:rPr>
        <w:t xml:space="preserve"> and that fees are asked for downloading data. The general trend towards open and free data in Sweden will in the long term remove the need to register and the payment of fees. </w:t>
      </w:r>
    </w:p>
    <w:p w:rsidR="00823F06" w:rsidRDefault="0081280F">
      <w:pPr>
        <w:widowControl w:val="0"/>
        <w:spacing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27"/>
      </w:r>
      <w:r>
        <w:rPr>
          <w:rFonts w:cs="Times New Roman"/>
          <w:noProof/>
          <w:sz w:val="20"/>
        </w:rPr>
        <w:t xml:space="preserve"> issued by Sweden and the spatial informatio</w:t>
      </w:r>
      <w:r>
        <w:rPr>
          <w:rFonts w:cs="Times New Roman"/>
          <w:noProof/>
          <w:sz w:val="20"/>
        </w:rPr>
        <w:t>n that Sweden has published on the INSPIRE geoportal</w:t>
      </w:r>
      <w:r>
        <w:rPr>
          <w:rFonts w:cs="Times New Roman"/>
          <w:noProof/>
          <w:sz w:val="20"/>
          <w:vertAlign w:val="superscript"/>
        </w:rPr>
        <w:footnoteReference w:id="128"/>
      </w:r>
      <w:r>
        <w:rPr>
          <w:rFonts w:cs="Times New Roman"/>
          <w:noProof/>
          <w:sz w:val="20"/>
        </w:rPr>
        <w:t xml:space="preserve"> indicate that not all spatial information needed for the evaluation and implementation of EU environmental law has been made available or is accessible.  Some of this missing spatial information consist</w:t>
      </w:r>
      <w:r>
        <w:rPr>
          <w:rFonts w:cs="Times New Roman"/>
          <w:noProof/>
          <w:sz w:val="20"/>
        </w:rPr>
        <w:t>s of the environmental data required to be made available under the existing reporting and monitoring regulations of EU environmental law.</w:t>
      </w:r>
    </w:p>
    <w:p w:rsidR="00823F06" w:rsidRDefault="008128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 xml:space="preserve">Suggested action </w:t>
      </w:r>
    </w:p>
    <w:p w:rsidR="00823F06" w:rsidRDefault="0081280F">
      <w:pPr>
        <w:pStyle w:val="NoSpacing"/>
        <w:rPr>
          <w:noProof/>
        </w:rPr>
      </w:pPr>
      <w:r>
        <w:rPr>
          <w:noProof/>
        </w:rPr>
        <w:t>Identify and document all spatial data sets required for the implementation of environmental law, a</w:t>
      </w:r>
      <w:r>
        <w:rPr>
          <w:noProof/>
        </w:rPr>
        <w:t>nd make the data and documentation at least accessible 'as is' to other public authorities and the public through the digital services foreseen in the INSPIRE Directive.</w:t>
      </w:r>
    </w:p>
    <w:p w:rsidR="00823F06" w:rsidRDefault="00823F06">
      <w:pPr>
        <w:widowControl w:val="0"/>
        <w:suppressLineNumbers/>
        <w:spacing w:line="240" w:lineRule="auto"/>
        <w:jc w:val="center"/>
        <w:rPr>
          <w:noProof/>
        </w:rPr>
      </w:pPr>
    </w:p>
    <w:sectPr w:rsidR="00823F06">
      <w:headerReference w:type="even" r:id="rId119"/>
      <w:headerReference w:type="default" r:id="rId120"/>
      <w:footerReference w:type="even" r:id="rId121"/>
      <w:footerReference w:type="default" r:id="rId122"/>
      <w:headerReference w:type="first" r:id="rId123"/>
      <w:footerReference w:type="first" r:id="rId124"/>
      <w:type w:val="continuous"/>
      <w:pgSz w:w="11906" w:h="16838" w:code="9"/>
      <w:pgMar w:top="1440" w:right="1080" w:bottom="1440" w:left="1080" w:header="709" w:footer="70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F06" w:rsidRDefault="0081280F">
      <w:pPr>
        <w:spacing w:after="0" w:line="240" w:lineRule="auto"/>
      </w:pPr>
      <w:r>
        <w:separator/>
      </w:r>
    </w:p>
  </w:endnote>
  <w:endnote w:type="continuationSeparator" w:id="0">
    <w:p w:rsidR="00823F06" w:rsidRDefault="0081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0F" w:rsidRPr="0081280F" w:rsidRDefault="0081280F" w:rsidP="0081280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DRAFT Environmental Implementation Report 2016 – Sweden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DRAFT Environmental Implementation Report 2016 – Sweden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Environmental Implementation Report – Sweden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0F" w:rsidRPr="0081280F" w:rsidRDefault="0081280F" w:rsidP="0081280F">
    <w:pPr>
      <w:pStyle w:val="FooterCoverPage"/>
      <w:rPr>
        <w:rFonts w:ascii="Arial" w:hAnsi="Arial" w:cs="Arial"/>
        <w:b/>
        <w:sz w:val="48"/>
      </w:rPr>
    </w:pPr>
    <w:r w:rsidRPr="0081280F">
      <w:rPr>
        <w:rFonts w:ascii="Arial" w:hAnsi="Arial" w:cs="Arial"/>
        <w:b/>
        <w:sz w:val="48"/>
      </w:rPr>
      <w:t>EN</w:t>
    </w:r>
    <w:r w:rsidRPr="0081280F">
      <w:rPr>
        <w:rFonts w:ascii="Arial" w:hAnsi="Arial" w:cs="Arial"/>
        <w:b/>
        <w:sz w:val="48"/>
      </w:rPr>
      <w:tab/>
    </w:r>
    <w:r w:rsidRPr="0081280F">
      <w:rPr>
        <w:rFonts w:ascii="Arial" w:hAnsi="Arial" w:cs="Arial"/>
        <w:b/>
        <w:sz w:val="48"/>
      </w:rPr>
      <w:tab/>
    </w:r>
    <w:fldSimple w:instr=" DOCVARIABLE &quot;LW_Confidence&quot; \* MERGEFORMAT ">
      <w:r>
        <w:t xml:space="preserve"> </w:t>
      </w:r>
    </w:fldSimple>
    <w:r w:rsidRPr="0081280F">
      <w:tab/>
    </w:r>
    <w:r w:rsidRPr="0081280F">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 xml:space="preserve"> Environmental Implementation Report – Sweden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Environmental Implementation Report – Sweden</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Environmental Implementation Report – Sweden</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 xml:space="preserve"> Environmental Implementation Report – Sweden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0F" w:rsidRPr="0081280F" w:rsidRDefault="0081280F" w:rsidP="0081280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Environmental Implementation Report – Sweden</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Environmental Implementation Report – Sweden</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DRAFT Environmental Implementation Report 2016 – Sweden</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Environmental Implementation Report – Sweden</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Environmental Implementation Report – Sweden</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Environmental Implementation Report – Sweden</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Environmental Implementation Report – Sweden</w:t>
    </w:r>
  </w:p>
  <w:p w:rsidR="00823F06" w:rsidRDefault="00823F0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1280F">
    <w:pPr>
      <w:tabs>
        <w:tab w:val="center" w:pos="4513"/>
        <w:tab w:val="right" w:pos="9026"/>
      </w:tabs>
      <w:spacing w:after="0" w:line="240" w:lineRule="auto"/>
      <w:jc w:val="center"/>
    </w:pPr>
    <w:r>
      <w:t xml:space="preserve">Environmental </w:t>
    </w:r>
    <w:r>
      <w:t>Implementation Report – Sweden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F06" w:rsidRDefault="0081280F">
      <w:pPr>
        <w:spacing w:after="0" w:line="240" w:lineRule="auto"/>
      </w:pPr>
      <w:r>
        <w:separator/>
      </w:r>
    </w:p>
  </w:footnote>
  <w:footnote w:type="continuationSeparator" w:id="0">
    <w:p w:rsidR="00823F06" w:rsidRDefault="0081280F">
      <w:pPr>
        <w:spacing w:after="0" w:line="240" w:lineRule="auto"/>
      </w:pPr>
      <w:r>
        <w:continuationSeparator/>
      </w:r>
    </w:p>
  </w:footnote>
  <w:footnote w:id="1">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823F06" w:rsidRDefault="0081280F">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Decision No. 1386</w:t>
      </w:r>
      <w:r>
        <w:rPr>
          <w:rFonts w:asciiTheme="minorHAnsi" w:hAnsiTheme="minorHAnsi"/>
          <w:sz w:val="16"/>
          <w:szCs w:val="16"/>
        </w:rPr>
        <w:t>/2013/EU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823F06" w:rsidRDefault="0081280F">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United Nations,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823F06" w:rsidRDefault="0081280F">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4" w:history="1">
        <w:r>
          <w:rPr>
            <w:rStyle w:val="Hyperlink"/>
            <w:rFonts w:asciiTheme="minorHAnsi" w:hAnsiTheme="minorHAnsi"/>
            <w:sz w:val="16"/>
            <w:szCs w:val="16"/>
          </w:rPr>
          <w:t>http://www.government.se/articles/2015/08/swedish-strategy-for-biodiversity-and-ecosystem-services/</w:t>
        </w:r>
      </w:hyperlink>
      <w:r>
        <w:rPr>
          <w:rFonts w:asciiTheme="minorHAnsi" w:hAnsiTheme="minorHAnsi"/>
          <w:sz w:val="16"/>
          <w:szCs w:val="16"/>
        </w:rPr>
        <w:t xml:space="preserve"> </w:t>
      </w:r>
    </w:p>
  </w:footnote>
  <w:footnote w:id="6">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5" w:history="1">
        <w:r>
          <w:rPr>
            <w:rStyle w:val="Hyperlink"/>
            <w:rFonts w:asciiTheme="minorHAnsi" w:hAnsiTheme="minorHAnsi"/>
            <w:sz w:val="16"/>
            <w:szCs w:val="16"/>
          </w:rPr>
          <w:t>Proposed Circular Economy Package</w:t>
        </w:r>
      </w:hyperlink>
    </w:p>
  </w:footnote>
  <w:footnote w:id="7">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8">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6" w:history="1">
        <w:r>
          <w:rPr>
            <w:rStyle w:val="Hyperlink"/>
            <w:rFonts w:cstheme="minorHAnsi"/>
            <w:sz w:val="16"/>
            <w:szCs w:val="16"/>
          </w:rPr>
          <w:t>Resource productivity</w:t>
        </w:r>
      </w:hyperlink>
      <w:r>
        <w:rPr>
          <w:rFonts w:cstheme="minorHAnsi"/>
          <w:sz w:val="16"/>
          <w:szCs w:val="16"/>
        </w:rPr>
        <w:t>,</w:t>
      </w:r>
      <w:r>
        <w:rPr>
          <w:rStyle w:val="Hyperlink"/>
          <w:rFonts w:cstheme="minorHAnsi"/>
          <w:color w:val="auto"/>
          <w:sz w:val="16"/>
          <w:szCs w:val="16"/>
          <w:u w:val="none"/>
        </w:rPr>
        <w:t xml:space="preserve"> accessed October 2016</w:t>
      </w:r>
    </w:p>
  </w:footnote>
  <w:footnote w:id="9">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7" w:history="1">
        <w:r>
          <w:rPr>
            <w:rStyle w:val="Hyperlink"/>
            <w:rFonts w:cstheme="minorHAnsi"/>
            <w:sz w:val="16"/>
            <w:szCs w:val="16"/>
          </w:rPr>
          <w:t>Resource productivity</w:t>
        </w:r>
      </w:hyperlink>
      <w:r>
        <w:rPr>
          <w:rFonts w:cstheme="minorHAnsi"/>
          <w:color w:val="1F497D" w:themeColor="text2"/>
          <w:sz w:val="16"/>
          <w:szCs w:val="16"/>
        </w:rPr>
        <w:t>,</w:t>
      </w:r>
      <w:r>
        <w:rPr>
          <w:rStyle w:val="Hyperlink"/>
          <w:rFonts w:cstheme="minorHAnsi"/>
          <w:color w:val="1F497D" w:themeColor="text2"/>
          <w:sz w:val="16"/>
          <w:szCs w:val="16"/>
          <w:u w:val="none"/>
        </w:rPr>
        <w:t xml:space="preserve"> accessed October 2016</w:t>
      </w:r>
    </w:p>
  </w:footnote>
  <w:footnote w:id="10">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National Agency for Public Procurement, 2016.</w:t>
      </w:r>
    </w:p>
  </w:footnote>
  <w:footnote w:id="11">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8" w:history="1">
        <w:r>
          <w:rPr>
            <w:rStyle w:val="Hyperlink"/>
            <w:rFonts w:asciiTheme="minorHAnsi" w:hAnsiTheme="minorHAnsi"/>
            <w:sz w:val="16"/>
            <w:szCs w:val="16"/>
          </w:rPr>
          <w:t>Flash 426 Eurobarometer</w:t>
        </w:r>
      </w:hyperlink>
    </w:p>
  </w:footnote>
  <w:footnote w:id="12">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Flash 426 Eurobarometer "SMEs, resource efficiency and green markets" d</w:t>
      </w:r>
      <w:r>
        <w:rPr>
          <w:rFonts w:asciiTheme="minorHAnsi" w:hAnsiTheme="minorHAnsi"/>
          <w:sz w:val="16"/>
          <w:szCs w:val="16"/>
        </w:rPr>
        <w:t>efines "green job" as a job that directly deals with information, technologies, or materials that preserves or restores environmental quality. This requires specialised skills, knowledge, training, or experience (e.g. verifying compliance with environmenta</w:t>
      </w:r>
      <w:r>
        <w:rPr>
          <w:rFonts w:asciiTheme="minorHAnsi" w:hAnsiTheme="minorHAnsi"/>
          <w:sz w:val="16"/>
          <w:szCs w:val="16"/>
        </w:rPr>
        <w:t>l legislation, monitoring resource efficiency within the company, promoting and selling green products and services).</w:t>
      </w:r>
    </w:p>
  </w:footnote>
  <w:footnote w:id="13">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4">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Swedis</w:t>
      </w:r>
      <w:r>
        <w:rPr>
          <w:rFonts w:asciiTheme="minorHAnsi" w:hAnsiTheme="minorHAnsi"/>
          <w:sz w:val="16"/>
          <w:szCs w:val="16"/>
        </w:rPr>
        <w:t xml:space="preserve">h Environmental Protection Agency,  2016. </w:t>
      </w:r>
      <w:hyperlink r:id="rId10" w:history="1">
        <w:r>
          <w:rPr>
            <w:rStyle w:val="Hyperlink"/>
            <w:rFonts w:asciiTheme="minorHAnsi" w:hAnsiTheme="minorHAnsi"/>
            <w:sz w:val="16"/>
            <w:szCs w:val="16"/>
          </w:rPr>
          <w:t>All Party Committee on Environmental Objectives</w:t>
        </w:r>
      </w:hyperlink>
      <w:r>
        <w:rPr>
          <w:rFonts w:asciiTheme="minorHAnsi" w:hAnsiTheme="minorHAnsi"/>
          <w:sz w:val="16"/>
          <w:szCs w:val="16"/>
        </w:rPr>
        <w:t xml:space="preserve"> </w:t>
      </w:r>
    </w:p>
  </w:footnote>
  <w:footnote w:id="15">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Growth Analysis</w:t>
      </w:r>
      <w:r>
        <w:rPr>
          <w:rFonts w:asciiTheme="minorHAnsi" w:hAnsiTheme="minorHAnsi"/>
          <w:sz w:val="16"/>
          <w:szCs w:val="16"/>
        </w:rPr>
        <w:t>, Growth Facts, 2013</w:t>
      </w:r>
    </w:p>
  </w:footnote>
  <w:footnote w:id="16">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http://asset.nu/en/</w:t>
      </w:r>
    </w:p>
  </w:footnote>
  <w:footnote w:id="17">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1" w:history="1">
        <w:r>
          <w:rPr>
            <w:rStyle w:val="Hyperlink"/>
            <w:rFonts w:asciiTheme="minorHAnsi" w:hAnsiTheme="minorHAnsi"/>
            <w:sz w:val="16"/>
            <w:szCs w:val="16"/>
          </w:rPr>
          <w:t>www.saminvest.se</w:t>
        </w:r>
      </w:hyperlink>
    </w:p>
  </w:footnote>
  <w:footnote w:id="18">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2" w:history="1">
        <w:r>
          <w:rPr>
            <w:rStyle w:val="Hyperlink"/>
            <w:rFonts w:asciiTheme="minorHAnsi" w:hAnsiTheme="minorHAnsi"/>
            <w:sz w:val="16"/>
            <w:szCs w:val="16"/>
          </w:rPr>
          <w:t>http://www</w:t>
        </w:r>
        <w:r>
          <w:rPr>
            <w:rStyle w:val="Hyperlink"/>
            <w:rFonts w:asciiTheme="minorHAnsi" w:hAnsiTheme="minorHAnsi"/>
            <w:sz w:val="16"/>
            <w:szCs w:val="16"/>
          </w:rPr>
          <w:t>.government.se/articles/2016/07/innovation-partnership-programmes--mobilising-new-ways-to-meet-societal-challenges/</w:t>
        </w:r>
      </w:hyperlink>
    </w:p>
  </w:footnote>
  <w:footnote w:id="19">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2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consists of waste collected by or on behalf of municipal authorities,</w:t>
      </w:r>
      <w:r>
        <w:rPr>
          <w:rFonts w:asciiTheme="minorHAnsi" w:hAnsiTheme="minorHAnsi"/>
          <w:sz w:val="16"/>
          <w:szCs w:val="16"/>
        </w:rPr>
        <w:t xml:space="preserve"> or directly by the private sector (business or private non-profit institutions) not on behalf of municipalities.</w:t>
      </w:r>
    </w:p>
  </w:footnote>
  <w:footnote w:id="21">
    <w:p w:rsidR="00823F06" w:rsidRDefault="0081280F">
      <w:pPr>
        <w:widowControl w:val="0"/>
        <w:autoSpaceDE w:val="0"/>
        <w:autoSpaceDN w:val="0"/>
        <w:adjustRightInd w:val="0"/>
        <w:spacing w:after="0" w:line="240" w:lineRule="auto"/>
        <w:ind w:left="170" w:hanging="170"/>
        <w:rPr>
          <w:bCs/>
          <w:sz w:val="16"/>
          <w:szCs w:val="16"/>
        </w:rPr>
      </w:pPr>
      <w:r>
        <w:rPr>
          <w:rStyle w:val="FootnoteReference"/>
          <w:sz w:val="16"/>
          <w:szCs w:val="16"/>
        </w:rPr>
        <w:footnoteRef/>
      </w:r>
      <w:r>
        <w:rPr>
          <w:bCs/>
          <w:sz w:val="16"/>
          <w:szCs w:val="16"/>
        </w:rPr>
        <w:t xml:space="preserve"> </w:t>
      </w:r>
      <w:r>
        <w:rPr>
          <w:sz w:val="16"/>
          <w:szCs w:val="16"/>
        </w:rPr>
        <w:t xml:space="preserve">Eurostat, </w:t>
      </w:r>
      <w:hyperlink r:id="rId13" w:history="1">
        <w:r>
          <w:rPr>
            <w:rStyle w:val="Hyperlink"/>
            <w:sz w:val="16"/>
            <w:szCs w:val="16"/>
          </w:rPr>
          <w:t>Municipal waste and</w:t>
        </w:r>
        <w:r>
          <w:rPr>
            <w:rStyle w:val="Hyperlink"/>
            <w:sz w:val="16"/>
            <w:szCs w:val="16"/>
          </w:rPr>
          <w:t xml:space="preserve"> treatment, by type of treatment method,</w:t>
        </w:r>
      </w:hyperlink>
      <w:r>
        <w:rPr>
          <w:sz w:val="16"/>
          <w:szCs w:val="16"/>
        </w:rPr>
        <w:t xml:space="preserve"> accessed October 2016</w:t>
      </w:r>
    </w:p>
  </w:footnote>
  <w:footnote w:id="22">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4" w:history="1">
        <w:r>
          <w:rPr>
            <w:rStyle w:val="Hyperlink"/>
            <w:sz w:val="16"/>
            <w:szCs w:val="16"/>
          </w:rPr>
          <w:t>Municipal waste and treatment, by type of treatment method,</w:t>
        </w:r>
      </w:hyperlink>
      <w:r>
        <w:rPr>
          <w:sz w:val="16"/>
          <w:szCs w:val="16"/>
        </w:rPr>
        <w:t xml:space="preserve"> accessed O</w:t>
      </w:r>
      <w:r>
        <w:rPr>
          <w:sz w:val="16"/>
          <w:szCs w:val="16"/>
        </w:rPr>
        <w:t>ctober 2016</w:t>
      </w:r>
    </w:p>
  </w:footnote>
  <w:footnote w:id="23">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24">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5" w:history="1">
        <w:r>
          <w:rPr>
            <w:rStyle w:val="Hyperlink"/>
            <w:sz w:val="16"/>
            <w:szCs w:val="16"/>
          </w:rPr>
          <w:t>Recycling rate of municipal waste</w:t>
        </w:r>
      </w:hyperlink>
      <w:r>
        <w:rPr>
          <w:sz w:val="16"/>
          <w:szCs w:val="16"/>
        </w:rPr>
        <w:t xml:space="preserve">, accessed </w:t>
      </w:r>
      <w:r>
        <w:rPr>
          <w:rStyle w:val="Hyperlink"/>
          <w:rFonts w:cstheme="minorHAnsi"/>
          <w:color w:val="auto"/>
          <w:sz w:val="16"/>
          <w:szCs w:val="16"/>
          <w:u w:val="none"/>
        </w:rPr>
        <w:t>October 2016</w:t>
      </w:r>
    </w:p>
  </w:footnote>
  <w:footnote w:id="2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Bio Intelligence service, 2011. </w:t>
      </w:r>
      <w:hyperlink r:id="rId16"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xml:space="preserve">, study for European Commission. The breakdown per country on job creation was made by the consultant on Commission demand but was not included in the published </w:t>
      </w:r>
      <w:r>
        <w:rPr>
          <w:rFonts w:asciiTheme="minorHAnsi" w:hAnsiTheme="minorHAnsi"/>
          <w:sz w:val="16"/>
          <w:szCs w:val="16"/>
        </w:rPr>
        <w:t>document.</w:t>
      </w:r>
      <w:r>
        <w:rPr>
          <w:rStyle w:val="Hyperlink"/>
          <w:rFonts w:asciiTheme="minorHAnsi" w:hAnsiTheme="minorHAnsi"/>
          <w:color w:val="auto"/>
          <w:sz w:val="16"/>
          <w:szCs w:val="16"/>
        </w:rPr>
        <w:t xml:space="preserve">  </w:t>
      </w:r>
    </w:p>
  </w:footnote>
  <w:footnote w:id="26">
    <w:p w:rsidR="00823F06" w:rsidRDefault="0081280F">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of coverage do not add up due to the fact that some SCIs</w:t>
      </w:r>
      <w:r>
        <w:rPr>
          <w:rFonts w:asciiTheme="minorHAnsi" w:hAnsiTheme="minorHAnsi"/>
          <w:sz w:val="16"/>
          <w:szCs w:val="16"/>
        </w:rPr>
        <w:t xml:space="preserve"> and SPAs overlap. Special Areas of Conservation (SACs) </w:t>
      </w:r>
      <w:r>
        <w:rPr>
          <w:rFonts w:asciiTheme="minorHAnsi" w:hAnsiTheme="minorHAnsi"/>
          <w:sz w:val="16"/>
          <w:szCs w:val="16"/>
          <w:lang w:val="en"/>
        </w:rPr>
        <w:t>means a SCI designated by the Member States.</w:t>
      </w:r>
    </w:p>
  </w:footnote>
  <w:footnote w:id="27">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SLU,  </w:t>
      </w:r>
      <w:hyperlink r:id="rId17" w:history="1">
        <w:r>
          <w:rPr>
            <w:rStyle w:val="Hyperlink"/>
            <w:rFonts w:asciiTheme="minorHAnsi" w:hAnsiTheme="minorHAnsi"/>
            <w:sz w:val="16"/>
            <w:szCs w:val="16"/>
          </w:rPr>
          <w:t>Red List</w:t>
        </w:r>
      </w:hyperlink>
      <w:r>
        <w:rPr>
          <w:rFonts w:asciiTheme="minorHAnsi" w:hAnsiTheme="minorHAnsi"/>
          <w:sz w:val="16"/>
          <w:szCs w:val="16"/>
        </w:rPr>
        <w:t>.</w:t>
      </w:r>
    </w:p>
  </w:footnote>
  <w:footnote w:id="28">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w:t>
      </w:r>
      <w:r>
        <w:rPr>
          <w:rFonts w:asciiTheme="minorHAnsi" w:hAnsiTheme="minorHAnsi"/>
          <w:sz w:val="16"/>
          <w:szCs w:val="16"/>
        </w:rPr>
        <w:t>hether the species and habitat types on Annexes I and II of the Habitats Directive, are sufficiently represented by the sites designated to date. This is expressed as a percentage of species and habitats for which further areas need to be designated in ord</w:t>
      </w:r>
      <w:r>
        <w:rPr>
          <w:rFonts w:asciiTheme="minorHAnsi" w:hAnsiTheme="minorHAnsi"/>
          <w:sz w:val="16"/>
          <w:szCs w:val="16"/>
        </w:rPr>
        <w:t xml:space="preserve">er to complete the network in that country. A scientific reserve is given when further research is needed to identify the most appropriate sites to be added for a species or habitat. </w:t>
      </w:r>
      <w:hyperlink r:id="rId18"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situation up until December 2013.</w:t>
      </w:r>
    </w:p>
  </w:footnote>
  <w:footnote w:id="29">
    <w:p w:rsidR="00823F06" w:rsidRDefault="0081280F">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 xml:space="preserve">The percentages in Figure 5 refer to percentages of the total number of assessments (one assessment covering 1 species or 1 habitat </w:t>
      </w:r>
      <w:r>
        <w:rPr>
          <w:sz w:val="16"/>
          <w:szCs w:val="16"/>
        </w:rPr>
        <w:t>in a given biographical region with the Member State); if a habitat type or a species occurs in more than 1 Biogeographic region within a given Member State, there will be as many individual assessments as there are Biogeographic regions with an occurrence</w:t>
      </w:r>
      <w:r>
        <w:rPr>
          <w:sz w:val="16"/>
          <w:szCs w:val="16"/>
        </w:rPr>
        <w:t xml:space="preserve"> of that species or habitat in this Member State.</w:t>
      </w:r>
    </w:p>
  </w:footnote>
  <w:footnote w:id="3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31">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core of the ‘Article 17’ report is assessment of conservation status of the habitats and species targeted by the Habitats Directive.</w:t>
      </w:r>
    </w:p>
  </w:footnote>
  <w:footnote w:id="32">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17 of the Hab</w:t>
      </w:r>
      <w:r>
        <w:rPr>
          <w:rFonts w:asciiTheme="minorHAnsi" w:hAnsiTheme="minorHAnsi"/>
          <w:sz w:val="16"/>
          <w:szCs w:val="16"/>
        </w:rPr>
        <w:t xml:space="preserve">itats Directive reporting - </w:t>
      </w:r>
      <w:hyperlink r:id="rId19" w:history="1">
        <w:r>
          <w:rPr>
            <w:rStyle w:val="Hyperlink"/>
            <w:rFonts w:asciiTheme="minorHAnsi" w:hAnsiTheme="minorHAnsi"/>
            <w:sz w:val="16"/>
            <w:szCs w:val="16"/>
          </w:rPr>
          <w:t>national summary of Sweden</w:t>
        </w:r>
      </w:hyperlink>
    </w:p>
  </w:footnote>
  <w:footnote w:id="33">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w:t>
      </w:r>
      <w:r>
        <w:rPr>
          <w:rFonts w:asciiTheme="minorHAnsi" w:hAnsiTheme="minorHAnsi"/>
          <w:sz w:val="16"/>
          <w:szCs w:val="16"/>
        </w:rPr>
        <w:t>rable-inadequate’ and ‘unfavourable-bad’, based on four parameters as defined in Article 1 of the Habitats Directive.</w:t>
      </w:r>
    </w:p>
  </w:footnote>
  <w:footnote w:id="34">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w:t>
      </w:r>
      <w:r>
        <w:rPr>
          <w:sz w:val="16"/>
          <w:szCs w:val="16"/>
        </w:rPr>
        <w:t>ssessment covering 1 species or 1 habitat in a given biographical region with the Member State)</w:t>
      </w:r>
      <w:r>
        <w:rPr>
          <w:rFonts w:asciiTheme="minorHAnsi" w:hAnsiTheme="minorHAnsi" w:cstheme="minorHAnsi"/>
          <w:iCs/>
          <w:sz w:val="16"/>
          <w:szCs w:val="16"/>
        </w:rPr>
        <w:t xml:space="preserve">, respectively. </w:t>
      </w:r>
      <w:r>
        <w:rPr>
          <w:rFonts w:asciiTheme="minorHAnsi" w:hAnsiTheme="minorHAnsi"/>
          <w:sz w:val="16"/>
          <w:szCs w:val="16"/>
        </w:rPr>
        <w:t xml:space="preserve">The information is based on Article 17 of the Habitats Directive reporting - </w:t>
      </w:r>
      <w:hyperlink r:id="rId20" w:history="1">
        <w:r>
          <w:rPr>
            <w:rStyle w:val="Hyperlink"/>
            <w:rFonts w:asciiTheme="minorHAnsi" w:hAnsiTheme="minorHAnsi"/>
            <w:sz w:val="16"/>
            <w:szCs w:val="16"/>
          </w:rPr>
          <w:t>national summary of Sweden</w:t>
        </w:r>
      </w:hyperlink>
      <w:r>
        <w:rPr>
          <w:rStyle w:val="Hyperlink"/>
          <w:rFonts w:asciiTheme="minorHAnsi" w:hAnsiTheme="minorHAnsi"/>
          <w:sz w:val="16"/>
          <w:szCs w:val="16"/>
        </w:rPr>
        <w:t xml:space="preserve"> - expert-based assessment.</w:t>
      </w:r>
    </w:p>
  </w:footnote>
  <w:footnote w:id="3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w:t>
      </w:r>
      <w:r>
        <w:rPr>
          <w:rFonts w:asciiTheme="minorHAnsi" w:hAnsiTheme="minorHAnsi"/>
          <w:sz w:val="16"/>
          <w:szCs w:val="16"/>
        </w:rPr>
        <w:t>the ‘unknown’ assessments have strongly diminished particularly for species, and that some reported changes are not genuine as they result from improved data / monitoring methods.</w:t>
      </w:r>
    </w:p>
  </w:footnote>
  <w:footnote w:id="36">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requires Member States to report about t</w:t>
      </w:r>
      <w:r>
        <w:rPr>
          <w:rFonts w:asciiTheme="minorHAnsi" w:hAnsiTheme="minorHAnsi"/>
          <w:sz w:val="16"/>
          <w:szCs w:val="16"/>
        </w:rPr>
        <w:t>he progress made with the implementation of the Birds Directive.</w:t>
      </w:r>
    </w:p>
  </w:footnote>
  <w:footnote w:id="37">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21" w:history="1">
        <w:r>
          <w:rPr>
            <w:rStyle w:val="Hyperlink"/>
            <w:rFonts w:asciiTheme="minorHAnsi" w:hAnsiTheme="minorHAnsi"/>
            <w:sz w:val="16"/>
            <w:szCs w:val="16"/>
          </w:rPr>
          <w:t>national summary of Sweden</w:t>
        </w:r>
      </w:hyperlink>
    </w:p>
  </w:footnote>
  <w:footnote w:id="38">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w:t>
      </w:r>
      <w:r>
        <w:rPr>
          <w:rFonts w:asciiTheme="minorHAnsi" w:hAnsiTheme="minorHAnsi"/>
          <w:sz w:val="16"/>
          <w:szCs w:val="16"/>
        </w:rPr>
        <w:t>ystem services are benefits provided by nature such as food, clean water and pollination on which human society depends.</w:t>
      </w:r>
    </w:p>
    <w:p w:rsidR="00823F06" w:rsidRDefault="00823F06">
      <w:pPr>
        <w:pStyle w:val="FootnoteText"/>
        <w:widowControl w:val="0"/>
        <w:ind w:left="170" w:hanging="170"/>
        <w:rPr>
          <w:rFonts w:asciiTheme="minorHAnsi" w:hAnsiTheme="minorHAnsi"/>
          <w:sz w:val="16"/>
          <w:szCs w:val="16"/>
        </w:rPr>
      </w:pPr>
    </w:p>
  </w:footnote>
  <w:footnote w:id="39">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22" w:history="1">
        <w:r>
          <w:rPr>
            <w:rStyle w:val="Hyperlink"/>
            <w:rFonts w:asciiTheme="minorHAnsi" w:hAnsiTheme="minorHAnsi"/>
            <w:sz w:val="16"/>
            <w:szCs w:val="16"/>
          </w:rPr>
          <w:t>COM/2013/0249</w:t>
        </w:r>
      </w:hyperlink>
    </w:p>
  </w:footnote>
  <w:footnote w:id="4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pollination on which human society depends.</w:t>
      </w:r>
    </w:p>
  </w:footnote>
  <w:footnote w:id="41">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23"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42">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24" w:history="1">
        <w:r>
          <w:rPr>
            <w:rStyle w:val="Hyperlink"/>
            <w:rFonts w:asciiTheme="minorHAnsi" w:hAnsiTheme="minorHAnsi"/>
            <w:sz w:val="16"/>
            <w:szCs w:val="16"/>
          </w:rPr>
          <w:t>Imperviousness and imperviousness change</w:t>
        </w:r>
      </w:hyperlink>
    </w:p>
  </w:footnote>
  <w:footnote w:id="43">
    <w:p w:rsidR="00823F06" w:rsidRDefault="0081280F">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Eurostat,</w:t>
      </w:r>
      <w:hyperlink r:id="rId25" w:history="1">
        <w:r>
          <w:rPr>
            <w:rStyle w:val="Hyperlink"/>
            <w:sz w:val="16"/>
            <w:szCs w:val="16"/>
          </w:rPr>
          <w:t xml:space="preserve"> Soil water erosion rate</w:t>
        </w:r>
      </w:hyperlink>
      <w:r>
        <w:rPr>
          <w:sz w:val="16"/>
          <w:szCs w:val="16"/>
        </w:rPr>
        <w:t>, Figure 2, accessed November 2016</w:t>
      </w:r>
    </w:p>
  </w:footnote>
  <w:footnote w:id="44">
    <w:p w:rsidR="00823F06" w:rsidRDefault="0081280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European Environment Agency. Land cover 2012 and changes country analysis [publication forthcoming]</w:t>
      </w:r>
    </w:p>
  </w:footnote>
  <w:footnote w:id="4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26" w:history="1">
        <w:r>
          <w:rPr>
            <w:rStyle w:val="Hyperlink"/>
            <w:rFonts w:asciiTheme="minorHAnsi" w:hAnsiTheme="minorHAnsi"/>
            <w:sz w:val="16"/>
            <w:szCs w:val="16"/>
          </w:rPr>
          <w:t>Marine Strategy Framework Directive 2008/56/EC</w:t>
        </w:r>
      </w:hyperlink>
    </w:p>
  </w:footnote>
  <w:footnote w:id="46">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environmental status of marine waters where these provide ecologically diverse and dynamic oceans and seas which a</w:t>
      </w:r>
      <w:r>
        <w:rPr>
          <w:rFonts w:asciiTheme="minorHAnsi" w:hAnsiTheme="minorHAnsi"/>
          <w:sz w:val="16"/>
          <w:szCs w:val="16"/>
        </w:rPr>
        <w:t>re clean, healthy and productive”.</w:t>
      </w:r>
    </w:p>
  </w:footnote>
  <w:footnote w:id="47">
    <w:p w:rsidR="00823F06" w:rsidRDefault="0081280F">
      <w:pPr>
        <w:pStyle w:val="FootnoteText"/>
        <w:widowControl w:val="0"/>
        <w:ind w:left="170" w:hanging="170"/>
        <w:rPr>
          <w:rFonts w:asciiTheme="minorHAnsi" w:hAnsiTheme="minorHAnsi"/>
          <w:color w:val="0000FF"/>
          <w:sz w:val="16"/>
          <w:szCs w:val="16"/>
          <w:u w:val="single"/>
        </w:rPr>
      </w:pPr>
      <w:r>
        <w:rPr>
          <w:rStyle w:val="FootnoteReference"/>
          <w:rFonts w:asciiTheme="minorHAnsi" w:hAnsiTheme="minorHAnsi"/>
          <w:sz w:val="16"/>
          <w:szCs w:val="16"/>
        </w:rPr>
        <w:footnoteRef/>
      </w:r>
      <w:r>
        <w:rPr>
          <w:rFonts w:asciiTheme="minorHAnsi" w:hAnsiTheme="minorHAnsi"/>
          <w:sz w:val="16"/>
          <w:szCs w:val="16"/>
        </w:rPr>
        <w:t xml:space="preserve">EEA, 2016, </w:t>
      </w:r>
      <w:hyperlink r:id="rId27" w:history="1">
        <w:r>
          <w:rPr>
            <w:rStyle w:val="Hyperlink"/>
            <w:rFonts w:asciiTheme="minorHAnsi" w:hAnsiTheme="minorHAnsi"/>
            <w:sz w:val="16"/>
            <w:szCs w:val="16"/>
          </w:rPr>
          <w:t>The Baltic Sea</w:t>
        </w:r>
      </w:hyperlink>
      <w:r>
        <w:rPr>
          <w:rStyle w:val="Hyperlink"/>
          <w:rFonts w:asciiTheme="minorHAnsi" w:hAnsiTheme="minorHAnsi"/>
          <w:sz w:val="16"/>
          <w:szCs w:val="16"/>
        </w:rPr>
        <w:t>.</w:t>
      </w:r>
    </w:p>
  </w:footnote>
  <w:footnote w:id="48">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on "The first phase of implementation of the Marine Strategy Commission Staff Working Document Accompanying the Commission Report assessing Member States' monitoring programmes under the</w:t>
      </w:r>
      <w:r>
        <w:rPr>
          <w:rFonts w:asciiTheme="minorHAnsi" w:hAnsiTheme="minorHAnsi"/>
          <w:sz w:val="16"/>
          <w:szCs w:val="16"/>
        </w:rPr>
        <w:t xml:space="preserve"> Marine Strategy Framework Directive (COM(2017)3 and SWD(2017)1 final)Framework Directive (2008/56/EC) - The European Commission's assessment and guidance" (SWD(21014) 049 final and </w:t>
      </w:r>
      <w:hyperlink r:id="rId28" w:history="1">
        <w:r>
          <w:rPr>
            <w:rStyle w:val="Hyperlink"/>
            <w:rFonts w:asciiTheme="minorHAnsi" w:hAnsiTheme="minorHAnsi"/>
            <w:sz w:val="16"/>
            <w:szCs w:val="16"/>
          </w:rPr>
          <w:t>COM(2014)097</w:t>
        </w:r>
      </w:hyperlink>
      <w:r>
        <w:rPr>
          <w:rStyle w:val="Hyperlink"/>
          <w:rFonts w:asciiTheme="minorHAnsi" w:hAnsiTheme="minorHAnsi"/>
          <w:sz w:val="16"/>
          <w:szCs w:val="16"/>
        </w:rPr>
        <w:t xml:space="preserve"> </w:t>
      </w:r>
      <w:r>
        <w:rPr>
          <w:rFonts w:asciiTheme="minorHAnsi" w:hAnsiTheme="minorHAnsi"/>
          <w:sz w:val="16"/>
          <w:szCs w:val="16"/>
        </w:rPr>
        <w:t>final)</w:t>
      </w:r>
    </w:p>
  </w:footnote>
  <w:footnote w:id="49">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
  </w:footnote>
  <w:footnote w:id="5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w:t>
      </w:r>
      <w:r>
        <w:rPr>
          <w:rFonts w:asciiTheme="minorHAnsi" w:hAnsiTheme="minorHAnsi"/>
          <w:sz w:val="16"/>
          <w:szCs w:val="16"/>
        </w:rPr>
        <w:t>n Environmental Agency– Not published</w:t>
      </w:r>
    </w:p>
  </w:footnote>
  <w:footnote w:id="51">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29" w:history="1">
        <w:r>
          <w:rPr>
            <w:rStyle w:val="Hyperlink"/>
            <w:rFonts w:asciiTheme="minorHAnsi" w:hAnsiTheme="minorHAnsi"/>
            <w:sz w:val="16"/>
            <w:szCs w:val="16"/>
          </w:rPr>
          <w:t>Air Quality Standards</w:t>
        </w:r>
      </w:hyperlink>
    </w:p>
  </w:footnote>
  <w:footnote w:id="52">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See </w:t>
      </w:r>
      <w:hyperlink r:id="rId30" w:history="1">
        <w:r>
          <w:rPr>
            <w:rStyle w:val="Hyperlink"/>
            <w:sz w:val="16"/>
            <w:szCs w:val="16"/>
          </w:rPr>
          <w:t>EIONET Central Data Repository</w:t>
        </w:r>
      </w:hyperlink>
      <w:r>
        <w:rPr>
          <w:sz w:val="16"/>
          <w:szCs w:val="16"/>
        </w:rPr>
        <w:t xml:space="preserve"> and </w:t>
      </w:r>
      <w:hyperlink r:id="rId31" w:history="1">
        <w:r>
          <w:rPr>
            <w:rStyle w:val="Hyperlink"/>
            <w:sz w:val="16"/>
            <w:szCs w:val="16"/>
          </w:rPr>
          <w:t>Air pollutant emissions data viewer (NEC Directive)</w:t>
        </w:r>
      </w:hyperlink>
    </w:p>
  </w:footnote>
  <w:footnote w:id="53">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32"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33" w:history="1">
        <w:r>
          <w:rPr>
            <w:rStyle w:val="Hyperlink"/>
            <w:rFonts w:asciiTheme="minorHAnsi" w:hAnsiTheme="minorHAnsi"/>
            <w:sz w:val="16"/>
            <w:szCs w:val="16"/>
          </w:rPr>
          <w:t>Directive (EU</w:t>
        </w:r>
        <w:r>
          <w:rPr>
            <w:rStyle w:val="Hyperlink"/>
            <w:rFonts w:asciiTheme="minorHAnsi" w:hAnsiTheme="minorHAnsi"/>
            <w:sz w:val="16"/>
            <w:szCs w:val="16"/>
          </w:rPr>
          <w:t>)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4">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Particulate matter (PM) is a mixture of aerosol particles (solid and liquid) covering a wide range of </w:t>
      </w:r>
      <w:r>
        <w:rPr>
          <w:rFonts w:asciiTheme="minorHAnsi" w:hAnsiTheme="minorHAnsi"/>
          <w:sz w:val="16"/>
          <w:szCs w:val="16"/>
        </w:rPr>
        <w:t>sizes and chemical compositions. PM10 (PM2.5) refers to particles with a diameter of 10 (2.5) micrometres or less. PM is emitted from many anthropogenic sources, including combustion.</w:t>
      </w:r>
    </w:p>
  </w:footnote>
  <w:footnote w:id="5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by photochemical action</w:t>
      </w:r>
      <w:r>
        <w:rPr>
          <w:rFonts w:asciiTheme="minorHAnsi" w:hAnsiTheme="minorHAnsi" w:cstheme="minorBidi"/>
          <w:sz w:val="16"/>
          <w:szCs w:val="16"/>
        </w:rPr>
        <w:t xml:space="preserve"> </w:t>
      </w:r>
      <w:r>
        <w:rPr>
          <w:rFonts w:asciiTheme="minorHAnsi" w:hAnsiTheme="minorHAnsi"/>
          <w:sz w:val="16"/>
          <w:szCs w:val="16"/>
        </w:rPr>
        <w:t>on pollution and i</w:t>
      </w:r>
      <w:r>
        <w:rPr>
          <w:rFonts w:asciiTheme="minorHAnsi" w:hAnsiTheme="minorHAnsi"/>
          <w:sz w:val="16"/>
          <w:szCs w:val="16"/>
        </w:rPr>
        <w:t>t is also a greenhouse gas.</w:t>
      </w:r>
    </w:p>
  </w:footnote>
  <w:footnote w:id="56">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NOx is emitted during fuel combustion e.g. from industrial facilities and the road transport sector. NOx is a group of gases comprising nitrogen monoxide (NO) and nitrogen dioxide (NO2).</w:t>
      </w:r>
    </w:p>
  </w:footnote>
  <w:footnote w:id="57">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 xml:space="preserve">European Environment Agency, 2016. </w:t>
      </w:r>
      <w:hyperlink r:id="rId34" w:history="1">
        <w:r>
          <w:rPr>
            <w:rStyle w:val="Hyperlink"/>
            <w:sz w:val="16"/>
            <w:szCs w:val="16"/>
            <w:lang w:eastAsia="en-GB"/>
          </w:rPr>
          <w:t>Air Quality in Europe – 2016 Report</w:t>
        </w:r>
      </w:hyperlink>
      <w:r>
        <w:rPr>
          <w:rFonts w:asciiTheme="minorHAnsi" w:hAnsiTheme="minorHAnsi" w:cstheme="minorHAnsi"/>
          <w:sz w:val="16"/>
          <w:szCs w:val="16"/>
        </w:rPr>
        <w:t>. (Table 10.2, please see details in this report as regards the underpinning methodology)</w:t>
      </w:r>
    </w:p>
  </w:footnote>
  <w:footnote w:id="58">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 xml:space="preserve">Based on European Environment Agency, 2016. </w:t>
      </w:r>
      <w:hyperlink r:id="rId35" w:history="1">
        <w:r>
          <w:rPr>
            <w:rStyle w:val="Hyperlink"/>
            <w:sz w:val="16"/>
            <w:szCs w:val="16"/>
            <w:lang w:eastAsia="en-GB"/>
          </w:rPr>
          <w:t>Air Quality in Europe – 2016 Report</w:t>
        </w:r>
      </w:hyperlink>
      <w:r>
        <w:rPr>
          <w:rFonts w:asciiTheme="minorHAnsi" w:hAnsiTheme="minorHAnsi" w:cstheme="minorHAnsi"/>
          <w:sz w:val="16"/>
          <w:szCs w:val="16"/>
        </w:rPr>
        <w:t>. (Figures 4.1, 5.1 and 6.1)</w:t>
      </w:r>
    </w:p>
  </w:footnote>
  <w:footnote w:id="59">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See </w:t>
      </w:r>
      <w:hyperlink r:id="rId36" w:history="1">
        <w:r>
          <w:rPr>
            <w:rStyle w:val="Hyperlink"/>
            <w:sz w:val="16"/>
            <w:szCs w:val="16"/>
          </w:rPr>
          <w:t>The EEA/Eionet Air Quality Portal</w:t>
        </w:r>
      </w:hyperlink>
      <w:r>
        <w:rPr>
          <w:sz w:val="16"/>
          <w:szCs w:val="16"/>
        </w:rPr>
        <w:t xml:space="preserve"> and the related Central </w:t>
      </w:r>
      <w:r>
        <w:rPr>
          <w:sz w:val="16"/>
          <w:szCs w:val="16"/>
        </w:rPr>
        <w:t>Data Repository</w:t>
      </w:r>
    </w:p>
  </w:footnote>
  <w:footnote w:id="6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37"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61">
    <w:p w:rsidR="00823F06" w:rsidRDefault="0081280F">
      <w:pPr>
        <w:pStyle w:val="FootnoteText"/>
        <w:ind w:left="170" w:hanging="170"/>
      </w:pPr>
      <w:r>
        <w:rPr>
          <w:rStyle w:val="FootnoteReference"/>
        </w:rPr>
        <w:footnoteRef/>
      </w:r>
      <w:r>
        <w:t xml:space="preserve"> </w:t>
      </w:r>
      <w:r>
        <w:rPr>
          <w:sz w:val="16"/>
          <w:szCs w:val="16"/>
        </w:rPr>
        <w:t xml:space="preserve">Under the provisions of the </w:t>
      </w:r>
      <w:r>
        <w:rPr>
          <w:sz w:val="16"/>
          <w:szCs w:val="16"/>
        </w:rPr>
        <w:t>revised National Emission Ceilings Directive Member States now may apply for emission inventory adjustments. Pending evaluation of any adjustment application, Member States should keep emissions under close control with a view to further reductions.</w:t>
      </w:r>
    </w:p>
  </w:footnote>
  <w:footnote w:id="62">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38" w:history="1">
        <w:r>
          <w:rPr>
            <w:rStyle w:val="Hyperlink"/>
            <w:rFonts w:asciiTheme="minorHAnsi" w:hAnsiTheme="minorHAnsi"/>
            <w:sz w:val="16"/>
            <w:szCs w:val="16"/>
          </w:rPr>
          <w:t>Burden of disease from environmental noise</w:t>
        </w:r>
      </w:hyperlink>
      <w:r>
        <w:rPr>
          <w:rFonts w:asciiTheme="minorHAnsi" w:hAnsiTheme="minorHAnsi"/>
          <w:sz w:val="16"/>
          <w:szCs w:val="16"/>
        </w:rPr>
        <w:t>; WHO/JRC, 2011, Burden of disease from environmental n</w:t>
      </w:r>
      <w:r>
        <w:rPr>
          <w:rFonts w:asciiTheme="minorHAnsi" w:hAnsiTheme="minorHAnsi"/>
          <w:sz w:val="16"/>
          <w:szCs w:val="16"/>
        </w:rPr>
        <w:t>oise, Fritschi, L., Brown, A.L., Kim, R., Schwela, D., Kephalopoulos, S. (eds), World Health Organization, Regional Office for Europe, Copenhagen, Denmark</w:t>
      </w:r>
    </w:p>
  </w:footnote>
  <w:footnote w:id="63">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States to prepare and publish, every 5 years, noise maps and no</w:t>
      </w:r>
      <w:r>
        <w:rPr>
          <w:rFonts w:asciiTheme="minorHAnsi" w:hAnsiTheme="minorHAnsi"/>
          <w:sz w:val="16"/>
          <w:szCs w:val="16"/>
        </w:rPr>
        <w:t xml:space="preserve">ise management action plans for agglomerations with more than 100,000 inhabitants, and for major roads, railways and airports. </w:t>
      </w:r>
    </w:p>
  </w:footnote>
  <w:footnote w:id="64">
    <w:p w:rsidR="00823F06" w:rsidRDefault="0081280F">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39" w:history="1">
        <w:r>
          <w:rPr>
            <w:rStyle w:val="Hyperlink"/>
            <w:rFonts w:asciiTheme="minorHAnsi" w:hAnsiTheme="minorHAnsi"/>
            <w:sz w:val="16"/>
            <w:szCs w:val="16"/>
          </w:rPr>
          <w:t>Bathin</w:t>
        </w:r>
        <w:r>
          <w:rPr>
            <w:rStyle w:val="Hyperlink"/>
            <w:rFonts w:asciiTheme="minorHAnsi" w:hAnsiTheme="minorHAnsi"/>
            <w:sz w:val="16"/>
            <w:szCs w:val="16"/>
          </w:rPr>
          <w:t>g Waters Directive (2006/7/EC);</w:t>
        </w:r>
      </w:hyperlink>
      <w:r>
        <w:rPr>
          <w:rFonts w:asciiTheme="minorHAnsi" w:hAnsiTheme="minorHAnsi"/>
          <w:sz w:val="16"/>
          <w:szCs w:val="16"/>
        </w:rPr>
        <w:t xml:space="preserve"> the </w:t>
      </w:r>
      <w:hyperlink r:id="rId40"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41"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42" w:history="1">
        <w:r>
          <w:rPr>
            <w:rStyle w:val="Hyperlink"/>
            <w:rFonts w:asciiTheme="minorHAnsi" w:hAnsiTheme="minorHAnsi"/>
            <w:sz w:val="16"/>
            <w:szCs w:val="16"/>
          </w:rPr>
          <w:t>Wate</w:t>
        </w:r>
        <w:r>
          <w:rPr>
            <w:rStyle w:val="Hyperlink"/>
            <w:rFonts w:asciiTheme="minorHAnsi" w:hAnsiTheme="minorHAnsi"/>
            <w:sz w:val="16"/>
            <w:szCs w:val="16"/>
          </w:rPr>
          <w:t>r Framework Directive (2000/60/EC)</w:t>
        </w:r>
      </w:hyperlink>
      <w:r>
        <w:rPr>
          <w:rFonts w:asciiTheme="minorHAnsi" w:hAnsiTheme="minorHAnsi"/>
          <w:sz w:val="16"/>
          <w:szCs w:val="16"/>
        </w:rPr>
        <w:t xml:space="preserve"> concerning water resources management; the </w:t>
      </w:r>
      <w:hyperlink r:id="rId43"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44" w:history="1">
        <w:r>
          <w:rPr>
            <w:rStyle w:val="Hyperlink"/>
            <w:rFonts w:asciiTheme="minorHAnsi" w:hAnsiTheme="minorHAnsi"/>
            <w:sz w:val="16"/>
            <w:szCs w:val="16"/>
          </w:rPr>
          <w:t>Floods Directive (2007/60/EC)</w:t>
        </w:r>
      </w:hyperlink>
    </w:p>
  </w:footnote>
  <w:footnote w:id="6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referring to the quality of the biological community, the hydrological characteristics and the chemical characteristics.</w:t>
      </w:r>
    </w:p>
  </w:footnote>
  <w:footnote w:id="66">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w:t>
      </w:r>
      <w:r>
        <w:rPr>
          <w:rFonts w:asciiTheme="minorHAnsi" w:hAnsiTheme="minorHAnsi"/>
          <w:sz w:val="16"/>
          <w:szCs w:val="16"/>
        </w:rPr>
        <w:t>any European river basins and waters have been altered by human activities, such as land drainage, flood protection and, building of dams to create reservoirs.</w:t>
      </w:r>
    </w:p>
  </w:footnote>
  <w:footnote w:id="67">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Good chemical status is defined</w:t>
      </w:r>
      <w:r>
        <w:rPr>
          <w:rFonts w:asciiTheme="minorHAnsi" w:hAnsiTheme="minorHAnsi"/>
          <w:sz w:val="16"/>
          <w:szCs w:val="16"/>
        </w:rPr>
        <w:t xml:space="preserve"> in the Water Framework Directive</w:t>
      </w:r>
      <w:r>
        <w:rPr>
          <w:rFonts w:asciiTheme="minorHAnsi" w:hAnsiTheme="minorHAnsi"/>
          <w:sz w:val="16"/>
          <w:szCs w:val="16"/>
          <w:lang w:val="en"/>
        </w:rPr>
        <w:t xml:space="preserve"> </w:t>
      </w:r>
      <w:r>
        <w:rPr>
          <w:rFonts w:asciiTheme="minorHAnsi" w:hAnsiTheme="minorHAnsi"/>
          <w:sz w:val="16"/>
          <w:szCs w:val="16"/>
        </w:rPr>
        <w:t xml:space="preserve">referring to </w:t>
      </w:r>
      <w:r>
        <w:rPr>
          <w:rFonts w:asciiTheme="minorHAnsi" w:hAnsiTheme="minorHAnsi"/>
          <w:sz w:val="16"/>
          <w:szCs w:val="16"/>
          <w:lang w:val="en"/>
        </w:rPr>
        <w:t xml:space="preserve">compliance with </w:t>
      </w:r>
      <w:r>
        <w:rPr>
          <w:rFonts w:asciiTheme="minorHAnsi" w:hAnsiTheme="minorHAnsi"/>
          <w:sz w:val="16"/>
          <w:szCs w:val="16"/>
          <w:lang w:val="en"/>
        </w:rPr>
        <w:t>all the quality standards established for chemical substances at European level.</w:t>
      </w:r>
    </w:p>
  </w:footnote>
  <w:footnote w:id="68">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 from widespread activities with no one discrete source.</w:t>
      </w:r>
    </w:p>
  </w:footnote>
  <w:footnote w:id="69">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tables 6.8 and 6.12 from the COM working staff document (SE) accompanying the report fr</w:t>
      </w:r>
      <w:r>
        <w:rPr>
          <w:rFonts w:asciiTheme="minorHAnsi" w:hAnsiTheme="minorHAnsi"/>
          <w:sz w:val="16"/>
          <w:szCs w:val="16"/>
        </w:rPr>
        <w:t>om the Commission on the implementation of the WFD RBMPs (2012).</w:t>
      </w:r>
    </w:p>
  </w:footnote>
  <w:footnote w:id="7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Commission's </w:t>
      </w:r>
      <w:hyperlink r:id="rId45" w:history="1">
        <w:r>
          <w:rPr>
            <w:rStyle w:val="Hyperlink"/>
            <w:rFonts w:asciiTheme="minorHAnsi" w:hAnsiTheme="minorHAnsi"/>
            <w:sz w:val="16"/>
            <w:szCs w:val="16"/>
          </w:rPr>
          <w:t>Synthesis Report on the Quality of Drinking Water in the Union examining Member States' repo</w:t>
        </w:r>
        <w:r>
          <w:rPr>
            <w:rStyle w:val="Hyperlink"/>
            <w:rFonts w:asciiTheme="minorHAnsi" w:hAnsiTheme="minorHAnsi"/>
            <w:sz w:val="16"/>
            <w:szCs w:val="16"/>
          </w:rPr>
          <w:t>rts for the 2011-2013</w:t>
        </w:r>
      </w:hyperlink>
      <w:r>
        <w:rPr>
          <w:rFonts w:asciiTheme="minorHAnsi" w:hAnsiTheme="minorHAnsi"/>
          <w:sz w:val="16"/>
          <w:szCs w:val="16"/>
        </w:rPr>
        <w:t xml:space="preserve"> period, foreseen under Article 13(5) of Directive 98/83/EC; COM(2016)666.</w:t>
      </w:r>
    </w:p>
  </w:footnote>
  <w:footnote w:id="71">
    <w:p w:rsidR="00823F06" w:rsidRDefault="0081280F">
      <w:pPr>
        <w:pStyle w:val="FootnoteText"/>
        <w:widowControl w:val="0"/>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46" w:history="1">
        <w:r>
          <w:rPr>
            <w:rStyle w:val="Hyperlink"/>
            <w:rFonts w:asciiTheme="minorHAnsi" w:hAnsiTheme="minorHAnsi"/>
            <w:sz w:val="16"/>
            <w:szCs w:val="16"/>
          </w:rPr>
          <w:t>European bathing water quality in</w:t>
        </w:r>
        <w:r>
          <w:rPr>
            <w:rStyle w:val="Hyperlink"/>
            <w:rFonts w:asciiTheme="minorHAnsi" w:hAnsiTheme="minorHAnsi"/>
            <w:sz w:val="16"/>
            <w:szCs w:val="16"/>
          </w:rPr>
          <w:t xml:space="preserve"> 2015</w:t>
        </w:r>
      </w:hyperlink>
      <w:r>
        <w:rPr>
          <w:rStyle w:val="Hyperlink"/>
          <w:rFonts w:asciiTheme="minorHAnsi" w:hAnsiTheme="minorHAnsi"/>
          <w:sz w:val="16"/>
          <w:szCs w:val="16"/>
        </w:rPr>
        <w:t>, p. 26</w:t>
      </w:r>
    </w:p>
  </w:footnote>
  <w:footnote w:id="72">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7" w:history="1">
        <w:r>
          <w:rPr>
            <w:rStyle w:val="Hyperlink"/>
            <w:rFonts w:asciiTheme="minorHAnsi" w:hAnsiTheme="minorHAnsi"/>
            <w:sz w:val="16"/>
            <w:szCs w:val="16"/>
          </w:rPr>
          <w:t>State of bathing water</w:t>
        </w:r>
      </w:hyperlink>
      <w:r>
        <w:rPr>
          <w:rFonts w:asciiTheme="minorHAnsi" w:hAnsiTheme="minorHAnsi"/>
          <w:sz w:val="16"/>
          <w:szCs w:val="16"/>
        </w:rPr>
        <w:t>, 2016</w:t>
      </w:r>
    </w:p>
  </w:footnote>
  <w:footnote w:id="73">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Eighth Report on the Implementation Status and the Programmes</w:t>
      </w:r>
      <w:r>
        <w:rPr>
          <w:rFonts w:asciiTheme="minorHAnsi" w:hAnsiTheme="minorHAnsi"/>
          <w:sz w:val="16"/>
          <w:szCs w:val="16"/>
        </w:rPr>
        <w:t xml:space="preserve"> for Implementation of the Urban Waste Water Directive </w:t>
      </w:r>
      <w:hyperlink r:id="rId48"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49" w:history="1">
        <w:r>
          <w:rPr>
            <w:rStyle w:val="Hyperlink"/>
            <w:rFonts w:asciiTheme="minorHAnsi" w:hAnsiTheme="minorHAnsi"/>
            <w:sz w:val="16"/>
            <w:szCs w:val="16"/>
          </w:rPr>
          <w:t>(SWD(2016)45 final</w:t>
        </w:r>
      </w:hyperlink>
      <w:r>
        <w:rPr>
          <w:rFonts w:asciiTheme="minorHAnsi" w:hAnsiTheme="minorHAnsi"/>
          <w:sz w:val="16"/>
          <w:szCs w:val="16"/>
        </w:rPr>
        <w:t>).</w:t>
      </w:r>
    </w:p>
  </w:footnote>
  <w:footnote w:id="74">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Eighth Report on the Implementation Status and the Programmes for Implementation of the Urban Waste Water Directive </w:t>
      </w:r>
      <w:hyperlink r:id="rId50"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51" w:history="1">
        <w:r>
          <w:rPr>
            <w:rStyle w:val="Hyperlink"/>
            <w:rFonts w:asciiTheme="minorHAnsi" w:hAnsiTheme="minorHAnsi"/>
            <w:sz w:val="16"/>
            <w:szCs w:val="16"/>
          </w:rPr>
          <w:t>(S</w:t>
        </w:r>
        <w:r>
          <w:rPr>
            <w:rStyle w:val="Hyperlink"/>
            <w:rFonts w:asciiTheme="minorHAnsi" w:hAnsiTheme="minorHAnsi"/>
            <w:sz w:val="16"/>
            <w:szCs w:val="16"/>
          </w:rPr>
          <w:t>WD(2016)45 final</w:t>
        </w:r>
      </w:hyperlink>
      <w:r>
        <w:rPr>
          <w:rFonts w:asciiTheme="minorHAnsi" w:hAnsiTheme="minorHAnsi"/>
          <w:sz w:val="16"/>
          <w:szCs w:val="16"/>
        </w:rPr>
        <w:t>).</w:t>
      </w:r>
    </w:p>
  </w:footnote>
  <w:footnote w:id="7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Commission Staff Working Document, report on the progress in implementation of the Floods Directive </w:t>
      </w:r>
      <w:hyperlink r:id="rId52" w:history="1">
        <w:r>
          <w:rPr>
            <w:rStyle w:val="Hyperlink"/>
            <w:rFonts w:asciiTheme="minorHAnsi" w:hAnsiTheme="minorHAnsi"/>
            <w:sz w:val="16"/>
            <w:szCs w:val="16"/>
          </w:rPr>
          <w:t>SDG(2015)51</w:t>
        </w:r>
      </w:hyperlink>
      <w:r>
        <w:rPr>
          <w:rFonts w:asciiTheme="minorHAnsi" w:hAnsiTheme="minorHAnsi"/>
          <w:sz w:val="16"/>
          <w:szCs w:val="16"/>
        </w:rPr>
        <w:t xml:space="preserve"> fi</w:t>
      </w:r>
      <w:r>
        <w:rPr>
          <w:rFonts w:asciiTheme="minorHAnsi" w:hAnsiTheme="minorHAnsi"/>
          <w:sz w:val="16"/>
          <w:szCs w:val="16"/>
        </w:rPr>
        <w:t>nal p. 55</w:t>
      </w:r>
    </w:p>
  </w:footnote>
  <w:footnote w:id="76">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RPA, 2014. Study on Economic and Social Benefits of Environmental Protection and Resource Efficiency Related to the European Semester. Study for the European Commission, </w:t>
      </w:r>
      <w:hyperlink r:id="rId53" w:history="1">
        <w:r>
          <w:rPr>
            <w:rStyle w:val="Hyperlink"/>
            <w:rFonts w:asciiTheme="minorHAnsi" w:hAnsiTheme="minorHAnsi"/>
            <w:sz w:val="16"/>
            <w:szCs w:val="16"/>
          </w:rPr>
          <w:t>Annex 1: Country fiches</w:t>
        </w:r>
      </w:hyperlink>
    </w:p>
  </w:footnote>
  <w:footnote w:id="77">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54" w:history="1">
        <w:r>
          <w:rPr>
            <w:rStyle w:val="Hyperlink"/>
            <w:rFonts w:asciiTheme="minorHAnsi" w:hAnsiTheme="minorHAnsi"/>
            <w:sz w:val="16"/>
            <w:szCs w:val="16"/>
          </w:rPr>
          <w:t>Urban environment</w:t>
        </w:r>
      </w:hyperlink>
    </w:p>
  </w:footnote>
  <w:footnote w:id="78">
    <w:p w:rsidR="00823F06" w:rsidRDefault="0081280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55" w:history="1">
        <w:r>
          <w:rPr>
            <w:rStyle w:val="Hyperlink"/>
            <w:rFonts w:asciiTheme="minorHAnsi" w:hAnsiTheme="minorHAnsi"/>
            <w:sz w:val="16"/>
            <w:szCs w:val="16"/>
          </w:rPr>
          <w:t>http://urbanagendaforthe.eu/</w:t>
        </w:r>
      </w:hyperlink>
    </w:p>
  </w:footnote>
  <w:footnote w:id="79">
    <w:p w:rsidR="00823F06" w:rsidRDefault="0081280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6"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w:t>
      </w:r>
      <w:r>
        <w:rPr>
          <w:rFonts w:asciiTheme="minorHAnsi" w:hAnsiTheme="minorHAnsi"/>
          <w:sz w:val="16"/>
          <w:szCs w:val="16"/>
        </w:rPr>
        <w:t>e will be better disseminated via the app featuring the UBaM tool, and increasingly via e.g. EUROCITIES, ICLEI, CEMR, Committee of the Regions, Covenant of Mayors and others.</w:t>
      </w:r>
    </w:p>
  </w:footnote>
  <w:footnote w:id="80">
    <w:p w:rsidR="00823F06" w:rsidRDefault="0081280F">
      <w:pPr>
        <w:pStyle w:val="FootnoteText"/>
        <w:widowControl w:val="0"/>
        <w:ind w:left="170" w:hanging="170"/>
        <w:rPr>
          <w:rFonts w:asciiTheme="minorHAnsi" w:hAnsiTheme="minorHAnsi"/>
          <w:sz w:val="16"/>
          <w:szCs w:val="16"/>
        </w:rPr>
      </w:pPr>
      <w:r>
        <w:rPr>
          <w:rStyle w:val="FootnoteCharacters"/>
          <w:rFonts w:asciiTheme="minorHAnsi" w:hAnsiTheme="minorHAnsi"/>
          <w:sz w:val="16"/>
          <w:szCs w:val="16"/>
        </w:rPr>
        <w:footnoteRef/>
      </w:r>
      <w:r>
        <w:rPr>
          <w:rFonts w:asciiTheme="minorHAnsi" w:hAnsiTheme="minorHAnsi"/>
          <w:sz w:val="16"/>
          <w:szCs w:val="16"/>
        </w:rPr>
        <w:t xml:space="preserve"> European Commission, </w:t>
      </w:r>
      <w:hyperlink r:id="rId57" w:history="1">
        <w:r>
          <w:rPr>
            <w:rStyle w:val="Hyperlink"/>
            <w:rFonts w:asciiTheme="minorHAnsi" w:hAnsiTheme="minorHAnsi"/>
            <w:sz w:val="16"/>
            <w:szCs w:val="16"/>
          </w:rPr>
          <w:t>European Green Capital Award 2010 &amp; 2011, Catalogue of Best Practice</w:t>
        </w:r>
      </w:hyperlink>
      <w:r>
        <w:rPr>
          <w:rFonts w:asciiTheme="minorHAnsi" w:hAnsiTheme="minorHAnsi"/>
          <w:sz w:val="16"/>
          <w:szCs w:val="16"/>
        </w:rPr>
        <w:t xml:space="preserve">, p.10 </w:t>
      </w:r>
    </w:p>
  </w:footnote>
  <w:footnote w:id="81">
    <w:p w:rsidR="00823F06" w:rsidRDefault="0081280F">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European Commission</w:t>
      </w:r>
      <w:hyperlink r:id="rId58" w:history="1">
        <w:r>
          <w:rPr>
            <w:rStyle w:val="Hyperlink"/>
            <w:rFonts w:asciiTheme="minorHAnsi" w:hAnsiTheme="minorHAnsi"/>
            <w:sz w:val="16"/>
            <w:szCs w:val="16"/>
          </w:rPr>
          <w:t>, European Green Capital Award 2010 &amp; 2011, Catalogue of Best Practice</w:t>
        </w:r>
      </w:hyperlink>
      <w:r>
        <w:rPr>
          <w:rFonts w:asciiTheme="minorHAnsi" w:hAnsiTheme="minorHAnsi"/>
          <w:sz w:val="16"/>
          <w:szCs w:val="16"/>
        </w:rPr>
        <w:t>, p.1</w:t>
      </w:r>
    </w:p>
  </w:footnote>
  <w:footnote w:id="82">
    <w:p w:rsidR="00823F06" w:rsidRDefault="0081280F">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European Commission</w:t>
      </w:r>
      <w:hyperlink r:id="rId59" w:history="1">
        <w:r>
          <w:rPr>
            <w:rStyle w:val="Hyperlink"/>
            <w:rFonts w:asciiTheme="minorHAnsi" w:hAnsiTheme="minorHAnsi"/>
            <w:sz w:val="16"/>
            <w:szCs w:val="16"/>
          </w:rPr>
          <w:t>, European Green Capital Award 2010 &amp; 2011, Catalogue of Best Practice</w:t>
        </w:r>
      </w:hyperlink>
      <w:r>
        <w:rPr>
          <w:rFonts w:asciiTheme="minorHAnsi" w:hAnsiTheme="minorHAnsi"/>
          <w:sz w:val="16"/>
          <w:szCs w:val="16"/>
        </w:rPr>
        <w:t>p.30</w:t>
      </w:r>
    </w:p>
  </w:footnote>
  <w:footnote w:id="83">
    <w:p w:rsidR="00823F06" w:rsidRDefault="0081280F">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European Commission, </w:t>
      </w:r>
      <w:hyperlink r:id="rId60" w:history="1">
        <w:r>
          <w:rPr>
            <w:rStyle w:val="Hyperlink"/>
            <w:rFonts w:asciiTheme="minorHAnsi" w:hAnsiTheme="minorHAnsi"/>
            <w:sz w:val="16"/>
            <w:szCs w:val="16"/>
          </w:rPr>
          <w:t>Good Practice &amp; Benchmarking Report European Green Capital Award 2012 &amp; 2013</w:t>
        </w:r>
      </w:hyperlink>
      <w:r>
        <w:rPr>
          <w:rFonts w:asciiTheme="minorHAnsi" w:hAnsiTheme="minorHAnsi"/>
          <w:sz w:val="16"/>
          <w:szCs w:val="16"/>
        </w:rPr>
        <w:t>, p.16</w:t>
      </w:r>
    </w:p>
  </w:footnote>
  <w:footnote w:id="84">
    <w:p w:rsidR="00823F06" w:rsidRDefault="0081280F">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European Commission, </w:t>
      </w:r>
      <w:hyperlink r:id="rId61" w:history="1">
        <w:r>
          <w:rPr>
            <w:rStyle w:val="Hyperlink"/>
            <w:rFonts w:asciiTheme="minorHAnsi" w:hAnsiTheme="minorHAnsi"/>
            <w:sz w:val="16"/>
            <w:szCs w:val="16"/>
          </w:rPr>
          <w:t>Good Practice &amp; Benchmarking Report European Green Capital</w:t>
        </w:r>
        <w:r>
          <w:rPr>
            <w:rStyle w:val="Hyperlink"/>
            <w:rFonts w:asciiTheme="minorHAnsi" w:hAnsiTheme="minorHAnsi"/>
            <w:sz w:val="16"/>
            <w:szCs w:val="16"/>
          </w:rPr>
          <w:t xml:space="preserve"> Award 2012 &amp; 2013</w:t>
        </w:r>
      </w:hyperlink>
      <w:r>
        <w:rPr>
          <w:rFonts w:asciiTheme="minorHAnsi" w:hAnsiTheme="minorHAnsi"/>
          <w:sz w:val="16"/>
          <w:szCs w:val="16"/>
        </w:rPr>
        <w:t>, p.44</w:t>
      </w:r>
    </w:p>
  </w:footnote>
  <w:footnote w:id="85">
    <w:p w:rsidR="00823F06" w:rsidRDefault="0081280F">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European Commission, </w:t>
      </w:r>
      <w:hyperlink r:id="rId62" w:history="1">
        <w:r>
          <w:rPr>
            <w:rStyle w:val="Hyperlink"/>
            <w:rFonts w:asciiTheme="minorHAnsi" w:hAnsiTheme="minorHAnsi"/>
            <w:sz w:val="16"/>
            <w:szCs w:val="16"/>
          </w:rPr>
          <w:t>Good Practice &amp; Benchmarking Report European Green Capital Award 2012 &amp; 2013</w:t>
        </w:r>
      </w:hyperlink>
      <w:r>
        <w:rPr>
          <w:rFonts w:asciiTheme="minorHAnsi" w:hAnsiTheme="minorHAnsi"/>
          <w:sz w:val="16"/>
          <w:szCs w:val="16"/>
        </w:rPr>
        <w:t>, p.22</w:t>
      </w:r>
    </w:p>
  </w:footnote>
  <w:footnote w:id="86">
    <w:p w:rsidR="00823F06" w:rsidRDefault="0081280F">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European Commission, </w:t>
      </w:r>
      <w:hyperlink r:id="rId63" w:history="1">
        <w:r>
          <w:rPr>
            <w:rStyle w:val="Hyperlink"/>
            <w:rFonts w:asciiTheme="minorHAnsi" w:hAnsiTheme="minorHAnsi"/>
            <w:sz w:val="16"/>
            <w:szCs w:val="16"/>
          </w:rPr>
          <w:t>Urban Environment Good Practice &amp; Benchmarking Report European Green Capital Award 2017</w:t>
        </w:r>
      </w:hyperlink>
      <w:r>
        <w:rPr>
          <w:rFonts w:asciiTheme="minorHAnsi" w:hAnsiTheme="minorHAnsi"/>
          <w:sz w:val="16"/>
          <w:szCs w:val="16"/>
        </w:rPr>
        <w:t>, p.18</w:t>
      </w:r>
    </w:p>
  </w:footnote>
  <w:footnote w:id="87">
    <w:p w:rsidR="00823F06" w:rsidRDefault="0081280F">
      <w:pPr>
        <w:widowControl w:val="0"/>
        <w:autoSpaceDE w:val="0"/>
        <w:spacing w:after="0" w:line="240" w:lineRule="auto"/>
        <w:ind w:left="170" w:hanging="170"/>
        <w:rPr>
          <w:sz w:val="16"/>
          <w:szCs w:val="16"/>
        </w:rPr>
      </w:pPr>
      <w:r>
        <w:rPr>
          <w:rStyle w:val="FootnoteCharacters"/>
          <w:sz w:val="16"/>
          <w:szCs w:val="16"/>
        </w:rPr>
        <w:footnoteRef/>
      </w:r>
      <w:r>
        <w:rPr>
          <w:rFonts w:eastAsia="Verdana-Bold"/>
          <w:color w:val="000000"/>
          <w:sz w:val="16"/>
          <w:szCs w:val="16"/>
        </w:rPr>
        <w:t xml:space="preserve"> </w:t>
      </w:r>
      <w:r>
        <w:rPr>
          <w:sz w:val="16"/>
          <w:szCs w:val="16"/>
        </w:rPr>
        <w:t xml:space="preserve">European Commission, </w:t>
      </w:r>
      <w:hyperlink r:id="rId64" w:history="1">
        <w:r>
          <w:rPr>
            <w:rStyle w:val="Hyperlink"/>
            <w:sz w:val="16"/>
            <w:szCs w:val="16"/>
          </w:rPr>
          <w:t>Urban Environment Good Practice &amp; Benchmarking Report European Green Capital Award 2017</w:t>
        </w:r>
      </w:hyperlink>
      <w:r>
        <w:rPr>
          <w:rFonts w:eastAsia="Verdana"/>
          <w:color w:val="000000"/>
          <w:sz w:val="16"/>
          <w:szCs w:val="16"/>
        </w:rPr>
        <w:t>, p.60</w:t>
      </w:r>
    </w:p>
  </w:footnote>
  <w:footnote w:id="88">
    <w:p w:rsidR="00823F06" w:rsidRDefault="0081280F">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Eunomia Research and Consulting, IEEP, Aarhus University, ENT, 2016. </w:t>
      </w:r>
      <w:hyperlink r:id="rId65" w:history="1">
        <w:r>
          <w:rPr>
            <w:rStyle w:val="Hyperlink"/>
            <w:rFonts w:asciiTheme="minorHAnsi" w:hAnsiTheme="minorHAnsi"/>
            <w:sz w:val="16"/>
            <w:szCs w:val="16"/>
          </w:rPr>
          <w:t>Study on Assessing the Environmental Fiscal Reform Potential for the EU28</w:t>
        </w:r>
      </w:hyperlink>
      <w:r>
        <w:rPr>
          <w:rFonts w:asciiTheme="minorHAnsi" w:hAnsiTheme="minorHAnsi"/>
          <w:sz w:val="16"/>
          <w:szCs w:val="16"/>
        </w:rPr>
        <w:t xml:space="preserve"> N.B. National governments are responsible for setting tax rates within the EU Single</w:t>
      </w:r>
      <w:r>
        <w:rPr>
          <w:rFonts w:asciiTheme="minorHAnsi" w:hAnsiTheme="minorHAnsi"/>
          <w:sz w:val="16"/>
          <w:szCs w:val="16"/>
        </w:rPr>
        <w:t xml:space="preserve"> Market rules and this report is not suggesting concrete changes as to the level of environmental taxation. It merely presents the findings of the 2016 study by Eunomia </w:t>
      </w:r>
      <w:r>
        <w:rPr>
          <w:rFonts w:asciiTheme="minorHAnsi" w:hAnsiTheme="minorHAnsi"/>
          <w:i/>
          <w:iCs/>
          <w:sz w:val="16"/>
          <w:szCs w:val="16"/>
        </w:rPr>
        <w:t>et al</w:t>
      </w:r>
      <w:r>
        <w:rPr>
          <w:rFonts w:asciiTheme="minorHAnsi" w:hAnsiTheme="minorHAnsi"/>
          <w:sz w:val="16"/>
          <w:szCs w:val="16"/>
        </w:rPr>
        <w:t xml:space="preserve"> on the potential benefits various environmental taxes could bring. It is then for</w:t>
      </w:r>
      <w:r>
        <w:rPr>
          <w:rFonts w:asciiTheme="minorHAnsi" w:hAnsiTheme="minorHAnsi"/>
          <w:sz w:val="16"/>
          <w:szCs w:val="16"/>
        </w:rPr>
        <w:t xml:space="preserve"> the national authorities to assess this study and their concrete impacts in the national context. A first step in this respect, already done by a number of Member States, is to set up expert groups to assess these and make specific proposals.</w:t>
      </w:r>
    </w:p>
  </w:footnote>
  <w:footnote w:id="89">
    <w:p w:rsidR="00823F06" w:rsidRDefault="0081280F">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The good p</w:t>
      </w:r>
      <w:r>
        <w:rPr>
          <w:rFonts w:asciiTheme="minorHAnsi" w:hAnsiTheme="minorHAnsi"/>
          <w:sz w:val="16"/>
          <w:szCs w:val="16"/>
        </w:rPr>
        <w:t>ractice scenario means benchmarking to a successful taxation practice in another Member State.</w:t>
      </w:r>
    </w:p>
  </w:footnote>
  <w:footnote w:id="9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Eunomia Research and Consulting, IEEP, Aarhus University, ENT, 2016. </w:t>
      </w:r>
      <w:hyperlink r:id="rId66" w:history="1">
        <w:r>
          <w:rPr>
            <w:rStyle w:val="Hyperlink"/>
            <w:rFonts w:asciiTheme="minorHAnsi" w:hAnsiTheme="minorHAnsi"/>
            <w:sz w:val="16"/>
            <w:szCs w:val="16"/>
          </w:rPr>
          <w:t>Study on Assessing the Environmental Fiscal Reform Potential for the EU28</w:t>
        </w:r>
      </w:hyperlink>
    </w:p>
  </w:footnote>
  <w:footnote w:id="91">
    <w:p w:rsidR="00823F06" w:rsidRDefault="0081280F">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67"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October 2016</w:t>
      </w:r>
    </w:p>
  </w:footnote>
  <w:footnote w:id="92">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w:t>
      </w:r>
      <w:r>
        <w:rPr>
          <w:rFonts w:asciiTheme="minorHAnsi" w:hAnsiTheme="minorHAnsi"/>
          <w:sz w:val="16"/>
          <w:szCs w:val="16"/>
        </w:rPr>
        <w:t xml:space="preserve">. </w:t>
      </w:r>
      <w:hyperlink r:id="rId68" w:history="1">
        <w:r>
          <w:rPr>
            <w:rStyle w:val="Hyperlink"/>
            <w:rFonts w:asciiTheme="minorHAnsi" w:hAnsiTheme="minorHAnsi"/>
            <w:sz w:val="16"/>
            <w:szCs w:val="16"/>
          </w:rPr>
          <w:t>Public Procurement</w:t>
        </w:r>
      </w:hyperlink>
    </w:p>
  </w:footnote>
  <w:footnote w:id="93">
    <w:p w:rsidR="00823F06" w:rsidRDefault="0081280F">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69"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w:t>
      </w:r>
      <w:r>
        <w:rPr>
          <w:sz w:val="16"/>
          <w:szCs w:val="16"/>
          <w:lang w:val="en"/>
        </w:rPr>
        <w:t>ear, verifiable, justifiable and ambitious environmental criteria for products and services, based on a life-cycle approach and scientific evidence base.</w:t>
      </w:r>
    </w:p>
  </w:footnote>
  <w:footnote w:id="94">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PwC, 2015. </w:t>
      </w:r>
      <w:hyperlink r:id="rId70" w:history="1">
        <w:r>
          <w:rPr>
            <w:rStyle w:val="Hyperlink"/>
            <w:rFonts w:asciiTheme="minorHAnsi" w:hAnsiTheme="minorHAnsi"/>
            <w:sz w:val="16"/>
            <w:szCs w:val="16"/>
          </w:rPr>
          <w:t>Strategic use of public proc</w:t>
        </w:r>
        <w:r>
          <w:rPr>
            <w:rStyle w:val="Hyperlink"/>
            <w:rFonts w:asciiTheme="minorHAnsi" w:hAnsiTheme="minorHAnsi"/>
            <w:sz w:val="16"/>
            <w:szCs w:val="16"/>
          </w:rPr>
          <w:t>urement in promoting green, social and innovative policies</w:t>
        </w:r>
      </w:hyperlink>
      <w:r>
        <w:rPr>
          <w:rFonts w:asciiTheme="minorHAnsi" w:hAnsiTheme="minorHAnsi"/>
          <w:sz w:val="16"/>
          <w:szCs w:val="16"/>
        </w:rPr>
        <w:t>, study for the European Commission</w:t>
      </w:r>
    </w:p>
  </w:footnote>
  <w:footnote w:id="9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PwC, 2015. </w:t>
      </w:r>
      <w:hyperlink r:id="rId71" w:history="1">
        <w:r>
          <w:rPr>
            <w:rStyle w:val="Hyperlink"/>
            <w:rFonts w:asciiTheme="minorHAnsi" w:hAnsiTheme="minorHAnsi"/>
            <w:sz w:val="16"/>
            <w:szCs w:val="16"/>
          </w:rPr>
          <w:t>Strategic use of public procurement in promoting green, social and innovative policies</w:t>
        </w:r>
      </w:hyperlink>
      <w:r>
        <w:rPr>
          <w:rFonts w:asciiTheme="minorHAnsi" w:hAnsiTheme="minorHAnsi"/>
          <w:sz w:val="16"/>
          <w:szCs w:val="16"/>
        </w:rPr>
        <w:t xml:space="preserve">, </w:t>
      </w:r>
      <w:r>
        <w:rPr>
          <w:rFonts w:asciiTheme="minorHAnsi" w:hAnsiTheme="minorHAnsi"/>
          <w:sz w:val="16"/>
          <w:szCs w:val="16"/>
        </w:rPr>
        <w:t>study for the European Commission</w:t>
      </w:r>
    </w:p>
  </w:footnote>
  <w:footnote w:id="96">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five funds – the European Regional Development Funds (ERDF), the Cohesion Fund (CF), the European Social Fund (ESF), the European Agricultural Fund for Rural Development (EAFRD), and the European Maritime </w:t>
      </w:r>
      <w:r>
        <w:rPr>
          <w:rFonts w:asciiTheme="minorHAnsi" w:hAnsiTheme="minorHAnsi"/>
          <w:sz w:val="16"/>
          <w:szCs w:val="16"/>
        </w:rPr>
        <w:t>and Fisheries Fund (EMFF). The ERDF, the CF and the ESF together form the Cohesion Policy funds.</w:t>
      </w:r>
    </w:p>
  </w:footnote>
  <w:footnote w:id="97">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w:t>
      </w:r>
      <w:hyperlink r:id="rId72" w:history="1">
        <w:r>
          <w:rPr>
            <w:rStyle w:val="Hyperlink"/>
            <w:rFonts w:asciiTheme="minorHAnsi" w:hAnsiTheme="minorHAnsi"/>
            <w:sz w:val="16"/>
            <w:szCs w:val="16"/>
            <w:lang w:val="en"/>
          </w:rPr>
          <w:t>European Fund for Strategic Investments</w:t>
        </w:r>
      </w:hyperlink>
    </w:p>
  </w:footnote>
  <w:footnote w:id="98">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73" w:history="1">
        <w:r>
          <w:rPr>
            <w:rStyle w:val="Hyperlink"/>
            <w:rFonts w:asciiTheme="minorHAnsi" w:hAnsiTheme="minorHAnsi"/>
            <w:sz w:val="16"/>
            <w:szCs w:val="16"/>
          </w:rPr>
          <w:t>European Structural and Investment Funds Data By Country</w:t>
        </w:r>
      </w:hyperlink>
    </w:p>
  </w:footnote>
  <w:footnote w:id="99">
    <w:p w:rsidR="00823F06" w:rsidRDefault="0081280F">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w:t>
      </w:r>
      <w:r>
        <w:rPr>
          <w:sz w:val="16"/>
          <w:szCs w:val="16"/>
        </w:rPr>
        <w:t>mber States.</w:t>
      </w:r>
    </w:p>
  </w:footnote>
  <w:footnote w:id="10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Charron N., 2013. </w:t>
      </w:r>
      <w:hyperlink r:id="rId74" w:history="1">
        <w:r>
          <w:rPr>
            <w:rStyle w:val="Hyperlink"/>
            <w:rFonts w:asciiTheme="minorHAnsi" w:hAnsiTheme="minorHAnsi"/>
            <w:sz w:val="16"/>
            <w:szCs w:val="16"/>
          </w:rPr>
          <w:t>European Quality of Government Index (EQI)</w:t>
        </w:r>
      </w:hyperlink>
    </w:p>
  </w:footnote>
  <w:footnote w:id="101">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11 of the TFEU provides that "Environmental protection requirements must b</w:t>
      </w:r>
      <w:r>
        <w:rPr>
          <w:rFonts w:asciiTheme="minorHAnsi" w:hAnsiTheme="minorHAnsi"/>
          <w:sz w:val="16"/>
          <w:szCs w:val="16"/>
        </w:rPr>
        <w:t>e integrated into the definition and implementation of the Union's policies and activities, in particular with a view to promoting sustainable development."</w:t>
      </w:r>
    </w:p>
  </w:footnote>
  <w:footnote w:id="102">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Commission notice — </w:t>
      </w:r>
      <w:hyperlink r:id="rId75"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Fonts w:asciiTheme="minorHAnsi" w:hAnsiTheme="minorHAnsi"/>
          <w:sz w:val="16"/>
          <w:szCs w:val="16"/>
          <w:u w:val="single"/>
        </w:rPr>
        <w:t xml:space="preserve"> (D</w:t>
      </w:r>
      <w:r>
        <w:rPr>
          <w:rFonts w:asciiTheme="minorHAnsi" w:hAnsiTheme="minorHAnsi"/>
          <w:sz w:val="16"/>
          <w:szCs w:val="16"/>
        </w:rPr>
        <w:t xml:space="preserve">irective 2011/92/EU of the European Parliament and of the Council, as </w:t>
      </w:r>
      <w:r>
        <w:rPr>
          <w:rFonts w:asciiTheme="minorHAnsi" w:hAnsiTheme="minorHAnsi"/>
          <w:sz w:val="16"/>
          <w:szCs w:val="16"/>
        </w:rPr>
        <w:t>amended by Directive 2014/52/EU).</w:t>
      </w:r>
    </w:p>
  </w:footnote>
  <w:footnote w:id="103">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Commission notice — </w:t>
      </w:r>
      <w:hyperlink r:id="rId76" w:history="1">
        <w:r>
          <w:rPr>
            <w:rStyle w:val="Hyperlink"/>
            <w:rFonts w:asciiTheme="minorHAnsi" w:hAnsiTheme="minorHAnsi"/>
            <w:sz w:val="16"/>
            <w:szCs w:val="16"/>
          </w:rPr>
          <w:t>Commission guidance document on streamlining environmental assessments conducted under A</w:t>
        </w:r>
        <w:r>
          <w:rPr>
            <w:rStyle w:val="Hyperlink"/>
            <w:rFonts w:asciiTheme="minorHAnsi" w:hAnsiTheme="minorHAnsi"/>
            <w:sz w:val="16"/>
            <w:szCs w:val="16"/>
          </w:rPr>
          <w:t>rticle 2(3) of the Environmental Impact Assessment Directive</w:t>
        </w:r>
      </w:hyperlink>
      <w:r>
        <w:rPr>
          <w:rStyle w:val="Hyperlink"/>
          <w:rFonts w:asciiTheme="minorHAnsi" w:hAnsiTheme="minorHAnsi"/>
          <w:sz w:val="16"/>
          <w:szCs w:val="16"/>
        </w:rPr>
        <w:t xml:space="preserve"> (D</w:t>
      </w:r>
      <w:r>
        <w:rPr>
          <w:rFonts w:asciiTheme="minorHAnsi" w:hAnsiTheme="minorHAnsi"/>
          <w:sz w:val="16"/>
          <w:szCs w:val="16"/>
        </w:rPr>
        <w:t>irective 2011/92/EU of the European Parliament and of the Council, as amended by Directive 2014/52/EU).</w:t>
      </w:r>
    </w:p>
  </w:footnote>
  <w:footnote w:id="104">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77" w:history="1">
        <w:r>
          <w:rPr>
            <w:rStyle w:val="Hyperlink"/>
            <w:rFonts w:asciiTheme="minorHAnsi" w:hAnsiTheme="minorHAnsi"/>
            <w:sz w:val="16"/>
            <w:szCs w:val="16"/>
          </w:rPr>
          <w:t>Environmental Crime Directive 2008/99/EC</w:t>
        </w:r>
      </w:hyperlink>
    </w:p>
  </w:footnote>
  <w:footnote w:id="10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8" w:history="1">
        <w:r>
          <w:rPr>
            <w:rStyle w:val="Hyperlink"/>
            <w:rFonts w:asciiTheme="minorHAnsi" w:hAnsiTheme="minorHAnsi"/>
            <w:sz w:val="16"/>
            <w:szCs w:val="16"/>
          </w:rPr>
          <w:t>European Union Network for the Implementation and Enforcement of Environmental Law</w:t>
        </w:r>
      </w:hyperlink>
    </w:p>
  </w:footnote>
  <w:footnote w:id="106">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9" w:history="1">
        <w:r>
          <w:rPr>
            <w:rStyle w:val="Hyperlink"/>
            <w:rFonts w:asciiTheme="minorHAnsi" w:hAnsiTheme="minorHAnsi"/>
            <w:sz w:val="16"/>
            <w:szCs w:val="16"/>
          </w:rPr>
          <w:t>European Union Forum of judges for the environment</w:t>
        </w:r>
      </w:hyperlink>
    </w:p>
  </w:footnote>
  <w:footnote w:id="107">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0" w:history="1">
        <w:r>
          <w:rPr>
            <w:rStyle w:val="Hyperlink"/>
            <w:rFonts w:asciiTheme="minorHAnsi" w:hAnsiTheme="minorHAnsi"/>
            <w:sz w:val="16"/>
            <w:szCs w:val="16"/>
          </w:rPr>
          <w:t>The European Network of Prosecutors for the Environment</w:t>
        </w:r>
      </w:hyperlink>
    </w:p>
  </w:footnote>
  <w:footnote w:id="108">
    <w:p w:rsidR="00823F06" w:rsidRDefault="0081280F">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rPr>
        <w:footnoteRef/>
      </w:r>
      <w:r>
        <w:rPr>
          <w:rFonts w:asciiTheme="minorHAnsi" w:hAnsiTheme="minorHAnsi"/>
          <w:sz w:val="16"/>
          <w:szCs w:val="16"/>
          <w:lang w:val="fr-FR"/>
        </w:rPr>
        <w:t xml:space="preserve"> </w:t>
      </w:r>
      <w:hyperlink r:id="rId81" w:history="1">
        <w:r>
          <w:rPr>
            <w:rStyle w:val="Hyperlink"/>
            <w:rFonts w:asciiTheme="minorHAnsi" w:hAnsiTheme="minorHAnsi"/>
            <w:sz w:val="16"/>
            <w:szCs w:val="16"/>
            <w:lang w:val="fr-FR"/>
          </w:rPr>
          <w:t>EnviCrimeNet</w:t>
        </w:r>
      </w:hyperlink>
    </w:p>
  </w:footnote>
  <w:footnote w:id="109">
    <w:p w:rsidR="00823F06" w:rsidRDefault="0081280F">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rPr>
        <w:footnoteRef/>
      </w:r>
      <w:r>
        <w:rPr>
          <w:rFonts w:asciiTheme="minorHAnsi" w:hAnsiTheme="minorHAnsi"/>
          <w:sz w:val="16"/>
          <w:szCs w:val="16"/>
          <w:lang w:val="fr-FR"/>
        </w:rPr>
        <w:t xml:space="preserve"> European Union, </w:t>
      </w:r>
      <w:hyperlink r:id="rId82" w:history="1">
        <w:r>
          <w:rPr>
            <w:rStyle w:val="Hyperlink"/>
            <w:rFonts w:asciiTheme="minorHAnsi" w:hAnsiTheme="minorHAnsi"/>
            <w:sz w:val="16"/>
            <w:szCs w:val="16"/>
            <w:lang w:val="fr-FR"/>
          </w:rPr>
          <w:t>Environmental Liability Directive 2004/35/CE</w:t>
        </w:r>
      </w:hyperlink>
    </w:p>
  </w:footnote>
  <w:footnote w:id="11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3" w:history="1">
        <w:r>
          <w:rPr>
            <w:rStyle w:val="Hyperlink"/>
            <w:rFonts w:asciiTheme="minorHAnsi" w:hAnsiTheme="minorHAnsi"/>
            <w:sz w:val="16"/>
            <w:szCs w:val="16"/>
          </w:rPr>
          <w:t>COM(2016)204</w:t>
        </w:r>
        <w:r>
          <w:rPr>
            <w:rStyle w:val="Hyperlink"/>
            <w:rFonts w:asciiTheme="minorHAnsi" w:hAnsiTheme="minorHAnsi"/>
            <w:sz w:val="16"/>
            <w:szCs w:val="16"/>
          </w:rPr>
          <w:t xml:space="preserve"> final</w:t>
        </w:r>
      </w:hyperlink>
      <w:r>
        <w:rPr>
          <w:rFonts w:asciiTheme="minorHAnsi" w:hAnsiTheme="minorHAnsi"/>
          <w:sz w:val="16"/>
          <w:szCs w:val="16"/>
        </w:rPr>
        <w:t xml:space="preserve"> and </w:t>
      </w:r>
      <w:hyperlink r:id="rId84"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w:t>
      </w:r>
      <w:r>
        <w:rPr>
          <w:rFonts w:asciiTheme="minorHAnsi" w:hAnsiTheme="minorHAnsi"/>
          <w:sz w:val="16"/>
          <w:szCs w:val="16"/>
        </w:rPr>
        <w:t>on, such as guidance, training and ELD registers; and for financial security to be available in case events or incidents generate remediation costs.</w:t>
      </w:r>
    </w:p>
  </w:footnote>
  <w:footnote w:id="111">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OECD, </w:t>
      </w:r>
      <w:hyperlink r:id="rId85" w:history="1">
        <w:r>
          <w:rPr>
            <w:rStyle w:val="Hyperlink"/>
            <w:rFonts w:asciiTheme="minorHAnsi" w:hAnsiTheme="minorHAnsi"/>
            <w:sz w:val="16"/>
            <w:szCs w:val="16"/>
          </w:rPr>
          <w:t>Environmental Performance Reviews: Sweden 2014</w:t>
        </w:r>
      </w:hyperlink>
      <w:r>
        <w:rPr>
          <w:rFonts w:asciiTheme="minorHAnsi" w:hAnsiTheme="minorHAnsi"/>
          <w:sz w:val="16"/>
          <w:szCs w:val="16"/>
        </w:rPr>
        <w:t xml:space="preserve">, p. 53f. It notes that </w:t>
      </w:r>
      <w:r>
        <w:rPr>
          <w:rFonts w:asciiTheme="minorHAnsi" w:hAnsiTheme="minorHAnsi"/>
          <w:color w:val="000000" w:themeColor="text1"/>
          <w:sz w:val="16"/>
          <w:szCs w:val="16"/>
        </w:rPr>
        <w:t xml:space="preserve">practices vary significantly and the perception of businesses seems to be that it is difficult to find information on new regulatory requirements and how at </w:t>
      </w:r>
      <w:r>
        <w:rPr>
          <w:rFonts w:asciiTheme="minorHAnsi" w:hAnsiTheme="minorHAnsi"/>
          <w:color w:val="000000" w:themeColor="text1"/>
          <w:sz w:val="16"/>
          <w:szCs w:val="16"/>
        </w:rPr>
        <w:t>best to comply with them</w:t>
      </w:r>
    </w:p>
  </w:footnote>
  <w:footnote w:id="112">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Mazur E., 2011. </w:t>
      </w:r>
      <w:hyperlink r:id="rId86" w:history="1">
        <w:r>
          <w:rPr>
            <w:rStyle w:val="Hyperlink"/>
            <w:rFonts w:asciiTheme="minorHAnsi" w:hAnsiTheme="minorHAnsi"/>
            <w:sz w:val="16"/>
            <w:szCs w:val="16"/>
          </w:rPr>
          <w:t>Environmental Enforcement in Decentralised Governance Systems: Towards a Natio</w:t>
        </w:r>
        <w:r>
          <w:rPr>
            <w:rStyle w:val="Hyperlink"/>
            <w:rFonts w:asciiTheme="minorHAnsi" w:hAnsiTheme="minorHAnsi"/>
            <w:sz w:val="16"/>
            <w:szCs w:val="16"/>
          </w:rPr>
          <w:t>nwide Level Playing Field, OECD Environment Working Papers</w:t>
        </w:r>
      </w:hyperlink>
      <w:r>
        <w:rPr>
          <w:rFonts w:asciiTheme="minorHAnsi" w:hAnsiTheme="minorHAnsi"/>
          <w:sz w:val="16"/>
          <w:szCs w:val="16"/>
        </w:rPr>
        <w:t xml:space="preserve">, No 34, p. 19. </w:t>
      </w:r>
    </w:p>
  </w:footnote>
  <w:footnote w:id="113">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OECD, </w:t>
      </w:r>
      <w:hyperlink r:id="rId87" w:history="1">
        <w:r>
          <w:rPr>
            <w:rStyle w:val="Hyperlink"/>
            <w:rFonts w:asciiTheme="minorHAnsi" w:hAnsiTheme="minorHAnsi"/>
            <w:sz w:val="16"/>
            <w:szCs w:val="16"/>
          </w:rPr>
          <w:t>Environmental Performance Reviews: Sweden 201</w:t>
        </w:r>
        <w:r>
          <w:rPr>
            <w:rStyle w:val="Hyperlink"/>
            <w:rFonts w:asciiTheme="minorHAnsi" w:hAnsiTheme="minorHAnsi"/>
            <w:sz w:val="16"/>
            <w:szCs w:val="16"/>
          </w:rPr>
          <w:t>4</w:t>
        </w:r>
      </w:hyperlink>
      <w:r>
        <w:rPr>
          <w:rFonts w:asciiTheme="minorHAnsi" w:hAnsiTheme="minorHAnsi"/>
          <w:sz w:val="16"/>
          <w:szCs w:val="16"/>
        </w:rPr>
        <w:t xml:space="preserve">, p. 54-55. Mazur E., 2011. </w:t>
      </w:r>
      <w:hyperlink r:id="rId88" w:history="1">
        <w:r>
          <w:rPr>
            <w:rStyle w:val="Hyperlink"/>
            <w:rFonts w:asciiTheme="minorHAnsi" w:hAnsiTheme="minorHAnsi"/>
            <w:sz w:val="16"/>
            <w:szCs w:val="16"/>
          </w:rPr>
          <w:t>Environmental Enforcement in Decentralised Governance Systems: Towards a Nationwide Level Pl</w:t>
        </w:r>
        <w:r>
          <w:rPr>
            <w:rStyle w:val="Hyperlink"/>
            <w:rFonts w:asciiTheme="minorHAnsi" w:hAnsiTheme="minorHAnsi"/>
            <w:sz w:val="16"/>
            <w:szCs w:val="16"/>
          </w:rPr>
          <w:t>aying Field, OECD Environment Working Papers</w:t>
        </w:r>
      </w:hyperlink>
      <w:r>
        <w:rPr>
          <w:rFonts w:asciiTheme="minorHAnsi" w:hAnsiTheme="minorHAnsi"/>
          <w:sz w:val="16"/>
          <w:szCs w:val="16"/>
        </w:rPr>
        <w:t>, No 34, p. 19; Study on 'Information collection and impact assessment of possible requirements for environmental inspections in the area of EU legislation on water, nature protection and trade in certain environmentally sensitive goods', 2013 IEEP/BioInte</w:t>
      </w:r>
      <w:r>
        <w:rPr>
          <w:rFonts w:asciiTheme="minorHAnsi" w:hAnsiTheme="minorHAnsi"/>
          <w:sz w:val="16"/>
          <w:szCs w:val="16"/>
        </w:rPr>
        <w:t>lligence/Ecologic, p. 292 (referring to a 2013 study examining effectiveness of environmental inspection authorities - Holstein, F. and Gren, I. 2013, Violation of environmental regulations in Sweden: Economic motives, environmental attitudes, and social c</w:t>
      </w:r>
      <w:r>
        <w:rPr>
          <w:rFonts w:asciiTheme="minorHAnsi" w:hAnsiTheme="minorHAnsi"/>
          <w:sz w:val="16"/>
          <w:szCs w:val="16"/>
        </w:rPr>
        <w:t xml:space="preserve">apital, Swedish University of Agricultural Sciences, Department of Economics, Working Paper 03/2013). </w:t>
      </w:r>
    </w:p>
  </w:footnote>
  <w:footnote w:id="114">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Mazur E., 2011. </w:t>
      </w:r>
      <w:hyperlink r:id="rId89" w:history="1">
        <w:r>
          <w:rPr>
            <w:rStyle w:val="Hyperlink"/>
            <w:rFonts w:asciiTheme="minorHAnsi" w:hAnsiTheme="minorHAnsi"/>
            <w:sz w:val="16"/>
            <w:szCs w:val="16"/>
          </w:rPr>
          <w:t>Environmental Enforcement in Decentralised Governance Systems: Towards a Nationwide Level Playing Field, OECD Environment Working Papers</w:t>
        </w:r>
      </w:hyperlink>
      <w:r>
        <w:rPr>
          <w:rFonts w:asciiTheme="minorHAnsi" w:hAnsiTheme="minorHAnsi"/>
          <w:sz w:val="16"/>
          <w:szCs w:val="16"/>
        </w:rPr>
        <w:t xml:space="preserve">, No 34, p. 22; OECD, </w:t>
      </w:r>
      <w:hyperlink r:id="rId90" w:history="1">
        <w:r>
          <w:rPr>
            <w:rStyle w:val="Hyperlink"/>
            <w:rFonts w:asciiTheme="minorHAnsi" w:hAnsiTheme="minorHAnsi"/>
            <w:sz w:val="16"/>
            <w:szCs w:val="16"/>
          </w:rPr>
          <w:t>Environmental Performance Reviews: Sweden 2014</w:t>
        </w:r>
      </w:hyperlink>
      <w:r>
        <w:rPr>
          <w:rFonts w:asciiTheme="minorHAnsi" w:hAnsiTheme="minorHAnsi"/>
          <w:sz w:val="16"/>
          <w:szCs w:val="16"/>
        </w:rPr>
        <w:t xml:space="preserve">, p. 56. </w:t>
      </w:r>
    </w:p>
  </w:footnote>
  <w:footnote w:id="11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According to the OECD, </w:t>
      </w:r>
      <w:hyperlink r:id="rId91" w:history="1">
        <w:r>
          <w:rPr>
            <w:rStyle w:val="Hyperlink"/>
            <w:rFonts w:asciiTheme="minorHAnsi" w:hAnsiTheme="minorHAnsi"/>
            <w:sz w:val="16"/>
            <w:szCs w:val="16"/>
          </w:rPr>
          <w:t>Environmental Per</w:t>
        </w:r>
        <w:r>
          <w:rPr>
            <w:rStyle w:val="Hyperlink"/>
            <w:rFonts w:asciiTheme="minorHAnsi" w:hAnsiTheme="minorHAnsi"/>
            <w:sz w:val="16"/>
            <w:szCs w:val="16"/>
          </w:rPr>
          <w:t>formance Reviews: Sweden 2014</w:t>
        </w:r>
      </w:hyperlink>
      <w:r>
        <w:rPr>
          <w:rFonts w:asciiTheme="minorHAnsi" w:hAnsiTheme="minorHAnsi"/>
          <w:sz w:val="16"/>
          <w:szCs w:val="16"/>
        </w:rPr>
        <w:t>, p. 56, inspection authorities do not have discretion in determining monetary sanctions and the administrative fines imposed do not take sufficient account of the causes for the occurred breaches and the environmental damage c</w:t>
      </w:r>
      <w:r>
        <w:rPr>
          <w:rFonts w:asciiTheme="minorHAnsi" w:hAnsiTheme="minorHAnsi"/>
          <w:sz w:val="16"/>
          <w:szCs w:val="16"/>
        </w:rPr>
        <w:t xml:space="preserve">aused. </w:t>
      </w:r>
    </w:p>
  </w:footnote>
  <w:footnote w:id="116">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Sjoberg E., 2013. </w:t>
      </w:r>
      <w:hyperlink r:id="rId92" w:history="1">
        <w:r>
          <w:rPr>
            <w:rStyle w:val="Hyperlink"/>
            <w:rFonts w:asciiTheme="minorHAnsi" w:hAnsiTheme="minorHAnsi"/>
            <w:sz w:val="16"/>
            <w:szCs w:val="16"/>
          </w:rPr>
          <w:t>Decentralized enforcement of national legislation: Political influence on environmental fines in Swedish municipalities</w:t>
        </w:r>
      </w:hyperlink>
      <w:r>
        <w:rPr>
          <w:rFonts w:asciiTheme="minorHAnsi" w:hAnsiTheme="minorHAnsi"/>
          <w:sz w:val="16"/>
          <w:szCs w:val="16"/>
        </w:rPr>
        <w:t xml:space="preserve"> </w:t>
      </w:r>
    </w:p>
  </w:footnote>
  <w:footnote w:id="117">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Sw</w:t>
      </w:r>
      <w:r>
        <w:rPr>
          <w:rFonts w:asciiTheme="minorHAnsi" w:hAnsiTheme="minorHAnsi"/>
          <w:sz w:val="16"/>
          <w:szCs w:val="16"/>
        </w:rPr>
        <w:t>eden has indicated that a government committee was established (Dir. 2016:32) with the task of exploring, among other things, ways of improving the cooperation between inspectors on one hand and police and prosecutors on the other. This committee will also</w:t>
      </w:r>
      <w:r>
        <w:rPr>
          <w:rFonts w:asciiTheme="minorHAnsi" w:hAnsiTheme="minorHAnsi"/>
          <w:sz w:val="16"/>
          <w:szCs w:val="16"/>
        </w:rPr>
        <w:t xml:space="preserve"> analyse the system for financing of inspections and compliance assurance as well as the system for compliance assurance cooperation at national, regional and the municipality level. The committee will present the outcome of its work in April 2017.</w:t>
      </w:r>
    </w:p>
  </w:footnote>
  <w:footnote w:id="118">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OECD,</w:t>
      </w:r>
      <w:r>
        <w:rPr>
          <w:rFonts w:asciiTheme="minorHAnsi" w:hAnsiTheme="minorHAnsi"/>
          <w:sz w:val="16"/>
          <w:szCs w:val="16"/>
        </w:rPr>
        <w:t xml:space="preserve"> </w:t>
      </w:r>
      <w:hyperlink r:id="rId93" w:history="1">
        <w:r>
          <w:rPr>
            <w:rStyle w:val="Hyperlink"/>
            <w:rFonts w:asciiTheme="minorHAnsi" w:hAnsiTheme="minorHAnsi"/>
            <w:sz w:val="16"/>
            <w:szCs w:val="16"/>
          </w:rPr>
          <w:t>Environmental Performance Reviews: Sweden 2014</w:t>
        </w:r>
      </w:hyperlink>
      <w:r>
        <w:rPr>
          <w:rFonts w:asciiTheme="minorHAnsi" w:hAnsiTheme="minorHAnsi"/>
          <w:sz w:val="16"/>
          <w:szCs w:val="16"/>
        </w:rPr>
        <w:t xml:space="preserve">, p. 56. </w:t>
      </w:r>
    </w:p>
  </w:footnote>
  <w:footnote w:id="119">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Study on 'Information collection and impact assessment of possibl</w:t>
      </w:r>
      <w:r>
        <w:rPr>
          <w:rFonts w:asciiTheme="minorHAnsi" w:hAnsiTheme="minorHAnsi"/>
          <w:sz w:val="16"/>
          <w:szCs w:val="16"/>
        </w:rPr>
        <w:t>e requirements for environmental inspections in the area of EU legislation on water, nature protection and trade in certain environmentally sensitive goods', 2013 IEEP/BioIntelligence/Ecologic, p. 293; OECD Environmental Performance Reviews: Sweden 2014, p</w:t>
      </w:r>
      <w:r>
        <w:rPr>
          <w:rFonts w:asciiTheme="minorHAnsi" w:hAnsiTheme="minorHAnsi"/>
          <w:sz w:val="16"/>
          <w:szCs w:val="16"/>
        </w:rPr>
        <w:t xml:space="preserve">. 48, 55. </w:t>
      </w:r>
    </w:p>
  </w:footnote>
  <w:footnote w:id="120">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94" w:history="1">
        <w:r>
          <w:rPr>
            <w:rStyle w:val="Hyperlink"/>
            <w:rFonts w:asciiTheme="minorHAnsi" w:hAnsiTheme="minorHAnsi"/>
            <w:sz w:val="16"/>
            <w:szCs w:val="16"/>
          </w:rPr>
          <w:t xml:space="preserve">2012/2013 access to justice in environmental matters </w:t>
        </w:r>
      </w:hyperlink>
    </w:p>
  </w:footnote>
  <w:footnote w:id="121">
    <w:p w:rsidR="00823F06" w:rsidRDefault="008128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committee will present the investigation 31 March 2017. Regarding the conditions for bei</w:t>
      </w:r>
      <w:r>
        <w:rPr>
          <w:rFonts w:asciiTheme="minorHAnsi" w:hAnsiTheme="minorHAnsi"/>
          <w:sz w:val="16"/>
          <w:szCs w:val="16"/>
        </w:rPr>
        <w:t>ng recognised as an environmental NGO, a proposal by the Ministry of the Environment and Energy to change the conditions, including the removal of the condition which only grants NGOs that have been active for at least three years in Sweden legal standing,</w:t>
      </w:r>
      <w:r>
        <w:rPr>
          <w:rFonts w:asciiTheme="minorHAnsi" w:hAnsiTheme="minorHAnsi"/>
          <w:sz w:val="16"/>
          <w:szCs w:val="16"/>
        </w:rPr>
        <w:t xml:space="preserve"> is currently being circulated for referral.</w:t>
      </w:r>
    </w:p>
  </w:footnote>
  <w:footnote w:id="122">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95" w:history="1">
        <w:r>
          <w:rPr>
            <w:rStyle w:val="Hyperlink"/>
            <w:rFonts w:asciiTheme="minorHAnsi" w:hAnsiTheme="minorHAnsi"/>
            <w:sz w:val="16"/>
            <w:szCs w:val="16"/>
          </w:rPr>
          <w:t>The Aarhus Convention</w:t>
        </w:r>
      </w:hyperlink>
      <w:r>
        <w:rPr>
          <w:rFonts w:asciiTheme="minorHAnsi" w:hAnsiTheme="minorHAnsi"/>
          <w:sz w:val="16"/>
          <w:szCs w:val="16"/>
        </w:rPr>
        <w:t xml:space="preserve"> </w:t>
      </w:r>
    </w:p>
  </w:footnote>
  <w:footnote w:id="123">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96" w:history="1">
        <w:r>
          <w:rPr>
            <w:rStyle w:val="Hyperlink"/>
            <w:rFonts w:asciiTheme="minorHAnsi" w:hAnsiTheme="minorHAnsi"/>
            <w:sz w:val="16"/>
            <w:szCs w:val="16"/>
          </w:rPr>
          <w:t>Directive 2003/4/EC on public access to environmental information</w:t>
        </w:r>
      </w:hyperlink>
    </w:p>
  </w:footnote>
  <w:footnote w:id="124">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97" w:history="1">
        <w:r>
          <w:rPr>
            <w:rStyle w:val="Hyperlink"/>
            <w:rFonts w:asciiTheme="minorHAnsi" w:hAnsiTheme="minorHAnsi"/>
            <w:sz w:val="16"/>
            <w:szCs w:val="16"/>
          </w:rPr>
          <w:t>INSPIRE Directive</w:t>
        </w:r>
      </w:hyperlink>
    </w:p>
  </w:footnote>
  <w:footnote w:id="125">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eGovernment Action Plan 2016-2020 - Accelerating the digital transformation of</w:t>
      </w:r>
      <w:r>
        <w:rPr>
          <w:rFonts w:asciiTheme="minorHAnsi" w:hAnsiTheme="minorHAnsi"/>
          <w:sz w:val="16"/>
          <w:szCs w:val="16"/>
        </w:rPr>
        <w:t xml:space="preserve"> government </w:t>
      </w:r>
      <w:hyperlink r:id="rId98"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26">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9" w:history="1">
        <w:r>
          <w:rPr>
            <w:rStyle w:val="Hyperlink"/>
            <w:rFonts w:asciiTheme="minorHAnsi" w:hAnsiTheme="minorHAnsi"/>
            <w:color w:val="auto"/>
            <w:sz w:val="16"/>
            <w:szCs w:val="16"/>
          </w:rPr>
          <w:t>European</w:t>
        </w:r>
      </w:hyperlink>
      <w:r>
        <w:rPr>
          <w:rFonts w:asciiTheme="minorHAnsi" w:hAnsiTheme="minorHAnsi"/>
          <w:sz w:val="16"/>
          <w:szCs w:val="16"/>
          <w:u w:val="single"/>
        </w:rPr>
        <w:t xml:space="preserve"> </w:t>
      </w:r>
      <w:r>
        <w:rPr>
          <w:rFonts w:asciiTheme="minorHAnsi" w:hAnsiTheme="minorHAnsi"/>
          <w:sz w:val="16"/>
          <w:szCs w:val="16"/>
        </w:rPr>
        <w:t xml:space="preserve">Commission, 2016. </w:t>
      </w:r>
      <w:hyperlink r:id="rId100" w:history="1">
        <w:r>
          <w:rPr>
            <w:rStyle w:val="Hyperlink"/>
            <w:rFonts w:asciiTheme="minorHAnsi" w:hAnsiTheme="minorHAnsi"/>
            <w:sz w:val="16"/>
            <w:szCs w:val="16"/>
          </w:rPr>
          <w:t>Inspire – Monitoring and Reporting</w:t>
        </w:r>
      </w:hyperlink>
    </w:p>
  </w:footnote>
  <w:footnote w:id="127">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01" w:history="1">
        <w:hyperlink r:id="rId102" w:history="1">
          <w:r>
            <w:rPr>
              <w:rStyle w:val="Hyperlink"/>
              <w:rFonts w:asciiTheme="minorHAnsi" w:hAnsiTheme="minorHAnsi"/>
              <w:sz w:val="16"/>
              <w:szCs w:val="16"/>
            </w:rPr>
            <w:t>Inspire indicator</w:t>
          </w:r>
          <w:r>
            <w:rPr>
              <w:rStyle w:val="Hyperlink"/>
              <w:rFonts w:asciiTheme="minorHAnsi" w:hAnsiTheme="minorHAnsi"/>
              <w:sz w:val="16"/>
              <w:szCs w:val="16"/>
            </w:rPr>
            <w:t xml:space="preserve"> trends</w:t>
          </w:r>
        </w:hyperlink>
        <w:r>
          <w:rPr>
            <w:rStyle w:val="Hyperlink"/>
            <w:rFonts w:asciiTheme="minorHAnsi" w:hAnsiTheme="minorHAnsi"/>
            <w:sz w:val="16"/>
            <w:szCs w:val="16"/>
          </w:rPr>
          <w:t xml:space="preserve"> </w:t>
        </w:r>
      </w:hyperlink>
    </w:p>
  </w:footnote>
  <w:footnote w:id="128">
    <w:p w:rsidR="00823F06" w:rsidRDefault="008128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03" w:history="1">
        <w:r>
          <w:rPr>
            <w:rStyle w:val="Hyperlink"/>
            <w:rFonts w:asciiTheme="minorHAnsi" w:hAnsiTheme="minorHAnsi"/>
            <w:sz w:val="16"/>
            <w:szCs w:val="16"/>
          </w:rPr>
          <w:t xml:space="preserve">Inspire Resources Summary Report </w:t>
        </w:r>
      </w:hyperlink>
      <w:r>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0F" w:rsidRPr="0081280F" w:rsidRDefault="0081280F" w:rsidP="0081280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470940"/>
      <w:docPartObj>
        <w:docPartGallery w:val="Watermarks"/>
        <w:docPartUnique/>
      </w:docPartObj>
    </w:sdtPr>
    <w:sdtEndPr/>
    <w:sdtContent>
      <w:p w:rsidR="00823F06" w:rsidRDefault="0081280F">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sdt>
            <w:sdtPr>
              <w:rPr>
                <w:rFonts w:ascii="Calibri" w:eastAsia="Calibri" w:hAnsi="Calibri"/>
                <w:b/>
                <w:color w:val="1F497D"/>
                <w:lang w:eastAsia="ar-SA"/>
              </w:rPr>
              <w:id w:val="313920505"/>
              <w:docPartObj>
                <w:docPartGallery w:val="Watermarks"/>
                <w:docPartUnique/>
              </w:docPartObj>
            </w:sdtPr>
            <w:sdtEndPr/>
            <w:sdtContent>
              <w:r>
                <w:rPr>
                  <w:rFonts w:ascii="Calibri" w:eastAsia="Calibri" w:hAnsi="Calibri"/>
                  <w:b/>
                  <w:noProof/>
                  <w:color w:val="1F497D"/>
                  <w:lang w:val="en-US" w:eastAsia="zh-TW"/>
                </w:rPr>
                <w:pict>
                  <v:shape id="_x0000_s2058" type="#_x0000_t136" style="position:absolute;left:0;text-align:left;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5</w:t>
          </w:r>
          <w:r>
            <w:rPr>
              <w:rFonts w:ascii="Calibri" w:eastAsia="Calibri" w:hAnsi="Calibri"/>
              <w:b/>
              <w:color w:val="1F497D"/>
              <w:sz w:val="28"/>
              <w:lang w:eastAsia="ar-SA"/>
            </w:rPr>
            <w:fldChar w:fldCharType="end"/>
          </w:r>
        </w:p>
      </w:tc>
    </w:tr>
  </w:tbl>
  <w:p w:rsidR="00823F06" w:rsidRDefault="00823F0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766868"/>
      <w:docPartObj>
        <w:docPartGallery w:val="Watermarks"/>
        <w:docPartUnique/>
      </w:docPartObj>
    </w:sdtPr>
    <w:sdtEndPr/>
    <w:sdtContent>
      <w:p w:rsidR="00823F06" w:rsidRDefault="0081280F">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sdt>
            <w:sdtPr>
              <w:rPr>
                <w:rFonts w:ascii="Calibri" w:eastAsia="Calibri" w:hAnsi="Calibri"/>
                <w:b/>
                <w:color w:val="1F497D"/>
                <w:lang w:eastAsia="ar-SA"/>
              </w:rPr>
              <w:id w:val="-1375301734"/>
              <w:docPartObj>
                <w:docPartGallery w:val="Watermarks"/>
                <w:docPartUnique/>
              </w:docPartObj>
            </w:sdtPr>
            <w:sdtEndPr/>
            <w:sdtContent>
              <w:r>
                <w:rPr>
                  <w:rFonts w:ascii="Calibri" w:eastAsia="Calibri" w:hAnsi="Calibri"/>
                  <w:b/>
                  <w:noProof/>
                  <w:color w:val="1F497D"/>
                  <w:lang w:val="en-US" w:eastAsia="zh-TW"/>
                </w:rPr>
                <w:pict>
                  <v:shape id="_x0000_s2060" type="#_x0000_t136" style="position:absolute;left:0;text-align:left;margin-left:0;margin-top:0;width:412.4pt;height:247.45pt;rotation:315;z-index:-2516418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i</w:t>
          </w:r>
          <w:r>
            <w:rPr>
              <w:rFonts w:ascii="Calibri" w:eastAsia="Calibri" w:hAnsi="Calibri"/>
              <w:b/>
              <w:color w:val="1F497D"/>
              <w:sz w:val="28"/>
              <w:lang w:eastAsia="ar-SA"/>
            </w:rPr>
            <w:fldChar w:fldCharType="end"/>
          </w:r>
        </w:p>
      </w:tc>
    </w:tr>
  </w:tbl>
  <w:p w:rsidR="00823F06" w:rsidRDefault="00823F0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5</w:t>
          </w:r>
          <w:r>
            <w:rPr>
              <w:rFonts w:ascii="Calibri" w:eastAsia="Calibri" w:hAnsi="Calibri"/>
              <w:b/>
              <w:color w:val="1F497D"/>
              <w:sz w:val="28"/>
              <w:lang w:eastAsia="ar-SA"/>
            </w:rPr>
            <w:fldChar w:fldCharType="end"/>
          </w:r>
        </w:p>
      </w:tc>
    </w:tr>
  </w:tbl>
  <w:p w:rsidR="00823F06" w:rsidRDefault="00823F0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0F" w:rsidRPr="0081280F" w:rsidRDefault="0081280F" w:rsidP="0081280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10</w:t>
          </w:r>
          <w:r>
            <w:rPr>
              <w:rFonts w:ascii="Calibri" w:eastAsia="Calibri" w:hAnsi="Calibri"/>
              <w:b/>
              <w:color w:val="1F497D"/>
              <w:sz w:val="28"/>
              <w:lang w:eastAsia="ar-SA"/>
            </w:rPr>
            <w:fldChar w:fldCharType="end"/>
          </w:r>
        </w:p>
      </w:tc>
    </w:tr>
  </w:tbl>
  <w:p w:rsidR="00823F06" w:rsidRDefault="00823F0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11</w:t>
          </w:r>
          <w:r>
            <w:rPr>
              <w:rFonts w:ascii="Calibri" w:eastAsia="Calibri" w:hAnsi="Calibri"/>
              <w:b/>
              <w:color w:val="1F497D"/>
              <w:sz w:val="28"/>
              <w:lang w:eastAsia="ar-SA"/>
            </w:rPr>
            <w:fldChar w:fldCharType="end"/>
          </w:r>
        </w:p>
      </w:tc>
    </w:tr>
  </w:tbl>
  <w:p w:rsidR="00823F06" w:rsidRDefault="00823F0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15</w:t>
          </w:r>
          <w:r>
            <w:rPr>
              <w:rFonts w:ascii="Calibri" w:eastAsia="Calibri" w:hAnsi="Calibri"/>
              <w:b/>
              <w:color w:val="1F497D"/>
              <w:sz w:val="28"/>
              <w:lang w:eastAsia="ar-SA"/>
            </w:rPr>
            <w:fldChar w:fldCharType="end"/>
          </w:r>
        </w:p>
      </w:tc>
    </w:tr>
  </w:tbl>
  <w:p w:rsidR="00823F06" w:rsidRDefault="00823F0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16</w:t>
          </w:r>
          <w:r>
            <w:rPr>
              <w:rFonts w:ascii="Calibri" w:eastAsia="Calibri" w:hAnsi="Calibri"/>
              <w:b/>
              <w:color w:val="1F497D"/>
              <w:sz w:val="28"/>
              <w:lang w:eastAsia="ar-SA"/>
            </w:rPr>
            <w:fldChar w:fldCharType="end"/>
          </w:r>
        </w:p>
      </w:tc>
    </w:tr>
  </w:tbl>
  <w:p w:rsidR="00823F06" w:rsidRDefault="00823F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0F" w:rsidRPr="0081280F" w:rsidRDefault="0081280F" w:rsidP="0081280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20</w:t>
          </w:r>
          <w:r>
            <w:rPr>
              <w:rFonts w:ascii="Calibri" w:eastAsia="Calibri" w:hAnsi="Calibri"/>
              <w:b/>
              <w:color w:val="1F497D"/>
              <w:sz w:val="28"/>
              <w:lang w:eastAsia="ar-SA"/>
            </w:rPr>
            <w:fldChar w:fldCharType="end"/>
          </w:r>
        </w:p>
      </w:tc>
    </w:tr>
  </w:tbl>
  <w:p w:rsidR="00823F06" w:rsidRDefault="00823F0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21</w:t>
          </w:r>
          <w:r>
            <w:rPr>
              <w:rFonts w:ascii="Calibri" w:eastAsia="Calibri" w:hAnsi="Calibri"/>
              <w:b/>
              <w:color w:val="1F497D"/>
              <w:sz w:val="28"/>
              <w:lang w:eastAsia="ar-SA"/>
            </w:rPr>
            <w:fldChar w:fldCharType="end"/>
          </w:r>
        </w:p>
      </w:tc>
    </w:tr>
  </w:tbl>
  <w:p w:rsidR="00823F06" w:rsidRDefault="00823F06">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376909"/>
      <w:docPartObj>
        <w:docPartGallery w:val="Watermarks"/>
        <w:docPartUnique/>
      </w:docPartObj>
    </w:sdtPr>
    <w:sdtEndPr/>
    <w:sdtContent>
      <w:p w:rsidR="00823F06" w:rsidRDefault="0081280F">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0;margin-top:0;width:412.4pt;height:247.4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sdt>
            <w:sdtPr>
              <w:rPr>
                <w:rFonts w:ascii="Calibri" w:eastAsia="Calibri" w:hAnsi="Calibri"/>
                <w:b/>
                <w:color w:val="1F497D"/>
                <w:lang w:eastAsia="ar-SA"/>
              </w:rPr>
              <w:id w:val="-1290432390"/>
              <w:docPartObj>
                <w:docPartGallery w:val="Watermarks"/>
                <w:docPartUnique/>
              </w:docPartObj>
            </w:sdtPr>
            <w:sdtEndPr/>
            <w:sdtContent>
              <w:r>
                <w:rPr>
                  <w:rFonts w:ascii="Calibri" w:eastAsia="Calibri" w:hAnsi="Calibri"/>
                  <w:b/>
                  <w:noProof/>
                  <w:color w:val="1F497D"/>
                  <w:lang w:val="en-US" w:eastAsia="zh-TW"/>
                </w:rPr>
                <w:pict>
                  <v:shape id="_x0000_s2076" type="#_x0000_t136" style="position:absolute;left:0;text-align:left;margin-left:0;margin-top:0;width:412.4pt;height:247.45pt;rotation:315;z-index:-2516172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i</w:t>
          </w:r>
          <w:r>
            <w:rPr>
              <w:rFonts w:ascii="Calibri" w:eastAsia="Calibri" w:hAnsi="Calibri"/>
              <w:b/>
              <w:color w:val="1F497D"/>
              <w:sz w:val="28"/>
              <w:lang w:eastAsia="ar-SA"/>
            </w:rPr>
            <w:fldChar w:fldCharType="end"/>
          </w:r>
        </w:p>
      </w:tc>
    </w:tr>
  </w:tbl>
  <w:p w:rsidR="00823F06" w:rsidRDefault="00823F0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23</w:t>
          </w:r>
          <w:r>
            <w:rPr>
              <w:rFonts w:ascii="Calibri" w:eastAsia="Calibri" w:hAnsi="Calibri"/>
              <w:b/>
              <w:color w:val="1F497D"/>
              <w:sz w:val="28"/>
              <w:lang w:eastAsia="ar-SA"/>
            </w:rPr>
            <w:fldChar w:fldCharType="end"/>
          </w:r>
        </w:p>
      </w:tc>
    </w:tr>
  </w:tbl>
  <w:p w:rsidR="00823F06" w:rsidRDefault="00823F06">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24</w:t>
          </w:r>
          <w:r>
            <w:rPr>
              <w:rFonts w:ascii="Calibri" w:eastAsia="Calibri" w:hAnsi="Calibri"/>
              <w:b/>
              <w:color w:val="1F497D"/>
              <w:sz w:val="28"/>
              <w:lang w:eastAsia="ar-SA"/>
            </w:rPr>
            <w:fldChar w:fldCharType="end"/>
          </w:r>
        </w:p>
      </w:tc>
    </w:tr>
  </w:tbl>
  <w:p w:rsidR="00823F06" w:rsidRDefault="00823F06">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28</w:t>
          </w:r>
          <w:r>
            <w:rPr>
              <w:rFonts w:ascii="Calibri" w:eastAsia="Calibri" w:hAnsi="Calibri"/>
              <w:b/>
              <w:color w:val="1F497D"/>
              <w:sz w:val="28"/>
              <w:lang w:eastAsia="ar-SA"/>
            </w:rPr>
            <w:fldChar w:fldCharType="end"/>
          </w:r>
        </w:p>
      </w:tc>
    </w:tr>
  </w:tbl>
  <w:p w:rsidR="00823F06" w:rsidRDefault="00823F06">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3</w:t>
          </w:r>
          <w:r>
            <w:rPr>
              <w:rFonts w:ascii="Calibri" w:eastAsia="Calibri" w:hAnsi="Calibri"/>
              <w:b/>
              <w:color w:val="1F497D"/>
              <w:sz w:val="28"/>
              <w:lang w:eastAsia="ar-SA"/>
            </w:rPr>
            <w:fldChar w:fldCharType="end"/>
          </w:r>
        </w:p>
      </w:tc>
    </w:tr>
  </w:tbl>
  <w:p w:rsidR="00823F06" w:rsidRDefault="00823F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2</w:t>
          </w:r>
          <w:r>
            <w:rPr>
              <w:rFonts w:ascii="Calibri" w:eastAsia="Calibri" w:hAnsi="Calibri"/>
              <w:b/>
              <w:color w:val="1F497D"/>
              <w:sz w:val="28"/>
              <w:lang w:eastAsia="ar-SA"/>
            </w:rPr>
            <w:fldChar w:fldCharType="end"/>
          </w:r>
        </w:p>
      </w:tc>
    </w:tr>
  </w:tbl>
  <w:p w:rsidR="00823F06" w:rsidRDefault="00823F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823F06">
      <w:tc>
        <w:tcPr>
          <w:tcW w:w="8810" w:type="dxa"/>
          <w:shd w:val="clear" w:color="auto" w:fill="auto"/>
        </w:tcPr>
        <w:p w:rsidR="00823F06" w:rsidRDefault="0081280F">
          <w:pPr>
            <w:tabs>
              <w:tab w:val="center" w:pos="4513"/>
              <w:tab w:val="right" w:pos="9026"/>
            </w:tabs>
            <w:suppressAutoHyphens/>
            <w:spacing w:after="0"/>
            <w:jc w:val="right"/>
            <w:rPr>
              <w:rFonts w:ascii="Calibri" w:eastAsia="Calibri" w:hAnsi="Calibri"/>
              <w:lang w:eastAsia="ar-SA"/>
            </w:rPr>
          </w:pPr>
          <w:r>
            <w:rPr>
              <w:rFonts w:ascii="Calibri" w:eastAsia="Calibri" w:hAnsi="Calibri"/>
              <w:b/>
              <w:color w:val="1F497D"/>
              <w:lang w:eastAsia="ar-SA"/>
            </w:rPr>
            <w:t>Sweden</w:t>
          </w:r>
        </w:p>
      </w:tc>
      <w:tc>
        <w:tcPr>
          <w:tcW w:w="1152" w:type="dxa"/>
          <w:tcBorders>
            <w:left w:val="single" w:sz="4" w:space="0" w:color="000000"/>
          </w:tcBorders>
          <w:shd w:val="clear" w:color="auto" w:fill="auto"/>
        </w:tcPr>
        <w:p w:rsidR="00823F06" w:rsidRDefault="0081280F">
          <w:pPr>
            <w:tabs>
              <w:tab w:val="center" w:pos="4513"/>
              <w:tab w:val="right" w:pos="9026"/>
            </w:tabs>
            <w:suppressAutoHyphens/>
            <w:spacing w:after="0"/>
            <w:rPr>
              <w:rFonts w:ascii="Calibri" w:eastAsia="Calibri" w:hAnsi="Calibri"/>
              <w:lang w:eastAsia="ar-SA"/>
            </w:rPr>
          </w:pPr>
          <w:r>
            <w:rPr>
              <w:rFonts w:ascii="Calibri" w:eastAsia="Calibri" w:hAnsi="Calibri"/>
              <w:b/>
              <w:color w:val="1F497D"/>
              <w:sz w:val="28"/>
              <w:lang w:eastAsia="ar-SA"/>
            </w:rPr>
            <w:fldChar w:fldCharType="begin"/>
          </w:r>
          <w:r>
            <w:rPr>
              <w:rFonts w:ascii="Calibri" w:eastAsia="Calibri" w:hAnsi="Calibri"/>
              <w:b/>
              <w:color w:val="1F497D"/>
              <w:sz w:val="28"/>
              <w:lang w:eastAsia="ar-SA"/>
            </w:rPr>
            <w:instrText xml:space="preserve"> PAGE </w:instrText>
          </w:r>
          <w:r>
            <w:rPr>
              <w:rFonts w:ascii="Calibri" w:eastAsia="Calibri" w:hAnsi="Calibri"/>
              <w:b/>
              <w:color w:val="1F497D"/>
              <w:sz w:val="28"/>
              <w:lang w:eastAsia="ar-SA"/>
            </w:rPr>
            <w:fldChar w:fldCharType="separate"/>
          </w:r>
          <w:r>
            <w:rPr>
              <w:rFonts w:ascii="Calibri" w:eastAsia="Calibri" w:hAnsi="Calibri"/>
              <w:b/>
              <w:noProof/>
              <w:color w:val="1F497D"/>
              <w:sz w:val="28"/>
              <w:lang w:eastAsia="ar-SA"/>
            </w:rPr>
            <w:t>4</w:t>
          </w:r>
          <w:r>
            <w:rPr>
              <w:rFonts w:ascii="Calibri" w:eastAsia="Calibri" w:hAnsi="Calibri"/>
              <w:b/>
              <w:color w:val="1F497D"/>
              <w:sz w:val="28"/>
              <w:lang w:eastAsia="ar-SA"/>
            </w:rPr>
            <w:fldChar w:fldCharType="end"/>
          </w:r>
        </w:p>
      </w:tc>
    </w:tr>
  </w:tbl>
  <w:p w:rsidR="00823F06" w:rsidRDefault="00823F0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06" w:rsidRDefault="00823F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3">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4">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5">
    <w:nsid w:val="32243DBE"/>
    <w:multiLevelType w:val="hybridMultilevel"/>
    <w:tmpl w:val="B11E80D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4E168C1"/>
    <w:multiLevelType w:val="hybridMultilevel"/>
    <w:tmpl w:val="0BAE7DC4"/>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75D2424"/>
    <w:multiLevelType w:val="hybridMultilevel"/>
    <w:tmpl w:val="10784D0A"/>
    <w:lvl w:ilvl="0" w:tplc="C63C885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9">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72E70FE"/>
    <w:multiLevelType w:val="hybridMultilevel"/>
    <w:tmpl w:val="28C0A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9EF108E"/>
    <w:multiLevelType w:val="hybridMultilevel"/>
    <w:tmpl w:val="84FE9C46"/>
    <w:lvl w:ilvl="0" w:tplc="8FDEB6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784B7D"/>
    <w:multiLevelType w:val="hybridMultilevel"/>
    <w:tmpl w:val="8DC2B2C4"/>
    <w:lvl w:ilvl="0" w:tplc="AFCCB210">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5F7607"/>
    <w:multiLevelType w:val="hybridMultilevel"/>
    <w:tmpl w:val="97807650"/>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2D5429B"/>
    <w:multiLevelType w:val="hybridMultilevel"/>
    <w:tmpl w:val="BBB227F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9">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A667991"/>
    <w:multiLevelType w:val="hybridMultilevel"/>
    <w:tmpl w:val="FAE0F11E"/>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3"/>
  </w:num>
  <w:num w:numId="3">
    <w:abstractNumId w:val="27"/>
  </w:num>
  <w:num w:numId="4">
    <w:abstractNumId w:val="22"/>
  </w:num>
  <w:num w:numId="5">
    <w:abstractNumId w:val="11"/>
  </w:num>
  <w:num w:numId="6">
    <w:abstractNumId w:val="9"/>
  </w:num>
  <w:num w:numId="7">
    <w:abstractNumId w:val="30"/>
  </w:num>
  <w:num w:numId="8">
    <w:abstractNumId w:val="21"/>
  </w:num>
  <w:num w:numId="9">
    <w:abstractNumId w:val="8"/>
  </w:num>
  <w:num w:numId="10">
    <w:abstractNumId w:val="4"/>
  </w:num>
  <w:num w:numId="11">
    <w:abstractNumId w:val="2"/>
  </w:num>
  <w:num w:numId="12">
    <w:abstractNumId w:val="1"/>
  </w:num>
  <w:num w:numId="13">
    <w:abstractNumId w:val="24"/>
  </w:num>
  <w:num w:numId="14">
    <w:abstractNumId w:val="26"/>
  </w:num>
  <w:num w:numId="15">
    <w:abstractNumId w:val="25"/>
  </w:num>
  <w:num w:numId="16">
    <w:abstractNumId w:val="28"/>
  </w:num>
  <w:num w:numId="17">
    <w:abstractNumId w:val="3"/>
  </w:num>
  <w:num w:numId="18">
    <w:abstractNumId w:val="10"/>
  </w:num>
  <w:num w:numId="19">
    <w:abstractNumId w:val="14"/>
  </w:num>
  <w:num w:numId="20">
    <w:abstractNumId w:val="12"/>
  </w:num>
  <w:num w:numId="21">
    <w:abstractNumId w:val="0"/>
  </w:num>
  <w:num w:numId="22">
    <w:abstractNumId w:val="16"/>
  </w:num>
  <w:num w:numId="23">
    <w:abstractNumId w:val="17"/>
  </w:num>
  <w:num w:numId="24">
    <w:abstractNumId w:val="7"/>
  </w:num>
  <w:num w:numId="25">
    <w:abstractNumId w:val="18"/>
  </w:num>
  <w:num w:numId="26">
    <w:abstractNumId w:val="6"/>
  </w:num>
  <w:num w:numId="27">
    <w:abstractNumId w:val="15"/>
  </w:num>
  <w:num w:numId="28">
    <w:abstractNumId w:val="23"/>
  </w:num>
  <w:num w:numId="29">
    <w:abstractNumId w:val="20"/>
  </w:num>
  <w:num w:numId="30">
    <w:abstractNumId w:val="31"/>
  </w:num>
  <w:num w:numId="31">
    <w:abstractNumId w:val="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1A23556C9E124E48912ED16690CF99CD"/>
    <w:docVar w:name="LW_CROSSREFERENCE" w:val="{COM(2017) 63 final}_x000a_{SWD(2017) 33 - 55 final}_x000a_{SWD(2017) 57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6"/>
    <w:docVar w:name="LW_REF.INTERNE" w:val="&lt;UNUSED&gt;"/>
    <w:docVar w:name="LW_SUPERTITRE" w:val="&lt;UNUSED&gt;"/>
    <w:docVar w:name="LW_TITRE.OBJ.CP" w:val="The EU Environmental Implementation Review _x000b_Country Report - SWEDEN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823F06"/>
    <w:rsid w:val="0081280F"/>
    <w:rsid w:val="00823F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aliases w:val="Caption Char Char,Caption Char,Caption Char Char Char,Beschriftung_tab,tab_überschrift,unten,(U),Beschriftung-eng,Beschriftung-dt-Abbildung,Legend,Figure reference,Tab_Überschrift,Caption Char1 Char Char Char,Caption Char Char Char Char Char"/>
    <w:basedOn w:val="Normal"/>
    <w:next w:val="Normal"/>
    <w:link w:val="CaptionChar1"/>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2"/>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ptionNotes">
    <w:name w:val="Caption Notes"/>
    <w:basedOn w:val="Normal"/>
    <w:next w:val="Normal"/>
    <w:link w:val="CaptionNotesCharChar"/>
    <w:qFormat/>
    <w:pPr>
      <w:spacing w:before="60" w:after="240" w:line="240" w:lineRule="auto"/>
    </w:pPr>
    <w:rPr>
      <w:rFonts w:eastAsia="Times New Roman" w:cs="Arial"/>
      <w:i/>
      <w:iCs/>
      <w:sz w:val="20"/>
      <w:szCs w:val="20"/>
      <w:lang w:eastAsia="en-GB"/>
    </w:rPr>
  </w:style>
  <w:style w:type="character" w:customStyle="1" w:styleId="CaptionNotesCharChar">
    <w:name w:val="Caption Notes Char Char"/>
    <w:link w:val="CaptionNotes"/>
    <w:rPr>
      <w:rFonts w:eastAsia="Times New Roman" w:cs="Arial"/>
      <w:i/>
      <w:iCs/>
      <w:sz w:val="20"/>
      <w:szCs w:val="20"/>
      <w:lang w:eastAsia="en-GB"/>
    </w:rPr>
  </w:style>
  <w:style w:type="character" w:customStyle="1" w:styleId="CaptionChar1">
    <w:name w:val="Caption Char1"/>
    <w:aliases w:val="Caption Char Char Char1,Caption Char Char1,Caption Char Char Char Char,Beschriftung_tab Char,tab_überschrift Char,unten Char,(U) Char,Beschriftung-eng Char,Beschriftung-dt-Abbildung Char,Legend Char,Figure reference Char"/>
    <w:link w:val="Caption"/>
    <w:uiPriority w:val="35"/>
    <w:locked/>
    <w:rPr>
      <w:rFonts w:ascii="Calibri" w:eastAsia="Calibri" w:hAnsi="Calibri" w:cs="Times New Roman"/>
      <w:b/>
      <w:bCs/>
      <w:color w:val="4F81BD"/>
      <w:sz w:val="18"/>
      <w:szCs w:val="18"/>
    </w:r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lang w:eastAsia="en-GB"/>
    </w:rPr>
  </w:style>
  <w:style w:type="paragraph" w:styleId="BodyText">
    <w:name w:val="Body Text"/>
    <w:basedOn w:val="Normal"/>
    <w:link w:val="BodyTextChar"/>
    <w:uiPriority w:val="99"/>
    <w:pPr>
      <w:spacing w:before="120" w:after="120" w:line="240" w:lineRule="auto"/>
      <w:jc w:val="both"/>
    </w:pPr>
    <w:rPr>
      <w:rFonts w:eastAsia="Times New Roman" w:cs="Trebuchet MS"/>
      <w:color w:val="000000"/>
    </w:rPr>
  </w:style>
  <w:style w:type="character" w:customStyle="1" w:styleId="BodyTextChar">
    <w:name w:val="Body Text Char"/>
    <w:basedOn w:val="DefaultParagraphFont"/>
    <w:link w:val="BodyText"/>
    <w:uiPriority w:val="99"/>
    <w:rPr>
      <w:rFonts w:eastAsia="Times New Roman" w:cs="Trebuchet MS"/>
      <w:color w:val="000000"/>
    </w:rPr>
  </w:style>
  <w:style w:type="character" w:customStyle="1" w:styleId="alt-edited1">
    <w:name w:val="alt-edited1"/>
    <w:basedOn w:val="DefaultParagraphFont"/>
    <w:rPr>
      <w:color w:val="4D90F0"/>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aliases w:val="Caption Char Char,Caption Char,Caption Char Char Char,Beschriftung_tab,tab_überschrift,unten,(U),Beschriftung-eng,Beschriftung-dt-Abbildung,Legend,Figure reference,Tab_Überschrift,Caption Char1 Char Char Char,Caption Char Char Char Char Char"/>
    <w:basedOn w:val="Normal"/>
    <w:next w:val="Normal"/>
    <w:link w:val="CaptionChar1"/>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2"/>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ptionNotes">
    <w:name w:val="Caption Notes"/>
    <w:basedOn w:val="Normal"/>
    <w:next w:val="Normal"/>
    <w:link w:val="CaptionNotesCharChar"/>
    <w:qFormat/>
    <w:pPr>
      <w:spacing w:before="60" w:after="240" w:line="240" w:lineRule="auto"/>
    </w:pPr>
    <w:rPr>
      <w:rFonts w:eastAsia="Times New Roman" w:cs="Arial"/>
      <w:i/>
      <w:iCs/>
      <w:sz w:val="20"/>
      <w:szCs w:val="20"/>
      <w:lang w:eastAsia="en-GB"/>
    </w:rPr>
  </w:style>
  <w:style w:type="character" w:customStyle="1" w:styleId="CaptionNotesCharChar">
    <w:name w:val="Caption Notes Char Char"/>
    <w:link w:val="CaptionNotes"/>
    <w:rPr>
      <w:rFonts w:eastAsia="Times New Roman" w:cs="Arial"/>
      <w:i/>
      <w:iCs/>
      <w:sz w:val="20"/>
      <w:szCs w:val="20"/>
      <w:lang w:eastAsia="en-GB"/>
    </w:rPr>
  </w:style>
  <w:style w:type="character" w:customStyle="1" w:styleId="CaptionChar1">
    <w:name w:val="Caption Char1"/>
    <w:aliases w:val="Caption Char Char Char1,Caption Char Char1,Caption Char Char Char Char,Beschriftung_tab Char,tab_überschrift Char,unten Char,(U) Char,Beschriftung-eng Char,Beschriftung-dt-Abbildung Char,Legend Char,Figure reference Char"/>
    <w:link w:val="Caption"/>
    <w:uiPriority w:val="35"/>
    <w:locked/>
    <w:rPr>
      <w:rFonts w:ascii="Calibri" w:eastAsia="Calibri" w:hAnsi="Calibri" w:cs="Times New Roman"/>
      <w:b/>
      <w:bCs/>
      <w:color w:val="4F81BD"/>
      <w:sz w:val="18"/>
      <w:szCs w:val="18"/>
    </w:r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lang w:eastAsia="en-GB"/>
    </w:rPr>
  </w:style>
  <w:style w:type="paragraph" w:styleId="BodyText">
    <w:name w:val="Body Text"/>
    <w:basedOn w:val="Normal"/>
    <w:link w:val="BodyTextChar"/>
    <w:uiPriority w:val="99"/>
    <w:pPr>
      <w:spacing w:before="120" w:after="120" w:line="240" w:lineRule="auto"/>
      <w:jc w:val="both"/>
    </w:pPr>
    <w:rPr>
      <w:rFonts w:eastAsia="Times New Roman" w:cs="Trebuchet MS"/>
      <w:color w:val="000000"/>
    </w:rPr>
  </w:style>
  <w:style w:type="character" w:customStyle="1" w:styleId="BodyTextChar">
    <w:name w:val="Body Text Char"/>
    <w:basedOn w:val="DefaultParagraphFont"/>
    <w:link w:val="BodyText"/>
    <w:uiPriority w:val="99"/>
    <w:rPr>
      <w:rFonts w:eastAsia="Times New Roman" w:cs="Trebuchet MS"/>
      <w:color w:val="000000"/>
    </w:rPr>
  </w:style>
  <w:style w:type="character" w:customStyle="1" w:styleId="alt-edited1">
    <w:name w:val="alt-edited1"/>
    <w:basedOn w:val="DefaultParagraphFont"/>
    <w:rPr>
      <w:color w:val="4D90F0"/>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4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4.xml"/><Relationship Id="rId68" Type="http://schemas.openxmlformats.org/officeDocument/2006/relationships/image" Target="media/image10.jpeg"/><Relationship Id="rId84" Type="http://schemas.openxmlformats.org/officeDocument/2006/relationships/image" Target="media/image14.png"/><Relationship Id="rId89" Type="http://schemas.openxmlformats.org/officeDocument/2006/relationships/footer" Target="footer32.xml"/><Relationship Id="rId112" Type="http://schemas.openxmlformats.org/officeDocument/2006/relationships/header" Target="header43.xml"/><Relationship Id="rId16" Type="http://schemas.openxmlformats.org/officeDocument/2006/relationships/hyperlink" Target="mailto:ENV-EIR@ec.europa.eu" TargetMode="Externa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header" Target="header39.xml"/><Relationship Id="rId123" Type="http://schemas.openxmlformats.org/officeDocument/2006/relationships/header" Target="header48.xm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footer" Target="footer30.xml"/><Relationship Id="rId90" Type="http://schemas.openxmlformats.org/officeDocument/2006/relationships/header" Target="header33.xml"/><Relationship Id="rId95" Type="http://schemas.openxmlformats.org/officeDocument/2006/relationships/footer" Target="footer35.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image" Target="media/image11.jpeg"/><Relationship Id="rId77" Type="http://schemas.openxmlformats.org/officeDocument/2006/relationships/header" Target="header28.xml"/><Relationship Id="rId100" Type="http://schemas.openxmlformats.org/officeDocument/2006/relationships/footer" Target="footer37.xml"/><Relationship Id="rId105" Type="http://schemas.openxmlformats.org/officeDocument/2006/relationships/image" Target="media/image17.png"/><Relationship Id="rId113" Type="http://schemas.openxmlformats.org/officeDocument/2006/relationships/header" Target="header44.xml"/><Relationship Id="rId118" Type="http://schemas.openxmlformats.org/officeDocument/2006/relationships/image" Target="media/image18.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image" Target="media/image15.jpeg"/><Relationship Id="rId93" Type="http://schemas.openxmlformats.org/officeDocument/2006/relationships/header" Target="header35.xml"/><Relationship Id="rId98" Type="http://schemas.openxmlformats.org/officeDocument/2006/relationships/header" Target="header37.xml"/><Relationship Id="rId121" Type="http://schemas.openxmlformats.org/officeDocument/2006/relationships/footer" Target="foot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2.xml"/><Relationship Id="rId67" Type="http://schemas.openxmlformats.org/officeDocument/2006/relationships/image" Target="media/image9.png"/><Relationship Id="rId103" Type="http://schemas.openxmlformats.org/officeDocument/2006/relationships/footer" Target="footer39.xml"/><Relationship Id="rId108" Type="http://schemas.openxmlformats.org/officeDocument/2006/relationships/footer" Target="footer40.xml"/><Relationship Id="rId116" Type="http://schemas.openxmlformats.org/officeDocument/2006/relationships/header" Target="header45.xml"/><Relationship Id="rId124" Type="http://schemas.openxmlformats.org/officeDocument/2006/relationships/footer" Target="footer48.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image" Target="media/image12.png"/><Relationship Id="rId75" Type="http://schemas.openxmlformats.org/officeDocument/2006/relationships/header" Target="header27.xml"/><Relationship Id="rId83" Type="http://schemas.openxmlformats.org/officeDocument/2006/relationships/image" Target="media/image13.png"/><Relationship Id="rId88" Type="http://schemas.openxmlformats.org/officeDocument/2006/relationships/footer" Target="footer31.xml"/><Relationship Id="rId91" Type="http://schemas.openxmlformats.org/officeDocument/2006/relationships/footer" Target="footer33.xml"/><Relationship Id="rId96" Type="http://schemas.openxmlformats.org/officeDocument/2006/relationships/header" Target="header36.xml"/><Relationship Id="rId111"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header" Target="header21.xml"/><Relationship Id="rId106" Type="http://schemas.openxmlformats.org/officeDocument/2006/relationships/header" Target="header40.xml"/><Relationship Id="rId114" Type="http://schemas.openxmlformats.org/officeDocument/2006/relationships/footer" Target="footer43.xml"/><Relationship Id="rId119" Type="http://schemas.openxmlformats.org/officeDocument/2006/relationships/header" Target="header46.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image" Target="media/image6.jpeg"/><Relationship Id="rId60" Type="http://schemas.openxmlformats.org/officeDocument/2006/relationships/header" Target="header23.xml"/><Relationship Id="rId65" Type="http://schemas.openxmlformats.org/officeDocument/2006/relationships/image" Target="media/image7.png"/><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header" Target="header31.xml"/><Relationship Id="rId94" Type="http://schemas.openxmlformats.org/officeDocument/2006/relationships/footer" Target="footer34.xml"/><Relationship Id="rId99" Type="http://schemas.openxmlformats.org/officeDocument/2006/relationships/header" Target="header38.xml"/><Relationship Id="rId101" Type="http://schemas.openxmlformats.org/officeDocument/2006/relationships/footer" Target="footer38.xml"/><Relationship Id="rId122" Type="http://schemas.openxmlformats.org/officeDocument/2006/relationships/footer" Target="footer4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1.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19.xml"/><Relationship Id="rId76" Type="http://schemas.openxmlformats.org/officeDocument/2006/relationships/footer" Target="footer27.xml"/><Relationship Id="rId97" Type="http://schemas.openxmlformats.org/officeDocument/2006/relationships/footer" Target="footer36.xml"/><Relationship Id="rId104" Type="http://schemas.openxmlformats.org/officeDocument/2006/relationships/image" Target="media/image16.png"/><Relationship Id="rId120" Type="http://schemas.openxmlformats.org/officeDocument/2006/relationships/header" Target="header47.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header" Target="header32.xml"/><Relationship Id="rId110" Type="http://schemas.openxmlformats.org/officeDocument/2006/relationships/header" Target="header42.xml"/><Relationship Id="rId115" Type="http://schemas.openxmlformats.org/officeDocument/2006/relationships/footer" Target="footer44.xml"/></Relationships>
</file>

<file path=word/_rels/footnotes.xml.rels><?xml version="1.0" encoding="UTF-8" standalone="yes"?>
<Relationships xmlns="http://schemas.openxmlformats.org/package/2006/relationships"><Relationship Id="rId26" Type="http://schemas.openxmlformats.org/officeDocument/2006/relationships/hyperlink" Target="http://eur-lex.europa.eu/legal-content/EN/TXT/?uri=CELEX%3A32008L0056" TargetMode="External"/><Relationship Id="rId21" Type="http://schemas.openxmlformats.org/officeDocument/2006/relationships/hyperlink" Target="https://circabc.europa.eu/sd/a/2c95de06-468a-4bf8-aae4-769f4dcf180e/SE_A12NatSum_20141031.pdf" TargetMode="External"/><Relationship Id="rId42" Type="http://schemas.openxmlformats.org/officeDocument/2006/relationships/hyperlink" Target="http://eur-lex.europa.eu/legal-content/EN/TXT/?qid=1481624135097&amp;uri=CELEX:32000L0060" TargetMode="External"/><Relationship Id="rId47" Type="http://schemas.openxmlformats.org/officeDocument/2006/relationships/hyperlink" Target="http://www.eea.europa.eu/themes/water/status-and-monitoring/state-of-bathing-water" TargetMode="External"/><Relationship Id="rId63" Type="http://schemas.openxmlformats.org/officeDocument/2006/relationships/hyperlink" Target="http://ec.europa.eu/environment/europeangreencapital/wp-content/uploads/2013/02/MDR0763Rp0035_Good-Practice-Report-2017_F01_for-web.pdf" TargetMode="External"/><Relationship Id="rId68" Type="http://schemas.openxmlformats.org/officeDocument/2006/relationships/hyperlink" Target="http://ec.europa.eu/internal_market/scoreboard/performance_per_policy_area/public_procurement/index_en.htm" TargetMode="External"/><Relationship Id="rId84" Type="http://schemas.openxmlformats.org/officeDocument/2006/relationships/hyperlink" Target="http://eur-lex.europa.eu/legal-content/EN/TXT/?uri=CELEX%3A52016SC0121" TargetMode="External"/><Relationship Id="rId89" Type="http://schemas.openxmlformats.org/officeDocument/2006/relationships/hyperlink" Target="http://www.oecd-ilibrary.org/environment/environmental-enforcement-in-decentralised-governance-systems_5kgb1m60qtq6-en" TargetMode="External"/><Relationship Id="rId7" Type="http://schemas.openxmlformats.org/officeDocument/2006/relationships/hyperlink" Target="http://ec.europa.eu/eurostat/tgm/table.do?tab=table&amp;init=1&amp;language=en&amp;pcode=tsdpc100&amp;plugin=1" TargetMode="External"/><Relationship Id="rId71" Type="http://schemas.openxmlformats.org/officeDocument/2006/relationships/hyperlink" Target="http://ec.europa.eu/DocsRoom/documents/17261" TargetMode="External"/><Relationship Id="rId92" Type="http://schemas.openxmlformats.org/officeDocument/2006/relationships/hyperlink" Target="http://www.ne.su.se/polopoly_fs/1.117872.1357818279!/menu/standard/file/Sjoberg_JM.pdf"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ec.europa.eu/environment/waste/studies/pdf/study%2012%20FINAL%20REPORT.pdf" TargetMode="External"/><Relationship Id="rId29" Type="http://schemas.openxmlformats.org/officeDocument/2006/relationships/hyperlink" Target="http://ec.europa.eu/environment/air/quality/standards.htm" TargetMode="External"/><Relationship Id="rId11" Type="http://schemas.openxmlformats.org/officeDocument/2006/relationships/hyperlink" Target="http://www.saminvest.se" TargetMode="External"/><Relationship Id="rId24" Type="http://schemas.openxmlformats.org/officeDocument/2006/relationships/hyperlink" Target="http://www.eea.europa.eu/data-and-maps/indicators/imperviousness-change/assessment" TargetMode="External"/><Relationship Id="rId32" Type="http://schemas.openxmlformats.org/officeDocument/2006/relationships/hyperlink" Target="http://eur-lex.europa.eu/legal-content/EN/TXT/?uri=celex:32001L0081" TargetMode="External"/><Relationship Id="rId37" Type="http://schemas.openxmlformats.org/officeDocument/2006/relationships/hyperlink" Target="http://ec.europa.eu/environment/archives/air/pdf/Impact_assessment_en.pdf" TargetMode="External"/><Relationship Id="rId40" Type="http://schemas.openxmlformats.org/officeDocument/2006/relationships/hyperlink" Target="http://eur-lex.europa.eu/legal-content/EN/ALL/?uri=CELEX%3A31991L0271" TargetMode="External"/><Relationship Id="rId45" Type="http://schemas.openxmlformats.org/officeDocument/2006/relationships/hyperlink" Target="http://ec.europa.eu/environment/water/water-drink/reporting_en.html" TargetMode="External"/><Relationship Id="rId53" Type="http://schemas.openxmlformats.org/officeDocument/2006/relationships/hyperlink" Target="http://ec.europa.eu/environment/integration/green_semester/pdf/RPA%20Final%20Report-annexes.pdf" TargetMode="External"/><Relationship Id="rId58" Type="http://schemas.openxmlformats.org/officeDocument/2006/relationships/hyperlink" Target="http://ec.europa.eu/environment/europeangreencapital/wp-content/uploads/2013/02/egc_bpcatalogue_2010-2011.pdf" TargetMode="External"/><Relationship Id="rId66" Type="http://schemas.openxmlformats.org/officeDocument/2006/relationships/hyperlink" Target="http://ec.europa.eu/environment/integration/green_semester/pdf/Eunomia%20EFR%20Final%20Report%20MAIN%20REPORT.pdf" TargetMode="External"/><Relationship Id="rId74" Type="http://schemas.openxmlformats.org/officeDocument/2006/relationships/hyperlink" Target="https://nicholascharron.wordpress.com/european-quality-of-government-index-eqi/" TargetMode="External"/><Relationship Id="rId79" Type="http://schemas.openxmlformats.org/officeDocument/2006/relationships/hyperlink" Target="http://www.eufje.org" TargetMode="External"/><Relationship Id="rId87" Type="http://schemas.openxmlformats.org/officeDocument/2006/relationships/hyperlink" Target="http://www.oecd.org/env/country-reviews/oecd-environmental-performance-reviews-sweden-2014-9789264213715-en.htm" TargetMode="External"/><Relationship Id="rId102" Type="http://schemas.openxmlformats.org/officeDocument/2006/relationships/hyperlink" Target="http://inspire.ec.europa.eu/portfolio/inspire-dashboard" TargetMode="External"/><Relationship Id="rId5" Type="http://schemas.openxmlformats.org/officeDocument/2006/relationships/hyperlink" Target="http://europa.eu/rapid/press-release_IP-15-6203_en.htm" TargetMode="External"/><Relationship Id="rId61" Type="http://schemas.openxmlformats.org/officeDocument/2006/relationships/hyperlink" Target="file:///C:\Users\ACM1201A\AppData\Local\Microsoft\Windows\Temporary%20Internet%20Files\Content.Outlook\CGBCO4MU\European%20Commission,%20European%20Green%20Capital%20Award%202010%20&amp;%202011,%20Catalogue%20of%20Best%20Practice" TargetMode="External"/><Relationship Id="rId82" Type="http://schemas.openxmlformats.org/officeDocument/2006/relationships/hyperlink" Target="http://eur-lex.europa.eu/legal-content/EN/TXT/?uri=CELEX%3A32004L0035" TargetMode="External"/><Relationship Id="rId90" Type="http://schemas.openxmlformats.org/officeDocument/2006/relationships/hyperlink" Target="http://www.oecd.org/env/country-reviews/oecd-environmental-performance-reviews-sweden-2014-9789264213715-en.htm" TargetMode="External"/><Relationship Id="rId95" Type="http://schemas.openxmlformats.org/officeDocument/2006/relationships/hyperlink" Target="http://ec.europa.eu/environment/aarhus/" TargetMode="External"/><Relationship Id="rId19" Type="http://schemas.openxmlformats.org/officeDocument/2006/relationships/hyperlink" Target="https://circabc.europa.eu/sd/a/eb343c64-d847-46f7-a970-8238dae3ae41/SE_20140528.pdf" TargetMode="External"/><Relationship Id="rId14" Type="http://schemas.openxmlformats.org/officeDocument/2006/relationships/hyperlink" Target="http://ec.europa.eu/eurostat/tgm/table.do?tab=table&amp;init=1&amp;plugin=1&amp;language=en&amp;pcode=tsdpc240" TargetMode="External"/><Relationship Id="rId22" Type="http://schemas.openxmlformats.org/officeDocument/2006/relationships/hyperlink" Target="http://eur-lex.europa.eu/legal-content/EN/TXT/?uri=CELEX:52013DC0249" TargetMode="External"/><Relationship Id="rId27" Type="http://schemas.openxmlformats.org/officeDocument/2006/relationships/hyperlink" Target="http://www.eea.europa.eu/publications/report_2002_0524_154909/regional-seas-around-europe/page141.html" TargetMode="External"/><Relationship Id="rId30" Type="http://schemas.openxmlformats.org/officeDocument/2006/relationships/hyperlink" Target="http://cdr.eionet.europa.eu/" TargetMode="External"/><Relationship Id="rId35" Type="http://schemas.openxmlformats.org/officeDocument/2006/relationships/hyperlink" Target="http://www.eea.europa.eu/publications/air-quality-in-europe-2016" TargetMode="External"/><Relationship Id="rId43" Type="http://schemas.openxmlformats.org/officeDocument/2006/relationships/hyperlink" Target="http://eur-lex.europa.eu/legal-content/EN/TXT/?uri=CELEX%3A31991L0676" TargetMode="External"/><Relationship Id="rId48" Type="http://schemas.openxmlformats.org/officeDocument/2006/relationships/hyperlink" Target="http://eur-lex.europa.eu/legal-content/EN/TXT/?uri=CELEX%3A52016DC0105" TargetMode="External"/><Relationship Id="rId56" Type="http://schemas.openxmlformats.org/officeDocument/2006/relationships/hyperlink" Target="http://ec.europa.eu/environment/urban/tool.htm" TargetMode="External"/><Relationship Id="rId64" Type="http://schemas.openxmlformats.org/officeDocument/2006/relationships/hyperlink" Target="http://ec.europa.eu/environment/europeangreencapital/wp-content/uploads/2013/02/MDR0763Rp0035_Good-Practice-Report-2017_F01_for-web.pdf" TargetMode="External"/><Relationship Id="rId69" Type="http://schemas.openxmlformats.org/officeDocument/2006/relationships/hyperlink" Target="http://eur-lex.europa.eu/legal-content/EN/TXT/?uri=CELEX:52008DC0400http://eur-lex.europa.eu/legal-content/EN/TXT/?uri=CELEX:52008DC0400" TargetMode="External"/><Relationship Id="rId77" Type="http://schemas.openxmlformats.org/officeDocument/2006/relationships/hyperlink" Target="http://eur-lex.europa.eu/legal-content/EN/TXT/?uri=CELEX%3A32008L0099http://eur-lex.europa.eu/legal-content/EN/TXT/?uri=CELEX%3A32008L0099" TargetMode="External"/><Relationship Id="rId100" Type="http://schemas.openxmlformats.org/officeDocument/2006/relationships/hyperlink" Target="http://inspire.ec.europa.eu/index.cfm/pageid/182" TargetMode="External"/><Relationship Id="rId8" Type="http://schemas.openxmlformats.org/officeDocument/2006/relationships/hyperlink" Target="https://data.europa.eu/euodp/en/data/dataset/S2088_426_ENG" TargetMode="External"/><Relationship Id="rId51" Type="http://schemas.openxmlformats.org/officeDocument/2006/relationships/hyperlink" Target="http://eur-lex.europa.eu/legal-content/EN/TXT/?uri=CELEX:52016SC0045" TargetMode="External"/><Relationship Id="rId72" Type="http://schemas.openxmlformats.org/officeDocument/2006/relationships/hyperlink" Target="http://www.eib.org/efsi/" TargetMode="External"/><Relationship Id="rId80" Type="http://schemas.openxmlformats.org/officeDocument/2006/relationships/hyperlink" Target="http://www.environmentalprosecutors.eu" TargetMode="External"/><Relationship Id="rId85" Type="http://schemas.openxmlformats.org/officeDocument/2006/relationships/hyperlink" Target="http://www.oecd.org/env/country-reviews/oecd-environmental-performance-reviews-sweden-2014-9789264213715-en.htm" TargetMode="External"/><Relationship Id="rId93" Type="http://schemas.openxmlformats.org/officeDocument/2006/relationships/hyperlink" Target="http://www.oecd.org/env/country-reviews/oecd-environmental-performance-reviews-sweden-2014-9789264213715-en.htm" TargetMode="External"/><Relationship Id="rId98" Type="http://schemas.openxmlformats.org/officeDocument/2006/relationships/hyperlink" Target="https://ec.europa.eu/digital-single-market/en/news/communication-eu-egovernment-action-plan-2016-2020-accelerating-digital-transformation"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www.government.se/articles/2016/07/innovation-partnership-programmes--mobilising-new-ways-to-meet-societal-challenges/" TargetMode="External"/><Relationship Id="rId17" Type="http://schemas.openxmlformats.org/officeDocument/2006/relationships/hyperlink" Target="http://www.artdatabanken.se/en/the-red-list/the-2015-red-list-summary/" TargetMode="External"/><Relationship Id="rId25" Type="http://schemas.openxmlformats.org/officeDocument/2006/relationships/hyperlink" Target="http://ec.europa.eu/eurostat/statistics-explained/index.php/Agri-environmental_indicator_-_soil_erosion" TargetMode="External"/><Relationship Id="rId33" Type="http://schemas.openxmlformats.org/officeDocument/2006/relationships/hyperlink" Target="http://eur-lex.europa.eu/legal-content/EN/TXT/?uri=uriserv:OJ.L_.2016.344.01.0001.01.ENG&amp;toc=OJ:L:2016:344:TOC" TargetMode="External"/><Relationship Id="rId38" Type="http://schemas.openxmlformats.org/officeDocument/2006/relationships/hyperlink" Target="http://www.euro.who.int/en/media-centre/sections/press-releases/2011/03/new-evidence-from-who-on-health-effects-of-traffic-related-noise-in-europe" TargetMode="External"/><Relationship Id="rId46" Type="http://schemas.openxmlformats.org/officeDocument/2006/relationships/hyperlink" Target="http://www.eea.europa.eu/publications/european-bathing-water-quality-2015" TargetMode="External"/><Relationship Id="rId59" Type="http://schemas.openxmlformats.org/officeDocument/2006/relationships/hyperlink" Target="http://ec.europa.eu/environment/europeangreencapital/wp-content/uploads/2013/02/egc_bpcatalogue_2010-2011.pdf" TargetMode="External"/><Relationship Id="rId67" Type="http://schemas.openxmlformats.org/officeDocument/2006/relationships/hyperlink" Target="http://ec.europa.eu/eurostat/tgm/table.do?tab=table&amp;init=1&amp;language=en&amp;pcode=t2020_rt320&amp;plugin=1http://ec.europa.eu/eurostat/en/web/products-datasets/-/T2020_RT320" TargetMode="External"/><Relationship Id="rId103" Type="http://schemas.openxmlformats.org/officeDocument/2006/relationships/hyperlink" Target="http://inspire-geoportal.ec.europa.eu/resources/INSPIREResourcesReports/resourcesReport_2016-05-09/" TargetMode="External"/><Relationship Id="rId20" Type="http://schemas.openxmlformats.org/officeDocument/2006/relationships/hyperlink" Target="https://circabc.europa.eu/sd/a/eb343c64-d847-46f7-a970-8238dae3ae41/SE_20140528.pdf" TargetMode="External"/><Relationship Id="rId41" Type="http://schemas.openxmlformats.org/officeDocument/2006/relationships/hyperlink" Target="http://eur-lex.europa.eu/legal-content/EN/TXT/?uri=CELEX%3A31998L0083" TargetMode="External"/><Relationship Id="rId54" Type="http://schemas.openxmlformats.org/officeDocument/2006/relationships/hyperlink" Target="http://www.eea.europa.eu/themes/urban" TargetMode="External"/><Relationship Id="rId62" Type="http://schemas.openxmlformats.org/officeDocument/2006/relationships/hyperlink" Target="file:///C:\Users\ACM1201A\AppData\Local\Microsoft\Windows\Temporary%20Internet%20Files\Content.Outlook\CGBCO4MU\European%20Commission,%20European%20Green%20Capital%20Award%202010%20&amp;%202011,%20Catalogue%20of%20Best%20Practice" TargetMode="External"/><Relationship Id="rId70" Type="http://schemas.openxmlformats.org/officeDocument/2006/relationships/hyperlink" Target="http://ec.europa.eu/DocsRoom/documents/17261" TargetMode="External"/><Relationship Id="rId75" Type="http://schemas.openxmlformats.org/officeDocument/2006/relationships/hyperlink" Target="http://eur-lex.europa.eu/legal-content/EN/TXT/?uri=OJ:C:2016:273:TOC" TargetMode="External"/><Relationship Id="rId83" Type="http://schemas.openxmlformats.org/officeDocument/2006/relationships/hyperlink" Target="https://ec.europa.eu/transparency/regdoc/rep/1/2016/EN/1-2016-204-EN-F1-1.PDF" TargetMode="External"/><Relationship Id="rId88" Type="http://schemas.openxmlformats.org/officeDocument/2006/relationships/hyperlink" Target="http://www.oecd-ilibrary.org/environment/environmental-enforcement-in-decentralised-governance-systems_5kgb1m60qtq6-en" TargetMode="External"/><Relationship Id="rId91" Type="http://schemas.openxmlformats.org/officeDocument/2006/relationships/hyperlink" Target="http://www.oecd.org/env/country-reviews/oecd-environmental-performance-reviews-sweden-2014-9789264213715-en.htm" TargetMode="External"/><Relationship Id="rId96" Type="http://schemas.openxmlformats.org/officeDocument/2006/relationships/hyperlink" Target="http://eur-lex.europa.eu/legal-content/GA/ALL/?uri=CELEX:32003L0004"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ec.europa.eu/eurostat/tgm/table.do?tab=table&amp;init=1&amp;language=en&amp;pcode=t2020_rt120&amp;plugin=1" TargetMode="External"/><Relationship Id="rId23" Type="http://schemas.openxmlformats.org/officeDocument/2006/relationships/hyperlink" Target="http://land.copernicus.eu/pan-european/corine-land-cover/lcc-2006-2012/view" TargetMode="External"/><Relationship Id="rId28"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6" Type="http://schemas.openxmlformats.org/officeDocument/2006/relationships/hyperlink" Target="http://www.eionet.europa.eu/aqportal" TargetMode="External"/><Relationship Id="rId49" Type="http://schemas.openxmlformats.org/officeDocument/2006/relationships/hyperlink" Target="http://eur-lex.europa.eu/legal-content/EN/TXT/?uri=CELEX:52016SC0045" TargetMode="External"/><Relationship Id="rId57" Type="http://schemas.openxmlformats.org/officeDocument/2006/relationships/hyperlink" Target="http://ec.europa.eu/environment/europeangreencapital/wp-content/uploads/2013/02/egc_bpcatalogue_2010-2011.pdf" TargetMode="External"/><Relationship Id="rId10" Type="http://schemas.openxmlformats.org/officeDocument/2006/relationships/hyperlink" Target="http://www.miljomal.se/sv/Environmental-Objectives-Portal/Undre-meny/Who-does-what/All-Party-Committee-on-Environmental-Objectives/" TargetMode="External"/><Relationship Id="rId31" Type="http://schemas.openxmlformats.org/officeDocument/2006/relationships/hyperlink" Target="http://www.eea.europa.eu/data-and-maps/data/data-viewers/emissions-nec-directive-viewer" TargetMode="External"/><Relationship Id="rId44" Type="http://schemas.openxmlformats.org/officeDocument/2006/relationships/hyperlink" Target="http://eur-lex.europa.eu/legal-content/EN/TXT/?uri=CELEX:32007L0060" TargetMode="External"/><Relationship Id="rId52" Type="http://schemas.openxmlformats.org/officeDocument/2006/relationships/hyperlink" Target="http://ec.europa.eu/environment/water/water-framework/pdf/4th_report/CSWD%20Report%20on%20the%20FD%20.pdf" TargetMode="External"/><Relationship Id="rId60" Type="http://schemas.openxmlformats.org/officeDocument/2006/relationships/hyperlink" Target="file:///C:\Users\ACM1201A\AppData\Local\Microsoft\Windows\Temporary%20Internet%20Files\Content.Outlook\CGBCO4MU\European%20Commission,%20European%20Green%20Capital%20Award%202010%20&amp;%202011,%20Catalogue%20of%20Best%20Practice" TargetMode="External"/><Relationship Id="rId65" Type="http://schemas.openxmlformats.org/officeDocument/2006/relationships/hyperlink" Target="http://ec.europa.eu/environment/integration/green_semester/pdf/Eunomia%20EFR%20Final%20Report%20MAIN%20REPORT.pdf" TargetMode="External"/><Relationship Id="rId73" Type="http://schemas.openxmlformats.org/officeDocument/2006/relationships/hyperlink" Target="https://cohesiondata.ec.europa.eu/countries" TargetMode="External"/><Relationship Id="rId78" Type="http://schemas.openxmlformats.org/officeDocument/2006/relationships/hyperlink" Target="http://www.impel.eu" TargetMode="External"/><Relationship Id="rId81" Type="http://schemas.openxmlformats.org/officeDocument/2006/relationships/hyperlink" Target="http://envicrimenet.com/" TargetMode="External"/><Relationship Id="rId86" Type="http://schemas.openxmlformats.org/officeDocument/2006/relationships/hyperlink" Target="http://www.oecd-ilibrary.org/environment/environmental-enforcement-in-decentralised-governance-systems_5kgb1m60qtq6-en" TargetMode="External"/><Relationship Id="rId94" Type="http://schemas.openxmlformats.org/officeDocument/2006/relationships/hyperlink" Target="http://ec.europa.eu/environment/aarhus/access_studies.htm" TargetMode="External"/><Relationship Id="rId99" Type="http://schemas.openxmlformats.org/officeDocument/2006/relationships/hyperlink" Target="http://inspire.ec.europa.eu/index.cfm/pageid/182" TargetMode="External"/><Relationship Id="rId101" Type="http://schemas.openxmlformats.org/officeDocument/2006/relationships/hyperlink" Target="http://bit.ly/28TjhAV" TargetMode="External"/><Relationship Id="rId4" Type="http://schemas.openxmlformats.org/officeDocument/2006/relationships/hyperlink" Target="http://www.government.se/articles/2015/08/swedish-strategy-for-biodiversity-and-ecosystem-services/" TargetMode="External"/><Relationship Id="rId9" Type="http://schemas.openxmlformats.org/officeDocument/2006/relationships/hyperlink" Target="https://ec.europa.eu/environment/ecoap/scoreboard_en" TargetMode="External"/><Relationship Id="rId13" Type="http://schemas.openxmlformats.org/officeDocument/2006/relationships/hyperlink" Target="http://ec.europa.eu/eurostat/tgm/table.do?tab=table&amp;init=1&amp;plugin=1&amp;language=en&amp;pcode=tsdpc240" TargetMode="External"/><Relationship Id="rId18" Type="http://schemas.openxmlformats.org/officeDocument/2006/relationships/hyperlink" Target="http://ec.europa.eu/environment/nature/info/pubs/docs/nat2000newsl/nat37_en.pdf" TargetMode="External"/><Relationship Id="rId39" Type="http://schemas.openxmlformats.org/officeDocument/2006/relationships/hyperlink" Target="http://eur-lex.europa.eu/legal-content/EN/TXT/?qid=1481623908600&amp;uri=CELEX:32006L0007" TargetMode="External"/><Relationship Id="rId34" Type="http://schemas.openxmlformats.org/officeDocument/2006/relationships/hyperlink" Target="http://www.eea.europa.eu/publications/air-quality-in-europe-2016" TargetMode="External"/><Relationship Id="rId50" Type="http://schemas.openxmlformats.org/officeDocument/2006/relationships/hyperlink" Target="http://eur-lex.europa.eu/legal-content/EN/TXT/?uri=CELEX%3A52016DC0105" TargetMode="External"/><Relationship Id="rId55" Type="http://schemas.openxmlformats.org/officeDocument/2006/relationships/hyperlink" Target="http://urbanagendaforthe.eu/" TargetMode="External"/><Relationship Id="rId76" Type="http://schemas.openxmlformats.org/officeDocument/2006/relationships/hyperlink" Target="http://eur-lex.europa.eu/legal-content/EN/TXT/?uri=OJ:C:2016:273:TOC" TargetMode="External"/><Relationship Id="rId97" Type="http://schemas.openxmlformats.org/officeDocument/2006/relationships/hyperlink" Target="http://inspire.ec.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8BBD8-1481-4DE8-BD85-925011A79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12763</Words>
  <Characters>72217</Characters>
  <Application>Microsoft Office Word</Application>
  <DocSecurity>0</DocSecurity>
  <Lines>1791</Lines>
  <Paragraphs>318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2016-11-10T11:42:00Z</cp:lastPrinted>
  <dcterms:created xsi:type="dcterms:W3CDTF">2017-01-24T10:26:00Z</dcterms:created>
  <dcterms:modified xsi:type="dcterms:W3CDTF">2017-02-02T18:30:00Z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