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E8A" w:rsidRDefault="002E711B" w:rsidP="002E711B">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0862AC5DDE8445ABD78A360A4CBA56F" style="width:450.75pt;height:498.75pt">
            <v:imagedata r:id="rId9" o:title=""/>
          </v:shape>
        </w:pict>
      </w:r>
    </w:p>
    <w:bookmarkEnd w:id="0"/>
    <w:p w:rsidR="006D6E8A" w:rsidRDefault="006D6E8A">
      <w:pPr>
        <w:rPr>
          <w:noProof/>
        </w:rPr>
        <w:sectPr w:rsidR="006D6E8A" w:rsidSect="002E711B">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6D6E8A" w:rsidRDefault="006D6E8A">
      <w:pPr>
        <w:widowControl w:val="0"/>
        <w:tabs>
          <w:tab w:val="right" w:leader="dot" w:pos="8640"/>
        </w:tabs>
        <w:spacing w:before="120" w:after="120" w:line="240" w:lineRule="auto"/>
        <w:ind w:right="720"/>
        <w:rPr>
          <w:rFonts w:eastAsia="Times New Roman" w:cs="Times New Roman"/>
          <w:noProof/>
          <w:szCs w:val="20"/>
        </w:rPr>
      </w:pPr>
      <w:bookmarkStart w:id="1" w:name="_GoBack"/>
      <w:bookmarkEnd w:id="1"/>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2E711B">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Style w:val="Hyperlink"/>
            <w:rFonts w:eastAsia="Times New Roman" w:cs="Times New Roman"/>
            <w:noProof/>
            <w:szCs w:val="20"/>
          </w:rPr>
          <w:t>ENV-EIR@ec.europa.eu</w:t>
        </w:r>
      </w:hyperlink>
      <w:r>
        <w:rPr>
          <w:rFonts w:eastAsia="Times New Roman" w:cs="Times New Roman"/>
          <w:noProof/>
          <w:szCs w:val="20"/>
        </w:rPr>
        <w:t xml:space="preserve"> </w:t>
      </w:r>
    </w:p>
    <w:p w:rsidR="006D6E8A" w:rsidRDefault="006D6E8A">
      <w:pPr>
        <w:widowControl w:val="0"/>
        <w:tabs>
          <w:tab w:val="right" w:leader="dot" w:pos="8640"/>
        </w:tabs>
        <w:spacing w:before="120" w:after="120" w:line="240" w:lineRule="auto"/>
        <w:ind w:left="482" w:right="720" w:hanging="482"/>
        <w:rPr>
          <w:rFonts w:eastAsia="Times New Roman" w:cs="Times New Roman"/>
          <w:noProof/>
          <w:szCs w:val="20"/>
        </w:rPr>
      </w:pPr>
    </w:p>
    <w:p w:rsidR="006D6E8A" w:rsidRDefault="002E711B">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Style w:val="Hyperlink"/>
            <w:rFonts w:eastAsia="Times New Roman" w:cs="Times New Roman"/>
            <w:noProof/>
            <w:szCs w:val="20"/>
          </w:rPr>
          <w:t>http://europa.eu</w:t>
        </w:r>
      </w:hyperlink>
      <w:r>
        <w:rPr>
          <w:rFonts w:eastAsia="Times New Roman" w:cs="Times New Roman"/>
          <w:noProof/>
          <w:szCs w:val="20"/>
        </w:rPr>
        <w:t>).</w:t>
      </w:r>
    </w:p>
    <w:p w:rsidR="006D6E8A" w:rsidRDefault="006D6E8A">
      <w:pPr>
        <w:widowControl w:val="0"/>
        <w:tabs>
          <w:tab w:val="right" w:leader="dot" w:pos="8640"/>
        </w:tabs>
        <w:spacing w:before="120" w:after="120" w:line="240" w:lineRule="auto"/>
        <w:ind w:left="482" w:right="720" w:hanging="482"/>
        <w:rPr>
          <w:rFonts w:eastAsia="Times New Roman" w:cs="Times New Roman"/>
          <w:noProof/>
          <w:szCs w:val="20"/>
        </w:rPr>
      </w:pPr>
    </w:p>
    <w:p w:rsidR="006D6E8A" w:rsidRDefault="002E711B">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p.9 – ©LIFE10 INF/SI/000139; p.12 – ©gevision/iStock; p.19 – ©Matej Kastelic/iStock; p.23 – ©Helena Lovincic/iStock</w:t>
      </w:r>
    </w:p>
    <w:p w:rsidR="006D6E8A" w:rsidRDefault="006D6E8A">
      <w:pPr>
        <w:widowControl w:val="0"/>
        <w:tabs>
          <w:tab w:val="right" w:leader="dot" w:pos="8640"/>
        </w:tabs>
        <w:spacing w:before="120" w:after="120" w:line="240" w:lineRule="auto"/>
        <w:ind w:right="141"/>
        <w:rPr>
          <w:rFonts w:eastAsia="Times New Roman" w:cs="Times New Roman"/>
          <w:noProof/>
          <w:szCs w:val="20"/>
        </w:rPr>
      </w:pPr>
    </w:p>
    <w:p w:rsidR="006D6E8A" w:rsidRDefault="002E711B">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 xml:space="preserve">For reproduction or use of </w:t>
      </w:r>
      <w:r>
        <w:rPr>
          <w:rFonts w:eastAsia="Times New Roman" w:cs="Times New Roman"/>
          <w:noProof/>
          <w:szCs w:val="20"/>
        </w:rPr>
        <w:t>these photos, permission must be sought directly from the copyright holder.</w:t>
      </w:r>
    </w:p>
    <w:p w:rsidR="006D6E8A" w:rsidRDefault="006D6E8A">
      <w:pPr>
        <w:widowControl w:val="0"/>
        <w:tabs>
          <w:tab w:val="right" w:leader="dot" w:pos="8640"/>
        </w:tabs>
        <w:spacing w:before="120" w:after="120" w:line="240" w:lineRule="auto"/>
        <w:jc w:val="both"/>
        <w:rPr>
          <w:rFonts w:eastAsia="Times New Roman" w:cs="Times New Roman"/>
          <w:noProof/>
          <w:szCs w:val="20"/>
        </w:rPr>
      </w:pPr>
    </w:p>
    <w:p w:rsidR="006D6E8A" w:rsidRDefault="002E711B">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6D6E8A" w:rsidRDefault="002E711B">
      <w:pPr>
        <w:widowControl w:val="0"/>
        <w:tabs>
          <w:tab w:val="right" w:leader="dot" w:pos="8640"/>
        </w:tabs>
        <w:spacing w:before="120" w:after="120" w:line="240" w:lineRule="auto"/>
        <w:rPr>
          <w:rFonts w:eastAsia="Times New Roman" w:cs="Times New Roman"/>
          <w:noProof/>
          <w:szCs w:val="20"/>
        </w:rPr>
        <w:sectPr w:rsidR="006D6E8A">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709" w:footer="709" w:gutter="0"/>
          <w:pgNumType w:start="2"/>
          <w:cols w:space="720"/>
          <w:titlePg/>
          <w:docGrid w:linePitch="360"/>
        </w:sectPr>
      </w:pPr>
      <w:r>
        <w:rPr>
          <w:rFonts w:eastAsia="Times New Roman" w:cs="Times New Roman"/>
          <w:noProof/>
          <w:szCs w:val="20"/>
        </w:rPr>
        <w:t>Reproduction is authorised provided the source is acknowledged.</w:t>
      </w:r>
    </w:p>
    <w:p w:rsidR="006D6E8A" w:rsidRDefault="002E711B">
      <w:pPr>
        <w:tabs>
          <w:tab w:val="right" w:leader="dot" w:pos="8640"/>
        </w:tabs>
        <w:spacing w:before="120" w:after="120" w:line="240" w:lineRule="auto"/>
        <w:ind w:left="482" w:right="720" w:hanging="482"/>
        <w:jc w:val="center"/>
        <w:rPr>
          <w:rFonts w:eastAsia="Times New Roman" w:cs="Times New Roman"/>
          <w:b/>
          <w:caps/>
          <w:noProof/>
          <w:sz w:val="20"/>
          <w:szCs w:val="20"/>
        </w:rPr>
      </w:pPr>
      <w:r>
        <w:rPr>
          <w:rFonts w:eastAsia="Times New Roman" w:cs="Times New Roman"/>
          <w:b/>
          <w:noProof/>
          <w:sz w:val="20"/>
          <w:szCs w:val="20"/>
        </w:rPr>
        <w:lastRenderedPageBreak/>
        <w:t>Table of Content</w:t>
      </w:r>
    </w:p>
    <w:p w:rsidR="006D6E8A" w:rsidRDefault="006D6E8A">
      <w:pPr>
        <w:spacing w:after="120" w:line="240" w:lineRule="auto"/>
        <w:jc w:val="both"/>
        <w:rPr>
          <w:rFonts w:cs="Times New Roman"/>
          <w:noProof/>
          <w:sz w:val="20"/>
          <w:szCs w:val="20"/>
        </w:rPr>
      </w:pPr>
    </w:p>
    <w:bookmarkStart w:id="2" w:name="_Toc432510709"/>
    <w:bookmarkStart w:id="3" w:name="_Toc432521119"/>
    <w:bookmarkStart w:id="4" w:name="_Toc433296149"/>
    <w:bookmarkEnd w:id="2"/>
    <w:bookmarkEnd w:id="3"/>
    <w:p w:rsidR="006D6E8A" w:rsidRDefault="002E711B">
      <w:pPr>
        <w:pStyle w:val="TOC1"/>
        <w:rPr>
          <w:rFonts w:asciiTheme="minorHAnsi" w:eastAsiaTheme="minorEastAsia" w:hAnsiTheme="minorHAnsi" w:cstheme="minorBidi"/>
          <w:caps w:val="0"/>
          <w:noProof/>
          <w:sz w:val="22"/>
          <w:szCs w:val="22"/>
          <w:lang w:eastAsia="en-GB"/>
        </w:rPr>
      </w:pPr>
      <w:r>
        <w:rPr>
          <w:rFonts w:eastAsiaTheme="minorEastAsia"/>
          <w:bCs/>
          <w:noProof/>
          <w:lang w:val="en-US" w:eastAsia="ja-JP"/>
        </w:rPr>
        <w:fldChar w:fldCharType="begin"/>
      </w:r>
      <w:r>
        <w:rPr>
          <w:rFonts w:eastAsiaTheme="minorEastAsia"/>
          <w:bCs/>
          <w:noProof/>
          <w:lang w:val="en-US" w:eastAsia="ja-JP"/>
        </w:rPr>
        <w:instrText xml:space="preserve"> TOC \o "1-2" \h \z \u </w:instrText>
      </w:r>
      <w:r>
        <w:rPr>
          <w:rFonts w:eastAsiaTheme="minorEastAsia"/>
          <w:bCs/>
          <w:noProof/>
          <w:lang w:val="en-US" w:eastAsia="ja-JP"/>
        </w:rPr>
        <w:fldChar w:fldCharType="separate"/>
      </w:r>
      <w:hyperlink w:anchor="_Toc469495558"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_Toc469495558 \h </w:instrText>
        </w:r>
        <w:r>
          <w:rPr>
            <w:noProof/>
            <w:webHidden/>
          </w:rPr>
        </w:r>
        <w:r>
          <w:rPr>
            <w:noProof/>
            <w:webHidden/>
          </w:rPr>
          <w:fldChar w:fldCharType="separate"/>
        </w:r>
        <w:r>
          <w:rPr>
            <w:noProof/>
            <w:webHidden/>
          </w:rPr>
          <w:t>4</w:t>
        </w:r>
        <w:r>
          <w:rPr>
            <w:noProof/>
            <w:webHidden/>
          </w:rPr>
          <w:fldChar w:fldCharType="end"/>
        </w:r>
      </w:hyperlink>
    </w:p>
    <w:p w:rsidR="006D6E8A" w:rsidRDefault="002E711B">
      <w:pPr>
        <w:pStyle w:val="TOC1"/>
        <w:rPr>
          <w:rFonts w:asciiTheme="minorHAnsi" w:eastAsiaTheme="minorEastAsia" w:hAnsiTheme="minorHAnsi" w:cstheme="minorBidi"/>
          <w:caps w:val="0"/>
          <w:noProof/>
          <w:sz w:val="22"/>
          <w:szCs w:val="22"/>
          <w:lang w:eastAsia="en-GB"/>
        </w:rPr>
      </w:pPr>
      <w:hyperlink w:anchor="_Toc469495559" w:history="1">
        <w:r>
          <w:rPr>
            <w:rStyle w:val="Hyperlink"/>
            <w:rFonts w:eastAsiaTheme="majorEastAsia" w:cstheme="majorBidi"/>
            <w:bCs/>
            <w:noProof/>
          </w:rPr>
          <w:t>Part I: Thematic Areas</w:t>
        </w:r>
        <w:r>
          <w:rPr>
            <w:noProof/>
            <w:webHidden/>
          </w:rPr>
          <w:tab/>
        </w:r>
        <w:r>
          <w:rPr>
            <w:noProof/>
            <w:webHidden/>
          </w:rPr>
          <w:fldChar w:fldCharType="begin"/>
        </w:r>
        <w:r>
          <w:rPr>
            <w:noProof/>
            <w:webHidden/>
          </w:rPr>
          <w:instrText xml:space="preserve"> PAGEREF _Toc469495559 \h </w:instrText>
        </w:r>
        <w:r>
          <w:rPr>
            <w:noProof/>
            <w:webHidden/>
          </w:rPr>
        </w:r>
        <w:r>
          <w:rPr>
            <w:noProof/>
            <w:webHidden/>
          </w:rPr>
          <w:fldChar w:fldCharType="separate"/>
        </w:r>
        <w:r>
          <w:rPr>
            <w:noProof/>
            <w:webHidden/>
          </w:rPr>
          <w:t>6</w:t>
        </w:r>
        <w:r>
          <w:rPr>
            <w:noProof/>
            <w:webHidden/>
          </w:rPr>
          <w:fldChar w:fldCharType="end"/>
        </w:r>
      </w:hyperlink>
    </w:p>
    <w:p w:rsidR="006D6E8A" w:rsidRDefault="002E711B">
      <w:pPr>
        <w:pStyle w:val="TOC1"/>
        <w:rPr>
          <w:rFonts w:asciiTheme="minorHAnsi" w:eastAsiaTheme="minorEastAsia" w:hAnsiTheme="minorHAnsi" w:cstheme="minorBidi"/>
          <w:caps w:val="0"/>
          <w:noProof/>
          <w:sz w:val="22"/>
          <w:szCs w:val="22"/>
          <w:lang w:eastAsia="en-GB"/>
        </w:rPr>
      </w:pPr>
      <w:hyperlink w:anchor="_Toc469495560" w:history="1">
        <w:r>
          <w:rPr>
            <w:rStyle w:val="Hyperlink"/>
            <w:rFonts w:eastAsiaTheme="majorEastAsia" w:cstheme="majorBidi"/>
            <w:bCs/>
            <w:noProof/>
          </w:rPr>
          <w:t>1.</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_Toc469495560 \h </w:instrText>
        </w:r>
        <w:r>
          <w:rPr>
            <w:noProof/>
            <w:webHidden/>
          </w:rPr>
        </w:r>
        <w:r>
          <w:rPr>
            <w:noProof/>
            <w:webHidden/>
          </w:rPr>
          <w:fldChar w:fldCharType="separate"/>
        </w:r>
        <w:r>
          <w:rPr>
            <w:noProof/>
            <w:webHidden/>
          </w:rPr>
          <w:t>6</w:t>
        </w:r>
        <w:r>
          <w:rPr>
            <w:noProof/>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61" w:history="1">
        <w:r>
          <w:rPr>
            <w:rStyle w:val="Hyperlink"/>
          </w:rPr>
          <w:t>Developing a circular economy and improving resource efficiency</w:t>
        </w:r>
        <w:r>
          <w:rPr>
            <w:webHidden/>
          </w:rPr>
          <w:tab/>
        </w:r>
        <w:r>
          <w:rPr>
            <w:webHidden/>
          </w:rPr>
          <w:fldChar w:fldCharType="begin"/>
        </w:r>
        <w:r>
          <w:rPr>
            <w:webHidden/>
          </w:rPr>
          <w:instrText xml:space="preserve"> PAGEREF _Toc469495561 \h </w:instrText>
        </w:r>
        <w:r>
          <w:rPr>
            <w:webHidden/>
          </w:rPr>
        </w:r>
        <w:r>
          <w:rPr>
            <w:webHidden/>
          </w:rPr>
          <w:fldChar w:fldCharType="separate"/>
        </w:r>
        <w:r>
          <w:rPr>
            <w:webHidden/>
          </w:rPr>
          <w:t>6</w:t>
        </w:r>
        <w:r>
          <w:rPr>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62" w:history="1">
        <w:r>
          <w:rPr>
            <w:rStyle w:val="Hyperlink"/>
          </w:rPr>
          <w:t>Waste management</w:t>
        </w:r>
        <w:r>
          <w:rPr>
            <w:webHidden/>
          </w:rPr>
          <w:tab/>
        </w:r>
        <w:r>
          <w:rPr>
            <w:webHidden/>
          </w:rPr>
          <w:fldChar w:fldCharType="begin"/>
        </w:r>
        <w:r>
          <w:rPr>
            <w:webHidden/>
          </w:rPr>
          <w:instrText xml:space="preserve"> PAGEREF _Toc469495562 \h </w:instrText>
        </w:r>
        <w:r>
          <w:rPr>
            <w:webHidden/>
          </w:rPr>
        </w:r>
        <w:r>
          <w:rPr>
            <w:webHidden/>
          </w:rPr>
          <w:fldChar w:fldCharType="separate"/>
        </w:r>
        <w:r>
          <w:rPr>
            <w:webHidden/>
          </w:rPr>
          <w:t>7</w:t>
        </w:r>
        <w:r>
          <w:rPr>
            <w:webHidden/>
          </w:rPr>
          <w:fldChar w:fldCharType="end"/>
        </w:r>
      </w:hyperlink>
    </w:p>
    <w:p w:rsidR="006D6E8A" w:rsidRDefault="002E711B">
      <w:pPr>
        <w:pStyle w:val="TOC1"/>
        <w:rPr>
          <w:rFonts w:asciiTheme="minorHAnsi" w:eastAsiaTheme="minorEastAsia" w:hAnsiTheme="minorHAnsi" w:cstheme="minorBidi"/>
          <w:caps w:val="0"/>
          <w:noProof/>
          <w:sz w:val="22"/>
          <w:szCs w:val="22"/>
          <w:lang w:eastAsia="en-GB"/>
        </w:rPr>
      </w:pPr>
      <w:hyperlink w:anchor="_Toc469495563" w:history="1">
        <w:r>
          <w:rPr>
            <w:rStyle w:val="Hyperlink"/>
            <w:rFonts w:cstheme="majorBidi"/>
            <w:bCs/>
            <w:noProof/>
          </w:rPr>
          <w:t>2.</w:t>
        </w:r>
        <w:r>
          <w:rPr>
            <w:rFonts w:asciiTheme="minorHAnsi" w:eastAsiaTheme="minorEastAsia" w:hAnsiTheme="minorHAnsi" w:cstheme="minorBidi"/>
            <w:caps w:val="0"/>
            <w:noProof/>
            <w:sz w:val="22"/>
            <w:szCs w:val="22"/>
            <w:lang w:eastAsia="en-GB"/>
          </w:rPr>
          <w:tab/>
        </w:r>
        <w:r>
          <w:rPr>
            <w:rStyle w:val="Hyperlink"/>
            <w:rFonts w:cstheme="majorBidi"/>
            <w:bCs/>
            <w:noProof/>
          </w:rPr>
          <w:t>Protecting, conserving and enhancing natural capital</w:t>
        </w:r>
        <w:r>
          <w:rPr>
            <w:noProof/>
            <w:webHidden/>
          </w:rPr>
          <w:tab/>
        </w:r>
        <w:r>
          <w:rPr>
            <w:noProof/>
            <w:webHidden/>
          </w:rPr>
          <w:fldChar w:fldCharType="begin"/>
        </w:r>
        <w:r>
          <w:rPr>
            <w:noProof/>
            <w:webHidden/>
          </w:rPr>
          <w:instrText xml:space="preserve"> PAGEREF _Toc4694955</w:instrText>
        </w:r>
        <w:r>
          <w:rPr>
            <w:noProof/>
            <w:webHidden/>
          </w:rPr>
          <w:instrText xml:space="preserve">63 \h </w:instrText>
        </w:r>
        <w:r>
          <w:rPr>
            <w:noProof/>
            <w:webHidden/>
          </w:rPr>
        </w:r>
        <w:r>
          <w:rPr>
            <w:noProof/>
            <w:webHidden/>
          </w:rPr>
          <w:fldChar w:fldCharType="separate"/>
        </w:r>
        <w:r>
          <w:rPr>
            <w:noProof/>
            <w:webHidden/>
          </w:rPr>
          <w:t>10</w:t>
        </w:r>
        <w:r>
          <w:rPr>
            <w:noProof/>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64" w:history="1">
        <w:r>
          <w:rPr>
            <w:rStyle w:val="Hyperlink"/>
            <w:lang w:eastAsia="en-GB"/>
          </w:rPr>
          <w:t>Nature and Biodiversity</w:t>
        </w:r>
        <w:r>
          <w:rPr>
            <w:webHidden/>
          </w:rPr>
          <w:tab/>
        </w:r>
        <w:r>
          <w:rPr>
            <w:webHidden/>
          </w:rPr>
          <w:fldChar w:fldCharType="begin"/>
        </w:r>
        <w:r>
          <w:rPr>
            <w:webHidden/>
          </w:rPr>
          <w:instrText xml:space="preserve"> PAGEREF _Toc469495564 \h </w:instrText>
        </w:r>
        <w:r>
          <w:rPr>
            <w:webHidden/>
          </w:rPr>
        </w:r>
        <w:r>
          <w:rPr>
            <w:webHidden/>
          </w:rPr>
          <w:fldChar w:fldCharType="separate"/>
        </w:r>
        <w:r>
          <w:rPr>
            <w:webHidden/>
          </w:rPr>
          <w:t>10</w:t>
        </w:r>
        <w:r>
          <w:rPr>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65" w:history="1">
        <w:r>
          <w:rPr>
            <w:rStyle w:val="Hyperlink"/>
          </w:rPr>
          <w:t>Estimating Natural Capital</w:t>
        </w:r>
        <w:r>
          <w:rPr>
            <w:webHidden/>
          </w:rPr>
          <w:tab/>
        </w:r>
        <w:r>
          <w:rPr>
            <w:webHidden/>
          </w:rPr>
          <w:fldChar w:fldCharType="begin"/>
        </w:r>
        <w:r>
          <w:rPr>
            <w:webHidden/>
          </w:rPr>
          <w:instrText xml:space="preserve"> PAGEREF _Toc469495565 \h </w:instrText>
        </w:r>
        <w:r>
          <w:rPr>
            <w:webHidden/>
          </w:rPr>
        </w:r>
        <w:r>
          <w:rPr>
            <w:webHidden/>
          </w:rPr>
          <w:fldChar w:fldCharType="separate"/>
        </w:r>
        <w:r>
          <w:rPr>
            <w:webHidden/>
          </w:rPr>
          <w:t>12</w:t>
        </w:r>
        <w:r>
          <w:rPr>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66" w:history="1">
        <w:r>
          <w:rPr>
            <w:rStyle w:val="Hyperlink"/>
          </w:rPr>
          <w:t>Gr</w:t>
        </w:r>
        <w:r>
          <w:rPr>
            <w:rStyle w:val="Hyperlink"/>
          </w:rPr>
          <w:t>een Infrastructure</w:t>
        </w:r>
        <w:r>
          <w:rPr>
            <w:webHidden/>
          </w:rPr>
          <w:tab/>
        </w:r>
        <w:r>
          <w:rPr>
            <w:webHidden/>
          </w:rPr>
          <w:fldChar w:fldCharType="begin"/>
        </w:r>
        <w:r>
          <w:rPr>
            <w:webHidden/>
          </w:rPr>
          <w:instrText xml:space="preserve"> PAGEREF _Toc469495566 \h </w:instrText>
        </w:r>
        <w:r>
          <w:rPr>
            <w:webHidden/>
          </w:rPr>
        </w:r>
        <w:r>
          <w:rPr>
            <w:webHidden/>
          </w:rPr>
          <w:fldChar w:fldCharType="separate"/>
        </w:r>
        <w:r>
          <w:rPr>
            <w:webHidden/>
          </w:rPr>
          <w:t>12</w:t>
        </w:r>
        <w:r>
          <w:rPr>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67" w:history="1">
        <w:r>
          <w:rPr>
            <w:rStyle w:val="Hyperlink"/>
          </w:rPr>
          <w:t>Soil protection</w:t>
        </w:r>
        <w:r>
          <w:rPr>
            <w:webHidden/>
          </w:rPr>
          <w:tab/>
        </w:r>
        <w:r>
          <w:rPr>
            <w:webHidden/>
          </w:rPr>
          <w:fldChar w:fldCharType="begin"/>
        </w:r>
        <w:r>
          <w:rPr>
            <w:webHidden/>
          </w:rPr>
          <w:instrText xml:space="preserve"> PAGEREF _Toc469495567 \h </w:instrText>
        </w:r>
        <w:r>
          <w:rPr>
            <w:webHidden/>
          </w:rPr>
        </w:r>
        <w:r>
          <w:rPr>
            <w:webHidden/>
          </w:rPr>
          <w:fldChar w:fldCharType="separate"/>
        </w:r>
        <w:r>
          <w:rPr>
            <w:webHidden/>
          </w:rPr>
          <w:t>12</w:t>
        </w:r>
        <w:r>
          <w:rPr>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68" w:history="1">
        <w:r>
          <w:rPr>
            <w:rStyle w:val="Hyperlink"/>
          </w:rPr>
          <w:t>Marine protection</w:t>
        </w:r>
        <w:r>
          <w:rPr>
            <w:webHidden/>
          </w:rPr>
          <w:tab/>
        </w:r>
        <w:r>
          <w:rPr>
            <w:webHidden/>
          </w:rPr>
          <w:fldChar w:fldCharType="begin"/>
        </w:r>
        <w:r>
          <w:rPr>
            <w:webHidden/>
          </w:rPr>
          <w:instrText xml:space="preserve"> PAGEREF _Toc469495568 \h </w:instrText>
        </w:r>
        <w:r>
          <w:rPr>
            <w:webHidden/>
          </w:rPr>
        </w:r>
        <w:r>
          <w:rPr>
            <w:webHidden/>
          </w:rPr>
          <w:fldChar w:fldCharType="separate"/>
        </w:r>
        <w:r>
          <w:rPr>
            <w:webHidden/>
          </w:rPr>
          <w:t>13</w:t>
        </w:r>
        <w:r>
          <w:rPr>
            <w:webHidden/>
          </w:rPr>
          <w:fldChar w:fldCharType="end"/>
        </w:r>
      </w:hyperlink>
    </w:p>
    <w:p w:rsidR="006D6E8A" w:rsidRDefault="002E711B">
      <w:pPr>
        <w:pStyle w:val="TOC1"/>
        <w:rPr>
          <w:rFonts w:asciiTheme="minorHAnsi" w:eastAsiaTheme="minorEastAsia" w:hAnsiTheme="minorHAnsi" w:cstheme="minorBidi"/>
          <w:caps w:val="0"/>
          <w:noProof/>
          <w:sz w:val="22"/>
          <w:szCs w:val="22"/>
          <w:lang w:eastAsia="en-GB"/>
        </w:rPr>
      </w:pPr>
      <w:hyperlink w:anchor="_Toc469495569" w:history="1">
        <w:r>
          <w:rPr>
            <w:rStyle w:val="Hyperlink"/>
            <w:rFonts w:eastAsiaTheme="majorEastAsia" w:cstheme="majorBidi"/>
            <w:bCs/>
            <w:noProof/>
          </w:rPr>
          <w:t>3.</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Ensuring citizens' health and quality of life</w:t>
        </w:r>
        <w:r>
          <w:rPr>
            <w:noProof/>
            <w:webHidden/>
          </w:rPr>
          <w:tab/>
        </w:r>
        <w:r>
          <w:rPr>
            <w:noProof/>
            <w:webHidden/>
          </w:rPr>
          <w:fldChar w:fldCharType="begin"/>
        </w:r>
        <w:r>
          <w:rPr>
            <w:noProof/>
            <w:webHidden/>
          </w:rPr>
          <w:instrText xml:space="preserve"> PAGEREF _Toc469495569 \h </w:instrText>
        </w:r>
        <w:r>
          <w:rPr>
            <w:noProof/>
            <w:webHidden/>
          </w:rPr>
        </w:r>
        <w:r>
          <w:rPr>
            <w:noProof/>
            <w:webHidden/>
          </w:rPr>
          <w:fldChar w:fldCharType="separate"/>
        </w:r>
        <w:r>
          <w:rPr>
            <w:noProof/>
            <w:webHidden/>
          </w:rPr>
          <w:t>15</w:t>
        </w:r>
        <w:r>
          <w:rPr>
            <w:noProof/>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70" w:history="1">
        <w:r>
          <w:rPr>
            <w:rStyle w:val="Hyperlink"/>
          </w:rPr>
          <w:t>Air quality</w:t>
        </w:r>
        <w:r>
          <w:rPr>
            <w:webHidden/>
          </w:rPr>
          <w:tab/>
        </w:r>
        <w:r>
          <w:rPr>
            <w:webHidden/>
          </w:rPr>
          <w:fldChar w:fldCharType="begin"/>
        </w:r>
        <w:r>
          <w:rPr>
            <w:webHidden/>
          </w:rPr>
          <w:instrText xml:space="preserve"> PAGEREF _Toc469495570 \h </w:instrText>
        </w:r>
        <w:r>
          <w:rPr>
            <w:webHidden/>
          </w:rPr>
        </w:r>
        <w:r>
          <w:rPr>
            <w:webHidden/>
          </w:rPr>
          <w:fldChar w:fldCharType="separate"/>
        </w:r>
        <w:r>
          <w:rPr>
            <w:webHidden/>
          </w:rPr>
          <w:t>15</w:t>
        </w:r>
        <w:r>
          <w:rPr>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71" w:history="1">
        <w:r>
          <w:rPr>
            <w:rStyle w:val="Hyperlink"/>
            <w:lang w:eastAsia="en-GB"/>
          </w:rPr>
          <w:t>Water quality and management</w:t>
        </w:r>
        <w:r>
          <w:rPr>
            <w:webHidden/>
          </w:rPr>
          <w:tab/>
        </w:r>
        <w:r>
          <w:rPr>
            <w:webHidden/>
          </w:rPr>
          <w:fldChar w:fldCharType="begin"/>
        </w:r>
        <w:r>
          <w:rPr>
            <w:webHidden/>
          </w:rPr>
          <w:instrText xml:space="preserve"> PAGEREF _Toc469495571 \h </w:instrText>
        </w:r>
        <w:r>
          <w:rPr>
            <w:webHidden/>
          </w:rPr>
        </w:r>
        <w:r>
          <w:rPr>
            <w:webHidden/>
          </w:rPr>
          <w:fldChar w:fldCharType="separate"/>
        </w:r>
        <w:r>
          <w:rPr>
            <w:webHidden/>
          </w:rPr>
          <w:t>16</w:t>
        </w:r>
        <w:r>
          <w:rPr>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72" w:history="1">
        <w:r>
          <w:rPr>
            <w:rStyle w:val="Hyperlink"/>
          </w:rPr>
          <w:t>Enhancing the sustainability of cities</w:t>
        </w:r>
        <w:r>
          <w:rPr>
            <w:webHidden/>
          </w:rPr>
          <w:tab/>
        </w:r>
        <w:r>
          <w:rPr>
            <w:webHidden/>
          </w:rPr>
          <w:fldChar w:fldCharType="begin"/>
        </w:r>
        <w:r>
          <w:rPr>
            <w:webHidden/>
          </w:rPr>
          <w:instrText xml:space="preserve"> PAGEREF _Toc469495572 \h </w:instrText>
        </w:r>
        <w:r>
          <w:rPr>
            <w:webHidden/>
          </w:rPr>
        </w:r>
        <w:r>
          <w:rPr>
            <w:webHidden/>
          </w:rPr>
          <w:fldChar w:fldCharType="separate"/>
        </w:r>
        <w:r>
          <w:rPr>
            <w:webHidden/>
          </w:rPr>
          <w:t>18</w:t>
        </w:r>
        <w:r>
          <w:rPr>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73" w:history="1">
        <w:r>
          <w:rPr>
            <w:rStyle w:val="Hyperlink"/>
          </w:rPr>
          <w:t>International agreements</w:t>
        </w:r>
        <w:r>
          <w:rPr>
            <w:webHidden/>
          </w:rPr>
          <w:tab/>
        </w:r>
        <w:r>
          <w:rPr>
            <w:webHidden/>
          </w:rPr>
          <w:fldChar w:fldCharType="begin"/>
        </w:r>
        <w:r>
          <w:rPr>
            <w:webHidden/>
          </w:rPr>
          <w:instrText xml:space="preserve"> PAGEREF _Toc469495573 \h </w:instrText>
        </w:r>
        <w:r>
          <w:rPr>
            <w:webHidden/>
          </w:rPr>
        </w:r>
        <w:r>
          <w:rPr>
            <w:webHidden/>
          </w:rPr>
          <w:fldChar w:fldCharType="separate"/>
        </w:r>
        <w:r>
          <w:rPr>
            <w:webHidden/>
          </w:rPr>
          <w:t>19</w:t>
        </w:r>
        <w:r>
          <w:rPr>
            <w:webHidden/>
          </w:rPr>
          <w:fldChar w:fldCharType="end"/>
        </w:r>
      </w:hyperlink>
    </w:p>
    <w:p w:rsidR="006D6E8A" w:rsidRDefault="002E711B">
      <w:pPr>
        <w:pStyle w:val="TOC1"/>
        <w:rPr>
          <w:rFonts w:asciiTheme="minorHAnsi" w:eastAsiaTheme="minorEastAsia" w:hAnsiTheme="minorHAnsi" w:cstheme="minorBidi"/>
          <w:caps w:val="0"/>
          <w:noProof/>
          <w:sz w:val="22"/>
          <w:szCs w:val="22"/>
          <w:lang w:eastAsia="en-GB"/>
        </w:rPr>
      </w:pPr>
      <w:hyperlink w:anchor="_Toc469495574" w:history="1">
        <w:r>
          <w:rPr>
            <w:rStyle w:val="Hyperlink"/>
            <w:rFonts w:eastAsiaTheme="majorEastAsia" w:cstheme="majorBidi"/>
            <w:bCs/>
            <w:noProof/>
          </w:rPr>
          <w:t xml:space="preserve">Part II: </w:t>
        </w:r>
        <w:r>
          <w:rPr>
            <w:rStyle w:val="Hyperlink"/>
            <w:rFonts w:eastAsiaTheme="majorEastAsia" w:cstheme="majorBidi"/>
            <w:bCs/>
            <w:noProof/>
          </w:rPr>
          <w:t>Enabling Framework: Implementation Tools</w:t>
        </w:r>
        <w:r>
          <w:rPr>
            <w:noProof/>
            <w:webHidden/>
          </w:rPr>
          <w:tab/>
        </w:r>
        <w:r>
          <w:rPr>
            <w:noProof/>
            <w:webHidden/>
          </w:rPr>
          <w:fldChar w:fldCharType="begin"/>
        </w:r>
        <w:r>
          <w:rPr>
            <w:noProof/>
            <w:webHidden/>
          </w:rPr>
          <w:instrText xml:space="preserve"> PAGEREF _Toc469495574 \h </w:instrText>
        </w:r>
        <w:r>
          <w:rPr>
            <w:noProof/>
            <w:webHidden/>
          </w:rPr>
        </w:r>
        <w:r>
          <w:rPr>
            <w:noProof/>
            <w:webHidden/>
          </w:rPr>
          <w:fldChar w:fldCharType="separate"/>
        </w:r>
        <w:r>
          <w:rPr>
            <w:noProof/>
            <w:webHidden/>
          </w:rPr>
          <w:t>20</w:t>
        </w:r>
        <w:r>
          <w:rPr>
            <w:noProof/>
            <w:webHidden/>
          </w:rPr>
          <w:fldChar w:fldCharType="end"/>
        </w:r>
      </w:hyperlink>
    </w:p>
    <w:p w:rsidR="006D6E8A" w:rsidRDefault="002E711B">
      <w:pPr>
        <w:pStyle w:val="TOC1"/>
        <w:rPr>
          <w:rFonts w:asciiTheme="minorHAnsi" w:eastAsiaTheme="minorEastAsia" w:hAnsiTheme="minorHAnsi" w:cstheme="minorBidi"/>
          <w:caps w:val="0"/>
          <w:noProof/>
          <w:sz w:val="22"/>
          <w:szCs w:val="22"/>
          <w:lang w:eastAsia="en-GB"/>
        </w:rPr>
      </w:pPr>
      <w:hyperlink w:anchor="_Toc469495575" w:history="1">
        <w:r>
          <w:rPr>
            <w:rStyle w:val="Hyperlink"/>
            <w:rFonts w:eastAsiaTheme="majorEastAsia" w:cstheme="majorBidi"/>
            <w:bCs/>
            <w:noProof/>
          </w:rPr>
          <w:t>4.</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Market based instruments and investment</w:t>
        </w:r>
        <w:r>
          <w:rPr>
            <w:noProof/>
            <w:webHidden/>
          </w:rPr>
          <w:tab/>
        </w:r>
        <w:r>
          <w:rPr>
            <w:noProof/>
            <w:webHidden/>
          </w:rPr>
          <w:fldChar w:fldCharType="begin"/>
        </w:r>
        <w:r>
          <w:rPr>
            <w:noProof/>
            <w:webHidden/>
          </w:rPr>
          <w:instrText xml:space="preserve"> PAGEREF _Toc469495575 \h </w:instrText>
        </w:r>
        <w:r>
          <w:rPr>
            <w:noProof/>
            <w:webHidden/>
          </w:rPr>
        </w:r>
        <w:r>
          <w:rPr>
            <w:noProof/>
            <w:webHidden/>
          </w:rPr>
          <w:fldChar w:fldCharType="separate"/>
        </w:r>
        <w:r>
          <w:rPr>
            <w:noProof/>
            <w:webHidden/>
          </w:rPr>
          <w:t>20</w:t>
        </w:r>
        <w:r>
          <w:rPr>
            <w:noProof/>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76" w:history="1">
        <w:r>
          <w:rPr>
            <w:rStyle w:val="Hyperlink"/>
          </w:rPr>
          <w:t>Green taxation and environmentally harmful subsidies</w:t>
        </w:r>
        <w:r>
          <w:rPr>
            <w:webHidden/>
          </w:rPr>
          <w:tab/>
        </w:r>
        <w:r>
          <w:rPr>
            <w:webHidden/>
          </w:rPr>
          <w:fldChar w:fldCharType="begin"/>
        </w:r>
        <w:r>
          <w:rPr>
            <w:webHidden/>
          </w:rPr>
          <w:instrText xml:space="preserve"> PAGEREF _Toc469495576 \h </w:instrText>
        </w:r>
        <w:r>
          <w:rPr>
            <w:webHidden/>
          </w:rPr>
        </w:r>
        <w:r>
          <w:rPr>
            <w:webHidden/>
          </w:rPr>
          <w:fldChar w:fldCharType="separate"/>
        </w:r>
        <w:r>
          <w:rPr>
            <w:webHidden/>
          </w:rPr>
          <w:t>20</w:t>
        </w:r>
        <w:r>
          <w:rPr>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77" w:history="1">
        <w:r>
          <w:rPr>
            <w:rStyle w:val="Hyperlink"/>
          </w:rPr>
          <w:t>Green Public Procurement</w:t>
        </w:r>
        <w:r>
          <w:rPr>
            <w:webHidden/>
          </w:rPr>
          <w:tab/>
        </w:r>
        <w:r>
          <w:rPr>
            <w:webHidden/>
          </w:rPr>
          <w:fldChar w:fldCharType="begin"/>
        </w:r>
        <w:r>
          <w:rPr>
            <w:webHidden/>
          </w:rPr>
          <w:instrText xml:space="preserve"> PAGEREF _Toc469495577 \h </w:instrText>
        </w:r>
        <w:r>
          <w:rPr>
            <w:webHidden/>
          </w:rPr>
        </w:r>
        <w:r>
          <w:rPr>
            <w:webHidden/>
          </w:rPr>
          <w:fldChar w:fldCharType="separate"/>
        </w:r>
        <w:r>
          <w:rPr>
            <w:webHidden/>
          </w:rPr>
          <w:t>20</w:t>
        </w:r>
        <w:r>
          <w:rPr>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78" w:history="1">
        <w:r>
          <w:rPr>
            <w:rStyle w:val="Hyperlink"/>
          </w:rPr>
          <w:t>Investments: the contribution of EU funds</w:t>
        </w:r>
        <w:r>
          <w:rPr>
            <w:webHidden/>
          </w:rPr>
          <w:tab/>
        </w:r>
        <w:r>
          <w:rPr>
            <w:webHidden/>
          </w:rPr>
          <w:fldChar w:fldCharType="begin"/>
        </w:r>
        <w:r>
          <w:rPr>
            <w:webHidden/>
          </w:rPr>
          <w:instrText xml:space="preserve"> PAGEREF _Toc469495578 \h </w:instrText>
        </w:r>
        <w:r>
          <w:rPr>
            <w:webHidden/>
          </w:rPr>
        </w:r>
        <w:r>
          <w:rPr>
            <w:webHidden/>
          </w:rPr>
          <w:fldChar w:fldCharType="separate"/>
        </w:r>
        <w:r>
          <w:rPr>
            <w:webHidden/>
          </w:rPr>
          <w:t>21</w:t>
        </w:r>
        <w:r>
          <w:rPr>
            <w:webHidden/>
          </w:rPr>
          <w:fldChar w:fldCharType="end"/>
        </w:r>
      </w:hyperlink>
    </w:p>
    <w:p w:rsidR="006D6E8A" w:rsidRDefault="002E711B">
      <w:pPr>
        <w:pStyle w:val="TOC1"/>
        <w:rPr>
          <w:rFonts w:asciiTheme="minorHAnsi" w:eastAsiaTheme="minorEastAsia" w:hAnsiTheme="minorHAnsi" w:cstheme="minorBidi"/>
          <w:caps w:val="0"/>
          <w:noProof/>
          <w:sz w:val="22"/>
          <w:szCs w:val="22"/>
          <w:lang w:eastAsia="en-GB"/>
        </w:rPr>
      </w:pPr>
      <w:hyperlink w:anchor="_Toc469495579" w:history="1">
        <w:r>
          <w:rPr>
            <w:rStyle w:val="Hyperlink"/>
            <w:rFonts w:eastAsiaTheme="majorEastAsia" w:cstheme="majorBidi"/>
            <w:bCs/>
            <w:noProof/>
          </w:rPr>
          <w:t>5.</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Effective governance and knowledge</w:t>
        </w:r>
        <w:r>
          <w:rPr>
            <w:noProof/>
            <w:webHidden/>
          </w:rPr>
          <w:tab/>
        </w:r>
        <w:r>
          <w:rPr>
            <w:noProof/>
            <w:webHidden/>
          </w:rPr>
          <w:fldChar w:fldCharType="begin"/>
        </w:r>
        <w:r>
          <w:rPr>
            <w:noProof/>
            <w:webHidden/>
          </w:rPr>
          <w:instrText xml:space="preserve"> PAGEREF _Toc469495579 \h </w:instrText>
        </w:r>
        <w:r>
          <w:rPr>
            <w:noProof/>
            <w:webHidden/>
          </w:rPr>
        </w:r>
        <w:r>
          <w:rPr>
            <w:noProof/>
            <w:webHidden/>
          </w:rPr>
          <w:fldChar w:fldCharType="separate"/>
        </w:r>
        <w:r>
          <w:rPr>
            <w:noProof/>
            <w:webHidden/>
          </w:rPr>
          <w:t>23</w:t>
        </w:r>
        <w:r>
          <w:rPr>
            <w:noProof/>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80" w:history="1">
        <w:r>
          <w:rPr>
            <w:rStyle w:val="Hyperlink"/>
          </w:rPr>
          <w:t>Public participation and access to justice</w:t>
        </w:r>
        <w:r>
          <w:rPr>
            <w:webHidden/>
          </w:rPr>
          <w:tab/>
        </w:r>
        <w:r>
          <w:rPr>
            <w:webHidden/>
          </w:rPr>
          <w:fldChar w:fldCharType="begin"/>
        </w:r>
        <w:r>
          <w:rPr>
            <w:webHidden/>
          </w:rPr>
          <w:instrText xml:space="preserve"> PAGEREF _Toc469495580 \h </w:instrText>
        </w:r>
        <w:r>
          <w:rPr>
            <w:webHidden/>
          </w:rPr>
        </w:r>
        <w:r>
          <w:rPr>
            <w:webHidden/>
          </w:rPr>
          <w:fldChar w:fldCharType="separate"/>
        </w:r>
        <w:r>
          <w:rPr>
            <w:webHidden/>
          </w:rPr>
          <w:t>25</w:t>
        </w:r>
        <w:r>
          <w:rPr>
            <w:webHidden/>
          </w:rPr>
          <w:fldChar w:fldCharType="end"/>
        </w:r>
      </w:hyperlink>
    </w:p>
    <w:p w:rsidR="006D6E8A" w:rsidRDefault="002E711B">
      <w:pPr>
        <w:pStyle w:val="TOC2"/>
        <w:rPr>
          <w:rFonts w:asciiTheme="minorHAnsi" w:eastAsiaTheme="minorEastAsia" w:hAnsiTheme="minorHAnsi" w:cstheme="minorBidi"/>
          <w:sz w:val="22"/>
          <w:szCs w:val="22"/>
          <w:lang w:eastAsia="en-GB"/>
        </w:rPr>
      </w:pPr>
      <w:hyperlink w:anchor="_Toc469495581" w:history="1">
        <w:r>
          <w:rPr>
            <w:rStyle w:val="Hyperlink"/>
          </w:rPr>
          <w:t>Access to information, knowledge and evidence</w:t>
        </w:r>
        <w:r>
          <w:rPr>
            <w:webHidden/>
          </w:rPr>
          <w:tab/>
        </w:r>
        <w:r>
          <w:rPr>
            <w:webHidden/>
          </w:rPr>
          <w:fldChar w:fldCharType="begin"/>
        </w:r>
        <w:r>
          <w:rPr>
            <w:webHidden/>
          </w:rPr>
          <w:instrText xml:space="preserve"> PAGEREF _Toc469495581 \h </w:instrText>
        </w:r>
        <w:r>
          <w:rPr>
            <w:webHidden/>
          </w:rPr>
        </w:r>
        <w:r>
          <w:rPr>
            <w:webHidden/>
          </w:rPr>
          <w:fldChar w:fldCharType="separate"/>
        </w:r>
        <w:r>
          <w:rPr>
            <w:webHidden/>
          </w:rPr>
          <w:t>26</w:t>
        </w:r>
        <w:r>
          <w:rPr>
            <w:webHidden/>
          </w:rPr>
          <w:fldChar w:fldCharType="end"/>
        </w:r>
      </w:hyperlink>
    </w:p>
    <w:p w:rsidR="006D6E8A" w:rsidRDefault="002E711B">
      <w:pPr>
        <w:keepNext/>
        <w:keepLines/>
        <w:spacing w:after="0" w:line="240" w:lineRule="auto"/>
        <w:jc w:val="center"/>
        <w:outlineLvl w:val="0"/>
        <w:rPr>
          <w:rFonts w:eastAsiaTheme="majorEastAsia" w:cstheme="majorBidi"/>
          <w:b/>
          <w:bCs/>
          <w:noProof/>
          <w:color w:val="1F497D" w:themeColor="text2"/>
          <w:sz w:val="32"/>
          <w:szCs w:val="28"/>
        </w:rPr>
      </w:pPr>
      <w:r>
        <w:rPr>
          <w:rFonts w:eastAsiaTheme="minorEastAsia" w:cs="Times New Roman"/>
          <w:noProof/>
          <w:sz w:val="20"/>
          <w:szCs w:val="20"/>
          <w:lang w:val="en-US" w:eastAsia="ja-JP"/>
        </w:rPr>
        <w:fldChar w:fldCharType="end"/>
      </w:r>
    </w:p>
    <w:p w:rsidR="006D6E8A" w:rsidRDefault="002E711B">
      <w:pPr>
        <w:spacing w:after="120"/>
        <w:rPr>
          <w:rFonts w:cs="Times New Roman"/>
          <w:noProof/>
          <w:sz w:val="20"/>
        </w:rPr>
        <w:sectPr w:rsidR="006D6E8A">
          <w:headerReference w:type="even" r:id="rId24"/>
          <w:headerReference w:type="default" r:id="rId25"/>
          <w:footerReference w:type="even" r:id="rId26"/>
          <w:footerReference w:type="default" r:id="rId27"/>
          <w:headerReference w:type="first" r:id="rId28"/>
          <w:footerReference w:type="first" r:id="rId29"/>
          <w:pgSz w:w="11906" w:h="16838"/>
          <w:pgMar w:top="1440" w:right="1280" w:bottom="1440" w:left="1280" w:header="708" w:footer="708" w:gutter="0"/>
          <w:pgNumType w:start="3"/>
          <w:cols w:space="360"/>
          <w:docGrid w:linePitch="360"/>
        </w:sectPr>
      </w:pPr>
      <w:r>
        <w:rPr>
          <w:rFonts w:cs="Times New Roman"/>
          <w:noProof/>
          <w:sz w:val="20"/>
        </w:rPr>
        <w:br w:type="page"/>
      </w:r>
    </w:p>
    <w:p w:rsidR="006D6E8A" w:rsidRDefault="002E711B">
      <w:pPr>
        <w:keepNext/>
        <w:keepLines/>
        <w:spacing w:after="0" w:line="240" w:lineRule="auto"/>
        <w:jc w:val="center"/>
        <w:outlineLvl w:val="0"/>
        <w:rPr>
          <w:rFonts w:eastAsiaTheme="majorEastAsia" w:cstheme="majorBidi"/>
          <w:b/>
          <w:bCs/>
          <w:noProof/>
          <w:color w:val="1F497D" w:themeColor="text2"/>
          <w:sz w:val="32"/>
          <w:szCs w:val="28"/>
        </w:rPr>
      </w:pPr>
      <w:bookmarkStart w:id="5" w:name="_Toc469495558"/>
      <w:r>
        <w:rPr>
          <w:rFonts w:eastAsiaTheme="majorEastAsia" w:cstheme="majorBidi"/>
          <w:b/>
          <w:bCs/>
          <w:noProof/>
          <w:color w:val="1F497D" w:themeColor="text2"/>
          <w:sz w:val="32"/>
          <w:szCs w:val="28"/>
        </w:rPr>
        <w:lastRenderedPageBreak/>
        <w:t>Executive summary</w:t>
      </w:r>
      <w:bookmarkEnd w:id="4"/>
      <w:bookmarkEnd w:id="5"/>
    </w:p>
    <w:p w:rsidR="006D6E8A" w:rsidRDefault="006D6E8A">
      <w:pPr>
        <w:spacing w:after="120" w:line="240" w:lineRule="auto"/>
        <w:jc w:val="both"/>
        <w:rPr>
          <w:rFonts w:cs="Times New Roman"/>
          <w:noProof/>
          <w:sz w:val="20"/>
        </w:rPr>
      </w:pPr>
    </w:p>
    <w:p w:rsidR="006D6E8A" w:rsidRDefault="006D6E8A">
      <w:pPr>
        <w:spacing w:after="120" w:line="240" w:lineRule="auto"/>
        <w:jc w:val="both"/>
        <w:rPr>
          <w:rFonts w:cs="Times New Roman"/>
          <w:noProof/>
          <w:sz w:val="20"/>
        </w:rPr>
        <w:sectPr w:rsidR="006D6E8A">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280" w:bottom="1440" w:left="1280" w:header="708" w:footer="708" w:gutter="0"/>
          <w:pgNumType w:start="4"/>
          <w:cols w:space="360"/>
          <w:docGrid w:linePitch="360"/>
        </w:sectPr>
      </w:pPr>
    </w:p>
    <w:p w:rsidR="006D6E8A" w:rsidRDefault="002E711B">
      <w:pPr>
        <w:spacing w:after="120" w:line="240" w:lineRule="auto"/>
        <w:jc w:val="both"/>
        <w:rPr>
          <w:rFonts w:eastAsia="Calibri" w:cs="Calibri"/>
          <w:b/>
          <w:noProof/>
          <w:color w:val="1F497D"/>
        </w:rPr>
      </w:pPr>
      <w:r>
        <w:rPr>
          <w:rFonts w:eastAsia="Calibri" w:cs="Calibri"/>
          <w:b/>
          <w:noProof/>
          <w:color w:val="1F497D"/>
        </w:rPr>
        <w:t>About the Environmental Implementation Review</w:t>
      </w:r>
    </w:p>
    <w:p w:rsidR="006D6E8A" w:rsidRDefault="002E711B">
      <w:pPr>
        <w:widowControl w:val="0"/>
        <w:spacing w:after="120" w:line="240" w:lineRule="auto"/>
        <w:jc w:val="both"/>
        <w:rPr>
          <w:noProof/>
          <w:sz w:val="20"/>
        </w:rPr>
      </w:pPr>
      <w:r>
        <w:rPr>
          <w:noProof/>
          <w:sz w:val="20"/>
        </w:rPr>
        <w:t xml:space="preserve">In May 2016, the Commission launched the Environmental Implementation Review (EIR), a two-year cycle of analysis, dialogue and </w:t>
      </w:r>
      <w:r>
        <w:rPr>
          <w:noProof/>
          <w:sz w:val="20"/>
        </w:rPr>
        <w:t>collaboration to improve the implementation of existing EU environmental policy and legislation</w:t>
      </w:r>
      <w:r>
        <w:rPr>
          <w:noProof/>
          <w:sz w:val="20"/>
          <w:vertAlign w:val="superscript"/>
        </w:rPr>
        <w:footnoteReference w:id="1"/>
      </w:r>
      <w:r>
        <w:rPr>
          <w:noProof/>
          <w:sz w:val="20"/>
        </w:rPr>
        <w:t>. As a first step, the Commission drafted 28 reports describing the main challenges and opportunities on environmental implementation for each Member State. The</w:t>
      </w:r>
      <w:r>
        <w:rPr>
          <w:noProof/>
          <w:sz w:val="20"/>
        </w:rPr>
        <w:t>se reports are meant to stimulate a positive debate both on shared environmental challenges for the EU, as well as on the most effective ways to address the key implementation gaps. The reports rely on the detailed sectoral implementation reports collected</w:t>
      </w:r>
      <w:r>
        <w:rPr>
          <w:noProof/>
          <w:sz w:val="20"/>
        </w:rPr>
        <w:t xml:space="preserve"> or issued by the Commission under specific environmental legislation as well as the 2015 State of the Environment Report and other reports by the European Environment Agency. These reports will not replace the specific instruments to ensure compliance wit</w:t>
      </w:r>
      <w:r>
        <w:rPr>
          <w:noProof/>
          <w:sz w:val="20"/>
        </w:rPr>
        <w:t xml:space="preserve">h the EU legal obligations. </w:t>
      </w:r>
    </w:p>
    <w:p w:rsidR="006D6E8A" w:rsidRDefault="002E711B">
      <w:pPr>
        <w:widowControl w:val="0"/>
        <w:spacing w:after="120" w:line="240" w:lineRule="auto"/>
        <w:jc w:val="both"/>
        <w:rPr>
          <w:rFonts w:cs="Times New Roman"/>
          <w:noProof/>
          <w:sz w:val="20"/>
        </w:rPr>
      </w:pPr>
      <w:r>
        <w:rPr>
          <w:rFonts w:cs="Times New Roman"/>
          <w:noProof/>
          <w:sz w:val="20"/>
        </w:rPr>
        <w:t>The reports will broadly follow the outline of the 7th Environmental Action Programme</w:t>
      </w:r>
      <w:r>
        <w:rPr>
          <w:rFonts w:eastAsia="Calibri" w:cs="Times New Roman"/>
          <w:noProof/>
          <w:sz w:val="20"/>
          <w:vertAlign w:val="superscript"/>
        </w:rPr>
        <w:footnoteReference w:id="2"/>
      </w:r>
      <w:r>
        <w:rPr>
          <w:rFonts w:eastAsia="Calibri" w:cs="Times New Roman"/>
          <w:noProof/>
          <w:sz w:val="20"/>
        </w:rPr>
        <w:t xml:space="preserve"> </w:t>
      </w:r>
      <w:r>
        <w:rPr>
          <w:rFonts w:cs="Times New Roman"/>
          <w:noProof/>
          <w:sz w:val="20"/>
        </w:rPr>
        <w:t xml:space="preserve">and refer to the 2030 Agenda for Sustainable development and related </w:t>
      </w:r>
      <w:r>
        <w:rPr>
          <w:rFonts w:eastAsia="Calibri" w:cs="Times New Roman"/>
          <w:noProof/>
          <w:sz w:val="20"/>
        </w:rPr>
        <w:t>Sustainable Development Goals (SDGs)</w:t>
      </w:r>
      <w:r>
        <w:rPr>
          <w:rFonts w:eastAsia="Calibri" w:cs="Times New Roman"/>
          <w:noProof/>
          <w:sz w:val="20"/>
          <w:vertAlign w:val="superscript"/>
        </w:rPr>
        <w:footnoteReference w:id="3"/>
      </w:r>
      <w:r>
        <w:rPr>
          <w:rFonts w:eastAsia="Calibri" w:cs="Times New Roman"/>
          <w:noProof/>
          <w:sz w:val="20"/>
        </w:rPr>
        <w:t xml:space="preserve"> </w:t>
      </w:r>
      <w:r>
        <w:rPr>
          <w:rFonts w:cs="Times New Roman"/>
          <w:noProof/>
          <w:sz w:val="20"/>
        </w:rPr>
        <w:t>to the extent to which they refle</w:t>
      </w:r>
      <w:r>
        <w:rPr>
          <w:rFonts w:cs="Times New Roman"/>
          <w:noProof/>
          <w:sz w:val="20"/>
        </w:rPr>
        <w:t>ct the existing obligations and policy objectives of EU environmental law</w:t>
      </w:r>
      <w:r>
        <w:rPr>
          <w:rFonts w:eastAsia="Calibri" w:cs="Times New Roman"/>
          <w:noProof/>
          <w:sz w:val="20"/>
          <w:vertAlign w:val="superscript"/>
        </w:rPr>
        <w:footnoteReference w:id="4"/>
      </w:r>
      <w:r>
        <w:rPr>
          <w:rFonts w:cs="Times New Roman"/>
          <w:noProof/>
          <w:sz w:val="20"/>
        </w:rPr>
        <w:t xml:space="preserve">. </w:t>
      </w:r>
    </w:p>
    <w:p w:rsidR="006D6E8A" w:rsidRDefault="002E711B">
      <w:pPr>
        <w:widowControl w:val="0"/>
        <w:spacing w:after="120" w:line="240" w:lineRule="auto"/>
        <w:jc w:val="both"/>
        <w:rPr>
          <w:rFonts w:cs="Times New Roman"/>
          <w:noProof/>
          <w:sz w:val="20"/>
        </w:rPr>
      </w:pPr>
      <w:r>
        <w:rPr>
          <w:noProof/>
          <w:sz w:val="20"/>
        </w:rPr>
        <w:t>The main challenges have been selected by taking into account factors such as the importance or the gravity of the environmental implementation issue in the light of the impact on</w:t>
      </w:r>
      <w:r>
        <w:rPr>
          <w:noProof/>
          <w:sz w:val="20"/>
        </w:rPr>
        <w:t xml:space="preserve"> the quality of life of the citizens, the distance to target, and financial implications.</w:t>
      </w:r>
    </w:p>
    <w:p w:rsidR="006D6E8A" w:rsidRDefault="002E711B">
      <w:pPr>
        <w:spacing w:after="120" w:line="240" w:lineRule="auto"/>
        <w:jc w:val="both"/>
        <w:rPr>
          <w:noProof/>
          <w:sz w:val="20"/>
        </w:rPr>
      </w:pPr>
      <w:r>
        <w:rPr>
          <w:noProof/>
          <w:sz w:val="20"/>
        </w:rPr>
        <w:t>The reports accompany the Communication "</w:t>
      </w:r>
      <w:r>
        <w:rPr>
          <w:i/>
          <w:noProof/>
          <w:sz w:val="20"/>
        </w:rPr>
        <w:t>The EU Environmental Implementation Review 2016: Common challenges and how to combine efforts to deliver better results</w:t>
      </w:r>
      <w:r>
        <w:rPr>
          <w:noProof/>
          <w:sz w:val="20"/>
        </w:rPr>
        <w:t>", whi</w:t>
      </w:r>
      <w:r>
        <w:rPr>
          <w:noProof/>
          <w:sz w:val="20"/>
        </w:rPr>
        <w:t>ch identifies challenges that are common to several Member States, provides preliminary conclusions on possible root causes of implementation gaps and proposes joint actions to deliver better results. It also groups in its Annex the actions proposed in eac</w:t>
      </w:r>
      <w:r>
        <w:rPr>
          <w:noProof/>
          <w:sz w:val="20"/>
        </w:rPr>
        <w:t>h country report to improve implementation at national level.</w:t>
      </w:r>
    </w:p>
    <w:p w:rsidR="006D6E8A" w:rsidRDefault="002E711B">
      <w:pPr>
        <w:spacing w:after="120" w:line="240" w:lineRule="auto"/>
        <w:jc w:val="both"/>
        <w:rPr>
          <w:rFonts w:cstheme="minorHAnsi"/>
          <w:b/>
          <w:noProof/>
          <w:color w:val="1F497D" w:themeColor="text2"/>
        </w:rPr>
      </w:pPr>
      <w:r>
        <w:rPr>
          <w:rFonts w:cstheme="minorHAnsi"/>
          <w:b/>
          <w:noProof/>
          <w:color w:val="1F497D" w:themeColor="text2"/>
        </w:rPr>
        <w:t>General profile</w:t>
      </w:r>
    </w:p>
    <w:p w:rsidR="006D6E8A" w:rsidRDefault="002E711B">
      <w:pPr>
        <w:spacing w:after="120" w:line="240" w:lineRule="auto"/>
        <w:jc w:val="both"/>
        <w:rPr>
          <w:rFonts w:cs="Times New Roman"/>
          <w:noProof/>
          <w:sz w:val="20"/>
        </w:rPr>
      </w:pPr>
      <w:r>
        <w:rPr>
          <w:rFonts w:cs="Times New Roman"/>
          <w:noProof/>
          <w:sz w:val="20"/>
        </w:rPr>
        <w:t>Slovenia's diverse and rich natural environment is its key natural resource. It also has the biggest share of land area covered by Natura 2000 and is one of the most forested cou</w:t>
      </w:r>
      <w:r>
        <w:rPr>
          <w:rFonts w:cs="Times New Roman"/>
          <w:noProof/>
          <w:sz w:val="20"/>
        </w:rPr>
        <w:t xml:space="preserve">ntries in the EU. Well-preserved nature delivers multiple socio-economic benefits. However, it requires a good planning system and environmental infrastructure to provide necessary safeguards. </w:t>
      </w:r>
    </w:p>
    <w:p w:rsidR="006D6E8A" w:rsidRDefault="002E711B">
      <w:pPr>
        <w:spacing w:after="120" w:line="240" w:lineRule="auto"/>
        <w:jc w:val="both"/>
        <w:rPr>
          <w:rFonts w:cs="Times New Roman"/>
          <w:noProof/>
          <w:sz w:val="20"/>
        </w:rPr>
      </w:pPr>
      <w:r>
        <w:rPr>
          <w:rFonts w:cs="Times New Roman"/>
          <w:noProof/>
          <w:sz w:val="20"/>
        </w:rPr>
        <w:t xml:space="preserve">As regards compliance with the EU environmental legislation, Slovenia still has a relatively high number of environmental infringement cases. To reverse this situation, it should address its key non-compliance cases. </w:t>
      </w:r>
    </w:p>
    <w:p w:rsidR="006D6E8A" w:rsidRDefault="002E711B">
      <w:pPr>
        <w:spacing w:after="120" w:line="240" w:lineRule="auto"/>
        <w:jc w:val="both"/>
        <w:rPr>
          <w:rFonts w:cs="Times New Roman"/>
          <w:noProof/>
          <w:sz w:val="20"/>
        </w:rPr>
      </w:pPr>
      <w:r>
        <w:rPr>
          <w:rFonts w:cs="Times New Roman"/>
          <w:noProof/>
          <w:sz w:val="20"/>
        </w:rPr>
        <w:t xml:space="preserve">   </w:t>
      </w:r>
      <w:r>
        <w:rPr>
          <w:rFonts w:ascii="Georgia" w:hAnsi="Georgia" w:cs="Times New Roman"/>
          <w:noProof/>
          <w:sz w:val="20"/>
          <w:lang w:val="en"/>
        </w:rPr>
        <w:t xml:space="preserve"> </w:t>
      </w:r>
      <w:r>
        <w:rPr>
          <w:rFonts w:cs="Times New Roman"/>
          <w:noProof/>
          <w:sz w:val="20"/>
        </w:rPr>
        <w:t xml:space="preserve">  </w:t>
      </w:r>
    </w:p>
    <w:p w:rsidR="006D6E8A" w:rsidRDefault="002E711B">
      <w:pPr>
        <w:spacing w:after="120" w:line="240" w:lineRule="auto"/>
        <w:jc w:val="both"/>
        <w:rPr>
          <w:rFonts w:cstheme="minorHAnsi"/>
          <w:b/>
          <w:noProof/>
          <w:color w:val="1F497D" w:themeColor="text2"/>
        </w:rPr>
      </w:pPr>
      <w:r>
        <w:rPr>
          <w:rFonts w:cstheme="minorHAnsi"/>
          <w:b/>
          <w:noProof/>
          <w:color w:val="1F497D" w:themeColor="text2"/>
        </w:rPr>
        <w:t>Main Challenges</w:t>
      </w:r>
    </w:p>
    <w:p w:rsidR="006D6E8A" w:rsidRDefault="002E711B">
      <w:pPr>
        <w:spacing w:after="120" w:line="240" w:lineRule="auto"/>
        <w:jc w:val="both"/>
        <w:rPr>
          <w:rFonts w:cs="Times New Roman"/>
          <w:noProof/>
          <w:sz w:val="20"/>
        </w:rPr>
      </w:pPr>
      <w:r>
        <w:rPr>
          <w:rFonts w:cs="Times New Roman"/>
          <w:noProof/>
          <w:sz w:val="20"/>
        </w:rPr>
        <w:t xml:space="preserve">The three main </w:t>
      </w:r>
      <w:r>
        <w:rPr>
          <w:rFonts w:cs="Times New Roman"/>
          <w:noProof/>
          <w:sz w:val="20"/>
        </w:rPr>
        <w:t>challenges with regard to implementation of EU environmental policy and law in Slovenia are:</w:t>
      </w:r>
    </w:p>
    <w:p w:rsidR="006D6E8A" w:rsidRDefault="002E711B">
      <w:pPr>
        <w:numPr>
          <w:ilvl w:val="0"/>
          <w:numId w:val="30"/>
        </w:numPr>
        <w:spacing w:after="120" w:line="240" w:lineRule="auto"/>
        <w:contextualSpacing/>
        <w:jc w:val="both"/>
        <w:rPr>
          <w:rFonts w:cs="Times New Roman"/>
          <w:noProof/>
          <w:sz w:val="20"/>
        </w:rPr>
      </w:pPr>
      <w:r>
        <w:rPr>
          <w:rFonts w:cs="Times New Roman"/>
          <w:noProof/>
          <w:sz w:val="20"/>
        </w:rPr>
        <w:t>Streamlining the legal framework related to planning and environmental assessments by ensuring that EU environmental legislation is respected, while administrative</w:t>
      </w:r>
      <w:r>
        <w:rPr>
          <w:rFonts w:cs="Times New Roman"/>
          <w:noProof/>
          <w:sz w:val="20"/>
        </w:rPr>
        <w:t xml:space="preserve"> burden and barriers to investments are reduced.  </w:t>
      </w:r>
    </w:p>
    <w:p w:rsidR="006D6E8A" w:rsidRDefault="002E711B">
      <w:pPr>
        <w:numPr>
          <w:ilvl w:val="0"/>
          <w:numId w:val="30"/>
        </w:numPr>
        <w:spacing w:after="120" w:line="240" w:lineRule="auto"/>
        <w:contextualSpacing/>
        <w:jc w:val="both"/>
        <w:rPr>
          <w:rFonts w:cs="Times New Roman"/>
          <w:noProof/>
          <w:sz w:val="20"/>
          <w:szCs w:val="20"/>
        </w:rPr>
      </w:pPr>
      <w:r>
        <w:rPr>
          <w:rFonts w:cs="Times New Roman"/>
          <w:noProof/>
          <w:sz w:val="20"/>
        </w:rPr>
        <w:t xml:space="preserve">Preserving Slovenia's extensive Natura 2000 network by integrating economic and nature considerations in the planning and environmental assessment system. </w:t>
      </w:r>
    </w:p>
    <w:p w:rsidR="006D6E8A" w:rsidRDefault="002E711B">
      <w:pPr>
        <w:numPr>
          <w:ilvl w:val="0"/>
          <w:numId w:val="30"/>
        </w:numPr>
        <w:spacing w:after="120" w:line="240" w:lineRule="auto"/>
        <w:contextualSpacing/>
        <w:jc w:val="both"/>
        <w:rPr>
          <w:rFonts w:cs="Times New Roman"/>
          <w:noProof/>
          <w:sz w:val="20"/>
        </w:rPr>
      </w:pPr>
      <w:r>
        <w:rPr>
          <w:rFonts w:cs="Times New Roman"/>
          <w:noProof/>
          <w:sz w:val="20"/>
        </w:rPr>
        <w:t>Prioritising waste-water investments to fulfil Sl</w:t>
      </w:r>
      <w:r>
        <w:rPr>
          <w:rFonts w:cs="Times New Roman"/>
          <w:noProof/>
          <w:sz w:val="20"/>
        </w:rPr>
        <w:t>ovenia’s Accession Treaty obligations.</w:t>
      </w:r>
    </w:p>
    <w:p w:rsidR="006D6E8A" w:rsidRDefault="006D6E8A">
      <w:pPr>
        <w:spacing w:after="120" w:line="240" w:lineRule="auto"/>
        <w:contextualSpacing/>
        <w:jc w:val="both"/>
        <w:rPr>
          <w:rFonts w:cs="Times New Roman"/>
          <w:noProof/>
          <w:sz w:val="20"/>
        </w:rPr>
      </w:pPr>
    </w:p>
    <w:p w:rsidR="006D6E8A" w:rsidRDefault="002E711B">
      <w:pPr>
        <w:spacing w:after="120" w:line="240" w:lineRule="auto"/>
        <w:jc w:val="both"/>
        <w:rPr>
          <w:rFonts w:cstheme="minorHAnsi"/>
          <w:b/>
          <w:noProof/>
          <w:color w:val="1F497D" w:themeColor="text2"/>
        </w:rPr>
      </w:pPr>
      <w:r>
        <w:rPr>
          <w:rFonts w:cstheme="minorHAnsi"/>
          <w:b/>
          <w:noProof/>
          <w:color w:val="1F497D" w:themeColor="text2"/>
        </w:rPr>
        <w:t>Main Opportunities</w:t>
      </w:r>
    </w:p>
    <w:p w:rsidR="006D6E8A" w:rsidRDefault="002E711B">
      <w:pPr>
        <w:spacing w:after="120" w:line="240" w:lineRule="auto"/>
        <w:jc w:val="both"/>
        <w:rPr>
          <w:rFonts w:cs="Times New Roman"/>
          <w:noProof/>
          <w:sz w:val="20"/>
          <w:lang w:eastAsia="ja-JP"/>
        </w:rPr>
      </w:pPr>
      <w:r>
        <w:rPr>
          <w:rFonts w:cs="Times New Roman"/>
          <w:noProof/>
          <w:sz w:val="20"/>
          <w:lang w:eastAsia="ja-JP"/>
        </w:rPr>
        <w:t>Slovenia could perform better on topics where there is already a good knowledge base and good practices. This applies in particular to:</w:t>
      </w:r>
    </w:p>
    <w:p w:rsidR="006D6E8A" w:rsidRDefault="002E711B">
      <w:pPr>
        <w:numPr>
          <w:ilvl w:val="0"/>
          <w:numId w:val="31"/>
        </w:numPr>
        <w:spacing w:after="120" w:line="240" w:lineRule="auto"/>
        <w:contextualSpacing/>
        <w:jc w:val="both"/>
        <w:rPr>
          <w:rFonts w:cs="Times New Roman"/>
          <w:noProof/>
          <w:sz w:val="20"/>
        </w:rPr>
      </w:pPr>
      <w:r>
        <w:rPr>
          <w:rFonts w:cs="Times New Roman"/>
          <w:noProof/>
          <w:sz w:val="20"/>
        </w:rPr>
        <w:t>Excelling further in waste management to become one of  the E</w:t>
      </w:r>
      <w:r>
        <w:rPr>
          <w:rFonts w:cs="Times New Roman"/>
          <w:noProof/>
          <w:sz w:val="20"/>
        </w:rPr>
        <w:t xml:space="preserve">U's top-performing Member States. </w:t>
      </w:r>
    </w:p>
    <w:p w:rsidR="006D6E8A" w:rsidRDefault="002E711B">
      <w:pPr>
        <w:numPr>
          <w:ilvl w:val="0"/>
          <w:numId w:val="31"/>
        </w:numPr>
        <w:spacing w:after="120" w:line="240" w:lineRule="auto"/>
        <w:contextualSpacing/>
        <w:jc w:val="both"/>
        <w:rPr>
          <w:rFonts w:cs="Times New Roman"/>
          <w:noProof/>
          <w:sz w:val="20"/>
        </w:rPr>
      </w:pPr>
      <w:r>
        <w:rPr>
          <w:rFonts w:cs="Times New Roman"/>
          <w:noProof/>
          <w:sz w:val="20"/>
        </w:rPr>
        <w:t xml:space="preserve">Accelerating a shift towards a circular economy as part of implementing Slovenian's Framework Programme for the Transition to a Green Economy and the Smart Specialisation Strategy. </w:t>
      </w:r>
    </w:p>
    <w:p w:rsidR="006D6E8A" w:rsidRDefault="002E711B">
      <w:pPr>
        <w:numPr>
          <w:ilvl w:val="0"/>
          <w:numId w:val="31"/>
        </w:numPr>
        <w:spacing w:after="120" w:line="240" w:lineRule="auto"/>
        <w:contextualSpacing/>
        <w:jc w:val="both"/>
        <w:rPr>
          <w:rFonts w:cs="Times New Roman"/>
          <w:noProof/>
          <w:sz w:val="20"/>
        </w:rPr>
      </w:pPr>
      <w:r>
        <w:rPr>
          <w:rFonts w:cs="Times New Roman"/>
          <w:noProof/>
          <w:sz w:val="20"/>
        </w:rPr>
        <w:t xml:space="preserve">Boosting knowledge on circular economy </w:t>
      </w:r>
      <w:r>
        <w:rPr>
          <w:rFonts w:cs="Times New Roman"/>
          <w:noProof/>
          <w:sz w:val="20"/>
        </w:rPr>
        <w:t>among small and medium sized-enterprises (SMEs) and creating investment opportunities for such businesses.</w:t>
      </w:r>
    </w:p>
    <w:p w:rsidR="006D6E8A" w:rsidRDefault="002E711B">
      <w:pPr>
        <w:rPr>
          <w:rFonts w:cstheme="minorHAnsi"/>
          <w:b/>
          <w:noProof/>
          <w:color w:val="1F497D" w:themeColor="text2"/>
        </w:rPr>
      </w:pPr>
      <w:r>
        <w:rPr>
          <w:rFonts w:cstheme="minorHAnsi"/>
          <w:b/>
          <w:noProof/>
          <w:color w:val="1F497D" w:themeColor="text2"/>
        </w:rPr>
        <w:br w:type="page"/>
      </w:r>
    </w:p>
    <w:p w:rsidR="006D6E8A" w:rsidRDefault="002E711B">
      <w:pPr>
        <w:spacing w:after="120" w:line="240" w:lineRule="auto"/>
        <w:jc w:val="both"/>
        <w:rPr>
          <w:rFonts w:cs="Times New Roman"/>
          <w:noProof/>
          <w:color w:val="FF0000"/>
          <w:sz w:val="20"/>
        </w:rPr>
      </w:pPr>
      <w:r>
        <w:rPr>
          <w:rFonts w:cstheme="minorHAnsi"/>
          <w:b/>
          <w:noProof/>
          <w:color w:val="1F497D" w:themeColor="text2"/>
        </w:rPr>
        <w:t>Points of Excellence</w:t>
      </w:r>
    </w:p>
    <w:p w:rsidR="006D6E8A" w:rsidRDefault="002E711B">
      <w:pPr>
        <w:spacing w:after="120" w:line="240" w:lineRule="auto"/>
        <w:jc w:val="both"/>
        <w:rPr>
          <w:rFonts w:cs="Times New Roman"/>
          <w:noProof/>
          <w:sz w:val="20"/>
        </w:rPr>
      </w:pPr>
      <w:r>
        <w:rPr>
          <w:rFonts w:cs="Times New Roman"/>
          <w:noProof/>
          <w:sz w:val="20"/>
        </w:rPr>
        <w:t xml:space="preserve">Where Slovenia leads in environmental implementation, it could share its approaches more widely among other countries. Good </w:t>
      </w:r>
      <w:r>
        <w:rPr>
          <w:rFonts w:cs="Times New Roman"/>
          <w:noProof/>
          <w:sz w:val="20"/>
        </w:rPr>
        <w:t>examples are:</w:t>
      </w:r>
    </w:p>
    <w:p w:rsidR="006D6E8A" w:rsidRDefault="002E711B">
      <w:pPr>
        <w:numPr>
          <w:ilvl w:val="0"/>
          <w:numId w:val="32"/>
        </w:numPr>
        <w:spacing w:after="120" w:line="240" w:lineRule="auto"/>
        <w:contextualSpacing/>
        <w:jc w:val="both"/>
        <w:rPr>
          <w:rFonts w:cs="Times New Roman"/>
          <w:noProof/>
          <w:sz w:val="20"/>
        </w:rPr>
      </w:pPr>
      <w:r>
        <w:rPr>
          <w:rFonts w:cs="Times New Roman"/>
          <w:noProof/>
          <w:sz w:val="20"/>
        </w:rPr>
        <w:t>The best performing EU-13 Member State in terms of municipal waste recycling with its state-of-the-art regional waste management centre in Ljubljana.</w:t>
      </w:r>
    </w:p>
    <w:p w:rsidR="006D6E8A" w:rsidRDefault="002E711B">
      <w:pPr>
        <w:numPr>
          <w:ilvl w:val="0"/>
          <w:numId w:val="32"/>
        </w:numPr>
        <w:spacing w:after="120" w:line="240" w:lineRule="auto"/>
        <w:contextualSpacing/>
        <w:jc w:val="both"/>
        <w:rPr>
          <w:rFonts w:cs="Times New Roman"/>
          <w:noProof/>
          <w:sz w:val="20"/>
        </w:rPr>
      </w:pPr>
      <w:r>
        <w:rPr>
          <w:rFonts w:cs="Times New Roman"/>
          <w:noProof/>
          <w:sz w:val="20"/>
        </w:rPr>
        <w:t>EU-wide, Slovenia boasts one of the highest contributions of revenues from environmental tax</w:t>
      </w:r>
      <w:r>
        <w:rPr>
          <w:rFonts w:cs="Times New Roman"/>
          <w:noProof/>
          <w:sz w:val="20"/>
        </w:rPr>
        <w:t xml:space="preserve">.  </w:t>
      </w:r>
    </w:p>
    <w:p w:rsidR="006D6E8A" w:rsidRDefault="006D6E8A">
      <w:pPr>
        <w:spacing w:after="120" w:line="240" w:lineRule="auto"/>
        <w:contextualSpacing/>
        <w:jc w:val="both"/>
        <w:rPr>
          <w:rFonts w:cs="Times New Roman"/>
          <w:noProof/>
          <w:sz w:val="20"/>
        </w:rPr>
      </w:pPr>
    </w:p>
    <w:p w:rsidR="006D6E8A" w:rsidRDefault="006D6E8A">
      <w:pPr>
        <w:spacing w:after="120" w:line="240" w:lineRule="auto"/>
        <w:contextualSpacing/>
        <w:jc w:val="both"/>
        <w:rPr>
          <w:rFonts w:cs="Times New Roman"/>
          <w:noProof/>
          <w:sz w:val="20"/>
        </w:rPr>
      </w:pPr>
    </w:p>
    <w:p w:rsidR="006D6E8A" w:rsidRDefault="006D6E8A">
      <w:pPr>
        <w:spacing w:after="120" w:line="240" w:lineRule="auto"/>
        <w:contextualSpacing/>
        <w:jc w:val="both"/>
        <w:rPr>
          <w:rFonts w:cs="Times New Roman"/>
          <w:noProof/>
          <w:sz w:val="20"/>
        </w:rPr>
      </w:pPr>
    </w:p>
    <w:p w:rsidR="006D6E8A" w:rsidRDefault="006D6E8A">
      <w:pPr>
        <w:spacing w:after="120" w:line="240" w:lineRule="auto"/>
        <w:contextualSpacing/>
        <w:jc w:val="both"/>
        <w:rPr>
          <w:rFonts w:cs="Times New Roman"/>
          <w:noProof/>
          <w:sz w:val="20"/>
        </w:rPr>
      </w:pPr>
    </w:p>
    <w:p w:rsidR="006D6E8A" w:rsidRDefault="006D6E8A">
      <w:pPr>
        <w:spacing w:after="120" w:line="240" w:lineRule="auto"/>
        <w:contextualSpacing/>
        <w:jc w:val="both"/>
        <w:rPr>
          <w:rFonts w:cs="Times New Roman"/>
          <w:noProof/>
          <w:sz w:val="20"/>
        </w:rPr>
      </w:pPr>
    </w:p>
    <w:p w:rsidR="006D6E8A" w:rsidRDefault="006D6E8A">
      <w:pPr>
        <w:spacing w:after="120" w:line="240" w:lineRule="auto"/>
        <w:contextualSpacing/>
        <w:jc w:val="both"/>
        <w:rPr>
          <w:rFonts w:cs="Times New Roman"/>
          <w:noProof/>
          <w:sz w:val="20"/>
        </w:rPr>
      </w:pPr>
    </w:p>
    <w:p w:rsidR="006D6E8A" w:rsidRDefault="006D6E8A">
      <w:pPr>
        <w:spacing w:after="120" w:line="240" w:lineRule="auto"/>
        <w:contextualSpacing/>
        <w:jc w:val="both"/>
        <w:rPr>
          <w:rFonts w:cs="Times New Roman"/>
          <w:noProof/>
          <w:sz w:val="20"/>
        </w:rPr>
      </w:pPr>
    </w:p>
    <w:p w:rsidR="006D6E8A" w:rsidRDefault="006D6E8A">
      <w:pPr>
        <w:spacing w:after="120" w:line="240" w:lineRule="auto"/>
        <w:contextualSpacing/>
        <w:jc w:val="both"/>
        <w:rPr>
          <w:rFonts w:cs="Times New Roman"/>
          <w:noProof/>
          <w:sz w:val="20"/>
        </w:rPr>
      </w:pPr>
    </w:p>
    <w:p w:rsidR="006D6E8A" w:rsidRDefault="006D6E8A">
      <w:pPr>
        <w:spacing w:after="120" w:line="240" w:lineRule="auto"/>
        <w:contextualSpacing/>
        <w:jc w:val="both"/>
        <w:rPr>
          <w:rFonts w:cs="Times New Roman"/>
          <w:noProof/>
          <w:sz w:val="20"/>
        </w:rPr>
      </w:pPr>
    </w:p>
    <w:p w:rsidR="006D6E8A" w:rsidRDefault="006D6E8A">
      <w:pPr>
        <w:spacing w:after="120" w:line="240" w:lineRule="auto"/>
        <w:contextualSpacing/>
        <w:jc w:val="both"/>
        <w:rPr>
          <w:rFonts w:cs="Times New Roman"/>
          <w:noProof/>
          <w:sz w:val="20"/>
        </w:rPr>
      </w:pPr>
    </w:p>
    <w:p w:rsidR="006D6E8A" w:rsidRDefault="006D6E8A">
      <w:pPr>
        <w:spacing w:after="120" w:line="240" w:lineRule="auto"/>
        <w:contextualSpacing/>
        <w:jc w:val="both"/>
        <w:rPr>
          <w:rFonts w:cs="Times New Roman"/>
          <w:noProof/>
          <w:sz w:val="20"/>
        </w:rPr>
      </w:pPr>
    </w:p>
    <w:p w:rsidR="006D6E8A" w:rsidRDefault="006D6E8A">
      <w:pPr>
        <w:spacing w:after="120" w:line="240" w:lineRule="auto"/>
        <w:contextualSpacing/>
        <w:jc w:val="both"/>
        <w:rPr>
          <w:rFonts w:cs="Times New Roman"/>
          <w:noProof/>
          <w:sz w:val="20"/>
        </w:rPr>
      </w:pPr>
    </w:p>
    <w:p w:rsidR="006D6E8A" w:rsidRDefault="006D6E8A">
      <w:pPr>
        <w:spacing w:after="120" w:line="240" w:lineRule="auto"/>
        <w:contextualSpacing/>
        <w:jc w:val="both"/>
        <w:rPr>
          <w:rFonts w:cs="Times New Roman"/>
          <w:noProof/>
          <w:sz w:val="20"/>
        </w:rPr>
        <w:sectPr w:rsidR="006D6E8A">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pgNumType w:start="4"/>
          <w:cols w:num="2" w:space="360"/>
          <w:docGrid w:linePitch="360"/>
        </w:sectPr>
      </w:pPr>
    </w:p>
    <w:p w:rsidR="006D6E8A" w:rsidRDefault="002E711B">
      <w:pPr>
        <w:rPr>
          <w:rFonts w:eastAsiaTheme="majorEastAsia" w:cstheme="majorBidi"/>
          <w:b/>
          <w:bCs/>
          <w:noProof/>
          <w:color w:val="1F497D" w:themeColor="text2"/>
          <w:sz w:val="32"/>
          <w:szCs w:val="28"/>
        </w:rPr>
      </w:pPr>
      <w:bookmarkStart w:id="6" w:name="_Toc433296150"/>
      <w:r>
        <w:rPr>
          <w:rFonts w:eastAsiaTheme="majorEastAsia" w:cstheme="majorBidi"/>
          <w:b/>
          <w:bCs/>
          <w:noProof/>
          <w:color w:val="1F497D" w:themeColor="text2"/>
          <w:sz w:val="32"/>
          <w:szCs w:val="28"/>
        </w:rPr>
        <w:br w:type="page"/>
      </w:r>
    </w:p>
    <w:p w:rsidR="006D6E8A" w:rsidRDefault="006D6E8A">
      <w:pPr>
        <w:keepNext/>
        <w:keepLines/>
        <w:spacing w:after="0" w:line="240" w:lineRule="auto"/>
        <w:jc w:val="center"/>
        <w:outlineLvl w:val="0"/>
        <w:rPr>
          <w:rFonts w:eastAsiaTheme="majorEastAsia" w:cstheme="majorBidi"/>
          <w:b/>
          <w:bCs/>
          <w:noProof/>
          <w:color w:val="1F497D" w:themeColor="text2"/>
          <w:sz w:val="32"/>
          <w:szCs w:val="28"/>
        </w:rPr>
        <w:sectPr w:rsidR="006D6E8A">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1"/>
          <w:cols w:space="708"/>
          <w:docGrid w:linePitch="360"/>
        </w:sectPr>
      </w:pPr>
    </w:p>
    <w:p w:rsidR="006D6E8A" w:rsidRDefault="002E711B">
      <w:pPr>
        <w:keepNext/>
        <w:keepLines/>
        <w:spacing w:after="0" w:line="240" w:lineRule="auto"/>
        <w:jc w:val="center"/>
        <w:outlineLvl w:val="0"/>
        <w:rPr>
          <w:rFonts w:eastAsiaTheme="majorEastAsia" w:cstheme="majorBidi"/>
          <w:b/>
          <w:bCs/>
          <w:noProof/>
          <w:color w:val="1F497D" w:themeColor="text2"/>
          <w:sz w:val="32"/>
          <w:szCs w:val="28"/>
        </w:rPr>
      </w:pPr>
      <w:bookmarkStart w:id="7" w:name="_Toc469495559"/>
      <w:r>
        <w:rPr>
          <w:rFonts w:eastAsiaTheme="majorEastAsia" w:cstheme="majorBidi"/>
          <w:b/>
          <w:bCs/>
          <w:noProof/>
          <w:color w:val="1F497D" w:themeColor="text2"/>
          <w:sz w:val="32"/>
          <w:szCs w:val="28"/>
        </w:rPr>
        <w:t>Part I: Thematic Areas</w:t>
      </w:r>
      <w:bookmarkEnd w:id="6"/>
      <w:bookmarkEnd w:id="7"/>
    </w:p>
    <w:p w:rsidR="006D6E8A" w:rsidRDefault="006D6E8A">
      <w:pPr>
        <w:spacing w:after="120" w:line="240" w:lineRule="auto"/>
        <w:jc w:val="both"/>
        <w:rPr>
          <w:rFonts w:cs="Times New Roman"/>
          <w:noProof/>
          <w:sz w:val="20"/>
        </w:rPr>
      </w:pPr>
    </w:p>
    <w:p w:rsidR="006D6E8A" w:rsidRDefault="002E711B">
      <w:pPr>
        <w:keepNext/>
        <w:keepLines/>
        <w:numPr>
          <w:ilvl w:val="0"/>
          <w:numId w:val="26"/>
        </w:numPr>
        <w:spacing w:after="0" w:line="240" w:lineRule="auto"/>
        <w:jc w:val="center"/>
        <w:outlineLvl w:val="0"/>
        <w:rPr>
          <w:rFonts w:eastAsiaTheme="majorEastAsia" w:cstheme="majorBidi"/>
          <w:b/>
          <w:bCs/>
          <w:noProof/>
          <w:color w:val="1F497D" w:themeColor="text2"/>
          <w:sz w:val="32"/>
          <w:szCs w:val="28"/>
        </w:rPr>
      </w:pPr>
      <w:bookmarkStart w:id="8" w:name="_Toc433296151"/>
      <w:bookmarkStart w:id="9" w:name="_Toc469495560"/>
      <w:r>
        <w:rPr>
          <w:rFonts w:eastAsiaTheme="majorEastAsia" w:cstheme="majorBidi"/>
          <w:b/>
          <w:bCs/>
          <w:noProof/>
          <w:color w:val="1F497D" w:themeColor="text2"/>
          <w:sz w:val="32"/>
          <w:szCs w:val="28"/>
        </w:rPr>
        <w:t>Turning the EU into a circular, resource-efficient, green and competitive low-carbon economy</w:t>
      </w:r>
      <w:bookmarkEnd w:id="8"/>
      <w:bookmarkEnd w:id="9"/>
    </w:p>
    <w:p w:rsidR="006D6E8A" w:rsidRDefault="006D6E8A">
      <w:pPr>
        <w:spacing w:after="120" w:line="240" w:lineRule="auto"/>
        <w:jc w:val="both"/>
        <w:rPr>
          <w:rFonts w:cs="Times New Roman"/>
          <w:noProof/>
          <w:sz w:val="20"/>
        </w:rPr>
      </w:pPr>
    </w:p>
    <w:p w:rsidR="006D6E8A" w:rsidRDefault="006D6E8A">
      <w:pPr>
        <w:spacing w:after="120" w:line="240" w:lineRule="auto"/>
        <w:jc w:val="both"/>
        <w:rPr>
          <w:rFonts w:cs="Times New Roman"/>
          <w:noProof/>
          <w:sz w:val="20"/>
        </w:rPr>
        <w:sectPr w:rsidR="006D6E8A">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440" w:right="1080" w:bottom="1440" w:left="1080" w:header="708" w:footer="708" w:gutter="0"/>
          <w:pgNumType w:start="6"/>
          <w:cols w:space="708"/>
          <w:docGrid w:linePitch="360"/>
        </w:sectPr>
      </w:pPr>
    </w:p>
    <w:p w:rsidR="006D6E8A" w:rsidRDefault="002E711B">
      <w:pPr>
        <w:spacing w:before="360" w:after="120" w:line="240" w:lineRule="auto"/>
        <w:jc w:val="both"/>
        <w:outlineLvl w:val="1"/>
        <w:rPr>
          <w:rFonts w:cs="Times New Roman"/>
          <w:b/>
          <w:noProof/>
          <w:color w:val="1F497D" w:themeColor="text2"/>
          <w:sz w:val="24"/>
          <w:szCs w:val="20"/>
        </w:rPr>
      </w:pPr>
      <w:bookmarkStart w:id="10" w:name="_Toc433296152"/>
      <w:bookmarkStart w:id="11" w:name="_Toc469495561"/>
      <w:r>
        <w:rPr>
          <w:rFonts w:cs="Times New Roman"/>
          <w:b/>
          <w:noProof/>
          <w:color w:val="1F497D" w:themeColor="text2"/>
          <w:sz w:val="24"/>
          <w:szCs w:val="20"/>
        </w:rPr>
        <w:t>Developing a circular economy</w:t>
      </w:r>
      <w:bookmarkEnd w:id="10"/>
      <w:r>
        <w:rPr>
          <w:rFonts w:cs="Times New Roman"/>
          <w:b/>
          <w:noProof/>
          <w:color w:val="1F497D" w:themeColor="text2"/>
          <w:sz w:val="24"/>
          <w:szCs w:val="20"/>
        </w:rPr>
        <w:t xml:space="preserve"> and improving resource efficiency</w:t>
      </w:r>
      <w:bookmarkEnd w:id="11"/>
    </w:p>
    <w:p w:rsidR="006D6E8A" w:rsidRDefault="002E711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2015 Circular Economy Package emphasizes the need to move towards a lifecycle-driven ‘circular’ economy, with a cascading use of resources and residual waste</w:t>
      </w:r>
      <w:r>
        <w:rPr>
          <w:rFonts w:cs="Times New Roman"/>
          <w:noProof/>
          <w:color w:val="FFFFFF" w:themeColor="background1"/>
          <w:sz w:val="20"/>
        </w:rPr>
        <w:t xml:space="preserve"> that is close to zero. This can be facilitated by the development of, and access to, innovative financial instruments and funding for eco-innovation.</w:t>
      </w:r>
    </w:p>
    <w:p w:rsidR="006D6E8A" w:rsidRDefault="002E711B">
      <w:pPr>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8 invites countries to promote sustained, inclusive and sustainable economic growth, full and product</w:t>
      </w:r>
      <w:r>
        <w:rPr>
          <w:rFonts w:cs="Times New Roman"/>
          <w:noProof/>
          <w:color w:val="FFFFFF" w:themeColor="background1"/>
          <w:sz w:val="20"/>
        </w:rPr>
        <w:t xml:space="preserve">ive employment and decent work for all. SDG 9 highlights the need to build resilient infrastructure, promote inclusive and sustainable industrialization and foster innovation. SDG 12 encourages countries to achieve the sustainable management and efficient </w:t>
      </w:r>
      <w:r>
        <w:rPr>
          <w:rFonts w:cs="Times New Roman"/>
          <w:noProof/>
          <w:color w:val="FFFFFF" w:themeColor="background1"/>
          <w:sz w:val="20"/>
        </w:rPr>
        <w:t>use of natural resources by 2030.</w:t>
      </w:r>
    </w:p>
    <w:p w:rsidR="006D6E8A" w:rsidRDefault="002E711B">
      <w:pPr>
        <w:spacing w:after="120" w:line="240" w:lineRule="auto"/>
        <w:jc w:val="both"/>
        <w:outlineLvl w:val="2"/>
        <w:rPr>
          <w:rFonts w:cs="Times New Roman"/>
          <w:b/>
          <w:noProof/>
          <w:color w:val="1F497D" w:themeColor="text2"/>
        </w:rPr>
      </w:pPr>
      <w:bookmarkStart w:id="12" w:name="_Toc433296157"/>
      <w:r>
        <w:rPr>
          <w:rFonts w:cs="Times New Roman"/>
          <w:b/>
          <w:noProof/>
          <w:color w:val="1F497D" w:themeColor="text2"/>
        </w:rPr>
        <w:t>Measures towards a circular economy</w:t>
      </w:r>
    </w:p>
    <w:p w:rsidR="006D6E8A" w:rsidRDefault="002E711B">
      <w:pPr>
        <w:spacing w:after="120" w:line="240" w:lineRule="auto"/>
        <w:jc w:val="both"/>
        <w:rPr>
          <w:noProof/>
          <w:sz w:val="20"/>
        </w:rPr>
      </w:pPr>
      <w:r>
        <w:rPr>
          <w:noProof/>
          <w:sz w:val="20"/>
        </w:rPr>
        <w:t>Transforming our economies from linear to circular offers an opportunity to reinvent them and make them more sustainable and competitive. This will stimulate investments and bring both s</w:t>
      </w:r>
      <w:r>
        <w:rPr>
          <w:noProof/>
          <w:sz w:val="20"/>
        </w:rPr>
        <w:t>hort and long-term benefits for the economy, environment and citizens alike</w:t>
      </w:r>
      <w:r>
        <w:rPr>
          <w:noProof/>
          <w:sz w:val="20"/>
          <w:vertAlign w:val="superscript"/>
        </w:rPr>
        <w:footnoteReference w:id="5"/>
      </w:r>
      <w:r>
        <w:rPr>
          <w:noProof/>
          <w:sz w:val="20"/>
        </w:rPr>
        <w:t>.</w:t>
      </w:r>
    </w:p>
    <w:p w:rsidR="006D6E8A" w:rsidRDefault="002E711B">
      <w:pPr>
        <w:spacing w:after="120" w:line="240" w:lineRule="auto"/>
        <w:jc w:val="both"/>
        <w:rPr>
          <w:rFonts w:cs="Times New Roman"/>
          <w:noProof/>
          <w:sz w:val="20"/>
        </w:rPr>
      </w:pPr>
      <w:r>
        <w:rPr>
          <w:rFonts w:cs="Times New Roman"/>
          <w:noProof/>
          <w:sz w:val="20"/>
        </w:rPr>
        <w:t>The resource productivity (how efficiently the economy uses material resources to produce wealth)</w:t>
      </w:r>
      <w:r>
        <w:rPr>
          <w:rFonts w:cs="Times New Roman"/>
          <w:noProof/>
          <w:sz w:val="20"/>
          <w:vertAlign w:val="superscript"/>
        </w:rPr>
        <w:footnoteReference w:id="6"/>
      </w:r>
      <w:r>
        <w:rPr>
          <w:rFonts w:cs="Times New Roman"/>
          <w:noProof/>
          <w:sz w:val="20"/>
        </w:rPr>
        <w:t xml:space="preserve"> has overall improved in Slovenia over the last ten years. However, it is still below the EU average, especially contrasted with the EU-15.  In 2015, it reached 1.35 EUR/kg compared to the EU average of 2.0 EUR/kg as shown in Figure 1.   </w:t>
      </w:r>
    </w:p>
    <w:p w:rsidR="006D6E8A" w:rsidRDefault="002E711B">
      <w:pPr>
        <w:spacing w:after="120" w:line="240" w:lineRule="auto"/>
        <w:jc w:val="both"/>
        <w:rPr>
          <w:rFonts w:cs="Times New Roman"/>
          <w:noProof/>
          <w:sz w:val="20"/>
        </w:rPr>
      </w:pPr>
      <w:r>
        <w:rPr>
          <w:rFonts w:cs="Times New Roman"/>
          <w:noProof/>
          <w:sz w:val="20"/>
        </w:rPr>
        <w:t>Slovenia faces nu</w:t>
      </w:r>
      <w:r>
        <w:rPr>
          <w:rFonts w:cs="Times New Roman"/>
          <w:noProof/>
          <w:sz w:val="20"/>
        </w:rPr>
        <w:t>merous opportunities and challenges in the transition towards a circular economy and in eco-innovation development. On one hand, it is the third most forested country in Europe, abundant with natural capital, and endowed with a high level of biodiversity a</w:t>
      </w:r>
      <w:r>
        <w:rPr>
          <w:rFonts w:cs="Times New Roman"/>
          <w:noProof/>
          <w:sz w:val="20"/>
        </w:rPr>
        <w:t xml:space="preserve">nd rich natural habitats. On the other hand, economic and systemic challenges still remain and do not facilitate and encourage the transition towards a circular economy. </w:t>
      </w:r>
    </w:p>
    <w:p w:rsidR="006D6E8A" w:rsidRDefault="002E711B">
      <w:pPr>
        <w:spacing w:after="120" w:line="240" w:lineRule="auto"/>
        <w:jc w:val="both"/>
        <w:rPr>
          <w:rFonts w:cs="Times New Roman"/>
          <w:noProof/>
          <w:sz w:val="20"/>
        </w:rPr>
      </w:pPr>
      <w:r>
        <w:rPr>
          <w:rFonts w:cs="Times New Roman"/>
          <w:noProof/>
          <w:sz w:val="20"/>
        </w:rPr>
        <w:t>By announcing circular economy and green development as Slovenia’s strategic objectiv</w:t>
      </w:r>
      <w:r>
        <w:rPr>
          <w:rFonts w:cs="Times New Roman"/>
          <w:noProof/>
          <w:sz w:val="20"/>
        </w:rPr>
        <w:t xml:space="preserve">es, the Government has initiated the first steps in creating the needed political framework.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D6E8A">
        <w:tc>
          <w:tcPr>
            <w:tcW w:w="4909" w:type="dxa"/>
          </w:tcPr>
          <w:p w:rsidR="006D6E8A" w:rsidRDefault="002E711B">
            <w:pPr>
              <w:spacing w:after="120"/>
              <w:jc w:val="both"/>
              <w:rPr>
                <w:rFonts w:cs="Times New Roman"/>
                <w:noProof/>
                <w:color w:val="1F497D" w:themeColor="text2"/>
                <w:sz w:val="20"/>
              </w:rPr>
            </w:pPr>
            <w:r>
              <w:rPr>
                <w:b/>
                <w:bCs/>
                <w:noProof/>
                <w:color w:val="1F497D" w:themeColor="text2"/>
                <w:sz w:val="20"/>
              </w:rPr>
              <w:t>Figure 1: Resource productivity 2003-15</w:t>
            </w:r>
            <w:r>
              <w:rPr>
                <w:b/>
                <w:bCs/>
                <w:noProof/>
                <w:color w:val="1F497D" w:themeColor="text2"/>
                <w:sz w:val="20"/>
                <w:vertAlign w:val="superscript"/>
              </w:rPr>
              <w:footnoteReference w:id="7"/>
            </w:r>
          </w:p>
        </w:tc>
      </w:tr>
      <w:tr w:rsidR="006D6E8A">
        <w:tc>
          <w:tcPr>
            <w:tcW w:w="4909" w:type="dxa"/>
          </w:tcPr>
          <w:p w:rsidR="006D6E8A" w:rsidRDefault="002E711B">
            <w:pPr>
              <w:spacing w:after="120"/>
              <w:jc w:val="both"/>
              <w:rPr>
                <w:rFonts w:cs="Times New Roman"/>
                <w:noProof/>
                <w:sz w:val="20"/>
              </w:rPr>
            </w:pPr>
            <w:r>
              <w:rPr>
                <w:rFonts w:cs="Times New Roman"/>
                <w:noProof/>
                <w:sz w:val="20"/>
                <w:lang w:eastAsia="en-GB"/>
              </w:rPr>
              <w:drawing>
                <wp:inline distT="0" distB="0" distL="0" distR="0" wp14:anchorId="0F34D23F" wp14:editId="78726285">
                  <wp:extent cx="2977117" cy="19763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2395" cy="1986512"/>
                          </a:xfrm>
                          <a:prstGeom prst="rect">
                            <a:avLst/>
                          </a:prstGeom>
                          <a:noFill/>
                        </pic:spPr>
                      </pic:pic>
                    </a:graphicData>
                  </a:graphic>
                </wp:inline>
              </w:drawing>
            </w:r>
          </w:p>
        </w:tc>
      </w:tr>
    </w:tbl>
    <w:p w:rsidR="006D6E8A" w:rsidRDefault="002E711B">
      <w:pPr>
        <w:spacing w:after="120" w:line="240" w:lineRule="auto"/>
        <w:jc w:val="both"/>
        <w:rPr>
          <w:rFonts w:cs="Times New Roman"/>
          <w:noProof/>
          <w:sz w:val="20"/>
        </w:rPr>
      </w:pPr>
      <w:r>
        <w:rPr>
          <w:rFonts w:cs="Times New Roman"/>
          <w:noProof/>
          <w:sz w:val="20"/>
        </w:rPr>
        <w:t xml:space="preserve">As part of its circular economy agenda, Slovenia adopted the Framework Programme for the Transition to a Green </w:t>
      </w:r>
      <w:r>
        <w:rPr>
          <w:rFonts w:cs="Times New Roman"/>
          <w:noProof/>
          <w:sz w:val="20"/>
        </w:rPr>
        <w:t>Economy</w:t>
      </w:r>
      <w:r>
        <w:rPr>
          <w:rFonts w:cs="Times New Roman"/>
          <w:noProof/>
          <w:sz w:val="20"/>
          <w:vertAlign w:val="superscript"/>
        </w:rPr>
        <w:footnoteReference w:id="8"/>
      </w:r>
      <w:r>
        <w:rPr>
          <w:rFonts w:cs="Times New Roman"/>
          <w:noProof/>
          <w:sz w:val="20"/>
        </w:rPr>
        <w:t xml:space="preserve"> in October 2015. It sets strategic guidelines for developing new green technologies, jobs and the promotion of the Slovenian knowledge. Its measures cover nine areas: sustainable resource management, green growth, green jobs, green products and se</w:t>
      </w:r>
      <w:r>
        <w:rPr>
          <w:rFonts w:cs="Times New Roman"/>
          <w:noProof/>
          <w:sz w:val="20"/>
        </w:rPr>
        <w:t xml:space="preserve">rvices, green tax reform, sustainable urban development, green public sector, green economy, and green practices in agriculture. </w:t>
      </w:r>
    </w:p>
    <w:p w:rsidR="006D6E8A" w:rsidRDefault="002E711B">
      <w:pPr>
        <w:spacing w:after="120" w:line="240" w:lineRule="auto"/>
        <w:jc w:val="both"/>
        <w:rPr>
          <w:rFonts w:cs="Times New Roman"/>
          <w:noProof/>
          <w:sz w:val="20"/>
        </w:rPr>
      </w:pPr>
      <w:r>
        <w:rPr>
          <w:rFonts w:cs="Times New Roman"/>
          <w:noProof/>
          <w:sz w:val="20"/>
        </w:rPr>
        <w:t>Slovenia also has a well-developed strategic approach to embedding a circular economy within the European Structural and Inves</w:t>
      </w:r>
      <w:r>
        <w:rPr>
          <w:rFonts w:cs="Times New Roman"/>
          <w:noProof/>
          <w:sz w:val="20"/>
        </w:rPr>
        <w:t>tment Funds as part of the national Smart Specialisation Strategy</w:t>
      </w:r>
      <w:r>
        <w:rPr>
          <w:rFonts w:cs="Times New Roman"/>
          <w:noProof/>
          <w:sz w:val="20"/>
          <w:vertAlign w:val="superscript"/>
        </w:rPr>
        <w:footnoteReference w:id="9"/>
      </w:r>
      <w:r>
        <w:rPr>
          <w:rFonts w:cs="Times New Roman"/>
          <w:noProof/>
          <w:sz w:val="20"/>
        </w:rPr>
        <w:t>.</w:t>
      </w:r>
    </w:p>
    <w:p w:rsidR="006D6E8A" w:rsidRDefault="002E711B">
      <w:pPr>
        <w:spacing w:after="120" w:line="240" w:lineRule="auto"/>
        <w:jc w:val="both"/>
        <w:rPr>
          <w:rFonts w:cs="Times New Roman"/>
          <w:noProof/>
          <w:sz w:val="20"/>
        </w:rPr>
      </w:pPr>
      <w:r>
        <w:rPr>
          <w:rFonts w:cs="Times New Roman"/>
          <w:noProof/>
          <w:sz w:val="20"/>
        </w:rPr>
        <w:t>Despite a strong support to the circular economy in the Government's strategic documents, it seems to be still challenging to operationalise this concept. The gap between the declaratory a</w:t>
      </w:r>
      <w:r>
        <w:rPr>
          <w:rFonts w:cs="Times New Roman"/>
          <w:noProof/>
          <w:sz w:val="20"/>
        </w:rPr>
        <w:t>nd actual support, together with the lack of financial incentives, was noted by the private sector as the main barrier in the transition towards a circular economy (Vovk, 2016)</w:t>
      </w:r>
      <w:r>
        <w:rPr>
          <w:rFonts w:cs="Times New Roman"/>
          <w:noProof/>
          <w:sz w:val="20"/>
          <w:vertAlign w:val="superscript"/>
        </w:rPr>
        <w:footnoteReference w:id="10"/>
      </w:r>
      <w:r>
        <w:rPr>
          <w:rFonts w:cs="Times New Roman"/>
          <w:noProof/>
          <w:sz w:val="20"/>
        </w:rPr>
        <w:t>.</w:t>
      </w:r>
    </w:p>
    <w:p w:rsidR="006D6E8A" w:rsidRDefault="002E711B">
      <w:pPr>
        <w:spacing w:after="120" w:line="240" w:lineRule="auto"/>
        <w:jc w:val="both"/>
        <w:outlineLvl w:val="2"/>
        <w:rPr>
          <w:rFonts w:cs="Times New Roman"/>
          <w:b/>
          <w:noProof/>
          <w:color w:val="1F497D" w:themeColor="text2"/>
        </w:rPr>
      </w:pPr>
      <w:r>
        <w:rPr>
          <w:rFonts w:cs="Times New Roman"/>
          <w:b/>
          <w:noProof/>
          <w:color w:val="1F497D" w:themeColor="text2"/>
        </w:rPr>
        <w:t>SMEs and resource efficiency</w:t>
      </w:r>
    </w:p>
    <w:p w:rsidR="006D6E8A" w:rsidRDefault="002E711B">
      <w:pPr>
        <w:spacing w:after="120" w:line="240" w:lineRule="auto"/>
        <w:jc w:val="both"/>
        <w:rPr>
          <w:rFonts w:cs="Times New Roman"/>
          <w:noProof/>
          <w:sz w:val="20"/>
        </w:rPr>
      </w:pPr>
      <w:r>
        <w:rPr>
          <w:rFonts w:cs="Times New Roman"/>
          <w:noProof/>
          <w:sz w:val="20"/>
        </w:rPr>
        <w:t>SMEs provide 63% of value added and nearly 73% o</w:t>
      </w:r>
      <w:r>
        <w:rPr>
          <w:rFonts w:cs="Times New Roman"/>
          <w:noProof/>
          <w:sz w:val="20"/>
        </w:rPr>
        <w:t xml:space="preserve">f employment. Slovenian companies in general are not highly competitive and do not have a very high value added per employee, or material and energy productivity. </w:t>
      </w:r>
    </w:p>
    <w:p w:rsidR="006D6E8A" w:rsidRDefault="002E711B">
      <w:pPr>
        <w:spacing w:after="120" w:line="240" w:lineRule="auto"/>
        <w:jc w:val="both"/>
        <w:rPr>
          <w:rFonts w:cs="Times New Roman"/>
          <w:noProof/>
          <w:color w:val="FF0000"/>
          <w:sz w:val="20"/>
        </w:rPr>
      </w:pPr>
      <w:r>
        <w:rPr>
          <w:rFonts w:cs="Times New Roman"/>
          <w:noProof/>
          <w:sz w:val="20"/>
        </w:rPr>
        <w:t xml:space="preserve">This situation could be improved without much investment. As the Flash 426 Eurobarometer on </w:t>
      </w:r>
      <w:r>
        <w:rPr>
          <w:rFonts w:cs="Times New Roman"/>
          <w:noProof/>
          <w:sz w:val="20"/>
        </w:rPr>
        <w:t>"SMEs, resource efficiency and green markets"</w:t>
      </w:r>
      <w:r>
        <w:rPr>
          <w:rFonts w:cs="Times New Roman"/>
          <w:noProof/>
          <w:sz w:val="20"/>
          <w:vertAlign w:val="superscript"/>
        </w:rPr>
        <w:footnoteReference w:id="11"/>
      </w:r>
      <w:r>
        <w:rPr>
          <w:rFonts w:cs="Times New Roman"/>
          <w:noProof/>
          <w:sz w:val="20"/>
        </w:rPr>
        <w:t xml:space="preserve"> shows,  a quarter (25%) of Slovenian SMEs taking  resource efficiency actions did not have to invest any of their turnover on resource efficiency in the last two years (EU average 26%); whereas 58% of SMEs inv</w:t>
      </w:r>
      <w:r>
        <w:rPr>
          <w:rFonts w:cs="Times New Roman"/>
          <w:noProof/>
          <w:sz w:val="20"/>
        </w:rPr>
        <w:t>ested up to 5% (EU28 average 50%). In terms of type of resource-efficiency actions, 33% offered green products and services (EU28 average 26%), 44% took measures to save energy (EU28 average 59%), 40% minimised waste (EU28 average 60%), 29% saved water (EU</w:t>
      </w:r>
      <w:r>
        <w:rPr>
          <w:rFonts w:cs="Times New Roman"/>
          <w:noProof/>
          <w:sz w:val="20"/>
        </w:rPr>
        <w:t>28 average 44%) and 45% saved materials (EU28 average 54%). From a circular economy perspective, 30% of SMEs took measures to recycle by reusing material or waste within the company (EU28 average 40%), 19% designed products that are easier to maintain, rep</w:t>
      </w:r>
      <w:r>
        <w:rPr>
          <w:rFonts w:cs="Times New Roman"/>
          <w:noProof/>
          <w:sz w:val="20"/>
        </w:rPr>
        <w:t xml:space="preserve">air or reuse (EU28 average 22%) and 20% were able to sell their scrap material to another company (EU28 average 25%). </w:t>
      </w:r>
      <w:r>
        <w:rPr>
          <w:rFonts w:cs="Times New Roman"/>
          <w:noProof/>
          <w:color w:val="FF0000"/>
          <w:sz w:val="20"/>
        </w:rPr>
        <w:t xml:space="preserve"> </w:t>
      </w:r>
    </w:p>
    <w:p w:rsidR="006D6E8A" w:rsidRDefault="002E711B">
      <w:pPr>
        <w:spacing w:after="120" w:line="240" w:lineRule="auto"/>
        <w:jc w:val="both"/>
        <w:rPr>
          <w:rFonts w:cs="Times New Roman"/>
          <w:noProof/>
          <w:sz w:val="20"/>
        </w:rPr>
      </w:pPr>
      <w:r>
        <w:rPr>
          <w:rFonts w:cs="Times New Roman"/>
          <w:noProof/>
          <w:sz w:val="20"/>
        </w:rPr>
        <w:t>The above measures allowed the reduction of production costs in 61% of the Slovenia' SMEs (EU28 average 45%).</w:t>
      </w:r>
    </w:p>
    <w:p w:rsidR="006D6E8A" w:rsidRDefault="002E711B">
      <w:pPr>
        <w:spacing w:after="120" w:line="240" w:lineRule="auto"/>
        <w:jc w:val="both"/>
        <w:rPr>
          <w:rFonts w:cs="Times New Roman"/>
          <w:noProof/>
          <w:sz w:val="20"/>
        </w:rPr>
      </w:pPr>
      <w:r>
        <w:rPr>
          <w:rFonts w:cs="Times New Roman"/>
          <w:noProof/>
          <w:sz w:val="20"/>
        </w:rPr>
        <w:t xml:space="preserve">The same Eurobarometer </w:t>
      </w:r>
      <w:r>
        <w:rPr>
          <w:rFonts w:cs="Times New Roman"/>
          <w:noProof/>
          <w:sz w:val="20"/>
        </w:rPr>
        <w:t>shows that Slovenia has an average number of 2.0 full time green employees per SME (EU28 average 1.7)</w:t>
      </w:r>
      <w:r>
        <w:rPr>
          <w:rFonts w:cs="Times New Roman"/>
          <w:noProof/>
          <w:sz w:val="20"/>
          <w:vertAlign w:val="superscript"/>
        </w:rPr>
        <w:footnoteReference w:id="12"/>
      </w:r>
      <w:r>
        <w:rPr>
          <w:rFonts w:cs="Times New Roman"/>
          <w:noProof/>
          <w:sz w:val="20"/>
        </w:rPr>
        <w:t xml:space="preserve">. </w:t>
      </w:r>
    </w:p>
    <w:p w:rsidR="006D6E8A" w:rsidRDefault="002E711B">
      <w:pPr>
        <w:spacing w:after="120" w:line="240" w:lineRule="auto"/>
        <w:jc w:val="both"/>
        <w:outlineLvl w:val="2"/>
        <w:rPr>
          <w:rFonts w:cs="Times New Roman"/>
          <w:b/>
          <w:i/>
          <w:noProof/>
          <w:color w:val="FF0000"/>
        </w:rPr>
      </w:pPr>
      <w:r>
        <w:rPr>
          <w:rFonts w:cs="Times New Roman"/>
          <w:b/>
          <w:noProof/>
          <w:color w:val="1F497D" w:themeColor="text2"/>
        </w:rPr>
        <w:t>Eco-innovation</w:t>
      </w:r>
    </w:p>
    <w:p w:rsidR="006D6E8A" w:rsidRDefault="002E711B">
      <w:pPr>
        <w:spacing w:after="120" w:line="240" w:lineRule="auto"/>
        <w:jc w:val="both"/>
        <w:rPr>
          <w:rFonts w:cs="Times New Roman"/>
          <w:noProof/>
          <w:sz w:val="20"/>
        </w:rPr>
      </w:pPr>
      <w:r>
        <w:rPr>
          <w:rFonts w:cs="Times New Roman"/>
          <w:noProof/>
          <w:sz w:val="20"/>
        </w:rPr>
        <w:t>The overall Eco-IS composite index 2015 for Slovenia is 96 (Figure 2), placing Slovenia on the 16th place in the EU ranking of eco-innov</w:t>
      </w:r>
      <w:r>
        <w:rPr>
          <w:rFonts w:cs="Times New Roman"/>
          <w:noProof/>
          <w:sz w:val="20"/>
        </w:rPr>
        <w:t xml:space="preserve">ative countries, with Denmark, Finland, and Ireland as the leaders. In comparison to the 2014 and 2013 scoreboard, Slovenia’s composite index has increased. Namely, in 2014 and 2013 Slovenia performed below the EU average but with an index of 74.3 in 2013 </w:t>
      </w:r>
      <w:r>
        <w:rPr>
          <w:rFonts w:cs="Times New Roman"/>
          <w:noProof/>
          <w:sz w:val="20"/>
        </w:rPr>
        <w:t>and 90.7 in 2014. Slovenia ranked 15th and 16th in 2013 and 2014 respectively (though caution must be used when comparing 2015 and 2014 indices with 2013 indices, as the scoreboard is being reviewed constantly, and potential new data sources to improve the</w:t>
      </w:r>
      <w:r>
        <w:rPr>
          <w:rFonts w:cs="Times New Roman"/>
          <w:noProof/>
          <w:sz w:val="20"/>
        </w:rPr>
        <w:t xml:space="preserve"> indicators in the scoreboard are screened in every round of updates).</w:t>
      </w:r>
    </w:p>
    <w:p w:rsidR="006D6E8A" w:rsidRDefault="002E711B">
      <w:pPr>
        <w:spacing w:after="120" w:line="240" w:lineRule="auto"/>
        <w:jc w:val="both"/>
        <w:rPr>
          <w:rFonts w:cs="Times New Roman"/>
          <w:noProof/>
          <w:sz w:val="20"/>
        </w:rPr>
      </w:pPr>
      <w:r>
        <w:rPr>
          <w:rFonts w:cs="Times New Roman"/>
          <w:noProof/>
          <w:sz w:val="20"/>
        </w:rPr>
        <w:t>Slovenia has 10 EMAS registered organisations, which is a quite low with respect to the total of 4034 organisations that hold a registration. There have not been any changes in the numb</w:t>
      </w:r>
      <w:r>
        <w:rPr>
          <w:rFonts w:cs="Times New Roman"/>
          <w:noProof/>
          <w:sz w:val="20"/>
        </w:rPr>
        <w:t xml:space="preserve">er of registered organisation since October 2015. </w:t>
      </w:r>
    </w:p>
    <w:p w:rsidR="006D6E8A" w:rsidRDefault="002E711B">
      <w:pPr>
        <w:spacing w:after="120" w:line="240" w:lineRule="auto"/>
        <w:jc w:val="both"/>
        <w:rPr>
          <w:rFonts w:cs="Times New Roman"/>
          <w:noProof/>
          <w:sz w:val="20"/>
        </w:rPr>
      </w:pPr>
      <w:r>
        <w:rPr>
          <w:rFonts w:cs="Times New Roman"/>
          <w:noProof/>
          <w:sz w:val="20"/>
        </w:rPr>
        <w:t xml:space="preserve">Concerning the EU Eco-label, Slovenia has 14 licenses, which is quite a low number compared to the 1875 total number of licenses.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D6E8A" w:rsidRPr="002E711B">
        <w:tc>
          <w:tcPr>
            <w:tcW w:w="4909" w:type="dxa"/>
          </w:tcPr>
          <w:p w:rsidR="006D6E8A" w:rsidRDefault="002E711B">
            <w:pPr>
              <w:spacing w:after="120"/>
              <w:jc w:val="both"/>
              <w:rPr>
                <w:rFonts w:cs="Times New Roman"/>
                <w:noProof/>
                <w:color w:val="1F497D" w:themeColor="text2"/>
                <w:sz w:val="20"/>
                <w:lang w:val="it-IT"/>
              </w:rPr>
            </w:pPr>
            <w:r>
              <w:rPr>
                <w:b/>
                <w:noProof/>
                <w:color w:val="1F497D" w:themeColor="text2"/>
                <w:sz w:val="20"/>
                <w:lang w:val="it-IT"/>
              </w:rPr>
              <w:t>Figure 2: Eco-Innovation Index 2015 (EU=100)</w:t>
            </w:r>
            <w:r>
              <w:rPr>
                <w:b/>
                <w:noProof/>
                <w:color w:val="1F497D" w:themeColor="text2"/>
                <w:sz w:val="20"/>
                <w:vertAlign w:val="superscript"/>
                <w:lang w:val="it-IT"/>
              </w:rPr>
              <w:footnoteReference w:id="13"/>
            </w:r>
          </w:p>
        </w:tc>
      </w:tr>
      <w:tr w:rsidR="006D6E8A">
        <w:tc>
          <w:tcPr>
            <w:tcW w:w="4909" w:type="dxa"/>
          </w:tcPr>
          <w:p w:rsidR="006D6E8A" w:rsidRDefault="002E711B">
            <w:pPr>
              <w:spacing w:after="120"/>
              <w:jc w:val="both"/>
              <w:rPr>
                <w:rFonts w:cs="Times New Roman"/>
                <w:noProof/>
                <w:sz w:val="20"/>
              </w:rPr>
            </w:pPr>
            <w:r>
              <w:rPr>
                <w:rFonts w:cs="Times New Roman"/>
                <w:noProof/>
                <w:sz w:val="20"/>
                <w:lang w:eastAsia="en-GB"/>
              </w:rPr>
              <w:drawing>
                <wp:inline distT="0" distB="0" distL="0" distR="0" wp14:anchorId="573A8BE4" wp14:editId="7C15822A">
                  <wp:extent cx="3026865" cy="4125432"/>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26865" cy="4125432"/>
                          </a:xfrm>
                          <a:prstGeom prst="rect">
                            <a:avLst/>
                          </a:prstGeom>
                          <a:noFill/>
                        </pic:spPr>
                      </pic:pic>
                    </a:graphicData>
                  </a:graphic>
                </wp:inline>
              </w:drawing>
            </w:r>
          </w:p>
        </w:tc>
      </w:tr>
    </w:tbl>
    <w:p w:rsidR="006D6E8A" w:rsidRDefault="002E711B">
      <w:pPr>
        <w:spacing w:after="120" w:line="240" w:lineRule="auto"/>
        <w:jc w:val="both"/>
        <w:rPr>
          <w:bCs/>
          <w:noProof/>
          <w:color w:val="1F497D" w:themeColor="text2"/>
        </w:rPr>
      </w:pPr>
      <w:r>
        <w:rPr>
          <w:bCs/>
          <w:noProof/>
          <w:color w:val="1F497D" w:themeColor="text2"/>
        </w:rPr>
        <w:t>Suggested action</w:t>
      </w:r>
    </w:p>
    <w:p w:rsidR="006D6E8A" w:rsidRDefault="002E711B">
      <w:pPr>
        <w:pStyle w:val="NoSpacing"/>
        <w:rPr>
          <w:noProof/>
        </w:rPr>
      </w:pPr>
      <w:r>
        <w:rPr>
          <w:noProof/>
        </w:rPr>
        <w:t>Decrease the discrepancies between the adopted and implemented measures.</w:t>
      </w:r>
    </w:p>
    <w:p w:rsidR="006D6E8A" w:rsidRDefault="002E711B">
      <w:pPr>
        <w:spacing w:before="360" w:after="120" w:line="240" w:lineRule="auto"/>
        <w:jc w:val="both"/>
        <w:outlineLvl w:val="1"/>
        <w:rPr>
          <w:rFonts w:cs="Times New Roman"/>
          <w:b/>
          <w:noProof/>
          <w:color w:val="1F497D" w:themeColor="text2"/>
          <w:sz w:val="24"/>
          <w:szCs w:val="20"/>
        </w:rPr>
      </w:pPr>
      <w:bookmarkStart w:id="13" w:name="_Toc454813107"/>
      <w:bookmarkStart w:id="14" w:name="_Toc469495562"/>
      <w:bookmarkEnd w:id="12"/>
      <w:r>
        <w:rPr>
          <w:rFonts w:cs="Times New Roman"/>
          <w:b/>
          <w:noProof/>
          <w:color w:val="1F497D" w:themeColor="text2"/>
          <w:sz w:val="24"/>
          <w:szCs w:val="20"/>
        </w:rPr>
        <w:t>Waste management</w:t>
      </w:r>
      <w:bookmarkEnd w:id="13"/>
      <w:bookmarkEnd w:id="14"/>
      <w:r>
        <w:rPr>
          <w:rFonts w:cs="Times New Roman"/>
          <w:b/>
          <w:noProof/>
          <w:color w:val="1F497D" w:themeColor="text2"/>
          <w:sz w:val="24"/>
          <w:szCs w:val="20"/>
        </w:rPr>
        <w:t xml:space="preserve"> </w:t>
      </w:r>
    </w:p>
    <w:p w:rsidR="006D6E8A" w:rsidRDefault="002E711B">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6D6E8A" w:rsidRDefault="002E711B">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Full implementation of Union waste legislation, which includes the waste hierarchy; the need to ensure separate collection of</w:t>
      </w:r>
      <w:r>
        <w:rPr>
          <w:noProof/>
          <w:color w:val="FFFFFF" w:themeColor="background1"/>
          <w:sz w:val="20"/>
        </w:rPr>
        <w:t xml:space="preserve"> waste; the landfill diversion targets etc.</w:t>
      </w:r>
    </w:p>
    <w:p w:rsidR="006D6E8A" w:rsidRDefault="002E711B">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6D6E8A" w:rsidRDefault="002E711B">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 out landfilling of recyclable or recoverable waste.</w:t>
      </w:r>
    </w:p>
    <w:p w:rsidR="006D6E8A" w:rsidRDefault="002E711B">
      <w:p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SDG 12 invites cou</w:t>
      </w:r>
      <w:r>
        <w:rPr>
          <w:noProof/>
          <w:color w:val="FFFFFF" w:themeColor="background1"/>
          <w:sz w:val="20"/>
        </w:rPr>
        <w:t>ntries to substantially reduce waste generation through prevention, reduction, recycling and reuse, by 2030.</w:t>
      </w:r>
    </w:p>
    <w:p w:rsidR="006D6E8A" w:rsidRDefault="002E711B">
      <w:pPr>
        <w:spacing w:after="120" w:line="240" w:lineRule="auto"/>
        <w:jc w:val="both"/>
        <w:rPr>
          <w:rFonts w:cs="Times New Roman"/>
          <w:noProof/>
          <w:sz w:val="20"/>
        </w:rPr>
      </w:pPr>
      <w:r>
        <w:rPr>
          <w:rFonts w:cs="Times New Roman"/>
          <w:noProof/>
          <w:sz w:val="20"/>
        </w:rPr>
        <w:t xml:space="preserve">The EU's approach to waste management is based on the "waste hierarchy" which sets out an order of priority when shaping waste policy and managing </w:t>
      </w:r>
      <w:r>
        <w:rPr>
          <w:rFonts w:cs="Times New Roman"/>
          <w:noProof/>
          <w:sz w:val="20"/>
        </w:rPr>
        <w:t>waste at the operational level: prevention, (preparing for) reuse, recycling, recovery and, as the least preferred option, disposal (which includes landfilling and incineration without energy recovery). The progress towards reaching recycling targets and t</w:t>
      </w:r>
      <w:r>
        <w:rPr>
          <w:rFonts w:cs="Times New Roman"/>
          <w:noProof/>
          <w:sz w:val="20"/>
        </w:rPr>
        <w:t>he adoption of adequate WMP/WPP</w:t>
      </w:r>
      <w:r>
        <w:rPr>
          <w:rFonts w:cs="Times New Roman"/>
          <w:noProof/>
          <w:sz w:val="20"/>
          <w:vertAlign w:val="superscript"/>
        </w:rPr>
        <w:footnoteReference w:id="14"/>
      </w:r>
      <w:r>
        <w:rPr>
          <w:rFonts w:cs="Times New Roman"/>
          <w:noProof/>
          <w:sz w:val="20"/>
        </w:rPr>
        <w:t xml:space="preserve"> should be the key items to measure the performance of Member States. This section focuses on management of municipal waste for which EU law sets mandatory recycling targets.</w:t>
      </w:r>
    </w:p>
    <w:p w:rsidR="006D6E8A" w:rsidRDefault="002E711B">
      <w:pPr>
        <w:spacing w:after="120" w:line="240" w:lineRule="auto"/>
        <w:jc w:val="both"/>
        <w:rPr>
          <w:rFonts w:cs="Times New Roman"/>
          <w:noProof/>
          <w:sz w:val="20"/>
          <w:szCs w:val="24"/>
        </w:rPr>
      </w:pPr>
      <w:r>
        <w:rPr>
          <w:rFonts w:cs="Times New Roman"/>
          <w:noProof/>
          <w:sz w:val="20"/>
          <w:szCs w:val="24"/>
        </w:rPr>
        <w:t>Slovenia made very good progress as concerns wast</w:t>
      </w:r>
      <w:r>
        <w:rPr>
          <w:rFonts w:cs="Times New Roman"/>
          <w:noProof/>
          <w:sz w:val="20"/>
          <w:szCs w:val="24"/>
        </w:rPr>
        <w:t>e management in the past years. According to the 2014 data reported to Eurostat, its municipal waste</w:t>
      </w:r>
      <w:r>
        <w:rPr>
          <w:rFonts w:cs="Times New Roman"/>
          <w:noProof/>
          <w:sz w:val="20"/>
          <w:szCs w:val="24"/>
          <w:vertAlign w:val="superscript"/>
        </w:rPr>
        <w:footnoteReference w:id="15"/>
      </w:r>
      <w:r>
        <w:rPr>
          <w:rFonts w:cs="Times New Roman"/>
          <w:noProof/>
          <w:sz w:val="20"/>
          <w:szCs w:val="24"/>
        </w:rPr>
        <w:t xml:space="preserve"> recycling rates are among the highest in the EU (61%), and have more than doubled since 2007. However, this recycling rate is calculated based on the amou</w:t>
      </w:r>
      <w:r>
        <w:rPr>
          <w:rFonts w:cs="Times New Roman"/>
          <w:noProof/>
          <w:sz w:val="20"/>
          <w:szCs w:val="24"/>
        </w:rPr>
        <w:t xml:space="preserve">nt of waste treated and for Slovenia the gap between waste generated and treated is very large (approx. 40% in 2014) </w:t>
      </w:r>
      <w:r>
        <w:rPr>
          <w:rFonts w:cs="Times New Roman"/>
          <w:i/>
          <w:noProof/>
          <w:sz w:val="20"/>
          <w:szCs w:val="24"/>
        </w:rPr>
        <w:t>due to incomplete coverage of outputs from pre-treatment of waste</w:t>
      </w:r>
      <w:r>
        <w:rPr>
          <w:rFonts w:cs="Times New Roman"/>
          <w:noProof/>
          <w:sz w:val="20"/>
          <w:szCs w:val="24"/>
          <w:vertAlign w:val="superscript"/>
        </w:rPr>
        <w:footnoteReference w:id="16"/>
      </w:r>
      <w:r>
        <w:rPr>
          <w:rFonts w:cs="Times New Roman"/>
          <w:noProof/>
          <w:sz w:val="20"/>
          <w:szCs w:val="24"/>
        </w:rPr>
        <w:t>. If the recycling rate was calculated based on the amount of waste gener</w:t>
      </w:r>
      <w:r>
        <w:rPr>
          <w:rFonts w:cs="Times New Roman"/>
          <w:noProof/>
          <w:sz w:val="20"/>
          <w:szCs w:val="24"/>
        </w:rPr>
        <w:t xml:space="preserve">ated, it would be 36%. </w:t>
      </w:r>
    </w:p>
    <w:p w:rsidR="006D6E8A" w:rsidRDefault="002E711B">
      <w:pPr>
        <w:spacing w:after="120" w:line="240" w:lineRule="auto"/>
        <w:jc w:val="both"/>
        <w:rPr>
          <w:rFonts w:cs="Times New Roman"/>
          <w:noProof/>
          <w:sz w:val="20"/>
          <w:szCs w:val="24"/>
        </w:rPr>
      </w:pPr>
      <w:r>
        <w:rPr>
          <w:rFonts w:cs="Times New Roman"/>
          <w:noProof/>
          <w:sz w:val="20"/>
          <w:szCs w:val="24"/>
        </w:rPr>
        <w:t xml:space="preserve">Nevertheless, despite the data uncertainty, Slovenia can still be a useful example to other Member States, showing how to improve waste management in a relatively short time-frame.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D6E8A">
        <w:tc>
          <w:tcPr>
            <w:tcW w:w="4909" w:type="dxa"/>
          </w:tcPr>
          <w:p w:rsidR="006D6E8A" w:rsidRDefault="002E711B">
            <w:pPr>
              <w:spacing w:after="120"/>
              <w:jc w:val="both"/>
              <w:rPr>
                <w:rFonts w:cs="Times New Roman"/>
                <w:noProof/>
                <w:color w:val="1F497D" w:themeColor="text2"/>
                <w:sz w:val="20"/>
              </w:rPr>
            </w:pPr>
            <w:r>
              <w:rPr>
                <w:rFonts w:cs="Times New Roman"/>
                <w:b/>
                <w:bCs/>
                <w:noProof/>
                <w:color w:val="1F497D" w:themeColor="text2"/>
                <w:sz w:val="20"/>
              </w:rPr>
              <w:t>Figure 3: Municipal waste by treatment in Slovenia</w:t>
            </w:r>
            <w:r>
              <w:rPr>
                <w:rFonts w:cs="Times New Roman"/>
                <w:b/>
                <w:bCs/>
                <w:noProof/>
                <w:color w:val="1F497D" w:themeColor="text2"/>
                <w:sz w:val="20"/>
              </w:rPr>
              <w:t xml:space="preserve"> 2007-14</w:t>
            </w:r>
            <w:r>
              <w:rPr>
                <w:b/>
                <w:bCs/>
                <w:noProof/>
                <w:color w:val="1F497D" w:themeColor="text2"/>
                <w:sz w:val="20"/>
                <w:vertAlign w:val="superscript"/>
              </w:rPr>
              <w:footnoteReference w:id="17"/>
            </w:r>
          </w:p>
        </w:tc>
      </w:tr>
      <w:tr w:rsidR="006D6E8A">
        <w:tc>
          <w:tcPr>
            <w:tcW w:w="4909" w:type="dxa"/>
          </w:tcPr>
          <w:p w:rsidR="006D6E8A" w:rsidRDefault="002E711B">
            <w:pPr>
              <w:spacing w:after="120"/>
              <w:jc w:val="both"/>
              <w:rPr>
                <w:rFonts w:cs="Times New Roman"/>
                <w:noProof/>
                <w:sz w:val="20"/>
              </w:rPr>
            </w:pPr>
            <w:r>
              <w:rPr>
                <w:rFonts w:cs="Times New Roman"/>
                <w:noProof/>
                <w:sz w:val="20"/>
                <w:lang w:eastAsia="en-GB"/>
              </w:rPr>
              <w:drawing>
                <wp:inline distT="0" distB="0" distL="0" distR="0" wp14:anchorId="602F8B61" wp14:editId="1B02E753">
                  <wp:extent cx="2966484" cy="2581036"/>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966484" cy="2581036"/>
                          </a:xfrm>
                          <a:prstGeom prst="rect">
                            <a:avLst/>
                          </a:prstGeom>
                        </pic:spPr>
                      </pic:pic>
                    </a:graphicData>
                  </a:graphic>
                </wp:inline>
              </w:drawing>
            </w:r>
          </w:p>
        </w:tc>
      </w:tr>
    </w:tbl>
    <w:p w:rsidR="006D6E8A" w:rsidRDefault="002E711B">
      <w:pPr>
        <w:spacing w:after="120" w:line="240" w:lineRule="auto"/>
        <w:jc w:val="both"/>
        <w:rPr>
          <w:rFonts w:eastAsia="Calibri" w:cs="Times New Roman"/>
          <w:noProof/>
          <w:sz w:val="20"/>
        </w:rPr>
      </w:pPr>
      <w:r>
        <w:rPr>
          <w:rFonts w:eastAsia="Calibri" w:cs="Times New Roman"/>
          <w:noProof/>
          <w:sz w:val="20"/>
        </w:rPr>
        <w:t xml:space="preserve">Figure 3 depicts the municipal waste by treatment in terms of kg per capita. It shows an increase of recycling rates, composting and incineration, and a decrease in landfilling. </w:t>
      </w:r>
    </w:p>
    <w:p w:rsidR="006D6E8A" w:rsidRDefault="002E711B">
      <w:pPr>
        <w:spacing w:after="120" w:line="240" w:lineRule="auto"/>
        <w:jc w:val="both"/>
        <w:rPr>
          <w:rFonts w:cs="Times New Roman"/>
          <w:noProof/>
          <w:sz w:val="20"/>
          <w:szCs w:val="24"/>
        </w:rPr>
      </w:pPr>
      <w:r>
        <w:rPr>
          <w:rFonts w:cs="Times New Roman"/>
          <w:noProof/>
          <w:sz w:val="20"/>
          <w:szCs w:val="24"/>
        </w:rPr>
        <w:t xml:space="preserve">This is mainly due to the country's overall effort to change </w:t>
      </w:r>
      <w:r>
        <w:rPr>
          <w:rFonts w:cs="Times New Roman"/>
          <w:noProof/>
          <w:sz w:val="20"/>
          <w:szCs w:val="24"/>
        </w:rPr>
        <w:t>their waste management policy and move from a nearly all-landfilling (landfilling rate was 75% in 2007) towards predominantly recycling society.  According to the latest Eurostat data (2014), the landfilling rate is 39%.</w:t>
      </w:r>
    </w:p>
    <w:p w:rsidR="006D6E8A" w:rsidRDefault="002E711B">
      <w:pPr>
        <w:spacing w:after="120" w:line="240" w:lineRule="auto"/>
        <w:jc w:val="both"/>
        <w:rPr>
          <w:rFonts w:cs="Times New Roman"/>
          <w:noProof/>
          <w:sz w:val="20"/>
          <w:szCs w:val="24"/>
        </w:rPr>
      </w:pPr>
      <w:r>
        <w:rPr>
          <w:rFonts w:cs="Times New Roman"/>
          <w:noProof/>
          <w:sz w:val="20"/>
          <w:szCs w:val="24"/>
        </w:rPr>
        <w:t>As shown in Figure 4, Slovenia's ma</w:t>
      </w:r>
      <w:r>
        <w:rPr>
          <w:rFonts w:cs="Times New Roman"/>
          <w:noProof/>
          <w:sz w:val="20"/>
          <w:szCs w:val="24"/>
        </w:rPr>
        <w:t>terial recycling rate is 61% if waste treated is taken as denominator</w:t>
      </w:r>
      <w:r>
        <w:rPr>
          <w:rFonts w:cs="Times New Roman"/>
          <w:noProof/>
          <w:sz w:val="20"/>
        </w:rPr>
        <w:t xml:space="preserve"> </w:t>
      </w:r>
      <w:r>
        <w:rPr>
          <w:rFonts w:cs="Times New Roman"/>
          <w:noProof/>
          <w:sz w:val="20"/>
          <w:szCs w:val="24"/>
        </w:rPr>
        <w:t>(49% if generation is taken as denominator),</w:t>
      </w:r>
      <w:r>
        <w:rPr>
          <w:rFonts w:cs="Times New Roman"/>
          <w:noProof/>
          <w:sz w:val="20"/>
        </w:rPr>
        <w:t xml:space="preserve"> </w:t>
      </w:r>
      <w:r>
        <w:rPr>
          <w:rFonts w:cs="Times New Roman"/>
          <w:noProof/>
          <w:sz w:val="20"/>
          <w:szCs w:val="24"/>
        </w:rPr>
        <w:t>Slovenia seems to be on the right path towards meeting the '2020' 50% recycling target</w:t>
      </w:r>
      <w:r>
        <w:rPr>
          <w:rFonts w:cs="Times New Roman"/>
          <w:noProof/>
          <w:sz w:val="20"/>
          <w:szCs w:val="24"/>
          <w:vertAlign w:val="superscript"/>
        </w:rPr>
        <w:footnoteReference w:id="18"/>
      </w:r>
      <w:r>
        <w:rPr>
          <w:rFonts w:cs="Times New Roman"/>
          <w:noProof/>
          <w:sz w:val="20"/>
          <w:szCs w:val="24"/>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D6E8A">
        <w:tc>
          <w:tcPr>
            <w:tcW w:w="4909" w:type="dxa"/>
          </w:tcPr>
          <w:p w:rsidR="006D6E8A" w:rsidRDefault="002E711B">
            <w:pPr>
              <w:spacing w:after="120"/>
              <w:jc w:val="both"/>
              <w:rPr>
                <w:rFonts w:cs="Times New Roman"/>
                <w:noProof/>
                <w:color w:val="1F497D" w:themeColor="text2"/>
                <w:sz w:val="20"/>
              </w:rPr>
            </w:pPr>
            <w:r>
              <w:rPr>
                <w:rFonts w:cs="Times New Roman"/>
                <w:b/>
                <w:bCs/>
                <w:noProof/>
                <w:color w:val="1F497D" w:themeColor="text2"/>
                <w:sz w:val="20"/>
              </w:rPr>
              <w:t>Figure 4: Recycling rate of municipal waste 2007-14</w:t>
            </w:r>
            <w:r>
              <w:rPr>
                <w:b/>
                <w:bCs/>
                <w:noProof/>
                <w:color w:val="1F497D" w:themeColor="text2"/>
                <w:sz w:val="20"/>
                <w:vertAlign w:val="superscript"/>
              </w:rPr>
              <w:footnoteReference w:id="19"/>
            </w:r>
          </w:p>
        </w:tc>
      </w:tr>
      <w:tr w:rsidR="006D6E8A">
        <w:tc>
          <w:tcPr>
            <w:tcW w:w="4909" w:type="dxa"/>
          </w:tcPr>
          <w:p w:rsidR="006D6E8A" w:rsidRDefault="002E711B">
            <w:pPr>
              <w:spacing w:after="120"/>
              <w:jc w:val="both"/>
              <w:rPr>
                <w:rFonts w:cs="Times New Roman"/>
                <w:noProof/>
                <w:sz w:val="20"/>
              </w:rPr>
            </w:pPr>
            <w:r>
              <w:rPr>
                <w:rFonts w:cs="Times New Roman"/>
                <w:noProof/>
                <w:sz w:val="20"/>
                <w:lang w:eastAsia="en-GB"/>
              </w:rPr>
              <w:drawing>
                <wp:inline distT="0" distB="0" distL="0" distR="0" wp14:anchorId="597121E2" wp14:editId="642DC6EC">
                  <wp:extent cx="2969231" cy="246338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70931" cy="2464790"/>
                          </a:xfrm>
                          <a:prstGeom prst="rect">
                            <a:avLst/>
                          </a:prstGeom>
                          <a:noFill/>
                        </pic:spPr>
                      </pic:pic>
                    </a:graphicData>
                  </a:graphic>
                </wp:inline>
              </w:drawing>
            </w:r>
          </w:p>
        </w:tc>
      </w:tr>
    </w:tbl>
    <w:p w:rsidR="006D6E8A" w:rsidRDefault="002E711B">
      <w:pPr>
        <w:spacing w:after="120" w:line="240" w:lineRule="auto"/>
        <w:jc w:val="both"/>
        <w:rPr>
          <w:rFonts w:cs="Times New Roman"/>
          <w:noProof/>
          <w:sz w:val="20"/>
          <w:szCs w:val="20"/>
        </w:rPr>
      </w:pPr>
      <w:r>
        <w:rPr>
          <w:rFonts w:cs="Times New Roman"/>
          <w:noProof/>
          <w:sz w:val="20"/>
          <w:szCs w:val="24"/>
        </w:rPr>
        <w:t>However, recent studies</w:t>
      </w:r>
      <w:r>
        <w:rPr>
          <w:rFonts w:cs="Times New Roman"/>
          <w:noProof/>
          <w:sz w:val="20"/>
          <w:szCs w:val="24"/>
          <w:vertAlign w:val="superscript"/>
        </w:rPr>
        <w:footnoteReference w:id="20"/>
      </w:r>
      <w:r>
        <w:rPr>
          <w:rFonts w:cs="Times New Roman"/>
          <w:noProof/>
          <w:sz w:val="20"/>
          <w:szCs w:val="24"/>
        </w:rPr>
        <w:t xml:space="preserve"> show that </w:t>
      </w:r>
      <w:r>
        <w:rPr>
          <w:rFonts w:cs="Times New Roman"/>
          <w:noProof/>
          <w:sz w:val="20"/>
        </w:rPr>
        <w:t xml:space="preserve">the amount of waste generated by municipalities and waste management </w:t>
      </w:r>
      <w:r>
        <w:rPr>
          <w:rFonts w:cs="Times New Roman"/>
          <w:noProof/>
          <w:sz w:val="20"/>
          <w:szCs w:val="20"/>
        </w:rPr>
        <w:t>performance in individual municipalities vary considerably. To a certain extent, they depend on the lifestyle and awareness of residents, the avail</w:t>
      </w:r>
      <w:r>
        <w:rPr>
          <w:rFonts w:cs="Times New Roman"/>
          <w:noProof/>
          <w:sz w:val="20"/>
          <w:szCs w:val="20"/>
        </w:rPr>
        <w:t>able capacities for waste disposal, and the willingness of municipalities to find new solutions. On average, 432 kg of municipal waste is produced per person, per year in Slovenia — more than one kg per day. However, large quantities of waste are not neces</w:t>
      </w:r>
      <w:r>
        <w:rPr>
          <w:rFonts w:cs="Times New Roman"/>
          <w:noProof/>
          <w:sz w:val="20"/>
          <w:szCs w:val="20"/>
        </w:rPr>
        <w:t>sarily related to the urban way of life. More than 450 kg of waste per resident is generated in seven out of eleven municipalities, but also in four municipalities with less than 2,000 residents</w:t>
      </w:r>
      <w:r>
        <w:rPr>
          <w:rFonts w:cs="Times New Roman"/>
          <w:noProof/>
          <w:sz w:val="20"/>
          <w:szCs w:val="20"/>
          <w:vertAlign w:val="superscript"/>
        </w:rPr>
        <w:footnoteReference w:id="21"/>
      </w:r>
      <w:r>
        <w:rPr>
          <w:rFonts w:cs="Times New Roman"/>
          <w:noProof/>
          <w:sz w:val="20"/>
          <w:szCs w:val="20"/>
        </w:rPr>
        <w:t>.</w:t>
      </w:r>
    </w:p>
    <w:p w:rsidR="006D6E8A" w:rsidRDefault="002E711B">
      <w:pPr>
        <w:spacing w:after="120" w:line="240" w:lineRule="auto"/>
        <w:jc w:val="both"/>
        <w:rPr>
          <w:rFonts w:cs="Times New Roman"/>
          <w:noProof/>
          <w:sz w:val="20"/>
          <w:szCs w:val="20"/>
        </w:rPr>
      </w:pPr>
      <w:r>
        <w:rPr>
          <w:rFonts w:cs="Times New Roman"/>
          <w:noProof/>
          <w:sz w:val="20"/>
          <w:szCs w:val="20"/>
        </w:rPr>
        <w:t>In 2013, Slovenia adopted a WMP for the municipal waste. However, this Plan did not cover other waste streams. Slovenia also failed to adopt a WPP by 12 December 2013, as required by the Waste Framework Directive. Following an infringement procedure, Slove</w:t>
      </w:r>
      <w:r>
        <w:rPr>
          <w:rFonts w:cs="Times New Roman"/>
          <w:noProof/>
          <w:sz w:val="20"/>
          <w:szCs w:val="20"/>
        </w:rPr>
        <w:t xml:space="preserve">nia adopted </w:t>
      </w:r>
      <w:r>
        <w:rPr>
          <w:rFonts w:cs="Times New Roman"/>
          <w:noProof/>
          <w:sz w:val="20"/>
        </w:rPr>
        <w:t>an</w:t>
      </w:r>
      <w:r>
        <w:rPr>
          <w:rFonts w:cs="Times New Roman"/>
          <w:i/>
          <w:noProof/>
          <w:sz w:val="20"/>
          <w:szCs w:val="20"/>
        </w:rPr>
        <w:t xml:space="preserve"> </w:t>
      </w:r>
      <w:r>
        <w:rPr>
          <w:rFonts w:cs="Times New Roman"/>
          <w:noProof/>
          <w:sz w:val="20"/>
          <w:szCs w:val="20"/>
        </w:rPr>
        <w:t xml:space="preserve">integrated WMP and a WPP on 30 June 2016.   </w:t>
      </w:r>
    </w:p>
    <w:p w:rsidR="006D6E8A" w:rsidRDefault="002E711B">
      <w:pPr>
        <w:spacing w:after="120" w:line="240" w:lineRule="auto"/>
        <w:jc w:val="both"/>
        <w:rPr>
          <w:rFonts w:cs="Times New Roman"/>
          <w:noProof/>
          <w:sz w:val="20"/>
        </w:rPr>
      </w:pPr>
      <w:r>
        <w:rPr>
          <w:rFonts w:cs="Times New Roman"/>
          <w:noProof/>
          <w:sz w:val="20"/>
          <w:lang w:eastAsia="en-GB"/>
        </w:rPr>
        <w:drawing>
          <wp:inline distT="0" distB="0" distL="0" distR="0" wp14:anchorId="4B35342F" wp14:editId="531FD0DB">
            <wp:extent cx="2980055" cy="1986207"/>
            <wp:effectExtent l="0" t="0" r="0" b="0"/>
            <wp:docPr id="14" name="Picture 14" descr="P:\ENV-E2\1. ENV IMPLEMENTATION REVIEW\EIR Data management\Pictures\LIFE pictures\Pictures_by_Country2\Slovenia\LIFE10_INF_SI_000139_135013_282861825149513_16226483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2\Slovenia\LIFE10_INF_SI_000139_135013_282861825149513_1622648326_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80055" cy="1986207"/>
                    </a:xfrm>
                    <a:prstGeom prst="rect">
                      <a:avLst/>
                    </a:prstGeom>
                    <a:noFill/>
                    <a:ln>
                      <a:noFill/>
                    </a:ln>
                  </pic:spPr>
                </pic:pic>
              </a:graphicData>
            </a:graphic>
          </wp:inline>
        </w:drawing>
      </w:r>
    </w:p>
    <w:p w:rsidR="006D6E8A" w:rsidRDefault="002E711B">
      <w:pPr>
        <w:spacing w:after="120" w:line="240" w:lineRule="auto"/>
        <w:jc w:val="both"/>
        <w:rPr>
          <w:rFonts w:cs="Times New Roman"/>
          <w:noProof/>
          <w:sz w:val="20"/>
        </w:rPr>
      </w:pPr>
      <w:r>
        <w:rPr>
          <w:rFonts w:cs="Times New Roman"/>
          <w:noProof/>
          <w:sz w:val="20"/>
        </w:rPr>
        <w:t>Irrespective of delays in adoption of plans, there have been several positive developments in waste management.</w:t>
      </w:r>
    </w:p>
    <w:p w:rsidR="006D6E8A" w:rsidRDefault="002E711B">
      <w:pPr>
        <w:spacing w:after="120" w:line="240" w:lineRule="auto"/>
        <w:jc w:val="both"/>
        <w:rPr>
          <w:rFonts w:cs="Times New Roman"/>
          <w:noProof/>
          <w:sz w:val="20"/>
          <w:lang w:val="en-US"/>
        </w:rPr>
      </w:pPr>
      <w:r>
        <w:rPr>
          <w:rFonts w:cs="Times New Roman"/>
          <w:noProof/>
          <w:sz w:val="20"/>
        </w:rPr>
        <w:t>For example, the national legislation for separate bio-waste collection is in plac</w:t>
      </w:r>
      <w:r>
        <w:rPr>
          <w:rFonts w:cs="Times New Roman"/>
          <w:noProof/>
          <w:sz w:val="20"/>
        </w:rPr>
        <w:t>e. In this respect, many municipalities and communities introduced a frequency of collection and door to door collection</w:t>
      </w:r>
      <w:r>
        <w:rPr>
          <w:rFonts w:cs="Times New Roman"/>
          <w:noProof/>
          <w:sz w:val="20"/>
          <w:lang w:val="en-US"/>
        </w:rPr>
        <w:t xml:space="preserve"> systems. Many local authorities have put in place collection systems that exceed the requirements of the national legislation. NGOs hav</w:t>
      </w:r>
      <w:r>
        <w:rPr>
          <w:rFonts w:cs="Times New Roman"/>
          <w:noProof/>
          <w:sz w:val="20"/>
          <w:lang w:val="en-US"/>
        </w:rPr>
        <w:t>e been very active in the waste sector; as a result, a number of municipalities and communities (including the city of Ljubljana) have developed Zero Waste policies, with more working towards the same achievement. A recent study</w:t>
      </w:r>
      <w:r>
        <w:rPr>
          <w:rFonts w:cs="Times New Roman"/>
          <w:noProof/>
          <w:sz w:val="20"/>
          <w:vertAlign w:val="superscript"/>
          <w:lang w:val="en-US"/>
        </w:rPr>
        <w:footnoteReference w:id="22"/>
      </w:r>
      <w:r>
        <w:rPr>
          <w:rFonts w:cs="Times New Roman"/>
          <w:noProof/>
          <w:sz w:val="20"/>
          <w:lang w:val="en-US"/>
        </w:rPr>
        <w:t xml:space="preserve"> assessing separate collect</w:t>
      </w:r>
      <w:r>
        <w:rPr>
          <w:rFonts w:cs="Times New Roman"/>
          <w:noProof/>
          <w:sz w:val="20"/>
          <w:lang w:val="en-US"/>
        </w:rPr>
        <w:t xml:space="preserve">ion in EU capitals rated Ljubljana as the best performing capital in the EU.  </w:t>
      </w:r>
    </w:p>
    <w:p w:rsidR="006D6E8A" w:rsidRDefault="002E711B">
      <w:pPr>
        <w:spacing w:after="120" w:line="240" w:lineRule="auto"/>
        <w:jc w:val="both"/>
        <w:rPr>
          <w:rFonts w:cs="Times New Roman"/>
          <w:noProof/>
          <w:sz w:val="20"/>
          <w:lang w:val="en-US"/>
        </w:rPr>
      </w:pPr>
      <w:r>
        <w:rPr>
          <w:rFonts w:cs="Times New Roman"/>
          <w:noProof/>
          <w:sz w:val="20"/>
          <w:lang w:val="en-US"/>
        </w:rPr>
        <w:t>Pay as you throw systems were also introduced. Although the adopted approach is a relatively simple one, and it applies charges to the residual and bio-waste bins.</w:t>
      </w:r>
    </w:p>
    <w:p w:rsidR="006D6E8A" w:rsidRDefault="002E711B">
      <w:pPr>
        <w:spacing w:after="120" w:line="240" w:lineRule="auto"/>
        <w:jc w:val="both"/>
        <w:rPr>
          <w:rFonts w:cs="Times New Roman"/>
          <w:noProof/>
          <w:sz w:val="20"/>
          <w:lang w:val="en-US"/>
        </w:rPr>
      </w:pPr>
      <w:r>
        <w:rPr>
          <w:rFonts w:cs="Times New Roman"/>
          <w:noProof/>
          <w:sz w:val="20"/>
          <w:lang w:val="en-US"/>
        </w:rPr>
        <w:t>As regards th</w:t>
      </w:r>
      <w:r>
        <w:rPr>
          <w:rFonts w:cs="Times New Roman"/>
          <w:noProof/>
          <w:sz w:val="20"/>
          <w:lang w:val="en-US"/>
        </w:rPr>
        <w:t>e waste infrastructure, the Regional Waste Management Centre in Ljubljana (RCERO Ljubljana</w:t>
      </w:r>
      <w:r>
        <w:rPr>
          <w:rFonts w:cs="Times New Roman"/>
          <w:noProof/>
          <w:sz w:val="20"/>
          <w:vertAlign w:val="superscript"/>
          <w:lang w:val="en-US"/>
        </w:rPr>
        <w:footnoteReference w:id="23"/>
      </w:r>
      <w:r>
        <w:rPr>
          <w:rFonts w:cs="Times New Roman"/>
          <w:noProof/>
          <w:sz w:val="20"/>
          <w:lang w:val="en-US"/>
        </w:rPr>
        <w:t>) is one of the most modern waste treatment facilities in Europe. It is also the biggest environmental project in Slovenia in terms of its budget (co-financed by the</w:t>
      </w:r>
      <w:r>
        <w:rPr>
          <w:rFonts w:cs="Times New Roman"/>
          <w:noProof/>
          <w:sz w:val="20"/>
          <w:lang w:val="en-US"/>
        </w:rPr>
        <w:t xml:space="preserve"> Cohesion Policy) and waste treatment capacity. It comprises 37 municipalities and serves as a good practice example of cooperation among municipalities. It would further contribute to diverting waste from landfilling.</w:t>
      </w:r>
    </w:p>
    <w:p w:rsidR="006D6E8A" w:rsidRDefault="002E711B">
      <w:pPr>
        <w:spacing w:after="120" w:line="240" w:lineRule="auto"/>
        <w:jc w:val="both"/>
        <w:rPr>
          <w:rFonts w:cs="Times New Roman"/>
          <w:noProof/>
          <w:sz w:val="20"/>
        </w:rPr>
      </w:pPr>
      <w:r>
        <w:rPr>
          <w:rFonts w:cs="Times New Roman"/>
          <w:noProof/>
          <w:sz w:val="20"/>
          <w:lang w:val="en-US"/>
        </w:rPr>
        <w:t>It is projected that the full impleme</w:t>
      </w:r>
      <w:r>
        <w:rPr>
          <w:rFonts w:cs="Times New Roman"/>
          <w:noProof/>
          <w:sz w:val="20"/>
          <w:lang w:val="en-US"/>
        </w:rPr>
        <w:t>ntation of the existing legislation could create more than 2100 jobs in Slovenia and increase the annual turnover of the waste sector by over EUR 220 million. Moving towards the targets of the Roadmap on resource efficiency could create over 2600 additiona</w:t>
      </w:r>
      <w:r>
        <w:rPr>
          <w:rFonts w:cs="Times New Roman"/>
          <w:noProof/>
          <w:sz w:val="20"/>
          <w:lang w:val="en-US"/>
        </w:rPr>
        <w:t>l jobs and increase the annual turnover of the waste sector by over EUR 270 million</w:t>
      </w:r>
      <w:r>
        <w:rPr>
          <w:rFonts w:cs="Times New Roman"/>
          <w:noProof/>
          <w:sz w:val="20"/>
          <w:vertAlign w:val="superscript"/>
          <w:lang w:val="en-US"/>
        </w:rPr>
        <w:footnoteReference w:id="24"/>
      </w:r>
      <w:r>
        <w:rPr>
          <w:rFonts w:cs="Times New Roman"/>
          <w:noProof/>
          <w:sz w:val="20"/>
        </w:rPr>
        <w:t xml:space="preserve">. </w:t>
      </w:r>
    </w:p>
    <w:p w:rsidR="006D6E8A" w:rsidRDefault="002E711B">
      <w:pPr>
        <w:spacing w:after="120" w:line="240" w:lineRule="auto"/>
        <w:jc w:val="both"/>
        <w:rPr>
          <w:bCs/>
          <w:noProof/>
          <w:color w:val="1F497D" w:themeColor="text2"/>
        </w:rPr>
      </w:pPr>
      <w:r>
        <w:rPr>
          <w:bCs/>
          <w:noProof/>
          <w:color w:val="1F497D" w:themeColor="text2"/>
        </w:rPr>
        <w:t xml:space="preserve">Suggested action </w:t>
      </w:r>
    </w:p>
    <w:p w:rsidR="006D6E8A" w:rsidRDefault="002E711B">
      <w:pPr>
        <w:pStyle w:val="NoSpacing"/>
        <w:rPr>
          <w:noProof/>
          <w:lang w:val="en-US"/>
        </w:rPr>
      </w:pPr>
      <w:r>
        <w:rPr>
          <w:noProof/>
          <w:lang w:val="en-US"/>
        </w:rPr>
        <w:t xml:space="preserve">Introduce economic instruments to increase the costs of residual waste treatment, e.g. by increasing the current rate of landfill tax, or by </w:t>
      </w:r>
      <w:r>
        <w:rPr>
          <w:noProof/>
          <w:lang w:val="en-US"/>
        </w:rPr>
        <w:t>introducing a residual waste tax on the other non-recycled outputs from MBT systems (including outputs to thermal treatment).</w:t>
      </w:r>
    </w:p>
    <w:p w:rsidR="006D6E8A" w:rsidRDefault="002E711B">
      <w:pPr>
        <w:pStyle w:val="NoSpacing"/>
        <w:rPr>
          <w:noProof/>
          <w:lang w:val="en-US"/>
        </w:rPr>
      </w:pPr>
      <w:r>
        <w:rPr>
          <w:noProof/>
          <w:lang w:val="en-US"/>
        </w:rPr>
        <w:t>Improve data on waste management- including issues of consistency between different sources and a large gap between waste generate</w:t>
      </w:r>
      <w:r>
        <w:rPr>
          <w:noProof/>
          <w:lang w:val="en-US"/>
        </w:rPr>
        <w:t xml:space="preserve">d and treated. </w:t>
      </w:r>
    </w:p>
    <w:p w:rsidR="006D6E8A" w:rsidRDefault="002E711B">
      <w:pPr>
        <w:pStyle w:val="NoSpacing"/>
        <w:rPr>
          <w:noProof/>
        </w:rPr>
      </w:pPr>
      <w:r>
        <w:rPr>
          <w:bCs/>
          <w:noProof/>
        </w:rPr>
        <w:t>Extend and improve the cost-effectiveness, monitoring and transparency of existing EPR schemes and eliminate free-riding (situations where some producers do not adequately comply with their obligations under EPR).</w:t>
      </w:r>
      <w:r>
        <w:rPr>
          <w:noProof/>
          <w:color w:val="FF0000"/>
        </w:rPr>
        <w:br w:type="page"/>
      </w:r>
    </w:p>
    <w:p w:rsidR="006D6E8A" w:rsidRDefault="006D6E8A">
      <w:pPr>
        <w:keepNext/>
        <w:keepLines/>
        <w:spacing w:after="0" w:line="240" w:lineRule="auto"/>
        <w:jc w:val="center"/>
        <w:outlineLvl w:val="0"/>
        <w:rPr>
          <w:rFonts w:cstheme="majorBidi"/>
          <w:b/>
          <w:bCs/>
          <w:noProof/>
          <w:color w:val="1F497D" w:themeColor="text2"/>
          <w:sz w:val="32"/>
          <w:szCs w:val="28"/>
        </w:rPr>
        <w:sectPr w:rsidR="006D6E8A">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40" w:right="1080" w:bottom="1440" w:left="1080" w:header="708" w:footer="708" w:gutter="0"/>
          <w:cols w:num="2" w:space="360"/>
          <w:docGrid w:linePitch="360"/>
        </w:sectPr>
      </w:pPr>
    </w:p>
    <w:p w:rsidR="006D6E8A" w:rsidRDefault="002E711B">
      <w:pPr>
        <w:keepNext/>
        <w:keepLines/>
        <w:numPr>
          <w:ilvl w:val="0"/>
          <w:numId w:val="26"/>
        </w:numPr>
        <w:spacing w:after="0" w:line="240" w:lineRule="auto"/>
        <w:jc w:val="center"/>
        <w:outlineLvl w:val="0"/>
        <w:rPr>
          <w:rFonts w:cstheme="majorBidi"/>
          <w:b/>
          <w:bCs/>
          <w:noProof/>
          <w:color w:val="1F497D" w:themeColor="text2"/>
          <w:sz w:val="32"/>
          <w:szCs w:val="28"/>
        </w:rPr>
      </w:pPr>
      <w:bookmarkStart w:id="15" w:name="_Toc433296159"/>
      <w:bookmarkStart w:id="16" w:name="_Toc469495563"/>
      <w:r>
        <w:rPr>
          <w:rFonts w:cstheme="majorBidi"/>
          <w:b/>
          <w:bCs/>
          <w:noProof/>
          <w:color w:val="1F497D" w:themeColor="text2"/>
          <w:sz w:val="32"/>
          <w:szCs w:val="28"/>
        </w:rPr>
        <w:t>Protecting, conserving and enhancing natural capital</w:t>
      </w:r>
      <w:bookmarkStart w:id="17" w:name="_Toc432413878"/>
      <w:bookmarkEnd w:id="15"/>
      <w:bookmarkEnd w:id="16"/>
      <w:bookmarkEnd w:id="17"/>
    </w:p>
    <w:p w:rsidR="006D6E8A" w:rsidRDefault="006D6E8A">
      <w:pPr>
        <w:spacing w:after="120" w:line="240" w:lineRule="auto"/>
        <w:jc w:val="both"/>
        <w:rPr>
          <w:rFonts w:cs="Times New Roman"/>
          <w:noProof/>
          <w:sz w:val="20"/>
        </w:rPr>
      </w:pPr>
    </w:p>
    <w:p w:rsidR="006D6E8A" w:rsidRDefault="006D6E8A">
      <w:pPr>
        <w:spacing w:after="120" w:line="240" w:lineRule="auto"/>
        <w:jc w:val="both"/>
        <w:rPr>
          <w:rFonts w:cs="Times New Roman"/>
          <w:noProof/>
          <w:sz w:val="20"/>
        </w:rPr>
        <w:sectPr w:rsidR="006D6E8A">
          <w:headerReference w:type="even" r:id="rId65"/>
          <w:headerReference w:type="default" r:id="rId66"/>
          <w:footerReference w:type="even" r:id="rId67"/>
          <w:footerReference w:type="default" r:id="rId68"/>
          <w:headerReference w:type="first" r:id="rId69"/>
          <w:footerReference w:type="first" r:id="rId70"/>
          <w:type w:val="continuous"/>
          <w:pgSz w:w="11906" w:h="16838"/>
          <w:pgMar w:top="1440" w:right="1080" w:bottom="1440" w:left="1080" w:header="708" w:footer="708" w:gutter="0"/>
          <w:cols w:space="566"/>
          <w:docGrid w:linePitch="360"/>
        </w:sectPr>
      </w:pPr>
    </w:p>
    <w:p w:rsidR="006D6E8A" w:rsidRDefault="002E711B">
      <w:pPr>
        <w:spacing w:before="360" w:after="120" w:line="240" w:lineRule="auto"/>
        <w:jc w:val="both"/>
        <w:outlineLvl w:val="1"/>
        <w:rPr>
          <w:rFonts w:cs="Times New Roman"/>
          <w:b/>
          <w:noProof/>
          <w:color w:val="1F497D" w:themeColor="text2"/>
          <w:sz w:val="24"/>
          <w:szCs w:val="20"/>
          <w:lang w:eastAsia="en-GB"/>
        </w:rPr>
      </w:pPr>
      <w:bookmarkStart w:id="18" w:name="_Toc454460677"/>
      <w:bookmarkStart w:id="19" w:name="_Toc469495564"/>
      <w:r>
        <w:rPr>
          <w:rFonts w:cs="Times New Roman"/>
          <w:b/>
          <w:noProof/>
          <w:color w:val="1F497D" w:themeColor="text2"/>
          <w:sz w:val="24"/>
          <w:szCs w:val="20"/>
          <w:lang w:eastAsia="en-GB"/>
        </w:rPr>
        <w:t>Nature and Biodiversity</w:t>
      </w:r>
      <w:bookmarkEnd w:id="18"/>
      <w:bookmarkEnd w:id="19"/>
      <w:r>
        <w:rPr>
          <w:rFonts w:cs="Times New Roman"/>
          <w:b/>
          <w:noProof/>
          <w:color w:val="1F497D" w:themeColor="text2"/>
          <w:sz w:val="24"/>
          <w:szCs w:val="20"/>
          <w:lang w:eastAsia="en-GB"/>
        </w:rPr>
        <w:t xml:space="preserve"> </w:t>
      </w:r>
    </w:p>
    <w:p w:rsidR="006D6E8A" w:rsidRDefault="002E711B">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6D6E8A" w:rsidRDefault="002E711B">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w:t>
      </w:r>
      <w:r>
        <w:rPr>
          <w:rFonts w:cs="Times New Roman"/>
          <w:noProof/>
          <w:color w:val="FFFFFF" w:themeColor="background1"/>
          <w:sz w:val="20"/>
        </w:rPr>
        <w:t>strial ecosystems, sustainably manage forests, combat desertification, and halt and reverse land degradation and halt biodiversity loss.</w:t>
      </w:r>
    </w:p>
    <w:p w:rsidR="006D6E8A" w:rsidRDefault="002E711B">
      <w:pPr>
        <w:widowControl w:val="0"/>
        <w:spacing w:after="120" w:line="240" w:lineRule="auto"/>
        <w:jc w:val="both"/>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w:t>
      </w:r>
      <w:r>
        <w:rPr>
          <w:rFonts w:cs="Times New Roman"/>
          <w:iCs/>
          <w:noProof/>
          <w:sz w:val="20"/>
        </w:rPr>
        <w:t>e conservation of the EU's wildlife. Natura 2000,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long-term protection, conservation and survival of Eu</w:t>
      </w:r>
      <w:r>
        <w:rPr>
          <w:rFonts w:cs="Times New Roman"/>
          <w:bCs/>
          <w:noProof/>
          <w:sz w:val="20"/>
          <w:lang w:val="en"/>
        </w:rPr>
        <w:t>rope's most valuable and threatened species and habitats</w:t>
      </w:r>
      <w:r>
        <w:rPr>
          <w:rFonts w:cs="Times New Roman"/>
          <w:bCs/>
          <w:noProof/>
          <w:sz w:val="20"/>
          <w:szCs w:val="20"/>
          <w:lang w:val="en"/>
        </w:rPr>
        <w:t xml:space="preserve"> and the ecosystems they underpin.</w:t>
      </w:r>
    </w:p>
    <w:p w:rsidR="006D6E8A" w:rsidRDefault="002E711B">
      <w:pPr>
        <w:widowControl w:val="0"/>
        <w:spacing w:after="120" w:line="240" w:lineRule="auto"/>
        <w:jc w:val="both"/>
        <w:rPr>
          <w:rFonts w:cs="Times New Roman"/>
          <w:noProof/>
          <w:sz w:val="20"/>
        </w:rPr>
      </w:pPr>
      <w:r>
        <w:rPr>
          <w:rFonts w:cs="Times New Roman"/>
          <w:noProof/>
          <w:sz w:val="20"/>
          <w:lang w:val="en"/>
        </w:rPr>
        <w:t xml:space="preserve">The adequate designation of protected sites as Special Ares of Conservation (SAC) under the Habitats Directive and as Special Protection Areas (SPA) under the Birds </w:t>
      </w:r>
      <w:r>
        <w:rPr>
          <w:rFonts w:cs="Times New Roman"/>
          <w:noProof/>
          <w:sz w:val="20"/>
          <w:lang w:val="en"/>
        </w:rPr>
        <w:t xml:space="preserve">Directive is a key milestone towards meeting the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designation</w:t>
      </w:r>
      <w:r>
        <w:rPr>
          <w:rFonts w:cs="Times New Roman"/>
          <w:noProof/>
          <w:sz w:val="20"/>
          <w:vertAlign w:val="superscript"/>
        </w:rPr>
        <w:footnoteReference w:id="25"/>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6D6E8A" w:rsidRDefault="002E711B">
      <w:pPr>
        <w:spacing w:after="120" w:line="240" w:lineRule="auto"/>
        <w:jc w:val="both"/>
        <w:rPr>
          <w:rFonts w:cs="Times New Roman"/>
          <w:noProof/>
          <w:sz w:val="20"/>
        </w:rPr>
      </w:pPr>
      <w:r>
        <w:rPr>
          <w:rFonts w:cs="Times New Roman"/>
          <w:noProof/>
          <w:sz w:val="20"/>
        </w:rPr>
        <w:t xml:space="preserve">Slovenia designated the Natura 2000 network in 2004 upon the accession to the EU, with subsequent amendments. By early 2016, Slovenia has designated 355 Natura </w:t>
      </w:r>
      <w:r>
        <w:rPr>
          <w:rFonts w:cs="Times New Roman"/>
          <w:noProof/>
          <w:sz w:val="20"/>
        </w:rPr>
        <w:t xml:space="preserve">2000 sites. They include 324 Sites of Community Importance (SCI) under the Habitats Directive and 31 Special Protection Areas (SPA) under the Birds Directive, together covering 37.9% of the land area (which is the largest percentage of MS land area in the </w:t>
      </w:r>
      <w:r>
        <w:rPr>
          <w:rFonts w:cs="Times New Roman"/>
          <w:noProof/>
          <w:sz w:val="20"/>
        </w:rPr>
        <w:t>EU, EU average 18.1%) and 10.6 km² of marine waters.</w:t>
      </w:r>
    </w:p>
    <w:p w:rsidR="006D6E8A" w:rsidRDefault="002E711B">
      <w:pPr>
        <w:spacing w:before="240" w:after="120" w:line="240" w:lineRule="auto"/>
        <w:jc w:val="both"/>
        <w:rPr>
          <w:rFonts w:cs="Times New Roman"/>
          <w:noProof/>
          <w:sz w:val="20"/>
        </w:rPr>
      </w:pPr>
      <w:r>
        <w:rPr>
          <w:rFonts w:cs="Times New Roman"/>
          <w:noProof/>
          <w:sz w:val="20"/>
        </w:rPr>
        <w:t>The latest assessment of the SCI part of the Natura 2000 network shows that there are still some insufficiencies in the designation for the marine components of the network</w:t>
      </w:r>
      <w:r>
        <w:rPr>
          <w:rFonts w:cs="Times New Roman"/>
          <w:noProof/>
          <w:sz w:val="20"/>
          <w:vertAlign w:val="superscript"/>
          <w:lang w:val="en"/>
        </w:rPr>
        <w:footnoteReference w:id="26"/>
      </w:r>
      <w:r>
        <w:rPr>
          <w:rFonts w:cs="Times New Roman"/>
          <w:noProof/>
          <w:sz w:val="20"/>
        </w:rPr>
        <w:t xml:space="preserve"> (see Figure 5</w:t>
      </w:r>
      <w:r>
        <w:rPr>
          <w:rStyle w:val="FootnoteReference"/>
          <w:rFonts w:cs="Times New Roman"/>
          <w:noProof/>
          <w:sz w:val="20"/>
        </w:rPr>
        <w:footnoteReference w:id="27"/>
      </w:r>
      <w:r>
        <w:rPr>
          <w:rFonts w:cs="Times New Roman"/>
          <w:noProof/>
          <w:sz w:val="20"/>
        </w:rPr>
        <w:t>). This problem</w:t>
      </w:r>
      <w:r>
        <w:rPr>
          <w:rFonts w:cs="Times New Roman"/>
          <w:noProof/>
          <w:sz w:val="20"/>
        </w:rPr>
        <w:t xml:space="preserve"> is being followed up by the Commission's infringement action.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D6E8A">
        <w:tc>
          <w:tcPr>
            <w:tcW w:w="4909" w:type="dxa"/>
          </w:tcPr>
          <w:p w:rsidR="006D6E8A" w:rsidRDefault="002E711B">
            <w:pPr>
              <w:spacing w:after="120"/>
              <w:jc w:val="both"/>
              <w:rPr>
                <w:rFonts w:cs="Times New Roman"/>
                <w:b/>
                <w:bCs/>
                <w:noProof/>
                <w:color w:val="1F497D" w:themeColor="text2"/>
                <w:sz w:val="20"/>
              </w:rPr>
            </w:pPr>
            <w:r>
              <w:rPr>
                <w:rFonts w:cs="Times New Roman"/>
                <w:b/>
                <w:bCs/>
                <w:noProof/>
                <w:color w:val="1F497D" w:themeColor="text2"/>
                <w:sz w:val="20"/>
              </w:rPr>
              <w:t xml:space="preserve">Figure 5: Sufficiency assessment of SCI networks in Slovenia </w:t>
            </w:r>
            <w:r>
              <w:rPr>
                <w:rFonts w:cs="Times New Roman"/>
                <w:b/>
                <w:noProof/>
                <w:color w:val="1F497D" w:themeColor="text2"/>
                <w:sz w:val="20"/>
              </w:rPr>
              <w:t xml:space="preserve">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28"/>
            </w:r>
            <w:r>
              <w:rPr>
                <w:rFonts w:cs="Times New Roman"/>
                <w:b/>
                <w:bCs/>
                <w:noProof/>
                <w:color w:val="1F497D" w:themeColor="text2"/>
                <w:sz w:val="20"/>
              </w:rPr>
              <w:t xml:space="preserve"> </w:t>
            </w:r>
          </w:p>
        </w:tc>
      </w:tr>
      <w:tr w:rsidR="006D6E8A">
        <w:tc>
          <w:tcPr>
            <w:tcW w:w="4909" w:type="dxa"/>
          </w:tcPr>
          <w:p w:rsidR="006D6E8A" w:rsidRDefault="002E711B">
            <w:pPr>
              <w:spacing w:after="120"/>
              <w:jc w:val="both"/>
              <w:rPr>
                <w:rFonts w:cs="Times New Roman"/>
                <w:noProof/>
                <w:sz w:val="20"/>
              </w:rPr>
            </w:pPr>
            <w:r>
              <w:rPr>
                <w:rFonts w:cs="Times New Roman"/>
                <w:noProof/>
                <w:sz w:val="20"/>
                <w:lang w:eastAsia="en-GB"/>
              </w:rPr>
              <w:drawing>
                <wp:anchor distT="0" distB="0" distL="114300" distR="114300" simplePos="0" relativeHeight="251659264" behindDoc="0" locked="0" layoutInCell="1" allowOverlap="1" wp14:anchorId="069C3CFA" wp14:editId="32DBE703">
                  <wp:simplePos x="3891280" y="4114800"/>
                  <wp:positionH relativeFrom="margin">
                    <wp:align>center</wp:align>
                  </wp:positionH>
                  <wp:positionV relativeFrom="margin">
                    <wp:align>top</wp:align>
                  </wp:positionV>
                  <wp:extent cx="2597150" cy="269938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7150" cy="2699385"/>
                          </a:xfrm>
                          <a:prstGeom prst="rect">
                            <a:avLst/>
                          </a:prstGeom>
                          <a:noFill/>
                        </pic:spPr>
                      </pic:pic>
                    </a:graphicData>
                  </a:graphic>
                </wp:anchor>
              </w:drawing>
            </w:r>
          </w:p>
        </w:tc>
      </w:tr>
    </w:tbl>
    <w:p w:rsidR="006D6E8A" w:rsidRDefault="002E711B">
      <w:pPr>
        <w:spacing w:after="120" w:line="240" w:lineRule="auto"/>
        <w:jc w:val="both"/>
        <w:rPr>
          <w:rFonts w:cs="Times New Roman"/>
          <w:noProof/>
          <w:sz w:val="20"/>
        </w:rPr>
      </w:pPr>
      <w:r>
        <w:rPr>
          <w:rFonts w:cs="Times New Roman"/>
          <w:noProof/>
          <w:sz w:val="20"/>
          <w:szCs w:val="20"/>
        </w:rPr>
        <w:t xml:space="preserve">All sites have been designated as Special Areas of Conservation (SACs), but the implementation on the ground and enforcement through sanctions and inspections are still an issue of concern. </w:t>
      </w:r>
      <w:r>
        <w:rPr>
          <w:rFonts w:cs="Times New Roman"/>
          <w:noProof/>
          <w:sz w:val="20"/>
        </w:rPr>
        <w:t>For example, in the recently adopted management plan for the Trigl</w:t>
      </w:r>
      <w:r>
        <w:rPr>
          <w:rFonts w:cs="Times New Roman"/>
          <w:noProof/>
          <w:sz w:val="20"/>
        </w:rPr>
        <w:t>av National Park, the only national park in Slovenia and one of the oldest in the EU, and which is to a large extent covered by the Natura 2000, the inefficiency of the inspections and inefficient implementation of the legislation were identified among mai</w:t>
      </w:r>
      <w:r>
        <w:rPr>
          <w:rFonts w:cs="Times New Roman"/>
          <w:noProof/>
          <w:sz w:val="20"/>
        </w:rPr>
        <w:t>n challenges</w:t>
      </w:r>
      <w:r>
        <w:rPr>
          <w:rFonts w:cs="Times New Roman"/>
          <w:noProof/>
          <w:sz w:val="20"/>
          <w:vertAlign w:val="superscript"/>
        </w:rPr>
        <w:footnoteReference w:id="29"/>
      </w:r>
      <w:r>
        <w:rPr>
          <w:rFonts w:cs="Times New Roman"/>
          <w:noProof/>
          <w:sz w:val="20"/>
        </w:rPr>
        <w:t>. In order to ensure the effective management of Natura 2000 sites, the management plan includes a number of activities such as regular monitoring, drafting of an action plan for biodiversity conservation and implementation of direct control i</w:t>
      </w:r>
      <w:r>
        <w:rPr>
          <w:rFonts w:cs="Times New Roman"/>
          <w:noProof/>
          <w:sz w:val="20"/>
        </w:rPr>
        <w:t>n nature. However the success of the implementation of these measures is yet to be judged.</w:t>
      </w:r>
    </w:p>
    <w:p w:rsidR="006D6E8A" w:rsidRDefault="002E711B">
      <w:pPr>
        <w:spacing w:after="120" w:line="240" w:lineRule="auto"/>
        <w:jc w:val="both"/>
        <w:rPr>
          <w:rFonts w:cs="Times New Roman"/>
          <w:noProof/>
          <w:sz w:val="20"/>
        </w:rPr>
      </w:pPr>
      <w:r>
        <w:rPr>
          <w:rFonts w:cs="Times New Roman"/>
          <w:noProof/>
          <w:sz w:val="20"/>
          <w:szCs w:val="20"/>
        </w:rPr>
        <w:t xml:space="preserve">As regards conservation objectives and measures, </w:t>
      </w:r>
      <w:r>
        <w:rPr>
          <w:rFonts w:cs="Times New Roman"/>
          <w:noProof/>
          <w:sz w:val="20"/>
        </w:rPr>
        <w:t xml:space="preserve">Slovenia has used LIFE programme co-financing to set up the management framework for these sites – i.e. Natura 2000 </w:t>
      </w:r>
      <w:r>
        <w:rPr>
          <w:rFonts w:cs="Times New Roman"/>
          <w:noProof/>
          <w:sz w:val="20"/>
        </w:rPr>
        <w:t>Management Programme for 2014-2020.</w:t>
      </w:r>
    </w:p>
    <w:p w:rsidR="006D6E8A" w:rsidRDefault="002E711B">
      <w:pPr>
        <w:spacing w:after="120" w:line="240" w:lineRule="auto"/>
        <w:jc w:val="both"/>
        <w:rPr>
          <w:rFonts w:cs="Times New Roman"/>
          <w:noProof/>
          <w:sz w:val="20"/>
        </w:rPr>
      </w:pPr>
      <w:r>
        <w:rPr>
          <w:rFonts w:cs="Times New Roman"/>
          <w:noProof/>
          <w:sz w:val="20"/>
        </w:rPr>
        <w:t>The complaints regarding the implementation of the nature directives mostly concern the degradation of designated sites (for example due to agricultural activities not in line with conservation objectives of the sites) a</w:t>
      </w:r>
      <w:r>
        <w:rPr>
          <w:rFonts w:cs="Times New Roman"/>
          <w:noProof/>
          <w:sz w:val="20"/>
        </w:rPr>
        <w:t>nd bad quality of appropriate assessments under Article 6(3).</w:t>
      </w:r>
    </w:p>
    <w:p w:rsidR="006D6E8A" w:rsidRDefault="002E711B">
      <w:pPr>
        <w:spacing w:after="120" w:line="240" w:lineRule="auto"/>
        <w:jc w:val="both"/>
        <w:rPr>
          <w:rFonts w:cs="Times New Roman"/>
          <w:noProof/>
          <w:sz w:val="20"/>
        </w:rPr>
      </w:pPr>
      <w:r>
        <w:rPr>
          <w:rFonts w:cs="Times New Roman"/>
          <w:noProof/>
          <w:sz w:val="20"/>
        </w:rPr>
        <w:t>The lack of awareness among some stakeholder groups and sectors about the requirements of EU nature legislation and the benefits of Natura 2000 network, as well as the lack of willingness to sup</w:t>
      </w:r>
      <w:r>
        <w:rPr>
          <w:rFonts w:cs="Times New Roman"/>
          <w:noProof/>
          <w:sz w:val="20"/>
        </w:rPr>
        <w:t>port effective integration with other policies, are major obstacles to achieving the objectives of the nature directives and biodiversity targets in Slovenia.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D6E8A">
        <w:tc>
          <w:tcPr>
            <w:tcW w:w="4909" w:type="dxa"/>
          </w:tcPr>
          <w:p w:rsidR="006D6E8A" w:rsidRDefault="002E711B">
            <w:pPr>
              <w:spacing w:after="120"/>
              <w:jc w:val="both"/>
              <w:rPr>
                <w:rFonts w:cs="Times New Roman"/>
                <w:b/>
                <w:bCs/>
                <w:noProof/>
                <w:color w:val="1F497D" w:themeColor="text2"/>
                <w:sz w:val="20"/>
              </w:rPr>
            </w:pPr>
            <w:r>
              <w:rPr>
                <w:rFonts w:cs="Times New Roman"/>
                <w:b/>
                <w:bCs/>
                <w:noProof/>
                <w:color w:val="1F497D" w:themeColor="text2"/>
                <w:sz w:val="20"/>
              </w:rPr>
              <w:t>Figure 6: Conservation status of habitats and species in Slovenia in 2007/2013 (%)</w:t>
            </w:r>
            <w:r>
              <w:rPr>
                <w:rFonts w:cs="Times New Roman"/>
                <w:b/>
                <w:bCs/>
                <w:noProof/>
                <w:color w:val="1F497D" w:themeColor="text2"/>
                <w:sz w:val="20"/>
                <w:vertAlign w:val="superscript"/>
              </w:rPr>
              <w:footnoteReference w:id="30"/>
            </w:r>
          </w:p>
        </w:tc>
      </w:tr>
      <w:tr w:rsidR="006D6E8A">
        <w:tc>
          <w:tcPr>
            <w:tcW w:w="4909" w:type="dxa"/>
          </w:tcPr>
          <w:p w:rsidR="006D6E8A" w:rsidRDefault="002E711B">
            <w:pPr>
              <w:spacing w:after="120"/>
              <w:jc w:val="both"/>
              <w:rPr>
                <w:rFonts w:cs="Times New Roman"/>
                <w:noProof/>
                <w:sz w:val="20"/>
              </w:rPr>
            </w:pPr>
            <w:r>
              <w:rPr>
                <w:rFonts w:cs="Times New Roman"/>
                <w:noProof/>
                <w:sz w:val="20"/>
                <w:lang w:eastAsia="en-GB"/>
              </w:rPr>
              <w:drawing>
                <wp:inline distT="0" distB="0" distL="0" distR="0" wp14:anchorId="393A2DAA" wp14:editId="07F6A8DB">
                  <wp:extent cx="2964035" cy="3306726"/>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60970" cy="3303307"/>
                          </a:xfrm>
                          <a:prstGeom prst="rect">
                            <a:avLst/>
                          </a:prstGeom>
                          <a:noFill/>
                        </pic:spPr>
                      </pic:pic>
                    </a:graphicData>
                  </a:graphic>
                </wp:inline>
              </w:drawing>
            </w:r>
          </w:p>
        </w:tc>
      </w:tr>
    </w:tbl>
    <w:p w:rsidR="006D6E8A" w:rsidRDefault="002E711B">
      <w:pPr>
        <w:spacing w:after="120" w:line="240" w:lineRule="auto"/>
        <w:jc w:val="both"/>
        <w:rPr>
          <w:rFonts w:cs="Times New Roman"/>
          <w:noProof/>
          <w:sz w:val="20"/>
        </w:rPr>
      </w:pPr>
      <w:r>
        <w:rPr>
          <w:rFonts w:cs="Times New Roman"/>
          <w:noProof/>
          <w:sz w:val="20"/>
        </w:rPr>
        <w:t>According</w:t>
      </w:r>
      <w:r>
        <w:rPr>
          <w:rFonts w:cs="Times New Roman"/>
          <w:noProof/>
          <w:sz w:val="20"/>
        </w:rPr>
        <w:t xml:space="preserve"> to the latest report on the conservation status of habitats and species covered by the Habitats Directive (covering the period 2007-12)</w:t>
      </w:r>
      <w:r>
        <w:rPr>
          <w:rFonts w:cs="Times New Roman"/>
          <w:noProof/>
          <w:sz w:val="20"/>
          <w:vertAlign w:val="superscript"/>
        </w:rPr>
        <w:footnoteReference w:id="31"/>
      </w:r>
      <w:r>
        <w:rPr>
          <w:rFonts w:cs="Times New Roman"/>
          <w:noProof/>
          <w:sz w:val="20"/>
        </w:rPr>
        <w:t>, only 43% of the assessments for habitat types and 29% for species indicate a favourable conservation status</w:t>
      </w:r>
      <w:r>
        <w:rPr>
          <w:rStyle w:val="FootnoteReference"/>
          <w:rFonts w:cs="Times New Roman"/>
          <w:noProof/>
          <w:sz w:val="20"/>
        </w:rPr>
        <w:footnoteReference w:id="32"/>
      </w:r>
      <w:r>
        <w:rPr>
          <w:rFonts w:cs="Times New Roman"/>
          <w:noProof/>
          <w:sz w:val="20"/>
        </w:rPr>
        <w:t xml:space="preserve"> (EU 27: </w:t>
      </w:r>
      <w:r>
        <w:rPr>
          <w:rFonts w:cs="Times New Roman"/>
          <w:noProof/>
          <w:sz w:val="20"/>
        </w:rPr>
        <w:t xml:space="preserve">16%). Furthermore, 28% are considered to be unfavourable–inadequate (EU27: 47%) and 28% are unfavourable – bad (EU27: 30%). </w:t>
      </w:r>
      <w:r>
        <w:rPr>
          <w:rFonts w:cs="Times New Roman"/>
          <w:noProof/>
          <w:sz w:val="20"/>
          <w:szCs w:val="20"/>
        </w:rPr>
        <w:t xml:space="preserve">As for the species, 29% of the assessments were favourable in 2013 (EU 27: 23%) </w:t>
      </w:r>
      <w:r>
        <w:rPr>
          <w:rFonts w:cs="Times New Roman"/>
          <w:noProof/>
          <w:sz w:val="20"/>
        </w:rPr>
        <w:t>41% at unfavourable-inadequate (EU27: 42%) and 11% u</w:t>
      </w:r>
      <w:r>
        <w:rPr>
          <w:rFonts w:cs="Times New Roman"/>
          <w:noProof/>
          <w:sz w:val="20"/>
        </w:rPr>
        <w:t>nfavourable-bad status (EU27: 18%). This is depicted in Figure 6</w:t>
      </w:r>
      <w:r>
        <w:rPr>
          <w:rFonts w:cs="Times New Roman"/>
          <w:noProof/>
          <w:sz w:val="20"/>
          <w:vertAlign w:val="superscript"/>
        </w:rPr>
        <w:footnoteReference w:id="33"/>
      </w:r>
      <w:r>
        <w:rPr>
          <w:rFonts w:cs="Times New Roman"/>
          <w:noProof/>
          <w:sz w:val="20"/>
        </w:rPr>
        <w:t xml:space="preserve">. There is an increase in number of habitat types in the unfavourable-bad status and evidence that agriculture is posing increasing threats to habitats. </w:t>
      </w:r>
    </w:p>
    <w:p w:rsidR="006D6E8A" w:rsidRDefault="002E711B">
      <w:pPr>
        <w:spacing w:after="120" w:line="240" w:lineRule="auto"/>
        <w:jc w:val="both"/>
        <w:rPr>
          <w:rFonts w:cs="Times New Roman"/>
          <w:noProof/>
          <w:sz w:val="20"/>
        </w:rPr>
      </w:pPr>
      <w:r>
        <w:rPr>
          <w:rFonts w:cs="Times New Roman"/>
          <w:noProof/>
          <w:sz w:val="20"/>
        </w:rPr>
        <w:t>According to the latest report on the</w:t>
      </w:r>
      <w:r>
        <w:rPr>
          <w:rFonts w:cs="Times New Roman"/>
          <w:noProof/>
          <w:sz w:val="20"/>
        </w:rPr>
        <w:t xml:space="preserve"> implementation of the Birds Directive</w:t>
      </w:r>
      <w:r>
        <w:rPr>
          <w:rFonts w:cs="Times New Roman"/>
          <w:noProof/>
          <w:sz w:val="20"/>
          <w:vertAlign w:val="superscript"/>
        </w:rPr>
        <w:footnoteReference w:id="34"/>
      </w:r>
      <w:r>
        <w:rPr>
          <w:rFonts w:cs="Times New Roman"/>
          <w:noProof/>
          <w:sz w:val="20"/>
        </w:rPr>
        <w:t>, 24% of breeding bird species and 15% of wintering birds have a decreasing short-term population trends. This is depicted in Figure 7.</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D6E8A">
        <w:tc>
          <w:tcPr>
            <w:tcW w:w="4909" w:type="dxa"/>
          </w:tcPr>
          <w:p w:rsidR="006D6E8A" w:rsidRDefault="002E711B">
            <w:pPr>
              <w:spacing w:after="120"/>
              <w:jc w:val="both"/>
              <w:rPr>
                <w:rFonts w:cs="Times New Roman"/>
                <w:noProof/>
                <w:color w:val="1F497D" w:themeColor="text2"/>
                <w:sz w:val="20"/>
              </w:rPr>
            </w:pPr>
            <w:r>
              <w:rPr>
                <w:rFonts w:cs="Times New Roman"/>
                <w:b/>
                <w:bCs/>
                <w:noProof/>
                <w:color w:val="1F497D" w:themeColor="text2"/>
                <w:sz w:val="20"/>
              </w:rPr>
              <w:t xml:space="preserve">Figure 7: Short-term population trend of breeding and wintering bird species in </w:t>
            </w:r>
            <w:r>
              <w:rPr>
                <w:rFonts w:cs="Times New Roman"/>
                <w:b/>
                <w:bCs/>
                <w:noProof/>
                <w:color w:val="1F497D" w:themeColor="text2"/>
                <w:sz w:val="20"/>
              </w:rPr>
              <w:t>Slovenia in 2012 (%)</w:t>
            </w:r>
            <w:r>
              <w:rPr>
                <w:rFonts w:cs="Times New Roman"/>
                <w:b/>
                <w:bCs/>
                <w:noProof/>
                <w:color w:val="1F497D" w:themeColor="text2"/>
                <w:sz w:val="20"/>
                <w:vertAlign w:val="superscript"/>
              </w:rPr>
              <w:footnoteReference w:id="35"/>
            </w:r>
          </w:p>
        </w:tc>
      </w:tr>
      <w:tr w:rsidR="006D6E8A">
        <w:tc>
          <w:tcPr>
            <w:tcW w:w="4909" w:type="dxa"/>
          </w:tcPr>
          <w:p w:rsidR="006D6E8A" w:rsidRDefault="002E711B">
            <w:pPr>
              <w:spacing w:after="120"/>
              <w:jc w:val="both"/>
              <w:rPr>
                <w:rFonts w:cs="Times New Roman"/>
                <w:noProof/>
                <w:sz w:val="20"/>
              </w:rPr>
            </w:pPr>
            <w:r>
              <w:rPr>
                <w:rFonts w:cs="Times New Roman"/>
                <w:noProof/>
                <w:sz w:val="20"/>
                <w:lang w:eastAsia="en-GB"/>
              </w:rPr>
              <w:drawing>
                <wp:inline distT="0" distB="0" distL="0" distR="0" wp14:anchorId="1CB881B9" wp14:editId="6D555778">
                  <wp:extent cx="2925188" cy="2062716"/>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43893" cy="2075906"/>
                          </a:xfrm>
                          <a:prstGeom prst="rect">
                            <a:avLst/>
                          </a:prstGeom>
                          <a:noFill/>
                        </pic:spPr>
                      </pic:pic>
                    </a:graphicData>
                  </a:graphic>
                </wp:inline>
              </w:drawing>
            </w:r>
          </w:p>
        </w:tc>
      </w:tr>
    </w:tbl>
    <w:p w:rsidR="006D6E8A" w:rsidRDefault="002E711B">
      <w:pPr>
        <w:spacing w:after="120" w:line="240" w:lineRule="auto"/>
        <w:jc w:val="both"/>
        <w:rPr>
          <w:rFonts w:cstheme="minorHAnsi"/>
          <w:noProof/>
          <w:color w:val="1F497D" w:themeColor="text2"/>
          <w:szCs w:val="26"/>
        </w:rPr>
      </w:pPr>
      <w:bookmarkStart w:id="20" w:name="_Toc469416189"/>
      <w:r>
        <w:rPr>
          <w:rFonts w:cstheme="minorHAnsi"/>
          <w:noProof/>
          <w:color w:val="1F497D" w:themeColor="text2"/>
          <w:szCs w:val="26"/>
        </w:rPr>
        <w:t>Suggested action</w:t>
      </w:r>
    </w:p>
    <w:p w:rsidR="006D6E8A" w:rsidRDefault="002E711B">
      <w:pPr>
        <w:pStyle w:val="NoSpacing"/>
        <w:rPr>
          <w:noProof/>
        </w:rPr>
      </w:pPr>
      <w:r>
        <w:rPr>
          <w:noProof/>
        </w:rPr>
        <w:t>Complete the Natura 2000 designation process (in the marine environment) and put in place the necessary conservation measures which correspond to the conservation objectives of the sites, ensuring adequate resourc</w:t>
      </w:r>
      <w:r>
        <w:rPr>
          <w:noProof/>
        </w:rPr>
        <w:t xml:space="preserve">es for their implementation in order to maintain/restore species and habitats of community interest to a favourable conservation status. </w:t>
      </w:r>
    </w:p>
    <w:p w:rsidR="006D6E8A" w:rsidRDefault="002E711B">
      <w:pPr>
        <w:pStyle w:val="NoSpacing"/>
        <w:rPr>
          <w:noProof/>
        </w:rPr>
      </w:pPr>
      <w:r>
        <w:rPr>
          <w:noProof/>
        </w:rPr>
        <w:t>Implement fully conservation measures in all Natura 2000 sites, with special attention to adapting agricultural practi</w:t>
      </w:r>
      <w:r>
        <w:rPr>
          <w:noProof/>
        </w:rPr>
        <w:t>ces within the sites where conservation status of habitats and/or species are experiencing a decline due to agricultural activities.</w:t>
      </w:r>
    </w:p>
    <w:p w:rsidR="006D6E8A" w:rsidRDefault="002E711B">
      <w:pPr>
        <w:pStyle w:val="NoSpacing"/>
        <w:rPr>
          <w:noProof/>
        </w:rPr>
      </w:pPr>
      <w:r>
        <w:rPr>
          <w:noProof/>
        </w:rPr>
        <w:t>Build capacity of the competent authorities (central, regional, site management bodies) for the management of Natura 2000 s</w:t>
      </w:r>
      <w:r>
        <w:rPr>
          <w:noProof/>
        </w:rPr>
        <w:t>ites and implementation of nature directives. Improve the quality and availability of data on the conservation status of habitats and species. Strengthen communication with stakeholders.</w:t>
      </w:r>
    </w:p>
    <w:p w:rsidR="006D6E8A" w:rsidRDefault="002E711B">
      <w:pPr>
        <w:spacing w:before="360" w:after="120" w:line="240" w:lineRule="auto"/>
        <w:jc w:val="both"/>
        <w:outlineLvl w:val="1"/>
        <w:rPr>
          <w:rFonts w:cs="Times New Roman"/>
          <w:b/>
          <w:noProof/>
          <w:color w:val="1F497D" w:themeColor="text2"/>
          <w:sz w:val="24"/>
          <w:szCs w:val="20"/>
        </w:rPr>
      </w:pPr>
      <w:bookmarkStart w:id="21" w:name="_Toc469495565"/>
      <w:r>
        <w:rPr>
          <w:rFonts w:cs="Times New Roman"/>
          <w:b/>
          <w:noProof/>
          <w:color w:val="1F497D" w:themeColor="text2"/>
          <w:sz w:val="24"/>
          <w:szCs w:val="20"/>
        </w:rPr>
        <w:t>Estimating Natural Capital</w:t>
      </w:r>
      <w:bookmarkEnd w:id="20"/>
      <w:bookmarkEnd w:id="21"/>
      <w:r>
        <w:rPr>
          <w:rFonts w:cs="Times New Roman"/>
          <w:b/>
          <w:noProof/>
          <w:color w:val="1F497D" w:themeColor="text2"/>
          <w:sz w:val="24"/>
          <w:szCs w:val="20"/>
        </w:rPr>
        <w:t xml:space="preserve"> </w:t>
      </w:r>
    </w:p>
    <w:p w:rsidR="006D6E8A" w:rsidRDefault="002E711B">
      <w:pPr>
        <w:widowControl w:val="0"/>
        <w:spacing w:after="60" w:line="240" w:lineRule="auto"/>
        <w:jc w:val="both"/>
        <w:rPr>
          <w:noProof/>
          <w:sz w:val="20"/>
        </w:rPr>
      </w:pPr>
      <w:r>
        <w:rPr>
          <w:noProof/>
          <w:sz w:val="20"/>
        </w:rPr>
        <w:t xml:space="preserve">The EU Biodiversity Strategy to 2020 </w:t>
      </w:r>
      <w:r>
        <w:rPr>
          <w:noProof/>
          <w:sz w:val="20"/>
        </w:rPr>
        <w:t>calls on the Member States to map and asses the state of ecosystems and their services</w:t>
      </w:r>
      <w:r>
        <w:rPr>
          <w:noProof/>
          <w:sz w:val="20"/>
          <w:vertAlign w:val="superscript"/>
        </w:rPr>
        <w:footnoteReference w:id="36"/>
      </w:r>
      <w:r>
        <w:rPr>
          <w:noProof/>
          <w:sz w:val="20"/>
        </w:rPr>
        <w:t xml:space="preserve"> in their national territory by 2014, assess the economic value of such services, and promote the integration of these values into accounting and reporting systems at EU</w:t>
      </w:r>
      <w:r>
        <w:rPr>
          <w:noProof/>
          <w:sz w:val="20"/>
        </w:rPr>
        <w:t xml:space="preserve"> and national level by 2020.</w:t>
      </w:r>
    </w:p>
    <w:p w:rsidR="006D6E8A" w:rsidRDefault="002E711B">
      <w:pPr>
        <w:spacing w:after="120" w:line="240" w:lineRule="auto"/>
        <w:jc w:val="both"/>
        <w:rPr>
          <w:rFonts w:cs="Times New Roman"/>
          <w:noProof/>
          <w:sz w:val="20"/>
        </w:rPr>
      </w:pPr>
      <w:r>
        <w:rPr>
          <w:rFonts w:cs="Times New Roman"/>
          <w:noProof/>
          <w:sz w:val="20"/>
        </w:rPr>
        <w:t>Slovenia has only joined the EU initiative on Mapping and Assessment of Ecosystems and their Services (MAES)</w:t>
      </w:r>
      <w:r>
        <w:rPr>
          <w:rFonts w:cs="Times New Roman"/>
          <w:noProof/>
          <w:sz w:val="20"/>
          <w:vertAlign w:val="superscript"/>
        </w:rPr>
        <w:footnoteReference w:id="37"/>
      </w:r>
      <w:r>
        <w:rPr>
          <w:rFonts w:cs="Times New Roman"/>
          <w:noProof/>
          <w:sz w:val="20"/>
        </w:rPr>
        <w:t xml:space="preserve"> in 2016. The work on capital accounting is at an initial stage of development.</w:t>
      </w:r>
    </w:p>
    <w:p w:rsidR="006D6E8A" w:rsidRDefault="002E711B">
      <w:pPr>
        <w:spacing w:after="120" w:line="240" w:lineRule="auto"/>
        <w:jc w:val="both"/>
        <w:rPr>
          <w:rFonts w:cs="Times New Roman"/>
          <w:noProof/>
          <w:sz w:val="20"/>
          <w:highlight w:val="yellow"/>
        </w:rPr>
      </w:pPr>
      <w:r>
        <w:rPr>
          <w:rFonts w:cstheme="minorHAnsi"/>
          <w:noProof/>
          <w:color w:val="1F497D" w:themeColor="text2"/>
          <w:szCs w:val="26"/>
        </w:rPr>
        <w:t>Suggested action</w:t>
      </w:r>
    </w:p>
    <w:p w:rsidR="006D6E8A" w:rsidRDefault="002E711B">
      <w:pPr>
        <w:pStyle w:val="NoSpacing"/>
        <w:rPr>
          <w:noProof/>
        </w:rPr>
      </w:pPr>
      <w:r>
        <w:rPr>
          <w:noProof/>
        </w:rPr>
        <w:t xml:space="preserve">Engage and provide </w:t>
      </w:r>
      <w:r>
        <w:rPr>
          <w:noProof/>
        </w:rPr>
        <w:t>government support for the mapping and assessment of ecosystems and their services, valuation work and develop natural capital accounting systems.</w:t>
      </w:r>
    </w:p>
    <w:p w:rsidR="006D6E8A" w:rsidRDefault="002E711B">
      <w:pPr>
        <w:spacing w:before="360" w:after="120" w:line="240" w:lineRule="auto"/>
        <w:jc w:val="both"/>
        <w:outlineLvl w:val="1"/>
        <w:rPr>
          <w:rFonts w:cs="Times New Roman"/>
          <w:b/>
          <w:noProof/>
          <w:color w:val="1F497D" w:themeColor="text2"/>
          <w:sz w:val="24"/>
          <w:szCs w:val="20"/>
        </w:rPr>
      </w:pPr>
      <w:bookmarkStart w:id="22" w:name="_Toc469495566"/>
      <w:r>
        <w:rPr>
          <w:rFonts w:cs="Times New Roman"/>
          <w:b/>
          <w:noProof/>
          <w:color w:val="1F497D" w:themeColor="text2"/>
          <w:sz w:val="24"/>
          <w:szCs w:val="20"/>
        </w:rPr>
        <w:t>Green Infrastructure</w:t>
      </w:r>
      <w:bookmarkEnd w:id="22"/>
    </w:p>
    <w:p w:rsidR="006D6E8A" w:rsidRDefault="002E711B">
      <w:pPr>
        <w:widowControl w:val="0"/>
        <w:shd w:val="clear" w:color="auto" w:fill="4F81BD" w:themeFill="accent1"/>
        <w:spacing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38"/>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incorporation of green infrastruct</w:t>
      </w:r>
      <w:r>
        <w:rPr>
          <w:rFonts w:ascii="Calibri" w:eastAsia="Calibri" w:hAnsi="Calibri" w:cs="Times New Roman"/>
          <w:noProof/>
          <w:color w:val="FFFFFF" w:themeColor="background1"/>
          <w:sz w:val="20"/>
          <w:lang w:eastAsia="ar-SA"/>
        </w:rPr>
        <w:t>ure into related plans and programmes to help overcome fragmentation of habitats and preserve or restore ecological connectivity, enhance ecosystem resilience and thereby ensure the continued provision of ecosystem services.</w:t>
      </w:r>
    </w:p>
    <w:p w:rsidR="006D6E8A" w:rsidRDefault="002E711B">
      <w:pPr>
        <w:widowControl w:val="0"/>
        <w:spacing w:after="120" w:line="240" w:lineRule="auto"/>
        <w:jc w:val="both"/>
        <w:rPr>
          <w:rFonts w:cs="Times New Roman"/>
          <w:noProof/>
          <w:sz w:val="20"/>
        </w:rPr>
      </w:pPr>
      <w:r>
        <w:rPr>
          <w:rFonts w:cs="Times New Roman"/>
          <w:noProof/>
          <w:sz w:val="20"/>
        </w:rPr>
        <w:t>Green Infrastructure provides e</w:t>
      </w:r>
      <w:r>
        <w:rPr>
          <w:rFonts w:cs="Times New Roman"/>
          <w:noProof/>
          <w:sz w:val="20"/>
        </w:rPr>
        <w:t>cological, economic and social benefits through natural solutions. It helps to understand the value of the benefits that nature provides to human society and to mobilise investments to sustain and enhance them.</w:t>
      </w:r>
    </w:p>
    <w:p w:rsidR="006D6E8A" w:rsidRDefault="002E711B">
      <w:pPr>
        <w:spacing w:after="120" w:line="240" w:lineRule="auto"/>
        <w:jc w:val="both"/>
        <w:rPr>
          <w:rFonts w:cs="Times New Roman"/>
          <w:noProof/>
          <w:sz w:val="20"/>
          <w:szCs w:val="20"/>
        </w:rPr>
      </w:pPr>
      <w:r>
        <w:rPr>
          <w:rFonts w:cs="Times New Roman"/>
          <w:noProof/>
          <w:sz w:val="20"/>
          <w:szCs w:val="20"/>
        </w:rPr>
        <w:t>The mainstreaming of the Green Infrastructure</w:t>
      </w:r>
      <w:r>
        <w:rPr>
          <w:rFonts w:cs="Times New Roman"/>
          <w:noProof/>
          <w:sz w:val="20"/>
          <w:szCs w:val="20"/>
        </w:rPr>
        <w:t xml:space="preserve"> objectives into sectoral planning is still insufficient, although Green Infrastructure topics (green areas, restoration and preservation of landscapes, etc.) are explicitly highlighted in both the Spatial Development Strategy and the Slovenian Communicati</w:t>
      </w:r>
      <w:r>
        <w:rPr>
          <w:rFonts w:cs="Times New Roman"/>
          <w:noProof/>
          <w:sz w:val="20"/>
          <w:szCs w:val="20"/>
        </w:rPr>
        <w:t>on on Climate Change.</w:t>
      </w:r>
      <w:r>
        <w:rPr>
          <w:rFonts w:cs="Times New Roman"/>
          <w:noProof/>
          <w:sz w:val="20"/>
        </w:rPr>
        <w:t xml:space="preserve"> </w:t>
      </w:r>
      <w:r>
        <w:rPr>
          <w:rFonts w:cs="Times New Roman"/>
          <w:noProof/>
          <w:sz w:val="20"/>
          <w:szCs w:val="20"/>
        </w:rPr>
        <w:t>The current low uptake of Green Infrastructure in the agricultural land, combined with the low uptake of the existing agri-environment measures, is a barrier to effective preservation of the lowland and open area biodiversity. There s</w:t>
      </w:r>
      <w:r>
        <w:rPr>
          <w:rFonts w:cs="Times New Roman"/>
          <w:noProof/>
          <w:sz w:val="20"/>
          <w:szCs w:val="20"/>
        </w:rPr>
        <w:t>eems to be also a lack of understanding of the potential benefits from the Green Infrastructure and the enhanced quality of life it could guarantee, if adequately managed.</w:t>
      </w:r>
    </w:p>
    <w:p w:rsidR="006D6E8A" w:rsidRDefault="002E711B">
      <w:pPr>
        <w:spacing w:after="120" w:line="240" w:lineRule="auto"/>
        <w:jc w:val="both"/>
        <w:rPr>
          <w:rFonts w:cs="Times New Roman"/>
          <w:noProof/>
          <w:sz w:val="20"/>
          <w:szCs w:val="20"/>
        </w:rPr>
      </w:pPr>
      <w:r>
        <w:rPr>
          <w:rFonts w:cs="Times New Roman"/>
          <w:noProof/>
          <w:sz w:val="20"/>
          <w:szCs w:val="20"/>
          <w:lang w:eastAsia="en-GB"/>
        </w:rPr>
        <w:drawing>
          <wp:inline distT="0" distB="0" distL="0" distR="0" wp14:anchorId="7E097872" wp14:editId="4C5EB628">
            <wp:extent cx="2980055" cy="19856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nature triglav iStock_45006446_SMALL.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80055" cy="1985645"/>
                    </a:xfrm>
                    <a:prstGeom prst="rect">
                      <a:avLst/>
                    </a:prstGeom>
                  </pic:spPr>
                </pic:pic>
              </a:graphicData>
            </a:graphic>
          </wp:inline>
        </w:drawing>
      </w:r>
    </w:p>
    <w:p w:rsidR="006D6E8A" w:rsidRDefault="002E711B">
      <w:pPr>
        <w:spacing w:before="360" w:after="120" w:line="240" w:lineRule="auto"/>
        <w:jc w:val="both"/>
        <w:outlineLvl w:val="1"/>
        <w:rPr>
          <w:rFonts w:cs="Times New Roman"/>
          <w:b/>
          <w:noProof/>
          <w:color w:val="1F497D" w:themeColor="text2"/>
          <w:sz w:val="24"/>
          <w:szCs w:val="20"/>
        </w:rPr>
      </w:pPr>
      <w:bookmarkStart w:id="23" w:name="_Toc469495567"/>
      <w:bookmarkStart w:id="24" w:name="_Toc433296161"/>
      <w:r>
        <w:rPr>
          <w:rFonts w:cs="Times New Roman"/>
          <w:b/>
          <w:noProof/>
          <w:color w:val="1F497D" w:themeColor="text2"/>
          <w:sz w:val="24"/>
          <w:szCs w:val="20"/>
        </w:rPr>
        <w:t>Soil protection</w:t>
      </w:r>
      <w:bookmarkEnd w:id="23"/>
    </w:p>
    <w:p w:rsidR="006D6E8A" w:rsidRDefault="002E711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Soil Thematic Strategy highlights the need to ensure a </w:t>
      </w:r>
      <w:r>
        <w:rPr>
          <w:rFonts w:cs="Times New Roman"/>
          <w:noProof/>
          <w:color w:val="FFFFFF" w:themeColor="background1"/>
          <w:sz w:val="20"/>
        </w:rPr>
        <w:t>sustainable use of soils. This requires the prevention of further soil degradation and the preservation of its functions, as well as the restoration of degraded soils. The 2011 Road Map for Resource-Efficient Europe, part of Europe 2020 Strategy provides t</w:t>
      </w:r>
      <w:r>
        <w:rPr>
          <w:rFonts w:cs="Times New Roman"/>
          <w:noProof/>
          <w:color w:val="FFFFFF" w:themeColor="background1"/>
          <w:sz w:val="20"/>
        </w:rPr>
        <w:t>hat by 2020, EU policies take into account their direct and indirect impact on land use in the EU and globally, and the rate of land take is on track with an aim to achieve no net land take by 2050.</w:t>
      </w:r>
    </w:p>
    <w:p w:rsidR="006D6E8A" w:rsidRDefault="002E711B">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w:t>
      </w:r>
      <w:r>
        <w:rPr>
          <w:rFonts w:ascii="Calibri" w:eastAsia="Calibri" w:hAnsi="Calibri" w:cs="Times New Roman"/>
          <w:noProof/>
          <w:color w:val="FFFFFF"/>
          <w:sz w:val="20"/>
          <w:lang w:eastAsia="ar-SA"/>
        </w:rPr>
        <w:t>ore degraded land and soil, including land affected by desertification, drought and floods, and strive to achieve a land-degradation-neutral world by 2030.</w:t>
      </w:r>
    </w:p>
    <w:p w:rsidR="006D6E8A" w:rsidRDefault="002E711B">
      <w:pPr>
        <w:widowControl w:val="0"/>
        <w:spacing w:before="120" w:after="120" w:line="240" w:lineRule="auto"/>
        <w:jc w:val="both"/>
        <w:rPr>
          <w:noProof/>
          <w:sz w:val="20"/>
          <w:lang w:eastAsia="en-GB"/>
        </w:rPr>
      </w:pPr>
      <w:r>
        <w:rPr>
          <w:noProof/>
          <w:sz w:val="20"/>
          <w:lang w:eastAsia="en-GB"/>
        </w:rPr>
        <w:t>Soil is an important resource for life and the economy. It provides key ecosystem services including</w:t>
      </w:r>
      <w:r>
        <w:rPr>
          <w:noProof/>
          <w:sz w:val="20"/>
          <w:lang w:eastAsia="en-GB"/>
        </w:rPr>
        <w:t xml:space="preserve"> the provision of food, fibre and biomass for renewable energy, carbon sequestration, water purification and flood regulation, the provision of raw and building material. Soil is a finite and extremely fragile resource and increasingly degrading in the EU.</w:t>
      </w:r>
      <w:r>
        <w:rPr>
          <w:noProof/>
          <w:sz w:val="20"/>
          <w:lang w:eastAsia="en-GB"/>
        </w:rPr>
        <w:t xml:space="preserve"> Land taken by urban development and infrastructure is highly unlikely to be reverted to its natural state; it consumes mostly agricultural land and increases fragmentation of habitats. Soil protection is indirectly addressed in existing EU policies in are</w:t>
      </w:r>
      <w:r>
        <w:rPr>
          <w:noProof/>
          <w:sz w:val="20"/>
          <w:lang w:eastAsia="en-GB"/>
        </w:rPr>
        <w:t>as such as agriculture, water, waste, chemicals, and prevention of industrial pollution.</w:t>
      </w:r>
    </w:p>
    <w:p w:rsidR="006D6E8A" w:rsidRDefault="002E711B">
      <w:pPr>
        <w:spacing w:after="120" w:line="240" w:lineRule="auto"/>
        <w:jc w:val="both"/>
        <w:rPr>
          <w:rFonts w:cs="Times New Roman"/>
          <w:noProof/>
          <w:sz w:val="20"/>
          <w:szCs w:val="20"/>
        </w:rPr>
      </w:pPr>
      <w:r>
        <w:rPr>
          <w:rFonts w:cs="Times New Roman"/>
          <w:noProof/>
          <w:sz w:val="20"/>
          <w:szCs w:val="20"/>
        </w:rPr>
        <w:t xml:space="preserve">Artificial land cover is used for settlements, production systems and infrastructure. It may itself be split between built-up areas (buildings) and non-built-up areas </w:t>
      </w:r>
      <w:r>
        <w:rPr>
          <w:rFonts w:cs="Times New Roman"/>
          <w:noProof/>
          <w:sz w:val="20"/>
          <w:szCs w:val="20"/>
        </w:rPr>
        <w:t>(such as linear transport networks and associated areas).</w:t>
      </w:r>
    </w:p>
    <w:p w:rsidR="006D6E8A" w:rsidRDefault="002E711B">
      <w:pPr>
        <w:spacing w:after="120" w:line="240" w:lineRule="auto"/>
        <w:jc w:val="both"/>
        <w:rPr>
          <w:rFonts w:cs="Times New Roman"/>
          <w:noProof/>
          <w:sz w:val="20"/>
          <w:szCs w:val="20"/>
        </w:rPr>
      </w:pPr>
      <w:r>
        <w:rPr>
          <w:rFonts w:cs="Times New Roman"/>
          <w:noProof/>
          <w:sz w:val="20"/>
          <w:szCs w:val="20"/>
        </w:rPr>
        <w:t xml:space="preserve">The percentage of built up land in 2009 was </w:t>
      </w:r>
      <w:r>
        <w:rPr>
          <w:rFonts w:cs="Times New Roman"/>
          <w:noProof/>
          <w:sz w:val="20"/>
        </w:rPr>
        <w:t>1.85</w:t>
      </w:r>
      <w:r>
        <w:rPr>
          <w:rFonts w:cs="Times New Roman"/>
          <w:noProof/>
          <w:sz w:val="20"/>
          <w:szCs w:val="20"/>
        </w:rPr>
        <w:t xml:space="preserve">%, </w:t>
      </w:r>
      <w:r>
        <w:rPr>
          <w:rFonts w:cs="Times New Roman"/>
          <w:noProof/>
          <w:sz w:val="20"/>
        </w:rPr>
        <w:t>below</w:t>
      </w:r>
      <w:r>
        <w:rPr>
          <w:rFonts w:cs="Times New Roman"/>
          <w:noProof/>
          <w:sz w:val="20"/>
          <w:szCs w:val="20"/>
        </w:rPr>
        <w:t xml:space="preserve"> the EU average (3.23%)</w:t>
      </w:r>
      <w:r>
        <w:rPr>
          <w:rFonts w:cs="Times New Roman"/>
          <w:noProof/>
          <w:sz w:val="20"/>
          <w:szCs w:val="20"/>
          <w:vertAlign w:val="superscript"/>
        </w:rPr>
        <w:footnoteReference w:id="39"/>
      </w:r>
      <w:r>
        <w:rPr>
          <w:rFonts w:cs="Times New Roman"/>
          <w:noProof/>
          <w:sz w:val="20"/>
          <w:szCs w:val="20"/>
        </w:rPr>
        <w:t>.</w:t>
      </w:r>
    </w:p>
    <w:p w:rsidR="006D6E8A" w:rsidRDefault="002E711B">
      <w:pPr>
        <w:spacing w:after="120" w:line="240" w:lineRule="auto"/>
        <w:jc w:val="both"/>
        <w:rPr>
          <w:rFonts w:cs="Times New Roman"/>
          <w:noProof/>
          <w:sz w:val="20"/>
          <w:szCs w:val="20"/>
        </w:rPr>
      </w:pPr>
      <w:r>
        <w:rPr>
          <w:rFonts w:cs="Times New Roman"/>
          <w:noProof/>
          <w:sz w:val="20"/>
          <w:szCs w:val="20"/>
        </w:rPr>
        <w:t>The annual land take rate (growth of artificial areas) as provided by CORINE Land Cover was 0.15% in Slovenia over t</w:t>
      </w:r>
      <w:r>
        <w:rPr>
          <w:rFonts w:cs="Times New Roman"/>
          <w:noProof/>
          <w:sz w:val="20"/>
          <w:szCs w:val="20"/>
        </w:rPr>
        <w:t>he period 2006-12 compared to the EU average (0.41%). It represented 90 hectares per year</w:t>
      </w:r>
      <w:r>
        <w:rPr>
          <w:rFonts w:cs="Times New Roman"/>
          <w:noProof/>
          <w:sz w:val="20"/>
          <w:szCs w:val="20"/>
          <w:vertAlign w:val="superscript"/>
        </w:rPr>
        <w:footnoteReference w:id="40"/>
      </w:r>
      <w:r>
        <w:rPr>
          <w:rFonts w:cs="Times New Roman"/>
          <w:noProof/>
          <w:sz w:val="20"/>
          <w:szCs w:val="20"/>
        </w:rPr>
        <w:t xml:space="preserve">. </w:t>
      </w:r>
    </w:p>
    <w:p w:rsidR="006D6E8A" w:rsidRDefault="002E711B">
      <w:pPr>
        <w:spacing w:after="120" w:line="240" w:lineRule="auto"/>
        <w:jc w:val="both"/>
        <w:rPr>
          <w:rFonts w:cs="Times New Roman"/>
          <w:i/>
          <w:noProof/>
          <w:sz w:val="20"/>
          <w:szCs w:val="20"/>
        </w:rPr>
      </w:pPr>
      <w:r>
        <w:rPr>
          <w:rFonts w:cs="Times New Roman"/>
          <w:noProof/>
          <w:sz w:val="20"/>
          <w:szCs w:val="20"/>
        </w:rPr>
        <w:t xml:space="preserve">The soil water erosion rate in 2010 was </w:t>
      </w:r>
      <w:r>
        <w:rPr>
          <w:rFonts w:cs="Times New Roman"/>
          <w:noProof/>
          <w:sz w:val="20"/>
        </w:rPr>
        <w:t>7.45</w:t>
      </w:r>
      <w:r>
        <w:rPr>
          <w:rFonts w:cs="Times New Roman"/>
          <w:noProof/>
          <w:sz w:val="20"/>
          <w:szCs w:val="20"/>
        </w:rPr>
        <w:t xml:space="preserve"> tonnes per ha per year, </w:t>
      </w:r>
      <w:r>
        <w:rPr>
          <w:rFonts w:cs="Times New Roman"/>
          <w:noProof/>
          <w:sz w:val="20"/>
        </w:rPr>
        <w:t>well above</w:t>
      </w:r>
      <w:r>
        <w:rPr>
          <w:rFonts w:cs="Times New Roman"/>
          <w:noProof/>
          <w:sz w:val="20"/>
          <w:szCs w:val="20"/>
        </w:rPr>
        <w:t xml:space="preserve"> EU-28 average (2.46 tonnes)</w:t>
      </w:r>
      <w:r>
        <w:rPr>
          <w:rFonts w:cs="Times New Roman"/>
          <w:noProof/>
          <w:sz w:val="20"/>
          <w:szCs w:val="20"/>
          <w:vertAlign w:val="superscript"/>
        </w:rPr>
        <w:footnoteReference w:id="41"/>
      </w:r>
      <w:r>
        <w:rPr>
          <w:rFonts w:cs="Times New Roman"/>
          <w:noProof/>
          <w:sz w:val="20"/>
          <w:szCs w:val="20"/>
        </w:rPr>
        <w:t>.</w:t>
      </w:r>
    </w:p>
    <w:p w:rsidR="006D6E8A" w:rsidRDefault="002E711B">
      <w:pPr>
        <w:spacing w:after="120" w:line="240" w:lineRule="auto"/>
        <w:jc w:val="both"/>
        <w:rPr>
          <w:rFonts w:cs="Times New Roman"/>
          <w:noProof/>
          <w:sz w:val="20"/>
          <w:lang w:eastAsia="en-GB"/>
        </w:rPr>
      </w:pPr>
      <w:r>
        <w:rPr>
          <w:rFonts w:cs="Times New Roman"/>
          <w:noProof/>
          <w:sz w:val="20"/>
          <w:lang w:eastAsia="en-GB"/>
        </w:rPr>
        <w:t xml:space="preserve">There are still not EU-wide datasets enabling the provision of benchmark indicators for soil organic matter decline, contaminated sites, pressures on soil biology and diffuse pollution. </w:t>
      </w:r>
      <w:r>
        <w:rPr>
          <w:rFonts w:cs="Times New Roman"/>
          <w:noProof/>
          <w:sz w:val="20"/>
        </w:rPr>
        <w:t>An updated inventory and assessment of soil protection policy instrume</w:t>
      </w:r>
      <w:r>
        <w:rPr>
          <w:rFonts w:cs="Times New Roman"/>
          <w:noProof/>
          <w:sz w:val="20"/>
        </w:rPr>
        <w:t>nts in Slovenia and other EU Member States is being performed by the EU Expert Group on Soil Protection.</w:t>
      </w:r>
    </w:p>
    <w:p w:rsidR="006D6E8A" w:rsidRDefault="002E711B">
      <w:pPr>
        <w:spacing w:after="120" w:line="240" w:lineRule="auto"/>
        <w:jc w:val="both"/>
        <w:rPr>
          <w:rFonts w:cs="Times New Roman"/>
          <w:noProof/>
          <w:sz w:val="20"/>
        </w:rPr>
      </w:pPr>
      <w:r>
        <w:rPr>
          <w:rFonts w:cs="Times New Roman"/>
          <w:noProof/>
          <w:sz w:val="20"/>
        </w:rPr>
        <w:t>Figure 8 shows the different land cover types in Slovenia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D6E8A">
        <w:tc>
          <w:tcPr>
            <w:tcW w:w="4909" w:type="dxa"/>
          </w:tcPr>
          <w:p w:rsidR="006D6E8A" w:rsidRDefault="002E711B">
            <w:pPr>
              <w:spacing w:after="120"/>
              <w:jc w:val="both"/>
              <w:rPr>
                <w:rFonts w:cs="Times New Roman"/>
                <w:b/>
                <w:bCs/>
                <w:noProof/>
                <w:color w:val="1F497D" w:themeColor="text2"/>
                <w:sz w:val="20"/>
              </w:rPr>
            </w:pPr>
            <w:r>
              <w:rPr>
                <w:rFonts w:cs="Times New Roman"/>
                <w:b/>
                <w:bCs/>
                <w:noProof/>
                <w:color w:val="1F497D" w:themeColor="text2"/>
                <w:sz w:val="20"/>
              </w:rPr>
              <w:t>Figure 8: Land Cover types in Slovenia in 2012</w:t>
            </w:r>
            <w:r>
              <w:rPr>
                <w:rFonts w:cs="Times New Roman"/>
                <w:b/>
                <w:bCs/>
                <w:noProof/>
                <w:color w:val="1F497D" w:themeColor="text2"/>
                <w:sz w:val="20"/>
                <w:vertAlign w:val="superscript"/>
              </w:rPr>
              <w:footnoteReference w:id="42"/>
            </w:r>
          </w:p>
        </w:tc>
      </w:tr>
      <w:tr w:rsidR="006D6E8A">
        <w:tc>
          <w:tcPr>
            <w:tcW w:w="4909" w:type="dxa"/>
          </w:tcPr>
          <w:p w:rsidR="006D6E8A" w:rsidRDefault="002E711B">
            <w:pPr>
              <w:spacing w:after="120"/>
              <w:jc w:val="both"/>
              <w:rPr>
                <w:rFonts w:cs="Times New Roman"/>
                <w:noProof/>
                <w:sz w:val="20"/>
              </w:rPr>
            </w:pPr>
            <w:r>
              <w:rPr>
                <w:rFonts w:ascii="Arial" w:hAnsi="Arial" w:cs="Arial"/>
                <w:noProof/>
                <w:sz w:val="20"/>
                <w:szCs w:val="20"/>
                <w:lang w:eastAsia="en-GB"/>
              </w:rPr>
              <w:drawing>
                <wp:inline distT="0" distB="0" distL="0" distR="0" wp14:anchorId="687F0966" wp14:editId="6C988B55">
                  <wp:extent cx="3067050" cy="3648075"/>
                  <wp:effectExtent l="0" t="0" r="0" b="9525"/>
                  <wp:docPr id="25" name="Picture 25" descr="SI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_CS_CLC_typ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7050" cy="3648075"/>
                          </a:xfrm>
                          <a:prstGeom prst="rect">
                            <a:avLst/>
                          </a:prstGeom>
                          <a:noFill/>
                          <a:ln>
                            <a:noFill/>
                          </a:ln>
                        </pic:spPr>
                      </pic:pic>
                    </a:graphicData>
                  </a:graphic>
                </wp:inline>
              </w:drawing>
            </w:r>
          </w:p>
        </w:tc>
      </w:tr>
    </w:tbl>
    <w:p w:rsidR="006D6E8A" w:rsidRDefault="006D6E8A">
      <w:pPr>
        <w:spacing w:before="360" w:after="120" w:line="240" w:lineRule="auto"/>
        <w:jc w:val="both"/>
        <w:outlineLvl w:val="1"/>
        <w:rPr>
          <w:rFonts w:cs="Times New Roman"/>
          <w:b/>
          <w:noProof/>
          <w:color w:val="1F497D" w:themeColor="text2"/>
          <w:sz w:val="24"/>
          <w:szCs w:val="20"/>
        </w:rPr>
      </w:pPr>
    </w:p>
    <w:p w:rsidR="006D6E8A" w:rsidRDefault="002E711B">
      <w:pPr>
        <w:spacing w:before="360" w:after="120" w:line="240" w:lineRule="auto"/>
        <w:jc w:val="both"/>
        <w:outlineLvl w:val="1"/>
        <w:rPr>
          <w:rFonts w:cs="Times New Roman"/>
          <w:b/>
          <w:noProof/>
          <w:color w:val="1F497D" w:themeColor="text2"/>
          <w:sz w:val="24"/>
          <w:szCs w:val="20"/>
        </w:rPr>
      </w:pPr>
      <w:bookmarkStart w:id="25" w:name="_Toc469495568"/>
      <w:r>
        <w:rPr>
          <w:rFonts w:cs="Times New Roman"/>
          <w:b/>
          <w:noProof/>
          <w:color w:val="1F497D" w:themeColor="text2"/>
          <w:sz w:val="24"/>
          <w:szCs w:val="20"/>
        </w:rPr>
        <w:t>Marine protection</w:t>
      </w:r>
      <w:bookmarkEnd w:id="24"/>
      <w:bookmarkEnd w:id="25"/>
    </w:p>
    <w:p w:rsidR="006D6E8A" w:rsidRDefault="002E711B">
      <w:pPr>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w:t>
      </w:r>
      <w:r>
        <w:rPr>
          <w:rFonts w:cs="Times New Roman"/>
          <w:noProof/>
          <w:color w:val="FFFFFF" w:themeColor="background1"/>
          <w:sz w:val="20"/>
        </w:rPr>
        <w:t>Coastal and Marine Policy and legislation require that by 2020 the impact of pressures on marine waters is reduced to achieve or maintain good environmental status and coastal zones are managed sustainably.</w:t>
      </w:r>
    </w:p>
    <w:p w:rsidR="006D6E8A" w:rsidRDefault="002E711B">
      <w:pPr>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w:t>
      </w:r>
      <w:r>
        <w:rPr>
          <w:rFonts w:cs="Times New Roman"/>
          <w:noProof/>
          <w:color w:val="FFFFFF" w:themeColor="background1"/>
          <w:sz w:val="20"/>
        </w:rPr>
        <w:t>ably use the oceans, seas and marine resources for sustainable development.</w:t>
      </w:r>
    </w:p>
    <w:p w:rsidR="006D6E8A" w:rsidRDefault="002E711B">
      <w:pPr>
        <w:spacing w:after="120" w:line="240" w:lineRule="auto"/>
        <w:jc w:val="both"/>
        <w:rPr>
          <w:noProof/>
          <w:sz w:val="20"/>
        </w:rPr>
      </w:pPr>
      <w:r>
        <w:rPr>
          <w:noProof/>
          <w:sz w:val="20"/>
        </w:rPr>
        <w:t>The Marine Strategy Framework Directive (MSFD)</w:t>
      </w:r>
      <w:r>
        <w:rPr>
          <w:rFonts w:cs="Times New Roman"/>
          <w:noProof/>
          <w:sz w:val="20"/>
          <w:vertAlign w:val="superscript"/>
        </w:rPr>
        <w:t xml:space="preserve"> </w:t>
      </w:r>
      <w:r>
        <w:rPr>
          <w:rFonts w:cs="Times New Roman"/>
          <w:noProof/>
          <w:sz w:val="20"/>
          <w:vertAlign w:val="superscript"/>
        </w:rPr>
        <w:footnoteReference w:id="43"/>
      </w:r>
      <w:r>
        <w:rPr>
          <w:noProof/>
          <w:sz w:val="20"/>
        </w:rPr>
        <w:t xml:space="preserve"> aims to achieve Good Environmental Status (GES) of the EU's marine waters by 2020 by</w:t>
      </w:r>
      <w:r>
        <w:rPr>
          <w:rFonts w:cs="Times New Roman"/>
          <w:noProof/>
          <w:sz w:val="20"/>
          <w:lang w:val="en"/>
        </w:rPr>
        <w:t xml:space="preserve"> providing an ecosystem approach to the managem</w:t>
      </w:r>
      <w:r>
        <w:rPr>
          <w:rFonts w:cs="Times New Roman"/>
          <w:noProof/>
          <w:sz w:val="20"/>
          <w:lang w:val="en"/>
        </w:rPr>
        <w:t>ent of human activities with impact on the marine environment</w:t>
      </w:r>
      <w:r>
        <w:rPr>
          <w:noProof/>
          <w:sz w:val="20"/>
        </w:rPr>
        <w:t>. The Directive requires Member States to develop and implement a marine strategy for their marine waters, and cooperate with Member States sharing the same marine region or subregion.</w:t>
      </w:r>
    </w:p>
    <w:p w:rsidR="006D6E8A" w:rsidRDefault="002E711B">
      <w:pPr>
        <w:spacing w:after="120" w:line="240" w:lineRule="auto"/>
        <w:jc w:val="both"/>
        <w:rPr>
          <w:noProof/>
          <w:color w:val="FF0000"/>
          <w:sz w:val="20"/>
        </w:rPr>
      </w:pPr>
      <w:r>
        <w:rPr>
          <w:noProof/>
          <w:sz w:val="20"/>
        </w:rPr>
        <w:t>As part of</w:t>
      </w:r>
      <w:r>
        <w:rPr>
          <w:noProof/>
          <w:sz w:val="20"/>
        </w:rPr>
        <w:t xml:space="preserve"> their marine strategies, Member States had to make an initial assessment of their marine waters, determine GES</w:t>
      </w:r>
      <w:r>
        <w:rPr>
          <w:noProof/>
          <w:sz w:val="20"/>
          <w:vertAlign w:val="superscript"/>
        </w:rPr>
        <w:footnoteReference w:id="44"/>
      </w:r>
      <w:r>
        <w:rPr>
          <w:noProof/>
          <w:sz w:val="20"/>
        </w:rPr>
        <w:t xml:space="preserve"> and establish environmental targets by July 2012. They also had to establish monitoring programmes for the on-going assessment of their marine </w:t>
      </w:r>
      <w:r>
        <w:rPr>
          <w:noProof/>
          <w:sz w:val="20"/>
        </w:rPr>
        <w:t>waters by July 2014. The next element of their marine strategy is the establishment of a Programme of Measures (2016). The Commission assesses whether these elements constitute an appropriate framework to meet the requirements of the MSFD.</w:t>
      </w:r>
    </w:p>
    <w:p w:rsidR="006D6E8A" w:rsidRDefault="002E711B">
      <w:pPr>
        <w:autoSpaceDE w:val="0"/>
        <w:autoSpaceDN w:val="0"/>
        <w:adjustRightInd w:val="0"/>
        <w:spacing w:before="120" w:after="120" w:line="240" w:lineRule="auto"/>
        <w:jc w:val="both"/>
        <w:rPr>
          <w:rFonts w:cs="Times New Roman"/>
          <w:noProof/>
          <w:sz w:val="20"/>
          <w:szCs w:val="20"/>
        </w:rPr>
      </w:pPr>
      <w:bookmarkStart w:id="26" w:name="_Toc433296162"/>
      <w:r>
        <w:rPr>
          <w:rFonts w:cs="Times New Roman"/>
          <w:noProof/>
          <w:sz w:val="20"/>
          <w:szCs w:val="20"/>
        </w:rPr>
        <w:t>Slovenian marine</w:t>
      </w:r>
      <w:r>
        <w:rPr>
          <w:rFonts w:cs="Times New Roman"/>
          <w:noProof/>
          <w:sz w:val="20"/>
          <w:szCs w:val="20"/>
        </w:rPr>
        <w:t xml:space="preserve"> waters are part of the Mediterranean sea marine region and of the Adriatic Sea sub-region.</w:t>
      </w:r>
      <w:r>
        <w:rPr>
          <w:rFonts w:cs="Times New Roman"/>
          <w:noProof/>
          <w:sz w:val="20"/>
          <w:lang w:val="en-US"/>
        </w:rPr>
        <w:t xml:space="preserve"> Slovenia is party to the</w:t>
      </w:r>
      <w:r>
        <w:rPr>
          <w:noProof/>
        </w:rPr>
        <w:t xml:space="preserve"> </w:t>
      </w:r>
      <w:r>
        <w:rPr>
          <w:rFonts w:cs="Times New Roman"/>
          <w:noProof/>
          <w:sz w:val="20"/>
          <w:lang w:val="en-US"/>
        </w:rPr>
        <w:t xml:space="preserve">Convention for the Protection of the Marine Environment and the Coastal Region of the Mediterranean </w:t>
      </w:r>
      <w:r>
        <w:rPr>
          <w:rFonts w:cs="Times New Roman"/>
          <w:noProof/>
          <w:sz w:val="20"/>
        </w:rPr>
        <w:t>(</w:t>
      </w:r>
      <w:r>
        <w:rPr>
          <w:rFonts w:cs="Times New Roman"/>
          <w:noProof/>
          <w:sz w:val="20"/>
          <w:lang w:val="en-US"/>
        </w:rPr>
        <w:t>Barcelona Convention)</w:t>
      </w:r>
      <w:r>
        <w:rPr>
          <w:rStyle w:val="FootnoteReference"/>
          <w:rFonts w:cs="Times New Roman"/>
          <w:noProof/>
          <w:sz w:val="20"/>
          <w:lang w:val="en-US"/>
        </w:rPr>
        <w:footnoteReference w:id="45"/>
      </w:r>
      <w:r>
        <w:rPr>
          <w:rFonts w:cs="Times New Roman"/>
          <w:noProof/>
          <w:sz w:val="20"/>
          <w:lang w:val="en-US"/>
        </w:rPr>
        <w:t xml:space="preserve">. </w:t>
      </w:r>
      <w:r>
        <w:rPr>
          <w:rFonts w:eastAsia="Times New Roman" w:cs="Times New Roman"/>
          <w:noProof/>
          <w:sz w:val="20"/>
        </w:rPr>
        <w:t>The Mediterran</w:t>
      </w:r>
      <w:r>
        <w:rPr>
          <w:rFonts w:eastAsia="Times New Roman" w:cs="Times New Roman"/>
          <w:noProof/>
          <w:sz w:val="20"/>
        </w:rPr>
        <w:t>ean Sea region has been identified by the EEA in its 2015 State of the Environment report as one of the main climate change hotspots (i.e. one of the most responsive areas to climate change) due to water scarcity, concentration of economic activities in co</w:t>
      </w:r>
      <w:r>
        <w:rPr>
          <w:rFonts w:eastAsia="Times New Roman" w:cs="Times New Roman"/>
          <w:noProof/>
          <w:sz w:val="20"/>
        </w:rPr>
        <w:t xml:space="preserve">astal areas, and reliance on climate-sensitive agriculture. The introduction of invasive alien species presents an important threat in the Mediterranean Sea Region with the number of invasive alien species increasing significantly since 1970. Finally, the </w:t>
      </w:r>
      <w:r>
        <w:rPr>
          <w:rFonts w:eastAsia="Times New Roman" w:cs="Times New Roman"/>
          <w:noProof/>
          <w:sz w:val="20"/>
        </w:rPr>
        <w:t>unique biodiversity of the Mediterranean Sea Region is also threatened by pollution from land-based sources, such as discharges of excess nutrients and hazardous substances, marine litter, over-fishing, and degradation of critical habitats.</w:t>
      </w:r>
    </w:p>
    <w:p w:rsidR="006D6E8A" w:rsidRDefault="002E711B">
      <w:pPr>
        <w:autoSpaceDE w:val="0"/>
        <w:autoSpaceDN w:val="0"/>
        <w:adjustRightInd w:val="0"/>
        <w:spacing w:before="120" w:after="120" w:line="240" w:lineRule="auto"/>
        <w:jc w:val="both"/>
        <w:rPr>
          <w:rFonts w:cs="Times New Roman"/>
          <w:noProof/>
          <w:sz w:val="20"/>
          <w:szCs w:val="20"/>
        </w:rPr>
      </w:pPr>
      <w:r>
        <w:rPr>
          <w:rFonts w:cs="Times New Roman"/>
          <w:noProof/>
          <w:sz w:val="20"/>
          <w:szCs w:val="20"/>
        </w:rPr>
        <w:t xml:space="preserve">Slovenia's </w:t>
      </w:r>
      <w:r>
        <w:rPr>
          <w:rFonts w:cs="Times New Roman"/>
          <w:noProof/>
          <w:sz w:val="20"/>
          <w:szCs w:val="20"/>
        </w:rPr>
        <w:t>determination of GES in 2013 was generally vague and in most cases not fully consistent with the environmental targets that were set. The list of species selected by Slovenia as covered by their GES definition included only protected/ listed habitats, it d</w:t>
      </w:r>
      <w:r>
        <w:rPr>
          <w:rFonts w:cs="Times New Roman"/>
          <w:noProof/>
          <w:sz w:val="20"/>
          <w:szCs w:val="20"/>
        </w:rPr>
        <w:t>id not cover fish or cephalopods. Not all descriptors were sufficiently defined and were high-level, lacked thresholds or reference values, and did not go beyond existing legislation</w:t>
      </w:r>
      <w:r>
        <w:rPr>
          <w:rFonts w:cs="Times New Roman"/>
          <w:noProof/>
          <w:sz w:val="20"/>
          <w:szCs w:val="20"/>
          <w:vertAlign w:val="superscript"/>
        </w:rPr>
        <w:footnoteReference w:id="46"/>
      </w:r>
      <w:r>
        <w:rPr>
          <w:rFonts w:cs="Times New Roman"/>
          <w:noProof/>
          <w:sz w:val="20"/>
          <w:szCs w:val="20"/>
        </w:rPr>
        <w:t>. Slovenia has since then been working with other Mediterranean countries</w:t>
      </w:r>
      <w:r>
        <w:rPr>
          <w:rFonts w:cs="Times New Roman"/>
          <w:noProof/>
          <w:sz w:val="20"/>
          <w:szCs w:val="20"/>
        </w:rPr>
        <w:t xml:space="preserve"> within the Barcelona Convention to correct some of these deficiencies</w:t>
      </w:r>
      <w:r>
        <w:rPr>
          <w:rFonts w:cs="Times New Roman"/>
          <w:noProof/>
          <w:sz w:val="24"/>
          <w:szCs w:val="24"/>
        </w:rPr>
        <w:t xml:space="preserve">. </w:t>
      </w:r>
    </w:p>
    <w:p w:rsidR="006D6E8A" w:rsidRDefault="002E711B">
      <w:pPr>
        <w:autoSpaceDE w:val="0"/>
        <w:autoSpaceDN w:val="0"/>
        <w:adjustRightInd w:val="0"/>
        <w:spacing w:before="120" w:after="120" w:line="240" w:lineRule="auto"/>
        <w:jc w:val="both"/>
        <w:rPr>
          <w:rFonts w:cs="Times New Roman"/>
          <w:noProof/>
          <w:sz w:val="24"/>
          <w:szCs w:val="24"/>
        </w:rPr>
      </w:pPr>
      <w:r>
        <w:rPr>
          <w:rFonts w:cs="Times New Roman"/>
          <w:noProof/>
          <w:sz w:val="20"/>
          <w:szCs w:val="20"/>
        </w:rPr>
        <w:t>However, it is still too early to say whether Slovenian waters are in a good state as there were weaknesses in identifying what GES is in the first place.</w:t>
      </w:r>
    </w:p>
    <w:p w:rsidR="006D6E8A" w:rsidRDefault="002E711B">
      <w:pPr>
        <w:spacing w:after="120" w:line="240" w:lineRule="auto"/>
        <w:jc w:val="both"/>
        <w:rPr>
          <w:rFonts w:cs="Times New Roman"/>
          <w:noProof/>
          <w:sz w:val="20"/>
        </w:rPr>
      </w:pPr>
      <w:r>
        <w:rPr>
          <w:rFonts w:cs="Times New Roman"/>
          <w:noProof/>
          <w:sz w:val="20"/>
        </w:rPr>
        <w:t xml:space="preserve">Slovenia has established a </w:t>
      </w:r>
      <w:r>
        <w:rPr>
          <w:rFonts w:cs="Times New Roman"/>
          <w:noProof/>
          <w:sz w:val="20"/>
        </w:rPr>
        <w:t>monitoring programme of its marine waters in 2014. However, the monitoring programme needs further refinement. In particular, it is necessary to develop approaches for assessing impacts from the main pressures, in order to lead to improved and more conclus</w:t>
      </w:r>
      <w:r>
        <w:rPr>
          <w:rFonts w:cs="Times New Roman"/>
          <w:noProof/>
          <w:sz w:val="20"/>
        </w:rPr>
        <w:t>ive assessment results for 2018, when the next assessment of marine waters is due.</w:t>
      </w:r>
    </w:p>
    <w:p w:rsidR="006D6E8A" w:rsidRDefault="002E711B">
      <w:pPr>
        <w:spacing w:after="120" w:line="240" w:lineRule="auto"/>
        <w:jc w:val="both"/>
        <w:rPr>
          <w:rFonts w:cs="Times New Roman"/>
          <w:noProof/>
          <w:color w:val="FF0000"/>
          <w:sz w:val="20"/>
        </w:rPr>
      </w:pPr>
      <w:r>
        <w:rPr>
          <w:rFonts w:cs="Times New Roman"/>
          <w:noProof/>
          <w:sz w:val="20"/>
        </w:rPr>
        <w:t>In 2012, Slovenian</w:t>
      </w:r>
      <w:r>
        <w:rPr>
          <w:rFonts w:cs="Times New Roman"/>
          <w:noProof/>
          <w:sz w:val="20"/>
          <w:lang w:val="en-US"/>
        </w:rPr>
        <w:t xml:space="preserve"> marine protected areas covered 229.9 square kilometers of its marine waters in the Adriatic Sea</w:t>
      </w:r>
      <w:r>
        <w:rPr>
          <w:rFonts w:cs="Times New Roman"/>
          <w:noProof/>
          <w:sz w:val="20"/>
          <w:vertAlign w:val="superscript"/>
          <w:lang w:val="en-US"/>
        </w:rPr>
        <w:footnoteReference w:id="47"/>
      </w:r>
      <w:r>
        <w:rPr>
          <w:rFonts w:cs="Times New Roman"/>
          <w:noProof/>
          <w:sz w:val="20"/>
          <w:lang w:val="en-US"/>
        </w:rPr>
        <w:t>.</w:t>
      </w:r>
    </w:p>
    <w:p w:rsidR="006D6E8A" w:rsidRDefault="002E711B">
      <w:pPr>
        <w:spacing w:after="120" w:line="240" w:lineRule="auto"/>
        <w:jc w:val="both"/>
        <w:rPr>
          <w:rFonts w:cstheme="minorHAnsi"/>
          <w:noProof/>
          <w:color w:val="1F497D" w:themeColor="text2"/>
          <w:szCs w:val="26"/>
        </w:rPr>
      </w:pPr>
      <w:r>
        <w:rPr>
          <w:rFonts w:cs="Times New Roman"/>
          <w:noProof/>
          <w:sz w:val="20"/>
        </w:rPr>
        <w:t>In its reports on the implementation of the MSFD</w:t>
      </w:r>
      <w:r>
        <w:rPr>
          <w:rFonts w:cs="Times New Roman"/>
          <w:noProof/>
          <w:sz w:val="20"/>
          <w:vertAlign w:val="superscript"/>
        </w:rPr>
        <w:footnoteReference w:id="48"/>
      </w:r>
      <w:r>
        <w:rPr>
          <w:rFonts w:cs="Times New Roman"/>
          <w:noProof/>
          <w:sz w:val="20"/>
        </w:rPr>
        <w:t>, the C</w:t>
      </w:r>
      <w:r>
        <w:rPr>
          <w:rFonts w:cs="Times New Roman"/>
          <w:noProof/>
          <w:sz w:val="20"/>
        </w:rPr>
        <w:t>ommission provided guidance to assist Slovenia in its implementation of the MSFD.</w:t>
      </w:r>
    </w:p>
    <w:p w:rsidR="006D6E8A" w:rsidRDefault="002E711B">
      <w:pPr>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D6E8A" w:rsidRDefault="002E711B">
      <w:pPr>
        <w:pStyle w:val="NoSpacing"/>
        <w:rPr>
          <w:noProof/>
        </w:rPr>
      </w:pPr>
      <w:r>
        <w:rPr>
          <w:noProof/>
        </w:rPr>
        <w:t>Continue work to improve the definitions of GES in particular for biodiversity descriptors, including through regional cooperation by using the work of the r</w:t>
      </w:r>
      <w:r>
        <w:rPr>
          <w:noProof/>
        </w:rPr>
        <w:t>elevant Regional Sea Convention.</w:t>
      </w:r>
    </w:p>
    <w:p w:rsidR="006D6E8A" w:rsidRDefault="002E711B">
      <w:pPr>
        <w:pStyle w:val="NoSpacing"/>
        <w:rPr>
          <w:noProof/>
        </w:rPr>
      </w:pPr>
      <w:r>
        <w:rPr>
          <w:noProof/>
        </w:rPr>
        <w:t>Address knowledge gaps.</w:t>
      </w:r>
    </w:p>
    <w:p w:rsidR="006D6E8A" w:rsidRDefault="002E711B">
      <w:pPr>
        <w:pStyle w:val="NoSpacing"/>
        <w:rPr>
          <w:noProof/>
        </w:rPr>
      </w:pPr>
      <w:r>
        <w:rPr>
          <w:noProof/>
        </w:rPr>
        <w:t xml:space="preserve">Continue to integrate monitoring programmes already existing under other EU legislation and to implement joint monitoring programmes developed at (sub)regional level. </w:t>
      </w:r>
    </w:p>
    <w:p w:rsidR="006D6E8A" w:rsidRDefault="002E711B">
      <w:pPr>
        <w:pStyle w:val="NoSpacing"/>
        <w:rPr>
          <w:noProof/>
        </w:rPr>
      </w:pPr>
      <w:r>
        <w:rPr>
          <w:noProof/>
        </w:rPr>
        <w:t>Enhance comparability and consi</w:t>
      </w:r>
      <w:r>
        <w:rPr>
          <w:noProof/>
        </w:rPr>
        <w:t>stency of monitoring methods within the country's marine region.</w:t>
      </w:r>
    </w:p>
    <w:p w:rsidR="006D6E8A" w:rsidRDefault="002E711B">
      <w:pPr>
        <w:pStyle w:val="NoSpacing"/>
        <w:rPr>
          <w:noProof/>
        </w:rPr>
      </w:pPr>
      <w:r>
        <w:rPr>
          <w:noProof/>
        </w:rPr>
        <w:t>Urgently report and implement the national programme of measures</w:t>
      </w:r>
      <w:r>
        <w:rPr>
          <w:noProof/>
          <w:vertAlign w:val="superscript"/>
        </w:rPr>
        <w:footnoteReference w:id="49"/>
      </w:r>
      <w:r>
        <w:rPr>
          <w:noProof/>
        </w:rPr>
        <w:t>.</w:t>
      </w:r>
    </w:p>
    <w:bookmarkEnd w:id="26"/>
    <w:p w:rsidR="006D6E8A" w:rsidRDefault="002E711B">
      <w:pPr>
        <w:pStyle w:val="NoSpacing"/>
        <w:rPr>
          <w:b/>
          <w:noProof/>
        </w:rPr>
        <w:sectPr w:rsidR="006D6E8A">
          <w:headerReference w:type="even" r:id="rId76"/>
          <w:headerReference w:type="default" r:id="rId77"/>
          <w:footerReference w:type="even" r:id="rId78"/>
          <w:footerReference w:type="default" r:id="rId79"/>
          <w:headerReference w:type="first" r:id="rId80"/>
          <w:footerReference w:type="first" r:id="rId81"/>
          <w:type w:val="continuous"/>
          <w:pgSz w:w="11906" w:h="16838"/>
          <w:pgMar w:top="1440" w:right="1080" w:bottom="1440" w:left="1080" w:header="708" w:footer="708" w:gutter="0"/>
          <w:cols w:num="2" w:space="360"/>
          <w:docGrid w:linePitch="360"/>
        </w:sectPr>
      </w:pPr>
      <w:r>
        <w:rPr>
          <w:noProof/>
        </w:rPr>
        <w:t>Ensure that the monitoring programme is implemented without delay, addresses all descriptors and is appropriate to monitor progress towards GES.</w:t>
      </w:r>
    </w:p>
    <w:p w:rsidR="006D6E8A" w:rsidRDefault="002E711B">
      <w:pPr>
        <w:keepNext/>
        <w:keepLines/>
        <w:numPr>
          <w:ilvl w:val="0"/>
          <w:numId w:val="26"/>
        </w:numPr>
        <w:spacing w:before="240" w:after="240" w:line="240" w:lineRule="auto"/>
        <w:ind w:left="714" w:hanging="357"/>
        <w:jc w:val="center"/>
        <w:outlineLvl w:val="0"/>
        <w:rPr>
          <w:rFonts w:eastAsiaTheme="majorEastAsia" w:cstheme="majorBidi"/>
          <w:b/>
          <w:bCs/>
          <w:noProof/>
          <w:color w:val="1F497D" w:themeColor="text2"/>
          <w:sz w:val="32"/>
          <w:szCs w:val="28"/>
        </w:rPr>
      </w:pPr>
      <w:bookmarkStart w:id="27" w:name="_Toc469495569"/>
      <w:r>
        <w:rPr>
          <w:rFonts w:eastAsiaTheme="majorEastAsia" w:cstheme="majorBidi"/>
          <w:b/>
          <w:bCs/>
          <w:noProof/>
          <w:color w:val="1F497D" w:themeColor="text2"/>
          <w:sz w:val="32"/>
          <w:szCs w:val="28"/>
        </w:rPr>
        <w:t>Ensuring citizens' health and quality of life</w:t>
      </w:r>
      <w:bookmarkStart w:id="28" w:name="_Toc433296166"/>
      <w:bookmarkStart w:id="29" w:name="_Toc454813115"/>
      <w:bookmarkEnd w:id="27"/>
    </w:p>
    <w:p w:rsidR="006D6E8A" w:rsidRDefault="006D6E8A">
      <w:pPr>
        <w:spacing w:after="120" w:line="240" w:lineRule="auto"/>
        <w:jc w:val="both"/>
        <w:rPr>
          <w:rFonts w:cs="Times New Roman"/>
          <w:noProof/>
          <w:sz w:val="20"/>
        </w:rPr>
        <w:sectPr w:rsidR="006D6E8A">
          <w:headerReference w:type="even" r:id="rId82"/>
          <w:headerReference w:type="default" r:id="rId83"/>
          <w:footerReference w:type="even" r:id="rId84"/>
          <w:footerReference w:type="default" r:id="rId85"/>
          <w:headerReference w:type="first" r:id="rId86"/>
          <w:footerReference w:type="first" r:id="rId87"/>
          <w:pgSz w:w="11906" w:h="16838"/>
          <w:pgMar w:top="1440" w:right="1080" w:bottom="1440" w:left="1080" w:header="708" w:footer="708" w:gutter="0"/>
          <w:cols w:space="360"/>
          <w:docGrid w:linePitch="360"/>
        </w:sectPr>
      </w:pPr>
    </w:p>
    <w:p w:rsidR="006D6E8A" w:rsidRDefault="002E711B">
      <w:pPr>
        <w:spacing w:after="120" w:line="240" w:lineRule="auto"/>
        <w:jc w:val="both"/>
        <w:outlineLvl w:val="1"/>
        <w:rPr>
          <w:rFonts w:cs="Times New Roman"/>
          <w:b/>
          <w:noProof/>
          <w:color w:val="1F497D" w:themeColor="text2"/>
          <w:sz w:val="24"/>
          <w:szCs w:val="20"/>
        </w:rPr>
      </w:pPr>
      <w:bookmarkStart w:id="30" w:name="_Toc469495570"/>
      <w:r>
        <w:rPr>
          <w:rFonts w:cs="Times New Roman"/>
          <w:b/>
          <w:noProof/>
          <w:color w:val="1F497D" w:themeColor="text2"/>
          <w:sz w:val="24"/>
          <w:szCs w:val="20"/>
        </w:rPr>
        <w:t>Air quality</w:t>
      </w:r>
      <w:bookmarkEnd w:id="28"/>
      <w:bookmarkEnd w:id="29"/>
      <w:bookmarkEnd w:id="30"/>
    </w:p>
    <w:tbl>
      <w:tblPr>
        <w:tblStyle w:val="TableGrid11"/>
        <w:tblpPr w:leftFromText="180" w:rightFromText="180" w:vertAnchor="text" w:horzAnchor="margin" w:tblpY="2939"/>
        <w:tblW w:w="102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8"/>
      </w:tblGrid>
      <w:tr w:rsidR="006D6E8A">
        <w:trPr>
          <w:trHeight w:val="328"/>
        </w:trPr>
        <w:tc>
          <w:tcPr>
            <w:tcW w:w="10278" w:type="dxa"/>
          </w:tcPr>
          <w:p w:rsidR="006D6E8A" w:rsidRDefault="002E711B">
            <w:pPr>
              <w:spacing w:after="120"/>
              <w:jc w:val="both"/>
              <w:rPr>
                <w:rFonts w:cs="Times New Roman"/>
                <w:b/>
                <w:bCs/>
                <w:noProof/>
                <w:color w:val="1F497D" w:themeColor="text2"/>
                <w:sz w:val="20"/>
              </w:rPr>
            </w:pPr>
            <w:r>
              <w:rPr>
                <w:rFonts w:cs="Times New Roman"/>
                <w:b/>
                <w:bCs/>
                <w:noProof/>
                <w:color w:val="1F497D" w:themeColor="text2"/>
                <w:sz w:val="20"/>
              </w:rPr>
              <w:t>Figure 9: Attainment situation for PM10, NO2 and O3 in 2014</w:t>
            </w:r>
          </w:p>
        </w:tc>
      </w:tr>
      <w:tr w:rsidR="006D6E8A">
        <w:trPr>
          <w:trHeight w:val="4030"/>
        </w:trPr>
        <w:tc>
          <w:tcPr>
            <w:tcW w:w="10278" w:type="dxa"/>
          </w:tcPr>
          <w:p w:rsidR="006D6E8A" w:rsidRDefault="002E711B">
            <w:pPr>
              <w:spacing w:after="120"/>
              <w:jc w:val="both"/>
              <w:rPr>
                <w:rFonts w:cs="Times New Roman"/>
                <w:noProof/>
                <w:sz w:val="20"/>
              </w:rPr>
            </w:pPr>
            <w:r>
              <w:rPr>
                <w:rFonts w:cs="Times New Roman"/>
                <w:noProof/>
                <w:sz w:val="20"/>
                <w:lang w:eastAsia="en-GB"/>
              </w:rPr>
              <w:drawing>
                <wp:inline distT="0" distB="0" distL="0" distR="0" wp14:anchorId="332630B1" wp14:editId="5B26D708">
                  <wp:extent cx="6389737" cy="315787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91100" cy="3158544"/>
                          </a:xfrm>
                          <a:prstGeom prst="rect">
                            <a:avLst/>
                          </a:prstGeom>
                          <a:noFill/>
                        </pic:spPr>
                      </pic:pic>
                    </a:graphicData>
                  </a:graphic>
                </wp:inline>
              </w:drawing>
            </w:r>
          </w:p>
        </w:tc>
      </w:tr>
    </w:tbl>
    <w:p w:rsidR="006D6E8A" w:rsidRDefault="002E711B">
      <w:pPr>
        <w:widowControl w:val="0"/>
        <w:shd w:val="clear" w:color="auto" w:fill="4F81BD" w:themeFill="accent1"/>
        <w:spacing w:after="120" w:line="240" w:lineRule="auto"/>
        <w:jc w:val="both"/>
        <w:rPr>
          <w:rFonts w:cs="Times New Roman"/>
          <w:noProof/>
          <w:color w:val="FFFFFF" w:themeColor="background1"/>
          <w:sz w:val="20"/>
          <w:szCs w:val="20"/>
        </w:rPr>
      </w:pPr>
      <w:r>
        <w:rPr>
          <w:rFonts w:cs="Times New Roman"/>
          <w:noProof/>
          <w:color w:val="FFFFFF" w:themeColor="background1"/>
          <w:sz w:val="20"/>
          <w:szCs w:val="20"/>
        </w:rPr>
        <w:t>The EU Clean Air Policy and legislation require that air quality in the Union is significantly improved, moving closer to the WHO</w:t>
      </w:r>
      <w:r>
        <w:rPr>
          <w:rFonts w:cs="Times New Roman"/>
          <w:noProof/>
          <w:color w:val="FFFFFF" w:themeColor="background1"/>
          <w:sz w:val="20"/>
          <w:szCs w:val="20"/>
        </w:rPr>
        <w:t xml:space="preserve"> recommended levels. Air pollution and its impacts on ecosystems and biodiversity should be further reduced with the long-term aim of not exceeding critical loads and levels. This requires strengthening efforts to reach full compliance with Union air quali</w:t>
      </w:r>
      <w:r>
        <w:rPr>
          <w:rFonts w:cs="Times New Roman"/>
          <w:noProof/>
          <w:color w:val="FFFFFF" w:themeColor="background1"/>
          <w:sz w:val="20"/>
          <w:szCs w:val="20"/>
        </w:rPr>
        <w:t>ty legislation and defining strategic targets and actions beyond 2020.</w:t>
      </w:r>
    </w:p>
    <w:p w:rsidR="006D6E8A" w:rsidRDefault="002E711B">
      <w:pPr>
        <w:spacing w:after="120" w:line="240" w:lineRule="auto"/>
        <w:jc w:val="both"/>
        <w:rPr>
          <w:rFonts w:cs="Times New Roman"/>
          <w:noProof/>
          <w:sz w:val="20"/>
          <w:szCs w:val="20"/>
          <w:lang w:eastAsia="en-GB"/>
        </w:rPr>
      </w:pPr>
      <w:r>
        <w:rPr>
          <w:rFonts w:cs="Times New Roman"/>
          <w:noProof/>
          <w:sz w:val="20"/>
          <w:szCs w:val="20"/>
        </w:rPr>
        <w:t>The EU has developed a comprehensive suite of air quality legislation</w:t>
      </w:r>
      <w:r>
        <w:rPr>
          <w:rFonts w:cs="Times New Roman"/>
          <w:noProof/>
          <w:sz w:val="20"/>
          <w:szCs w:val="20"/>
          <w:vertAlign w:val="superscript"/>
        </w:rPr>
        <w:footnoteReference w:id="50"/>
      </w:r>
      <w:r>
        <w:rPr>
          <w:rFonts w:cs="Times New Roman"/>
          <w:noProof/>
          <w:sz w:val="20"/>
          <w:szCs w:val="20"/>
        </w:rPr>
        <w:t>, which establishes health-based standards and objectives for a number of air pollutants. As part of this, Member S</w:t>
      </w:r>
      <w:r>
        <w:rPr>
          <w:rFonts w:cs="Times New Roman"/>
          <w:noProof/>
          <w:sz w:val="20"/>
          <w:szCs w:val="20"/>
        </w:rPr>
        <w:t>tates are also required to ensure that up-to-date information on ambient concentrations of different air pollutants is routinely made available to the public. In addition, the National Emission Ceilings Directive provides for emission reductions at nationa</w:t>
      </w:r>
      <w:r>
        <w:rPr>
          <w:rFonts w:cs="Times New Roman"/>
          <w:noProof/>
          <w:sz w:val="20"/>
          <w:szCs w:val="20"/>
        </w:rPr>
        <w:t>l level that should be achieved for main pollutants.</w:t>
      </w:r>
    </w:p>
    <w:p w:rsidR="006D6E8A" w:rsidRDefault="002E711B">
      <w:pPr>
        <w:spacing w:after="120" w:line="240" w:lineRule="auto"/>
        <w:jc w:val="both"/>
        <w:rPr>
          <w:rFonts w:cs="Times New Roman"/>
          <w:noProof/>
          <w:sz w:val="20"/>
          <w:szCs w:val="20"/>
          <w:lang w:eastAsia="en-GB"/>
        </w:rPr>
      </w:pPr>
      <w:r>
        <w:rPr>
          <w:rFonts w:cs="Times New Roman"/>
          <w:noProof/>
          <w:sz w:val="20"/>
          <w:szCs w:val="20"/>
          <w:lang w:eastAsia="en-GB"/>
        </w:rPr>
        <w:t>The emission of several air pollutants has decreased significantly in Slovenia</w:t>
      </w:r>
      <w:r>
        <w:rPr>
          <w:rFonts w:cs="Times New Roman"/>
          <w:noProof/>
          <w:sz w:val="20"/>
          <w:szCs w:val="20"/>
          <w:vertAlign w:val="superscript"/>
          <w:lang w:eastAsia="en-GB"/>
        </w:rPr>
        <w:footnoteReference w:id="51"/>
      </w:r>
      <w:r>
        <w:rPr>
          <w:rFonts w:cs="Times New Roman"/>
          <w:noProof/>
          <w:sz w:val="20"/>
          <w:szCs w:val="20"/>
          <w:lang w:eastAsia="en-GB"/>
        </w:rPr>
        <w:t>. Reductions between 1990 and 2014 for sulphur oxides (</w:t>
      </w:r>
      <w:r>
        <w:rPr>
          <w:rFonts w:cs="Times New Roman"/>
          <w:noProof/>
          <w:sz w:val="20"/>
          <w:szCs w:val="20"/>
          <w:lang w:eastAsia="en-GB"/>
        </w:rPr>
        <w:noBreakHyphen/>
        <w:t>96%), nitrogen oxides (-42%), ammonia (-20%) as well as volatile org</w:t>
      </w:r>
      <w:r>
        <w:rPr>
          <w:rFonts w:cs="Times New Roman"/>
          <w:noProof/>
          <w:sz w:val="20"/>
          <w:szCs w:val="20"/>
          <w:lang w:eastAsia="en-GB"/>
        </w:rPr>
        <w:t>anic compounds (</w:t>
      </w:r>
      <w:r>
        <w:rPr>
          <w:rFonts w:cs="Times New Roman"/>
          <w:noProof/>
          <w:sz w:val="20"/>
          <w:szCs w:val="20"/>
          <w:lang w:eastAsia="en-GB"/>
        </w:rPr>
        <w:noBreakHyphen/>
        <w:t>56%) ensure that air emissions for these pollutants are within the currently applicable national emission ceilings</w:t>
      </w:r>
      <w:r>
        <w:rPr>
          <w:rFonts w:cs="Times New Roman"/>
          <w:noProof/>
          <w:sz w:val="20"/>
          <w:szCs w:val="20"/>
          <w:vertAlign w:val="superscript"/>
          <w:lang w:eastAsia="en-GB"/>
        </w:rPr>
        <w:footnoteReference w:id="52"/>
      </w:r>
      <w:r>
        <w:rPr>
          <w:rFonts w:cs="Times New Roman"/>
          <w:noProof/>
          <w:sz w:val="20"/>
          <w:szCs w:val="20"/>
          <w:lang w:eastAsia="en-GB"/>
        </w:rPr>
        <w:t xml:space="preserve">. </w:t>
      </w:r>
    </w:p>
    <w:p w:rsidR="006D6E8A" w:rsidRDefault="002E711B">
      <w:pPr>
        <w:spacing w:after="120" w:line="240" w:lineRule="auto"/>
        <w:jc w:val="both"/>
        <w:rPr>
          <w:rFonts w:cs="Times New Roman"/>
          <w:noProof/>
          <w:sz w:val="20"/>
          <w:szCs w:val="20"/>
          <w:lang w:eastAsia="en-GB"/>
        </w:rPr>
      </w:pPr>
      <w:r>
        <w:rPr>
          <w:rFonts w:cs="Times New Roman"/>
          <w:noProof/>
          <w:sz w:val="20"/>
          <w:szCs w:val="20"/>
          <w:lang w:eastAsia="en-GB"/>
        </w:rPr>
        <w:t>At the same time, air quality in Slovenia continues to give causes for concern. For the year 2013, the European Environme</w:t>
      </w:r>
      <w:r>
        <w:rPr>
          <w:rFonts w:cs="Times New Roman"/>
          <w:noProof/>
          <w:sz w:val="20"/>
          <w:szCs w:val="20"/>
          <w:lang w:eastAsia="en-GB"/>
        </w:rPr>
        <w:t>nt Agency estimated that about 1 960 premature deaths were attributable to fine particulate matter</w:t>
      </w:r>
      <w:r>
        <w:rPr>
          <w:rFonts w:cs="Times New Roman"/>
          <w:noProof/>
          <w:sz w:val="20"/>
          <w:szCs w:val="20"/>
          <w:vertAlign w:val="superscript"/>
          <w:lang w:eastAsia="en-GB"/>
        </w:rPr>
        <w:footnoteReference w:id="53"/>
      </w:r>
      <w:r>
        <w:rPr>
          <w:rFonts w:cs="Times New Roman"/>
          <w:noProof/>
          <w:sz w:val="20"/>
          <w:szCs w:val="20"/>
          <w:lang w:eastAsia="en-GB"/>
        </w:rPr>
        <w:t xml:space="preserve"> concentrations, 100 to ozone</w:t>
      </w:r>
      <w:r>
        <w:rPr>
          <w:rFonts w:cs="Times New Roman"/>
          <w:noProof/>
          <w:sz w:val="20"/>
          <w:szCs w:val="20"/>
          <w:vertAlign w:val="superscript"/>
          <w:lang w:eastAsia="en-GB"/>
        </w:rPr>
        <w:footnoteReference w:id="54"/>
      </w:r>
      <w:r>
        <w:rPr>
          <w:rFonts w:cs="Times New Roman"/>
          <w:noProof/>
          <w:sz w:val="20"/>
          <w:szCs w:val="20"/>
          <w:lang w:eastAsia="en-GB"/>
        </w:rPr>
        <w:t xml:space="preserve"> concentration and over 150 to nitrogen dioxide</w:t>
      </w:r>
      <w:r>
        <w:rPr>
          <w:rFonts w:cs="Times New Roman"/>
          <w:noProof/>
          <w:sz w:val="20"/>
          <w:szCs w:val="20"/>
          <w:vertAlign w:val="superscript"/>
          <w:lang w:eastAsia="en-GB"/>
        </w:rPr>
        <w:footnoteReference w:id="55"/>
      </w:r>
      <w:r>
        <w:rPr>
          <w:rFonts w:cs="Times New Roman"/>
          <w:noProof/>
          <w:sz w:val="20"/>
          <w:szCs w:val="20"/>
          <w:lang w:eastAsia="en-GB"/>
        </w:rPr>
        <w:t xml:space="preserve"> concentrations</w:t>
      </w:r>
      <w:r>
        <w:rPr>
          <w:rFonts w:cs="Times New Roman"/>
          <w:noProof/>
          <w:sz w:val="20"/>
          <w:szCs w:val="20"/>
          <w:vertAlign w:val="superscript"/>
          <w:lang w:eastAsia="en-GB"/>
        </w:rPr>
        <w:footnoteReference w:id="56"/>
      </w:r>
      <w:r>
        <w:rPr>
          <w:rFonts w:cs="Times New Roman"/>
          <w:noProof/>
          <w:sz w:val="20"/>
          <w:szCs w:val="20"/>
          <w:lang w:eastAsia="en-GB"/>
        </w:rPr>
        <w:t>. This is due to exceedances above the EU air quality standards</w:t>
      </w:r>
      <w:r>
        <w:rPr>
          <w:rFonts w:cs="Times New Roman"/>
          <w:noProof/>
          <w:sz w:val="20"/>
          <w:szCs w:val="20"/>
          <w:lang w:eastAsia="en-GB"/>
        </w:rPr>
        <w:t xml:space="preserve"> such as shown in Figure 9</w:t>
      </w:r>
      <w:r>
        <w:rPr>
          <w:rFonts w:cs="Times New Roman"/>
          <w:noProof/>
          <w:sz w:val="20"/>
          <w:szCs w:val="20"/>
          <w:vertAlign w:val="superscript"/>
          <w:lang w:eastAsia="en-GB"/>
        </w:rPr>
        <w:footnoteReference w:id="57"/>
      </w:r>
      <w:r>
        <w:rPr>
          <w:rFonts w:cs="Times New Roman"/>
          <w:noProof/>
          <w:sz w:val="20"/>
          <w:szCs w:val="20"/>
          <w:lang w:eastAsia="en-GB"/>
        </w:rPr>
        <w:t xml:space="preserve">.  </w:t>
      </w:r>
    </w:p>
    <w:p w:rsidR="006D6E8A" w:rsidRDefault="002E711B">
      <w:pPr>
        <w:spacing w:after="120" w:line="240" w:lineRule="auto"/>
        <w:jc w:val="both"/>
        <w:rPr>
          <w:rFonts w:cs="Times New Roman"/>
          <w:noProof/>
          <w:sz w:val="20"/>
          <w:szCs w:val="20"/>
          <w:lang w:eastAsia="en-GB"/>
        </w:rPr>
      </w:pPr>
      <w:r>
        <w:rPr>
          <w:rFonts w:cs="Times New Roman"/>
          <w:noProof/>
          <w:sz w:val="20"/>
          <w:szCs w:val="20"/>
        </w:rPr>
        <w:t>The PM</w:t>
      </w:r>
      <w:r>
        <w:rPr>
          <w:rFonts w:cs="Times New Roman"/>
          <w:noProof/>
          <w:sz w:val="20"/>
          <w:szCs w:val="20"/>
          <w:vertAlign w:val="subscript"/>
        </w:rPr>
        <w:t>10</w:t>
      </w:r>
      <w:r>
        <w:rPr>
          <w:rFonts w:cs="Times New Roman"/>
          <w:noProof/>
          <w:sz w:val="20"/>
          <w:szCs w:val="20"/>
        </w:rPr>
        <w:t xml:space="preserve"> levels in Slovenia have been decreasing between 2006 and 2014 throughout all zones and agglomerations in Slovenia. However,</w:t>
      </w:r>
      <w:r>
        <w:rPr>
          <w:rFonts w:cs="Times New Roman"/>
          <w:noProof/>
          <w:sz w:val="20"/>
          <w:szCs w:val="20"/>
          <w:lang w:eastAsia="en-GB"/>
        </w:rPr>
        <w:t xml:space="preserve"> for 2014, exceedances of PM</w:t>
      </w:r>
      <w:r>
        <w:rPr>
          <w:rFonts w:cs="Times New Roman"/>
          <w:noProof/>
          <w:sz w:val="20"/>
          <w:szCs w:val="20"/>
          <w:vertAlign w:val="subscript"/>
          <w:lang w:eastAsia="en-GB"/>
        </w:rPr>
        <w:t>10</w:t>
      </w:r>
      <w:r>
        <w:rPr>
          <w:rFonts w:cs="Times New Roman"/>
          <w:noProof/>
          <w:sz w:val="20"/>
          <w:szCs w:val="20"/>
          <w:lang w:eastAsia="en-GB"/>
        </w:rPr>
        <w:t xml:space="preserve"> daily limit values have still been registered in one air quality zone (Continental zone – SIC). Furthermore, for several air quality zones, the target values and long-term objectives regarding ozone concentration are not being met</w:t>
      </w:r>
      <w:r>
        <w:rPr>
          <w:rFonts w:cs="Times New Roman"/>
          <w:noProof/>
          <w:sz w:val="20"/>
          <w:szCs w:val="20"/>
          <w:vertAlign w:val="superscript"/>
          <w:lang w:eastAsia="en-GB"/>
        </w:rPr>
        <w:footnoteReference w:id="58"/>
      </w:r>
      <w:r>
        <w:rPr>
          <w:rFonts w:cs="Times New Roman"/>
          <w:noProof/>
          <w:sz w:val="20"/>
          <w:szCs w:val="20"/>
          <w:lang w:eastAsia="en-GB"/>
        </w:rPr>
        <w:t xml:space="preserve">. </w:t>
      </w:r>
    </w:p>
    <w:p w:rsidR="006D6E8A" w:rsidRDefault="002E711B">
      <w:pPr>
        <w:spacing w:after="120" w:line="240" w:lineRule="auto"/>
        <w:jc w:val="both"/>
        <w:rPr>
          <w:rFonts w:cs="Times New Roman"/>
          <w:noProof/>
          <w:sz w:val="20"/>
          <w:szCs w:val="20"/>
          <w:lang w:eastAsia="en-GB"/>
        </w:rPr>
      </w:pPr>
      <w:r>
        <w:rPr>
          <w:rFonts w:cs="Times New Roman"/>
          <w:noProof/>
          <w:sz w:val="20"/>
          <w:szCs w:val="20"/>
          <w:lang w:eastAsia="en-GB"/>
        </w:rPr>
        <w:t>The persistent breach</w:t>
      </w:r>
      <w:r>
        <w:rPr>
          <w:rFonts w:cs="Times New Roman"/>
          <w:noProof/>
          <w:sz w:val="20"/>
          <w:szCs w:val="20"/>
          <w:lang w:eastAsia="en-GB"/>
        </w:rPr>
        <w:t>es of air quality requirements (for PM</w:t>
      </w:r>
      <w:r>
        <w:rPr>
          <w:rFonts w:cs="Times New Roman"/>
          <w:noProof/>
          <w:sz w:val="20"/>
          <w:szCs w:val="20"/>
          <w:vertAlign w:val="subscript"/>
          <w:lang w:eastAsia="en-GB"/>
        </w:rPr>
        <w:t>10</w:t>
      </w:r>
      <w:r>
        <w:rPr>
          <w:rFonts w:cs="Times New Roman"/>
          <w:noProof/>
          <w:sz w:val="20"/>
          <w:szCs w:val="20"/>
          <w:lang w:eastAsia="en-GB"/>
        </w:rPr>
        <w:t xml:space="preserve">), which have severe negative effects on health and environment, are being followed up by the European Commission through infringement procedures covering all the Member States concerned, including Slovenia. The aim </w:t>
      </w:r>
      <w:r>
        <w:rPr>
          <w:rFonts w:cs="Times New Roman"/>
          <w:noProof/>
          <w:sz w:val="20"/>
          <w:szCs w:val="20"/>
          <w:lang w:eastAsia="en-GB"/>
        </w:rPr>
        <w:t>is that adequate measures are put in place to bring all zones into compliance.</w:t>
      </w:r>
    </w:p>
    <w:p w:rsidR="006D6E8A" w:rsidRDefault="002E711B">
      <w:pPr>
        <w:spacing w:after="120" w:line="240" w:lineRule="auto"/>
        <w:jc w:val="both"/>
        <w:rPr>
          <w:rFonts w:cs="Times New Roman"/>
          <w:noProof/>
          <w:sz w:val="20"/>
          <w:szCs w:val="20"/>
          <w:lang w:eastAsia="en-GB"/>
        </w:rPr>
      </w:pPr>
      <w:r>
        <w:rPr>
          <w:rFonts w:cs="Times New Roman"/>
          <w:noProof/>
          <w:sz w:val="20"/>
          <w:szCs w:val="20"/>
          <w:lang w:eastAsia="en-GB"/>
        </w:rPr>
        <w:t>In addition it is worth noting that in several zones, the number and type of air quality monitoring stations is not complying with the EU rules. The Cohesion Policy funding is a</w:t>
      </w:r>
      <w:r>
        <w:rPr>
          <w:rFonts w:cs="Times New Roman"/>
          <w:noProof/>
          <w:sz w:val="20"/>
          <w:szCs w:val="20"/>
          <w:lang w:eastAsia="en-GB"/>
        </w:rPr>
        <w:t xml:space="preserve">lso aimed at addressing this problem and the project on acquiring proper monitoring equipment for key cities in Slovenia is an advanced stage of preparation. </w:t>
      </w:r>
    </w:p>
    <w:p w:rsidR="006D6E8A" w:rsidRDefault="002E711B">
      <w:pPr>
        <w:spacing w:after="120" w:line="240" w:lineRule="auto"/>
        <w:jc w:val="both"/>
        <w:rPr>
          <w:rFonts w:cs="Times New Roman"/>
          <w:noProof/>
          <w:sz w:val="20"/>
          <w:szCs w:val="20"/>
          <w:lang w:eastAsia="en-GB"/>
        </w:rPr>
      </w:pPr>
      <w:r>
        <w:rPr>
          <w:rFonts w:cs="Times New Roman"/>
          <w:noProof/>
          <w:sz w:val="20"/>
          <w:szCs w:val="20"/>
          <w:lang w:eastAsia="en-GB"/>
        </w:rPr>
        <w:t>It is estimated that the health-related external costs from air pollution in Slovenia are above E</w:t>
      </w:r>
      <w:r>
        <w:rPr>
          <w:rFonts w:cs="Times New Roman"/>
          <w:noProof/>
          <w:sz w:val="20"/>
          <w:szCs w:val="20"/>
          <w:lang w:eastAsia="en-GB"/>
        </w:rPr>
        <w:t>UR 988 million/year (income adjusted, 2010), which include not only the intrinsic value of living a full health life but also direct costs to the economy. These direct economic costs relate to 511 thousand workdays lost each year due to sickness related to</w:t>
      </w:r>
      <w:r>
        <w:rPr>
          <w:rFonts w:cs="Times New Roman"/>
          <w:noProof/>
          <w:sz w:val="20"/>
          <w:szCs w:val="20"/>
          <w:lang w:eastAsia="en-GB"/>
        </w:rPr>
        <w:t xml:space="preserve"> air pollution, with associated costs for employers of EUR 50 million/year (income adjusted, 2010), for healthcare of above EUR 3.6 million/year (income adjusted, 2010), and for agriculture (crop losses) of EUR 21 million/year (2010)</w:t>
      </w:r>
      <w:r>
        <w:rPr>
          <w:rFonts w:cs="Times New Roman"/>
          <w:noProof/>
          <w:sz w:val="20"/>
          <w:szCs w:val="20"/>
          <w:vertAlign w:val="superscript"/>
          <w:lang w:eastAsia="en-GB"/>
        </w:rPr>
        <w:footnoteReference w:id="59"/>
      </w:r>
      <w:r>
        <w:rPr>
          <w:rFonts w:cs="Times New Roman"/>
          <w:noProof/>
          <w:sz w:val="20"/>
          <w:szCs w:val="20"/>
          <w:lang w:eastAsia="en-GB"/>
        </w:rPr>
        <w:t>.</w:t>
      </w:r>
    </w:p>
    <w:p w:rsidR="006D6E8A" w:rsidRDefault="002E711B">
      <w:pPr>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6D6E8A" w:rsidRDefault="002E711B">
      <w:pPr>
        <w:pStyle w:val="NoSpacing"/>
        <w:rPr>
          <w:noProof/>
        </w:rPr>
      </w:pPr>
      <w:r>
        <w:rPr>
          <w:noProof/>
        </w:rPr>
        <w:t>Mai</w:t>
      </w:r>
      <w:r>
        <w:rPr>
          <w:noProof/>
        </w:rPr>
        <w:t>ntain downward emissions trends of air pollutants in order to achieve full compliance with air quality limit values - and reduce adverse air pollution impacts on health, environment and economy.</w:t>
      </w:r>
    </w:p>
    <w:p w:rsidR="006D6E8A" w:rsidRDefault="002E711B">
      <w:pPr>
        <w:pStyle w:val="NoSpacing"/>
        <w:rPr>
          <w:noProof/>
        </w:rPr>
      </w:pPr>
      <w:r>
        <w:rPr>
          <w:noProof/>
        </w:rPr>
        <w:t>Reduce PM</w:t>
      </w:r>
      <w:r>
        <w:rPr>
          <w:noProof/>
          <w:vertAlign w:val="subscript"/>
        </w:rPr>
        <w:t>10</w:t>
      </w:r>
      <w:r>
        <w:rPr>
          <w:noProof/>
        </w:rPr>
        <w:t xml:space="preserve"> emission and concentration, inter alia, by reduci</w:t>
      </w:r>
      <w:r>
        <w:rPr>
          <w:noProof/>
        </w:rPr>
        <w:t>ng emissions related to energy and heat generation using solid fuels, to transport and to agriculture.</w:t>
      </w:r>
    </w:p>
    <w:p w:rsidR="006D6E8A" w:rsidRDefault="006D6E8A">
      <w:pPr>
        <w:spacing w:before="360" w:after="120" w:line="240" w:lineRule="auto"/>
        <w:jc w:val="both"/>
        <w:rPr>
          <w:rFonts w:cs="Times New Roman"/>
          <w:b/>
          <w:noProof/>
          <w:color w:val="1F497D" w:themeColor="text2"/>
          <w:sz w:val="24"/>
          <w:szCs w:val="20"/>
        </w:rPr>
      </w:pPr>
    </w:p>
    <w:p w:rsidR="006D6E8A" w:rsidRDefault="006D6E8A">
      <w:pPr>
        <w:spacing w:before="360" w:after="120" w:line="240" w:lineRule="auto"/>
        <w:jc w:val="both"/>
        <w:rPr>
          <w:rFonts w:cs="Times New Roman"/>
          <w:b/>
          <w:noProof/>
          <w:color w:val="1F497D" w:themeColor="text2"/>
          <w:sz w:val="24"/>
          <w:szCs w:val="20"/>
        </w:rPr>
      </w:pPr>
    </w:p>
    <w:p w:rsidR="006D6E8A" w:rsidRDefault="006D6E8A">
      <w:pPr>
        <w:spacing w:before="360" w:after="120" w:line="240" w:lineRule="auto"/>
        <w:jc w:val="both"/>
        <w:rPr>
          <w:rFonts w:cs="Times New Roman"/>
          <w:b/>
          <w:noProof/>
          <w:color w:val="1F497D" w:themeColor="text2"/>
          <w:sz w:val="24"/>
          <w:szCs w:val="20"/>
        </w:rPr>
      </w:pPr>
    </w:p>
    <w:p w:rsidR="006D6E8A" w:rsidRDefault="006D6E8A">
      <w:pPr>
        <w:spacing w:before="360" w:after="120" w:line="240" w:lineRule="auto"/>
        <w:jc w:val="both"/>
        <w:rPr>
          <w:rFonts w:cs="Times New Roman"/>
          <w:b/>
          <w:noProof/>
          <w:color w:val="1F497D" w:themeColor="text2"/>
          <w:sz w:val="24"/>
          <w:szCs w:val="20"/>
        </w:rPr>
      </w:pPr>
    </w:p>
    <w:p w:rsidR="006D6E8A" w:rsidRDefault="002E711B">
      <w:pPr>
        <w:spacing w:before="360" w:after="120" w:line="240" w:lineRule="auto"/>
        <w:jc w:val="both"/>
        <w:rPr>
          <w:rFonts w:cs="Times New Roman"/>
          <w:b/>
          <w:noProof/>
          <w:color w:val="1F497D" w:themeColor="text2"/>
          <w:sz w:val="24"/>
          <w:szCs w:val="20"/>
        </w:rPr>
      </w:pPr>
      <w:r>
        <w:rPr>
          <w:rFonts w:cs="Times New Roman"/>
          <w:b/>
          <w:noProof/>
          <w:color w:val="1F497D" w:themeColor="text2"/>
          <w:sz w:val="24"/>
          <w:szCs w:val="20"/>
        </w:rPr>
        <w:t>Noise</w:t>
      </w:r>
    </w:p>
    <w:p w:rsidR="006D6E8A" w:rsidRDefault="002E711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Environmental Noise Directive provides for a common approach for the avoidance, prevention and reduction of harmful effects due to exposure</w:t>
      </w:r>
      <w:r>
        <w:rPr>
          <w:rFonts w:cs="Times New Roman"/>
          <w:noProof/>
          <w:color w:val="FFFFFF" w:themeColor="background1"/>
          <w:sz w:val="20"/>
        </w:rPr>
        <w:t xml:space="preserve"> to environmental noise.</w:t>
      </w:r>
    </w:p>
    <w:p w:rsidR="006D6E8A" w:rsidRDefault="002E711B">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60"/>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assessing the exposure to environmental noise through noise mapping, ensuring that information on environmental noise and its effects is made available to the public, and adopting action plans with a view to preven</w:t>
      </w:r>
      <w:r>
        <w:rPr>
          <w:rFonts w:cs="Times New Roman"/>
          <w:noProof/>
          <w:sz w:val="20"/>
        </w:rPr>
        <w:t>ting and reducing environmental noise where necessary and to preserving the acoustic environment quality where it is good.</w:t>
      </w:r>
    </w:p>
    <w:p w:rsidR="006D6E8A" w:rsidRDefault="002E711B">
      <w:pPr>
        <w:spacing w:after="120" w:line="240" w:lineRule="auto"/>
        <w:jc w:val="both"/>
        <w:rPr>
          <w:rFonts w:cs="Times New Roman"/>
          <w:noProof/>
          <w:sz w:val="20"/>
        </w:rPr>
      </w:pPr>
      <w:r>
        <w:rPr>
          <w:rFonts w:cs="Times New Roman"/>
          <w:noProof/>
          <w:sz w:val="20"/>
        </w:rPr>
        <w:t>Slovenia's implementation of the Environmental Noise Directive</w:t>
      </w:r>
      <w:r>
        <w:rPr>
          <w:rFonts w:cs="Times New Roman"/>
          <w:noProof/>
          <w:sz w:val="20"/>
          <w:vertAlign w:val="superscript"/>
        </w:rPr>
        <w:footnoteReference w:id="61"/>
      </w:r>
      <w:r>
        <w:rPr>
          <w:rFonts w:cs="Times New Roman"/>
          <w:noProof/>
          <w:sz w:val="20"/>
        </w:rPr>
        <w:t xml:space="preserve"> is significantly delayed. The noise mapping for the most recent repor</w:t>
      </w:r>
      <w:r>
        <w:rPr>
          <w:rFonts w:cs="Times New Roman"/>
          <w:noProof/>
          <w:sz w:val="20"/>
        </w:rPr>
        <w:t>ting round, for the reference year 2011, is complete. However, action plans for noise management in the current period have not been adopted for any of the agglomerations, major roads or major railways within the scope of the Directive. The Commission cont</w:t>
      </w:r>
      <w:r>
        <w:rPr>
          <w:rFonts w:cs="Times New Roman"/>
          <w:noProof/>
          <w:sz w:val="20"/>
        </w:rPr>
        <w:t>acted the Slovenian authorities with regard to the missing action plans, and continues to follow up on the situation.</w:t>
      </w:r>
    </w:p>
    <w:p w:rsidR="006D6E8A" w:rsidRDefault="002E711B">
      <w:pPr>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D6E8A" w:rsidRDefault="002E711B">
      <w:pPr>
        <w:pStyle w:val="NoSpacing"/>
        <w:rPr>
          <w:noProof/>
        </w:rPr>
      </w:pPr>
      <w:r>
        <w:rPr>
          <w:noProof/>
        </w:rPr>
        <w:t>Complete action plans for noise management.</w:t>
      </w:r>
    </w:p>
    <w:p w:rsidR="006D6E8A" w:rsidRDefault="002E711B">
      <w:pPr>
        <w:spacing w:before="360" w:after="120" w:line="240" w:lineRule="auto"/>
        <w:jc w:val="both"/>
        <w:outlineLvl w:val="1"/>
        <w:rPr>
          <w:rFonts w:cs="Times New Roman"/>
          <w:b/>
          <w:noProof/>
          <w:color w:val="1F497D" w:themeColor="text2"/>
          <w:sz w:val="24"/>
          <w:szCs w:val="20"/>
          <w:lang w:eastAsia="en-GB"/>
        </w:rPr>
      </w:pPr>
      <w:bookmarkStart w:id="31" w:name="_Toc454460685"/>
      <w:bookmarkStart w:id="32" w:name="_Toc469495571"/>
      <w:r>
        <w:rPr>
          <w:rFonts w:cs="Times New Roman"/>
          <w:b/>
          <w:noProof/>
          <w:color w:val="1F497D" w:themeColor="text2"/>
          <w:sz w:val="24"/>
          <w:szCs w:val="20"/>
          <w:lang w:eastAsia="en-GB"/>
        </w:rPr>
        <w:t>Water quality and management</w:t>
      </w:r>
      <w:bookmarkEnd w:id="31"/>
      <w:bookmarkEnd w:id="32"/>
    </w:p>
    <w:p w:rsidR="006D6E8A" w:rsidRDefault="002E711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water policy and legislation require that</w:t>
      </w:r>
      <w:r>
        <w:rPr>
          <w:rFonts w:cs="Times New Roman"/>
          <w:noProof/>
          <w:color w:val="FFFFFF" w:themeColor="background1"/>
          <w:sz w:val="20"/>
        </w:rPr>
        <w:t xml:space="preserve"> the impact of pressures on transitional, coastal and fresh waters (including surface and ground waters) is significantly reduced to achieve, maintain or enhance good status of water bodies, as defined by the Water Framework Directive; that citizens throug</w:t>
      </w:r>
      <w:r>
        <w:rPr>
          <w:rFonts w:cs="Times New Roman"/>
          <w:noProof/>
          <w:color w:val="FFFFFF" w:themeColor="background1"/>
          <w:sz w:val="20"/>
        </w:rPr>
        <w:t>hout the Union benefit from high standards for safe drinking and bathing water; and that the nutrient cycle (nitrogen and phosphorus) is managed in a more sustainable and resource-efficient way.</w:t>
      </w:r>
    </w:p>
    <w:p w:rsidR="006D6E8A" w:rsidRDefault="002E711B">
      <w:pPr>
        <w:widowControl w:val="0"/>
        <w:shd w:val="clear" w:color="auto" w:fill="4F81BD" w:themeFill="accent1"/>
        <w:spacing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countries to ensure availability and sustain</w:t>
      </w:r>
      <w:r>
        <w:rPr>
          <w:rFonts w:cs="Times New Roman"/>
          <w:noProof/>
          <w:color w:val="FFFFFF" w:themeColor="background1"/>
          <w:sz w:val="20"/>
        </w:rPr>
        <w:t>able management of water and sanitation for all.</w:t>
      </w:r>
    </w:p>
    <w:p w:rsidR="006D6E8A" w:rsidRDefault="002E711B">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62"/>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w:t>
      </w:r>
      <w:r>
        <w:rPr>
          <w:rFonts w:eastAsia="Times New Roman" w:cs="Times New Roman"/>
          <w:noProof/>
          <w:color w:val="000000"/>
          <w:sz w:val="20"/>
          <w:szCs w:val="20"/>
        </w:rPr>
        <w:t xml:space="preserve"> </w:t>
      </w:r>
    </w:p>
    <w:p w:rsidR="006D6E8A" w:rsidRDefault="002E711B">
      <w:pPr>
        <w:widowControl w:val="0"/>
        <w:autoSpaceDE w:val="0"/>
        <w:spacing w:after="120" w:line="240" w:lineRule="auto"/>
        <w:jc w:val="both"/>
        <w:rPr>
          <w:rFonts w:cs="Times New Roman"/>
          <w:noProof/>
          <w:sz w:val="20"/>
        </w:rPr>
      </w:pPr>
      <w:r>
        <w:rPr>
          <w:rFonts w:cs="Times New Roman"/>
          <w:noProof/>
          <w:sz w:val="20"/>
        </w:rPr>
        <w:t>River Basin Management Plans (RBMPs) are a requirement of the Water Framework Directive and a means of achieving the protection, improvement and sustainable use of the water environment across Europe. This includes surface freshwaters such as lakes and r</w:t>
      </w:r>
      <w:r>
        <w:rPr>
          <w:rFonts w:cs="Times New Roman"/>
          <w:noProof/>
          <w:sz w:val="20"/>
        </w:rPr>
        <w:t>ivers, groundwater, estuaries and coastal waters up to one nautical mile.</w:t>
      </w:r>
    </w:p>
    <w:p w:rsidR="006D6E8A" w:rsidRDefault="002E711B">
      <w:pPr>
        <w:spacing w:after="120" w:line="240" w:lineRule="auto"/>
        <w:jc w:val="both"/>
        <w:rPr>
          <w:rFonts w:cs="Times New Roman"/>
          <w:noProof/>
          <w:sz w:val="20"/>
        </w:rPr>
      </w:pPr>
      <w:r>
        <w:rPr>
          <w:rFonts w:cs="Times New Roman"/>
          <w:noProof/>
          <w:sz w:val="20"/>
        </w:rPr>
        <w:t>In the first generation of RBMPs</w:t>
      </w:r>
      <w:r>
        <w:rPr>
          <w:rFonts w:cs="Times New Roman"/>
          <w:noProof/>
          <w:sz w:val="20"/>
          <w:vertAlign w:val="superscript"/>
        </w:rPr>
        <w:footnoteReference w:id="63"/>
      </w:r>
      <w:r>
        <w:rPr>
          <w:rFonts w:cs="Times New Roman"/>
          <w:noProof/>
          <w:sz w:val="20"/>
        </w:rPr>
        <w:t>, Slovenia reported the status of 135 rivers, 14 lakes, 6 coastal and 21 groundwater bodies. 61% of natural surface water bodies achieve a good or hi</w:t>
      </w:r>
      <w:r>
        <w:rPr>
          <w:rFonts w:cs="Times New Roman"/>
          <w:noProof/>
          <w:sz w:val="20"/>
        </w:rPr>
        <w:t>gh ecological status</w:t>
      </w:r>
      <w:r>
        <w:rPr>
          <w:rFonts w:cs="Times New Roman"/>
          <w:noProof/>
          <w:sz w:val="20"/>
          <w:vertAlign w:val="superscript"/>
        </w:rPr>
        <w:footnoteReference w:id="64"/>
      </w:r>
      <w:r>
        <w:rPr>
          <w:rFonts w:cs="Times New Roman"/>
          <w:noProof/>
          <w:sz w:val="20"/>
        </w:rPr>
        <w:t xml:space="preserve"> and none of heavily modified or artificial water bodies achieve a good or high ecological potential (while the status of 59% is unknown). 96% of surface water bodies, 86% of heavily modified and artificial water bodies</w:t>
      </w:r>
      <w:r>
        <w:rPr>
          <w:rFonts w:cs="Times New Roman"/>
          <w:noProof/>
          <w:sz w:val="20"/>
          <w:vertAlign w:val="superscript"/>
        </w:rPr>
        <w:footnoteReference w:id="65"/>
      </w:r>
      <w:r>
        <w:rPr>
          <w:rFonts w:cs="Times New Roman"/>
          <w:noProof/>
          <w:sz w:val="20"/>
        </w:rPr>
        <w:t xml:space="preserve"> and 81% of gro</w:t>
      </w:r>
      <w:r>
        <w:rPr>
          <w:rFonts w:cs="Times New Roman"/>
          <w:noProof/>
          <w:sz w:val="20"/>
        </w:rPr>
        <w:t>undwater bodies achieve good chemical status</w:t>
      </w:r>
      <w:r>
        <w:rPr>
          <w:rFonts w:cs="Times New Roman"/>
          <w:noProof/>
          <w:sz w:val="20"/>
          <w:vertAlign w:val="superscript"/>
        </w:rPr>
        <w:footnoteReference w:id="66"/>
      </w:r>
      <w:r>
        <w:rPr>
          <w:rFonts w:cs="Times New Roman"/>
          <w:noProof/>
          <w:sz w:val="20"/>
        </w:rPr>
        <w:t>. 100% of groundwater bodies are in good quantitative status</w:t>
      </w:r>
      <w:r>
        <w:rPr>
          <w:rFonts w:cs="Times New Roman"/>
          <w:noProof/>
          <w:sz w:val="20"/>
          <w:vertAlign w:val="superscript"/>
        </w:rPr>
        <w:footnoteReference w:id="67"/>
      </w:r>
      <w:r>
        <w:rPr>
          <w:rFonts w:cs="Times New Roman"/>
          <w:noProof/>
          <w:sz w:val="20"/>
        </w:rPr>
        <w:t>.</w:t>
      </w:r>
    </w:p>
    <w:p w:rsidR="006D6E8A" w:rsidRDefault="002E711B">
      <w:pPr>
        <w:autoSpaceDE w:val="0"/>
        <w:spacing w:after="120" w:line="240" w:lineRule="auto"/>
        <w:jc w:val="both"/>
        <w:rPr>
          <w:rFonts w:eastAsia="Times New Roman" w:cs="Times New Roman"/>
          <w:noProof/>
          <w:sz w:val="20"/>
          <w:szCs w:val="20"/>
        </w:rPr>
      </w:pPr>
      <w:r>
        <w:rPr>
          <w:rFonts w:eastAsia="Times New Roman" w:cs="Times New Roman"/>
          <w:noProof/>
          <w:sz w:val="20"/>
          <w:szCs w:val="20"/>
        </w:rPr>
        <w:t xml:space="preserve">Diffuse and point sources of pollution causing nutrients enrichment impose main pressures on Slovenian surface water bodies and lead to the failure </w:t>
      </w:r>
      <w:r>
        <w:rPr>
          <w:rFonts w:eastAsia="Times New Roman" w:cs="Times New Roman"/>
          <w:noProof/>
          <w:sz w:val="20"/>
          <w:szCs w:val="20"/>
        </w:rPr>
        <w:t xml:space="preserve">to meet good status. It affects 46% of water bodies. Hydro-morphological alteration affects 30% of water bodies. </w:t>
      </w:r>
    </w:p>
    <w:p w:rsidR="006D6E8A" w:rsidRDefault="002E711B">
      <w:pPr>
        <w:autoSpaceDE w:val="0"/>
        <w:spacing w:after="120" w:line="240" w:lineRule="auto"/>
        <w:jc w:val="both"/>
        <w:rPr>
          <w:rFonts w:eastAsia="Times New Roman" w:cs="Times New Roman"/>
          <w:noProof/>
          <w:sz w:val="20"/>
          <w:szCs w:val="20"/>
        </w:rPr>
      </w:pPr>
      <w:r>
        <w:rPr>
          <w:rFonts w:eastAsia="Times New Roman" w:cs="Times New Roman"/>
          <w:noProof/>
          <w:sz w:val="20"/>
          <w:szCs w:val="20"/>
        </w:rPr>
        <w:t>The planned measures are expected to result in improvement of ecological status of surface water bodies by 30% and chemical status by 4% respe</w:t>
      </w:r>
      <w:r>
        <w:rPr>
          <w:rFonts w:eastAsia="Times New Roman" w:cs="Times New Roman"/>
          <w:noProof/>
          <w:sz w:val="20"/>
          <w:szCs w:val="20"/>
        </w:rPr>
        <w:t>ctively. The measures should also bring improvement of ecological potential of artificial and heavily modified water bodies by 35% and chemical status by 9%. The chemical status of groundwater is expected to improve by 5%. However, it is difficult to concl</w:t>
      </w:r>
      <w:r>
        <w:rPr>
          <w:rFonts w:eastAsia="Times New Roman" w:cs="Times New Roman"/>
          <w:noProof/>
          <w:sz w:val="20"/>
          <w:szCs w:val="20"/>
        </w:rPr>
        <w:t>ude whether this is realistic, as the first RBMPs under the WFD have some deficiencies that result in uncertainties about the status and effectiveness of the Programmes of Measures</w:t>
      </w:r>
      <w:r>
        <w:rPr>
          <w:rFonts w:eastAsia="Times New Roman" w:cs="Times New Roman"/>
          <w:noProof/>
          <w:sz w:val="20"/>
          <w:szCs w:val="20"/>
          <w:vertAlign w:val="superscript"/>
        </w:rPr>
        <w:footnoteReference w:id="68"/>
      </w:r>
      <w:r>
        <w:rPr>
          <w:rFonts w:eastAsia="Times New Roman" w:cs="Times New Roman"/>
          <w:noProof/>
          <w:sz w:val="20"/>
          <w:szCs w:val="20"/>
        </w:rPr>
        <w:t>. In particular there were weaknesses in methodologies for the assessment o</w:t>
      </w:r>
      <w:r>
        <w:rPr>
          <w:rFonts w:eastAsia="Times New Roman" w:cs="Times New Roman"/>
          <w:noProof/>
          <w:sz w:val="20"/>
          <w:szCs w:val="20"/>
        </w:rPr>
        <w:t>f the status of the water bodies. Also, a number of exemptions</w:t>
      </w:r>
      <w:r>
        <w:rPr>
          <w:rFonts w:eastAsia="Times New Roman" w:cs="Times New Roman"/>
          <w:noProof/>
          <w:sz w:val="20"/>
          <w:szCs w:val="20"/>
          <w:vertAlign w:val="superscript"/>
        </w:rPr>
        <w:footnoteReference w:id="69"/>
      </w:r>
      <w:r>
        <w:rPr>
          <w:rFonts w:eastAsia="Times New Roman" w:cs="Times New Roman"/>
          <w:noProof/>
          <w:sz w:val="20"/>
          <w:szCs w:val="20"/>
        </w:rPr>
        <w:t xml:space="preserve"> were applied.</w:t>
      </w:r>
      <w:r>
        <w:rPr>
          <w:rFonts w:eastAsia="Times New Roman" w:cs="Times New Roman"/>
          <w:noProof/>
          <w:sz w:val="20"/>
          <w:szCs w:val="20"/>
          <w:vertAlign w:val="superscript"/>
        </w:rPr>
        <w:footnoteReference w:id="70"/>
      </w:r>
    </w:p>
    <w:p w:rsidR="006D6E8A" w:rsidRDefault="002E711B">
      <w:pPr>
        <w:spacing w:after="120" w:line="240" w:lineRule="auto"/>
        <w:jc w:val="both"/>
        <w:rPr>
          <w:rFonts w:cs="Times New Roman"/>
          <w:noProof/>
          <w:sz w:val="20"/>
        </w:rPr>
      </w:pPr>
      <w:r>
        <w:rPr>
          <w:rFonts w:cs="Times New Roman"/>
          <w:noProof/>
          <w:sz w:val="20"/>
        </w:rPr>
        <w:t>The second generation of RBMPs (adopted in October 2016) should address, among others, the above deficiencies. The adoption of RBMPs is an element of water ex ante conditionalit</w:t>
      </w:r>
      <w:r>
        <w:rPr>
          <w:rFonts w:cs="Times New Roman"/>
          <w:noProof/>
          <w:sz w:val="20"/>
        </w:rPr>
        <w:t xml:space="preserve">y which pre-conditions the financing of the wastewater and drinking water infrastructure projects. Thus, the outcome of the assessment of the RBMPs will be considered in the context of the financing of such investments. </w:t>
      </w:r>
    </w:p>
    <w:p w:rsidR="006D6E8A" w:rsidRDefault="002E711B">
      <w:pPr>
        <w:spacing w:after="120" w:line="240" w:lineRule="auto"/>
        <w:jc w:val="both"/>
        <w:rPr>
          <w:rFonts w:cs="Times New Roman"/>
          <w:noProof/>
          <w:sz w:val="20"/>
        </w:rPr>
      </w:pPr>
      <w:r>
        <w:rPr>
          <w:rFonts w:cs="Times New Roman"/>
          <w:noProof/>
          <w:sz w:val="20"/>
        </w:rPr>
        <w:t>Approximately 97% of the population</w:t>
      </w:r>
      <w:r>
        <w:rPr>
          <w:rFonts w:cs="Times New Roman"/>
          <w:noProof/>
          <w:sz w:val="20"/>
        </w:rPr>
        <w:t xml:space="preserve"> of Slovenia relies on drinking water sources from groundwater. Therefore, appropriate protection against nitrate pollution is an important issue for the drinking water sector. </w:t>
      </w:r>
    </w:p>
    <w:p w:rsidR="006D6E8A" w:rsidRDefault="002E711B">
      <w:pPr>
        <w:spacing w:after="120" w:line="240" w:lineRule="auto"/>
        <w:jc w:val="both"/>
        <w:rPr>
          <w:rFonts w:eastAsia="Times New Roman" w:cs="Times New Roman"/>
          <w:noProof/>
          <w:sz w:val="24"/>
          <w:szCs w:val="20"/>
        </w:rPr>
      </w:pPr>
      <w:r>
        <w:rPr>
          <w:rFonts w:cs="Times New Roman"/>
          <w:noProof/>
          <w:sz w:val="20"/>
        </w:rPr>
        <w:t>Slovenia has one of the highest percentages of ultra-oligotrophic (i.e. 'unpol</w:t>
      </w:r>
      <w:r>
        <w:rPr>
          <w:rFonts w:cs="Times New Roman"/>
          <w:noProof/>
          <w:sz w:val="20"/>
        </w:rPr>
        <w:t>luted' with very low nitrate concentrations) river monitoring stations</w:t>
      </w:r>
      <w:r>
        <w:rPr>
          <w:rFonts w:cs="Times New Roman"/>
          <w:noProof/>
          <w:sz w:val="20"/>
          <w:szCs w:val="20"/>
        </w:rPr>
        <w:t>. According to the last report on the implementation of the Nitrates Directive, referring to the period 2008-2011, of the total of 104 groundwater</w:t>
      </w:r>
      <w:r>
        <w:rPr>
          <w:rFonts w:ascii="Arial" w:eastAsia="Times New Roman" w:hAnsi="Arial" w:cs="Arial"/>
          <w:noProof/>
        </w:rPr>
        <w:t xml:space="preserve"> </w:t>
      </w:r>
      <w:r>
        <w:rPr>
          <w:rFonts w:cs="Times New Roman"/>
          <w:noProof/>
          <w:sz w:val="20"/>
          <w:szCs w:val="20"/>
        </w:rPr>
        <w:t>monitoring points, approximately 79% ha</w:t>
      </w:r>
      <w:r>
        <w:rPr>
          <w:rFonts w:cs="Times New Roman"/>
          <w:noProof/>
          <w:sz w:val="20"/>
          <w:szCs w:val="20"/>
        </w:rPr>
        <w:t>d an average nitrate level of less than 25 mg NO3/l. Nitrate levels are on average &lt;10mg/l in rivers.</w:t>
      </w:r>
      <w:r>
        <w:rPr>
          <w:rFonts w:cs="Times New Roman"/>
          <w:noProof/>
          <w:sz w:val="20"/>
        </w:rPr>
        <w:t xml:space="preserve"> Slovenia applies its Nitrates Action Programme throughout its territory. According to Decree on the protection of waters against pollution caused by nitra</w:t>
      </w:r>
      <w:r>
        <w:rPr>
          <w:rFonts w:cs="Times New Roman"/>
          <w:noProof/>
          <w:sz w:val="20"/>
        </w:rPr>
        <w:t>tes from agricultural sources</w:t>
      </w:r>
      <w:r>
        <w:rPr>
          <w:rFonts w:cs="Times New Roman"/>
          <w:noProof/>
          <w:sz w:val="20"/>
          <w:vertAlign w:val="superscript"/>
        </w:rPr>
        <w:footnoteReference w:id="71"/>
      </w:r>
      <w:r>
        <w:rPr>
          <w:rFonts w:cs="Times New Roman"/>
          <w:noProof/>
          <w:sz w:val="20"/>
        </w:rPr>
        <w:t>, paragraph 3, the whole territory of Slovenia has been designated as Nitrate Vulnerable Zones (NVZ).</w:t>
      </w:r>
    </w:p>
    <w:p w:rsidR="006D6E8A" w:rsidRDefault="002E711B">
      <w:pPr>
        <w:spacing w:after="120" w:line="240" w:lineRule="auto"/>
        <w:jc w:val="both"/>
        <w:rPr>
          <w:rFonts w:cs="Times New Roman"/>
          <w:noProof/>
          <w:sz w:val="20"/>
        </w:rPr>
      </w:pPr>
      <w:r>
        <w:rPr>
          <w:rFonts w:cs="Times New Roman"/>
          <w:noProof/>
          <w:sz w:val="20"/>
        </w:rPr>
        <w:t>As regards drinking water, Sloveni</w:t>
      </w:r>
      <w:r>
        <w:rPr>
          <w:rFonts w:cs="Times New Roman"/>
          <w:noProof/>
          <w:sz w:val="20"/>
          <w:lang w:val="en-US"/>
        </w:rPr>
        <w:t>a</w:t>
      </w:r>
      <w:r>
        <w:rPr>
          <w:rFonts w:cs="Times New Roman"/>
          <w:noProof/>
          <w:sz w:val="20"/>
        </w:rPr>
        <w:t xml:space="preserve"> reaches very high compliance rates of 99.25% for microbiological and 100% for chemical parameters and a 98.7 % compliance rate for indicator parameters laid down in the Drinking Water Directive</w:t>
      </w:r>
      <w:r>
        <w:rPr>
          <w:rFonts w:cs="Times New Roman"/>
          <w:noProof/>
          <w:sz w:val="20"/>
          <w:vertAlign w:val="superscript"/>
          <w:lang w:val="en-US"/>
        </w:rPr>
        <w:footnoteReference w:id="72"/>
      </w:r>
      <w:r>
        <w:rPr>
          <w:rFonts w:cs="Times New Roman"/>
          <w:noProof/>
          <w:sz w:val="20"/>
        </w:rPr>
        <w:t>.</w:t>
      </w:r>
    </w:p>
    <w:p w:rsidR="006D6E8A" w:rsidRDefault="002E711B">
      <w:pPr>
        <w:spacing w:after="120" w:line="240" w:lineRule="auto"/>
        <w:jc w:val="both"/>
        <w:rPr>
          <w:rFonts w:cs="Times New Roman"/>
          <w:noProof/>
          <w:sz w:val="20"/>
        </w:rPr>
      </w:pPr>
      <w:r>
        <w:rPr>
          <w:rFonts w:cs="Times New Roman"/>
          <w:noProof/>
          <w:sz w:val="20"/>
        </w:rPr>
        <w:t>As shown in Figure 10 in 2015</w:t>
      </w:r>
      <w:r>
        <w:rPr>
          <w:rFonts w:cs="Times New Roman"/>
          <w:noProof/>
          <w:sz w:val="20"/>
          <w:lang w:val="en-US"/>
        </w:rPr>
        <w:t>,</w:t>
      </w:r>
      <w:r>
        <w:rPr>
          <w:rFonts w:cs="Times New Roman"/>
          <w:noProof/>
          <w:sz w:val="20"/>
        </w:rPr>
        <w:t xml:space="preserve"> in Slovenia out of 47 bathing waters, 70.2 % were of excellent quality, 25.5% of good quality and 4.3 % of sufficient quality</w:t>
      </w:r>
      <w:r>
        <w:rPr>
          <w:rFonts w:cs="Times New Roman"/>
          <w:noProof/>
          <w:sz w:val="20"/>
          <w:vertAlign w:val="superscript"/>
        </w:rPr>
        <w:footnoteReference w:id="73"/>
      </w:r>
      <w:r>
        <w:rPr>
          <w:rFonts w:cs="Times New Roman"/>
          <w:noProof/>
          <w:sz w:val="20"/>
        </w:rPr>
        <w:t xml:space="preserve">. </w:t>
      </w:r>
    </w:p>
    <w:p w:rsidR="006D6E8A" w:rsidRDefault="002E711B">
      <w:pPr>
        <w:rPr>
          <w:noProof/>
        </w:rPr>
      </w:pPr>
      <w:r>
        <w:rPr>
          <w:noProof/>
        </w:rPr>
        <w:br w:type="page"/>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D6E8A">
        <w:tc>
          <w:tcPr>
            <w:tcW w:w="4909" w:type="dxa"/>
          </w:tcPr>
          <w:p w:rsidR="006D6E8A" w:rsidRDefault="002E711B">
            <w:pPr>
              <w:spacing w:after="120"/>
              <w:jc w:val="both"/>
              <w:rPr>
                <w:rFonts w:cs="Times New Roman"/>
                <w:b/>
                <w:bCs/>
                <w:noProof/>
                <w:color w:val="1F497D" w:themeColor="text2"/>
                <w:sz w:val="20"/>
              </w:rPr>
            </w:pPr>
            <w:r>
              <w:rPr>
                <w:rFonts w:cs="Times New Roman"/>
                <w:b/>
                <w:bCs/>
                <w:noProof/>
                <w:color w:val="1F497D" w:themeColor="text2"/>
                <w:sz w:val="20"/>
              </w:rPr>
              <w:t>Figure 10: Bathing water quality 2012 – 2015</w:t>
            </w:r>
            <w:r>
              <w:rPr>
                <w:rFonts w:cs="Times New Roman"/>
                <w:b/>
                <w:bCs/>
                <w:noProof/>
                <w:color w:val="1F497D" w:themeColor="text2"/>
                <w:sz w:val="20"/>
                <w:vertAlign w:val="superscript"/>
              </w:rPr>
              <w:footnoteReference w:id="74"/>
            </w:r>
          </w:p>
        </w:tc>
      </w:tr>
      <w:tr w:rsidR="006D6E8A">
        <w:tc>
          <w:tcPr>
            <w:tcW w:w="4909" w:type="dxa"/>
          </w:tcPr>
          <w:p w:rsidR="006D6E8A" w:rsidRDefault="002E711B">
            <w:pPr>
              <w:spacing w:after="120"/>
              <w:jc w:val="both"/>
              <w:rPr>
                <w:rFonts w:cs="Times New Roman"/>
                <w:noProof/>
                <w:sz w:val="20"/>
              </w:rPr>
            </w:pPr>
            <w:r>
              <w:rPr>
                <w:rFonts w:cs="Times New Roman"/>
                <w:noProof/>
                <w:sz w:val="20"/>
                <w:lang w:eastAsia="en-GB"/>
              </w:rPr>
              <w:drawing>
                <wp:inline distT="0" distB="0" distL="0" distR="0" wp14:anchorId="7C143AD9" wp14:editId="2F229B15">
                  <wp:extent cx="3015407" cy="2535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17785" cy="2537382"/>
                          </a:xfrm>
                          <a:prstGeom prst="rect">
                            <a:avLst/>
                          </a:prstGeom>
                          <a:noFill/>
                        </pic:spPr>
                      </pic:pic>
                    </a:graphicData>
                  </a:graphic>
                </wp:inline>
              </w:drawing>
            </w:r>
          </w:p>
        </w:tc>
      </w:tr>
    </w:tbl>
    <w:p w:rsidR="006D6E8A" w:rsidRDefault="002E711B">
      <w:pPr>
        <w:spacing w:after="120" w:line="240" w:lineRule="auto"/>
        <w:jc w:val="both"/>
        <w:rPr>
          <w:rFonts w:cs="Times New Roman"/>
          <w:noProof/>
          <w:sz w:val="20"/>
        </w:rPr>
      </w:pPr>
      <w:r>
        <w:rPr>
          <w:rFonts w:cs="Times New Roman"/>
          <w:noProof/>
          <w:sz w:val="20"/>
        </w:rPr>
        <w:t>With regard to the implementation of the Urban Waste Water Treatment Direc</w:t>
      </w:r>
      <w:r>
        <w:rPr>
          <w:rFonts w:cs="Times New Roman"/>
          <w:noProof/>
          <w:sz w:val="20"/>
        </w:rPr>
        <w:t>tive, Slovenia's deadline to reach compliance was 31 December 2015. Slovenia is lagging behind when it comes to the implementation of the Directive: the latest data reported (2012) gave information on Slovenia's compliance with its first and second transit</w:t>
      </w:r>
      <w:r>
        <w:rPr>
          <w:rFonts w:cs="Times New Roman"/>
          <w:noProof/>
          <w:sz w:val="20"/>
        </w:rPr>
        <w:t xml:space="preserve">ional deadlines (2008 and 2010) and showed that only nine agglomerations </w:t>
      </w:r>
      <w:r>
        <w:rPr>
          <w:rFonts w:cs="Arial"/>
          <w:noProof/>
          <w:sz w:val="20"/>
          <w:lang w:eastAsia="zh-CN"/>
        </w:rPr>
        <w:t xml:space="preserve">met the requirements of the Directive in terms of collection requirements and 4 in terms of secondary treatment. </w:t>
      </w:r>
      <w:r>
        <w:rPr>
          <w:rFonts w:cs="Times New Roman"/>
          <w:noProof/>
          <w:sz w:val="20"/>
        </w:rPr>
        <w:t>Only 33.9 % of the waste water load collected is subject to more strin</w:t>
      </w:r>
      <w:r>
        <w:rPr>
          <w:rFonts w:cs="Times New Roman"/>
          <w:noProof/>
          <w:sz w:val="20"/>
        </w:rPr>
        <w:t>gent treatment in accordance with Article 5 of the Urban Waste Water Treatment Directive</w:t>
      </w:r>
      <w:r>
        <w:rPr>
          <w:rFonts w:cs="Times New Roman"/>
          <w:noProof/>
          <w:sz w:val="20"/>
          <w:vertAlign w:val="superscript"/>
        </w:rPr>
        <w:footnoteReference w:id="75"/>
      </w:r>
      <w:r>
        <w:rPr>
          <w:rFonts w:cs="Times New Roman"/>
          <w:noProof/>
          <w:sz w:val="20"/>
        </w:rPr>
        <w:t xml:space="preserve">. The Commission is following-up on the above-mentioned non-compliance. </w:t>
      </w:r>
    </w:p>
    <w:p w:rsidR="006D6E8A" w:rsidRDefault="002E711B">
      <w:pPr>
        <w:spacing w:after="120" w:line="240" w:lineRule="auto"/>
        <w:jc w:val="both"/>
        <w:rPr>
          <w:rFonts w:cs="Times New Roman"/>
          <w:noProof/>
          <w:sz w:val="20"/>
        </w:rPr>
      </w:pPr>
      <w:r>
        <w:rPr>
          <w:rFonts w:cs="Times New Roman"/>
          <w:noProof/>
          <w:sz w:val="20"/>
        </w:rPr>
        <w:t>The estimated investment needs (reported by Slovenia under Article 17 of the Urban Waste Water</w:t>
      </w:r>
      <w:r>
        <w:rPr>
          <w:rFonts w:cs="Times New Roman"/>
          <w:noProof/>
          <w:sz w:val="20"/>
        </w:rPr>
        <w:t xml:space="preserve"> Treatment Directive) to reach full compliance with the Directive are of EUR 681 million</w:t>
      </w:r>
      <w:r>
        <w:rPr>
          <w:rFonts w:cs="Times New Roman"/>
          <w:noProof/>
          <w:sz w:val="20"/>
          <w:vertAlign w:val="superscript"/>
        </w:rPr>
        <w:footnoteReference w:id="76"/>
      </w:r>
      <w:r>
        <w:rPr>
          <w:rFonts w:cs="Times New Roman"/>
          <w:noProof/>
          <w:sz w:val="20"/>
        </w:rPr>
        <w:t xml:space="preserve">. </w:t>
      </w:r>
    </w:p>
    <w:p w:rsidR="006D6E8A" w:rsidRDefault="002E711B">
      <w:pPr>
        <w:spacing w:after="120" w:line="240" w:lineRule="auto"/>
        <w:jc w:val="both"/>
        <w:rPr>
          <w:rFonts w:cs="Times New Roman"/>
          <w:noProof/>
          <w:sz w:val="20"/>
        </w:rPr>
      </w:pPr>
      <w:r>
        <w:rPr>
          <w:rFonts w:cs="Times New Roman"/>
          <w:noProof/>
          <w:sz w:val="20"/>
        </w:rPr>
        <w:t>A signification contribution for the wastewater infrastructure (EUR 125 million) will come from the 2014-2020 Cohesion Policy. It will also include a major investme</w:t>
      </w:r>
      <w:r>
        <w:rPr>
          <w:rFonts w:cs="Times New Roman"/>
          <w:noProof/>
          <w:sz w:val="20"/>
        </w:rPr>
        <w:t>nt project for the Ljubljana wastewater treatment plant to ensure its full compliance.</w:t>
      </w:r>
    </w:p>
    <w:p w:rsidR="006D6E8A" w:rsidRDefault="002E711B">
      <w:pPr>
        <w:spacing w:after="120" w:line="240" w:lineRule="auto"/>
        <w:jc w:val="both"/>
        <w:rPr>
          <w:rFonts w:cstheme="minorHAnsi"/>
          <w:noProof/>
          <w:color w:val="1F497D" w:themeColor="text2"/>
          <w:szCs w:val="26"/>
        </w:rPr>
      </w:pPr>
      <w:r>
        <w:rPr>
          <w:rFonts w:cstheme="minorHAnsi"/>
          <w:noProof/>
          <w:color w:val="1F497D" w:themeColor="text2"/>
          <w:szCs w:val="26"/>
        </w:rPr>
        <w:t>Suggested action</w:t>
      </w:r>
      <w:r>
        <w:rPr>
          <w:rFonts w:cs="Times New Roman"/>
          <w:noProof/>
          <w:color w:val="1F497D" w:themeColor="text2"/>
          <w:sz w:val="20"/>
          <w:vertAlign w:val="superscript"/>
        </w:rPr>
        <w:footnoteReference w:id="77"/>
      </w:r>
    </w:p>
    <w:p w:rsidR="006D6E8A" w:rsidRDefault="002E711B">
      <w:pPr>
        <w:pStyle w:val="NoSpacing"/>
        <w:rPr>
          <w:noProof/>
        </w:rPr>
      </w:pPr>
      <w:bookmarkStart w:id="33" w:name="_Toc433296168"/>
      <w:r>
        <w:rPr>
          <w:noProof/>
        </w:rPr>
        <w:t>Ensure good implementation of upgraded methods for status assessment and pressure analysis.</w:t>
      </w:r>
    </w:p>
    <w:p w:rsidR="006D6E8A" w:rsidRDefault="002E711B">
      <w:pPr>
        <w:pStyle w:val="NoSpacing"/>
        <w:rPr>
          <w:noProof/>
        </w:rPr>
      </w:pPr>
      <w:r>
        <w:rPr>
          <w:noProof/>
        </w:rPr>
        <w:t xml:space="preserve">Ensure effective implementation of measures to address </w:t>
      </w:r>
      <w:r>
        <w:rPr>
          <w:noProof/>
        </w:rPr>
        <w:t>nutrients pollution from agriculture, following 2015 legislative amendments.</w:t>
      </w:r>
    </w:p>
    <w:p w:rsidR="006D6E8A" w:rsidRDefault="002E711B">
      <w:pPr>
        <w:pStyle w:val="NoSpacing"/>
        <w:rPr>
          <w:noProof/>
        </w:rPr>
      </w:pPr>
      <w:r>
        <w:rPr>
          <w:noProof/>
        </w:rPr>
        <w:t xml:space="preserve">Ensure the efficient implementation of the Cohesion Policy funding for the urban wastewater treatment infrastructure. </w:t>
      </w:r>
    </w:p>
    <w:p w:rsidR="006D6E8A" w:rsidRDefault="002E711B">
      <w:pPr>
        <w:spacing w:before="360" w:after="120" w:line="240" w:lineRule="auto"/>
        <w:jc w:val="both"/>
        <w:outlineLvl w:val="1"/>
        <w:rPr>
          <w:rFonts w:cs="Times New Roman"/>
          <w:b/>
          <w:noProof/>
          <w:color w:val="FF0000"/>
          <w:sz w:val="24"/>
          <w:szCs w:val="20"/>
        </w:rPr>
      </w:pPr>
      <w:bookmarkStart w:id="34" w:name="_Toc436815691"/>
      <w:bookmarkStart w:id="35" w:name="_Toc469495572"/>
      <w:bookmarkEnd w:id="33"/>
      <w:r>
        <w:rPr>
          <w:rFonts w:cs="Times New Roman"/>
          <w:b/>
          <w:noProof/>
          <w:color w:val="1F497D" w:themeColor="text2"/>
          <w:sz w:val="24"/>
          <w:szCs w:val="20"/>
        </w:rPr>
        <w:t>Enhancing the sustainability of cities</w:t>
      </w:r>
      <w:bookmarkEnd w:id="34"/>
      <w:bookmarkEnd w:id="35"/>
      <w:r>
        <w:rPr>
          <w:rFonts w:cs="Times New Roman"/>
          <w:b/>
          <w:noProof/>
          <w:color w:val="1F497D" w:themeColor="text2"/>
          <w:sz w:val="24"/>
          <w:szCs w:val="20"/>
        </w:rPr>
        <w:t xml:space="preserve"> </w:t>
      </w:r>
    </w:p>
    <w:p w:rsidR="006D6E8A" w:rsidRDefault="002E711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w:t>
      </w:r>
      <w:r>
        <w:rPr>
          <w:rFonts w:cs="Times New Roman"/>
          <w:noProof/>
          <w:color w:val="FFFFFF" w:themeColor="background1"/>
          <w:sz w:val="20"/>
        </w:rPr>
        <w:t xml:space="preserve"> urban environment encourages cities to implement policies for sustainable urban planning and design, including innovative approaches for urban public transport and mobility, sustainable buildings, energy efficiency and urban biodiversity conservation. </w:t>
      </w:r>
    </w:p>
    <w:p w:rsidR="006D6E8A" w:rsidRDefault="002E711B">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6D6E8A" w:rsidRDefault="002E711B">
      <w:pPr>
        <w:widowControl w:val="0"/>
        <w:spacing w:after="120" w:line="240" w:lineRule="auto"/>
        <w:jc w:val="both"/>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78"/>
      </w:r>
      <w:r>
        <w:rPr>
          <w:rFonts w:cs="Times New Roman"/>
          <w:noProof/>
          <w:sz w:val="20"/>
        </w:rPr>
        <w:t xml:space="preserve"> The urban environment poses particular challenges for the envir</w:t>
      </w:r>
      <w:r>
        <w:rPr>
          <w:rFonts w:cs="Times New Roman"/>
          <w:noProof/>
          <w:sz w:val="20"/>
        </w:rPr>
        <w:t xml:space="preserve">onment and human health, whilst also providing opportunities and efficiency gains in the use of resources. </w:t>
      </w:r>
    </w:p>
    <w:p w:rsidR="006D6E8A" w:rsidRDefault="002E711B">
      <w:pPr>
        <w:widowControl w:val="0"/>
        <w:spacing w:after="120" w:line="240" w:lineRule="auto"/>
        <w:jc w:val="both"/>
        <w:rPr>
          <w:rFonts w:cs="Times New Roman"/>
          <w:noProof/>
          <w:sz w:val="20"/>
        </w:rPr>
      </w:pPr>
      <w:r>
        <w:rPr>
          <w:rFonts w:cs="Times New Roman"/>
          <w:noProof/>
          <w:sz w:val="20"/>
        </w:rPr>
        <w:t>The Member States, European institutions, cities and stakeholders have prepared a new Urban Agenda for the EU (incorporating the Smart Cities initia</w:t>
      </w:r>
      <w:r>
        <w:rPr>
          <w:rFonts w:cs="Times New Roman"/>
          <w:noProof/>
          <w:sz w:val="20"/>
        </w:rPr>
        <w:t>tive) to tackle these issues in a comprehensive way, including their connections with social and economic challenges. At the heart of this Urban Agenda will be the development of twelve partnerships on the identified urban challenges, including air quality</w:t>
      </w:r>
      <w:r>
        <w:rPr>
          <w:rFonts w:cs="Times New Roman"/>
          <w:noProof/>
          <w:sz w:val="20"/>
        </w:rPr>
        <w:t xml:space="preserve"> and housing</w:t>
      </w:r>
      <w:r>
        <w:rPr>
          <w:rFonts w:cs="Times New Roman"/>
          <w:noProof/>
          <w:sz w:val="20"/>
          <w:vertAlign w:val="superscript"/>
        </w:rPr>
        <w:footnoteReference w:id="79"/>
      </w:r>
      <w:r>
        <w:rPr>
          <w:rFonts w:cs="Times New Roman"/>
          <w:noProof/>
          <w:sz w:val="20"/>
        </w:rPr>
        <w:t xml:space="preserve">. </w:t>
      </w:r>
    </w:p>
    <w:p w:rsidR="006D6E8A" w:rsidRDefault="002E711B">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80"/>
      </w:r>
      <w:r>
        <w:rPr>
          <w:rFonts w:cs="Times New Roman"/>
          <w:noProof/>
          <w:sz w:val="20"/>
        </w:rPr>
        <w:t>.</w:t>
      </w:r>
    </w:p>
    <w:p w:rsidR="006D6E8A" w:rsidRDefault="002E711B">
      <w:pPr>
        <w:spacing w:after="120" w:line="240" w:lineRule="auto"/>
        <w:jc w:val="both"/>
        <w:rPr>
          <w:noProof/>
          <w:sz w:val="20"/>
        </w:rPr>
      </w:pPr>
      <w:r>
        <w:rPr>
          <w:noProof/>
          <w:sz w:val="20"/>
        </w:rPr>
        <w:t>The EU stimulates green cities through awards and funding, such as the EU Green Capital Award aimed at cities with more than 100,000 inhabitants and the EU Green Leaf i</w:t>
      </w:r>
      <w:r>
        <w:rPr>
          <w:noProof/>
          <w:sz w:val="20"/>
        </w:rPr>
        <w:t xml:space="preserve">nitiative aimed at cities and towns, with between 20,000 and 100,000 inhabitants. </w:t>
      </w:r>
    </w:p>
    <w:p w:rsidR="006D6E8A" w:rsidRDefault="002E711B">
      <w:pPr>
        <w:spacing w:after="120" w:line="240" w:lineRule="auto"/>
        <w:jc w:val="both"/>
        <w:rPr>
          <w:noProof/>
          <w:sz w:val="20"/>
        </w:rPr>
      </w:pPr>
      <w:r>
        <w:rPr>
          <w:noProof/>
          <w:sz w:val="20"/>
          <w:lang w:eastAsia="en-GB"/>
        </w:rPr>
        <w:drawing>
          <wp:inline distT="0" distB="0" distL="0" distR="0" wp14:anchorId="5DA43F08" wp14:editId="0112FDE9">
            <wp:extent cx="2980055" cy="19856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Ljublj iStock_40661664_SMALL.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980055" cy="1985645"/>
                    </a:xfrm>
                    <a:prstGeom prst="rect">
                      <a:avLst/>
                    </a:prstGeom>
                  </pic:spPr>
                </pic:pic>
              </a:graphicData>
            </a:graphic>
          </wp:inline>
        </w:drawing>
      </w:r>
    </w:p>
    <w:p w:rsidR="006D6E8A" w:rsidRDefault="002E711B">
      <w:pPr>
        <w:spacing w:after="120" w:line="240" w:lineRule="auto"/>
        <w:jc w:val="both"/>
        <w:rPr>
          <w:noProof/>
          <w:sz w:val="20"/>
        </w:rPr>
      </w:pPr>
      <w:r>
        <w:rPr>
          <w:noProof/>
          <w:sz w:val="20"/>
        </w:rPr>
        <w:t>Ljubljana is one of the cities who received the 2016</w:t>
      </w:r>
      <w:r>
        <w:rPr>
          <w:rFonts w:cs="Times New Roman"/>
          <w:noProof/>
          <w:sz w:val="20"/>
        </w:rPr>
        <w:t xml:space="preserve"> </w:t>
      </w:r>
      <w:r>
        <w:rPr>
          <w:noProof/>
          <w:sz w:val="20"/>
        </w:rPr>
        <w:t>EU Green Capital Award</w:t>
      </w:r>
      <w:r>
        <w:rPr>
          <w:noProof/>
          <w:sz w:val="20"/>
          <w:vertAlign w:val="superscript"/>
        </w:rPr>
        <w:footnoteReference w:id="81"/>
      </w:r>
      <w:r>
        <w:rPr>
          <w:noProof/>
          <w:sz w:val="20"/>
        </w:rPr>
        <w:t xml:space="preserve">. It put in place a comprehensive set of policies to deliver a more sustainable city. The </w:t>
      </w:r>
      <w:r>
        <w:rPr>
          <w:noProof/>
          <w:sz w:val="20"/>
        </w:rPr>
        <w:t>capital boasts a vast area of green space (542 m2 per inhabitant). Public transport, pedestrian access and cycling networks (220 km of managed cycling routes) are the backbone of its urban mobility system. With its Zero Waste Strategy, Ljubljana makes a si</w:t>
      </w:r>
      <w:r>
        <w:rPr>
          <w:noProof/>
          <w:sz w:val="20"/>
        </w:rPr>
        <w:t>gnificant contribution to Europe's transition to a more circular economy. It can act as a role model, as the European capital with the largest share of separately collected waste and actively promoting recycling and re-use.</w:t>
      </w:r>
    </w:p>
    <w:p w:rsidR="006D6E8A" w:rsidRDefault="002E711B">
      <w:pPr>
        <w:spacing w:before="360" w:after="120" w:line="240" w:lineRule="auto"/>
        <w:jc w:val="both"/>
        <w:outlineLvl w:val="1"/>
        <w:rPr>
          <w:rFonts w:cs="Times New Roman"/>
          <w:b/>
          <w:noProof/>
          <w:color w:val="1F497D" w:themeColor="text2"/>
          <w:sz w:val="24"/>
          <w:szCs w:val="20"/>
        </w:rPr>
      </w:pPr>
      <w:bookmarkStart w:id="36" w:name="_Toc469495573"/>
      <w:r>
        <w:rPr>
          <w:rFonts w:cs="Times New Roman"/>
          <w:b/>
          <w:noProof/>
          <w:color w:val="1F497D" w:themeColor="text2"/>
          <w:sz w:val="24"/>
          <w:szCs w:val="20"/>
        </w:rPr>
        <w:t>International agreements</w:t>
      </w:r>
      <w:bookmarkEnd w:id="36"/>
      <w:r>
        <w:rPr>
          <w:rFonts w:cs="Times New Roman"/>
          <w:b/>
          <w:noProof/>
          <w:color w:val="1F497D" w:themeColor="text2"/>
          <w:sz w:val="24"/>
          <w:szCs w:val="20"/>
        </w:rPr>
        <w:t xml:space="preserve"> </w:t>
      </w:r>
    </w:p>
    <w:p w:rsidR="006D6E8A" w:rsidRDefault="002E711B">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w:t>
      </w:r>
      <w:r>
        <w:rPr>
          <w:rFonts w:cs="Times New Roman"/>
          <w:noProof/>
          <w:color w:val="FFFFFF" w:themeColor="background1"/>
          <w:sz w:val="20"/>
        </w:rPr>
        <w:t xml:space="preserve"> Treaties require that the Union policy on the environment promotes measures at the international level to deal with regional or worldwide environmental problems.</w:t>
      </w:r>
    </w:p>
    <w:p w:rsidR="006D6E8A" w:rsidRDefault="002E711B">
      <w:pPr>
        <w:spacing w:after="120" w:line="240" w:lineRule="auto"/>
        <w:jc w:val="both"/>
        <w:rPr>
          <w:rFonts w:ascii="Calibri" w:hAnsi="Calibri" w:cs="Times New Roman"/>
          <w:noProof/>
          <w:sz w:val="20"/>
          <w:szCs w:val="20"/>
        </w:rPr>
      </w:pPr>
      <w:r>
        <w:rPr>
          <w:rFonts w:ascii="Calibri" w:hAnsi="Calibri" w:cs="Times New Roman"/>
          <w:noProof/>
          <w:sz w:val="20"/>
          <w:szCs w:val="20"/>
        </w:rPr>
        <w:t>Most environmental problems have a transboundary nature and often a global scope and they can</w:t>
      </w:r>
      <w:r>
        <w:rPr>
          <w:rFonts w:ascii="Calibri" w:hAnsi="Calibri" w:cs="Times New Roman"/>
          <w:noProof/>
          <w:sz w:val="20"/>
          <w:szCs w:val="20"/>
        </w:rPr>
        <w:t xml:space="preserve"> only be addressed effectively through international co-operation. International environmental agreements concluded by the Union are binding upon the institutions of the Union and on its Member States. This requires the EU and the Member States to sign, ra</w:t>
      </w:r>
      <w:r>
        <w:rPr>
          <w:rFonts w:ascii="Calibri" w:hAnsi="Calibri" w:cs="Times New Roman"/>
          <w:noProof/>
          <w:sz w:val="20"/>
          <w:szCs w:val="20"/>
        </w:rPr>
        <w:t>tify and effectively implement all relevant multilateral environmental agreements (MEAs) in a timely manner. This will also be an important contribution towards the achievement of the SDGs, which Member States committed to in 2015 and include many commitme</w:t>
      </w:r>
      <w:r>
        <w:rPr>
          <w:rFonts w:ascii="Calibri" w:hAnsi="Calibri" w:cs="Times New Roman"/>
          <w:noProof/>
          <w:sz w:val="20"/>
          <w:szCs w:val="20"/>
        </w:rPr>
        <w:t>nts contained already in legally binding agreements.</w:t>
      </w:r>
    </w:p>
    <w:p w:rsidR="006D6E8A" w:rsidRDefault="002E711B">
      <w:pPr>
        <w:widowControl w:val="0"/>
        <w:spacing w:after="120" w:line="240" w:lineRule="auto"/>
        <w:jc w:val="both"/>
        <w:rPr>
          <w:rFonts w:cs="Times New Roman"/>
          <w:noProof/>
          <w:sz w:val="20"/>
        </w:rPr>
      </w:pPr>
      <w:r>
        <w:rPr>
          <w:rFonts w:ascii="Calibri" w:hAnsi="Calibri" w:cs="Times New Roman"/>
          <w:noProof/>
          <w:sz w:val="20"/>
          <w:szCs w:val="20"/>
        </w:rPr>
        <w:t>The fact that some Member States did not sign and/or ratify a number of MEAs compromises environmental implementation, including within the Union, as well as the Union’s credibility in related negotiatio</w:t>
      </w:r>
      <w:r>
        <w:rPr>
          <w:rFonts w:ascii="Calibri" w:hAnsi="Calibri" w:cs="Times New Roman"/>
          <w:noProof/>
          <w:sz w:val="20"/>
          <w:szCs w:val="20"/>
        </w:rPr>
        <w:t>ns and international meetings where supporting the participation of third countries to such agreements is an established EU policy objective. In agreements where voting takes place it has a direct impact on the number of votes to be cast by the EU.</w:t>
      </w:r>
    </w:p>
    <w:p w:rsidR="006D6E8A" w:rsidRDefault="002E711B">
      <w:pPr>
        <w:spacing w:after="120" w:line="240" w:lineRule="auto"/>
        <w:jc w:val="both"/>
        <w:rPr>
          <w:rFonts w:cs="Times New Roman"/>
          <w:noProof/>
          <w:sz w:val="20"/>
        </w:rPr>
      </w:pPr>
      <w:r>
        <w:rPr>
          <w:rFonts w:cs="Times New Roman"/>
          <w:noProof/>
          <w:sz w:val="20"/>
        </w:rPr>
        <w:t>Sloveni</w:t>
      </w:r>
      <w:r>
        <w:rPr>
          <w:rFonts w:cs="Times New Roman"/>
          <w:noProof/>
          <w:sz w:val="20"/>
        </w:rPr>
        <w:t>a has signed and ratified almost all MEAs. It has signed but not yet ratified the Offshore Protocol of the Barcelona Convention</w:t>
      </w:r>
      <w:r>
        <w:rPr>
          <w:rFonts w:cs="Times New Roman"/>
          <w:noProof/>
          <w:sz w:val="20"/>
          <w:vertAlign w:val="superscript"/>
        </w:rPr>
        <w:footnoteReference w:id="82"/>
      </w:r>
      <w:r>
        <w:rPr>
          <w:rFonts w:cs="Times New Roman"/>
          <w:noProof/>
          <w:sz w:val="20"/>
        </w:rPr>
        <w:t xml:space="preserve"> and the Nagoya Protocol</w:t>
      </w:r>
      <w:r>
        <w:rPr>
          <w:rFonts w:cs="Times New Roman"/>
          <w:noProof/>
          <w:sz w:val="20"/>
          <w:vertAlign w:val="superscript"/>
        </w:rPr>
        <w:footnoteReference w:id="83"/>
      </w:r>
      <w:r>
        <w:rPr>
          <w:rFonts w:cs="Times New Roman"/>
          <w:noProof/>
          <w:sz w:val="20"/>
        </w:rPr>
        <w:t>.</w:t>
      </w:r>
    </w:p>
    <w:p w:rsidR="006D6E8A" w:rsidRDefault="006D6E8A">
      <w:pPr>
        <w:spacing w:after="120" w:line="240" w:lineRule="auto"/>
        <w:jc w:val="both"/>
        <w:rPr>
          <w:rFonts w:cs="Times New Roman"/>
          <w:noProof/>
          <w:sz w:val="20"/>
        </w:rPr>
        <w:sectPr w:rsidR="006D6E8A">
          <w:headerReference w:type="even" r:id="rId91"/>
          <w:headerReference w:type="default" r:id="rId92"/>
          <w:footerReference w:type="even" r:id="rId93"/>
          <w:footerReference w:type="default" r:id="rId94"/>
          <w:headerReference w:type="first" r:id="rId95"/>
          <w:footerReference w:type="first" r:id="rId96"/>
          <w:type w:val="continuous"/>
          <w:pgSz w:w="11906" w:h="16838"/>
          <w:pgMar w:top="1440" w:right="1080" w:bottom="1440" w:left="1080" w:header="708" w:footer="708" w:gutter="0"/>
          <w:cols w:num="2" w:space="360"/>
          <w:docGrid w:linePitch="360"/>
        </w:sectPr>
      </w:pPr>
    </w:p>
    <w:p w:rsidR="006D6E8A" w:rsidRDefault="002E711B">
      <w:pPr>
        <w:keepNext/>
        <w:keepLines/>
        <w:spacing w:after="0" w:line="240" w:lineRule="auto"/>
        <w:jc w:val="center"/>
        <w:outlineLvl w:val="0"/>
        <w:rPr>
          <w:rFonts w:eastAsiaTheme="majorEastAsia" w:cstheme="majorBidi"/>
          <w:b/>
          <w:bCs/>
          <w:noProof/>
          <w:color w:val="1F497D" w:themeColor="text2"/>
          <w:sz w:val="32"/>
          <w:szCs w:val="28"/>
        </w:rPr>
      </w:pPr>
      <w:bookmarkStart w:id="37" w:name="_Toc433296176"/>
      <w:bookmarkStart w:id="38" w:name="_Toc469495574"/>
      <w:r>
        <w:rPr>
          <w:rFonts w:eastAsiaTheme="majorEastAsia" w:cstheme="majorBidi"/>
          <w:b/>
          <w:bCs/>
          <w:noProof/>
          <w:color w:val="1F497D" w:themeColor="text2"/>
          <w:sz w:val="32"/>
          <w:szCs w:val="28"/>
        </w:rPr>
        <w:t xml:space="preserve">Part II: </w:t>
      </w:r>
      <w:bookmarkEnd w:id="37"/>
      <w:r>
        <w:rPr>
          <w:rFonts w:eastAsiaTheme="majorEastAsia" w:cstheme="majorBidi"/>
          <w:b/>
          <w:bCs/>
          <w:noProof/>
          <w:color w:val="1F497D" w:themeColor="text2"/>
          <w:sz w:val="32"/>
          <w:szCs w:val="28"/>
        </w:rPr>
        <w:t>Enabling Framework: Implementation Tools</w:t>
      </w:r>
      <w:bookmarkEnd w:id="38"/>
    </w:p>
    <w:p w:rsidR="006D6E8A" w:rsidRDefault="006D6E8A">
      <w:pPr>
        <w:spacing w:after="120" w:line="240" w:lineRule="auto"/>
        <w:jc w:val="both"/>
        <w:rPr>
          <w:rFonts w:cs="Times New Roman"/>
          <w:noProof/>
          <w:sz w:val="20"/>
        </w:rPr>
      </w:pPr>
    </w:p>
    <w:p w:rsidR="006D6E8A" w:rsidRDefault="006D6E8A">
      <w:pPr>
        <w:spacing w:after="120" w:line="240" w:lineRule="auto"/>
        <w:jc w:val="both"/>
        <w:rPr>
          <w:rFonts w:cs="Times New Roman"/>
          <w:noProof/>
          <w:sz w:val="20"/>
        </w:rPr>
        <w:sectPr w:rsidR="006D6E8A">
          <w:headerReference w:type="even" r:id="rId97"/>
          <w:headerReference w:type="default" r:id="rId98"/>
          <w:footerReference w:type="even" r:id="rId99"/>
          <w:footerReference w:type="default" r:id="rId100"/>
          <w:headerReference w:type="first" r:id="rId101"/>
          <w:footerReference w:type="first" r:id="rId102"/>
          <w:pgSz w:w="11906" w:h="16838" w:code="9"/>
          <w:pgMar w:top="720" w:right="720" w:bottom="720" w:left="720" w:header="709" w:footer="709" w:gutter="0"/>
          <w:cols w:space="566"/>
          <w:docGrid w:linePitch="360"/>
        </w:sectPr>
      </w:pPr>
    </w:p>
    <w:p w:rsidR="006D6E8A" w:rsidRDefault="002E711B">
      <w:pPr>
        <w:keepNext/>
        <w:keepLines/>
        <w:numPr>
          <w:ilvl w:val="0"/>
          <w:numId w:val="26"/>
        </w:numPr>
        <w:spacing w:line="240" w:lineRule="auto"/>
        <w:jc w:val="center"/>
        <w:outlineLvl w:val="0"/>
        <w:rPr>
          <w:rFonts w:eastAsiaTheme="majorEastAsia" w:cstheme="majorBidi"/>
          <w:b/>
          <w:bCs/>
          <w:noProof/>
          <w:color w:val="1F497D" w:themeColor="text2"/>
          <w:sz w:val="32"/>
          <w:szCs w:val="28"/>
        </w:rPr>
      </w:pPr>
      <w:bookmarkStart w:id="39" w:name="_Toc469495575"/>
      <w:r>
        <w:rPr>
          <w:rFonts w:eastAsiaTheme="majorEastAsia" w:cstheme="majorBidi"/>
          <w:b/>
          <w:bCs/>
          <w:noProof/>
          <w:color w:val="1F497D" w:themeColor="text2"/>
          <w:sz w:val="32"/>
          <w:szCs w:val="28"/>
        </w:rPr>
        <w:t>Market based instruments and investment</w:t>
      </w:r>
      <w:bookmarkStart w:id="40" w:name="_Toc433296178"/>
      <w:bookmarkStart w:id="41" w:name="_Toc433296181"/>
      <w:bookmarkEnd w:id="39"/>
      <w:r>
        <w:rPr>
          <w:rFonts w:eastAsiaTheme="majorEastAsia" w:cstheme="majorBidi"/>
          <w:b/>
          <w:bCs/>
          <w:noProof/>
          <w:color w:val="1F497D" w:themeColor="text2"/>
          <w:sz w:val="32"/>
          <w:szCs w:val="28"/>
        </w:rPr>
        <w:t xml:space="preserve"> </w:t>
      </w:r>
    </w:p>
    <w:p w:rsidR="006D6E8A" w:rsidRDefault="006D6E8A">
      <w:pPr>
        <w:spacing w:after="120"/>
        <w:rPr>
          <w:rFonts w:cs="Times New Roman"/>
          <w:noProof/>
          <w:sz w:val="20"/>
        </w:rPr>
        <w:sectPr w:rsidR="006D6E8A">
          <w:headerReference w:type="even" r:id="rId103"/>
          <w:headerReference w:type="default" r:id="rId104"/>
          <w:footerReference w:type="even" r:id="rId105"/>
          <w:footerReference w:type="default" r:id="rId106"/>
          <w:headerReference w:type="first" r:id="rId107"/>
          <w:footerReference w:type="first" r:id="rId108"/>
          <w:type w:val="continuous"/>
          <w:pgSz w:w="11906" w:h="16838" w:code="9"/>
          <w:pgMar w:top="720" w:right="720" w:bottom="720" w:left="720" w:header="709" w:footer="709" w:gutter="0"/>
          <w:cols w:space="566"/>
          <w:docGrid w:linePitch="360"/>
        </w:sectPr>
      </w:pPr>
    </w:p>
    <w:p w:rsidR="006D6E8A" w:rsidRDefault="002E711B">
      <w:pPr>
        <w:spacing w:before="360" w:after="120" w:line="240" w:lineRule="auto"/>
        <w:jc w:val="both"/>
        <w:outlineLvl w:val="1"/>
        <w:rPr>
          <w:rFonts w:cs="Times New Roman"/>
          <w:b/>
          <w:noProof/>
          <w:color w:val="1F497D" w:themeColor="text2"/>
          <w:sz w:val="24"/>
          <w:szCs w:val="20"/>
        </w:rPr>
      </w:pPr>
      <w:bookmarkStart w:id="42" w:name="_Toc454898115"/>
      <w:bookmarkStart w:id="43" w:name="_Toc469495576"/>
      <w:bookmarkEnd w:id="40"/>
      <w:r>
        <w:rPr>
          <w:rFonts w:cs="Times New Roman"/>
          <w:b/>
          <w:noProof/>
          <w:color w:val="1F497D" w:themeColor="text2"/>
          <w:sz w:val="24"/>
          <w:szCs w:val="20"/>
        </w:rPr>
        <w:t>Green taxation and environmentally harmful subsidies</w:t>
      </w:r>
      <w:bookmarkEnd w:id="42"/>
      <w:bookmarkEnd w:id="43"/>
    </w:p>
    <w:p w:rsidR="006D6E8A" w:rsidRDefault="002E711B">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Circular Economy Action Plan encourages the use of financial incentives and economic </w:t>
      </w:r>
      <w:r>
        <w:rPr>
          <w:rFonts w:ascii="Calibri" w:eastAsia="Calibri" w:hAnsi="Calibri" w:cs="Times New Roman"/>
          <w:noProof/>
          <w:color w:val="FFFFFF"/>
          <w:sz w:val="20"/>
          <w:lang w:eastAsia="ar-SA"/>
        </w:rPr>
        <w:t xml:space="preserve">instruments, such as taxation to ensure that product prices better reflect environmental costs. The phasing out of environmentally harmful subsidies is monitored in the context of the European Semester and in national reform programmes submitted by Member </w:t>
      </w:r>
      <w:r>
        <w:rPr>
          <w:rFonts w:ascii="Calibri" w:eastAsia="Calibri" w:hAnsi="Calibri" w:cs="Times New Roman"/>
          <w:noProof/>
          <w:color w:val="FFFFFF"/>
          <w:sz w:val="20"/>
          <w:lang w:eastAsia="ar-SA"/>
        </w:rPr>
        <w:t>States.</w:t>
      </w:r>
    </w:p>
    <w:p w:rsidR="006D6E8A" w:rsidRDefault="002E711B">
      <w:pPr>
        <w:spacing w:after="120" w:line="240" w:lineRule="auto"/>
        <w:jc w:val="both"/>
        <w:rPr>
          <w:rFonts w:cs="Times New Roman"/>
          <w:noProof/>
          <w:sz w:val="20"/>
        </w:rPr>
      </w:pPr>
      <w:r>
        <w:rPr>
          <w:rFonts w:cs="Times New Roman"/>
          <w:noProof/>
          <w:sz w:val="20"/>
        </w:rPr>
        <w:t>Taxing pollution and resource use can generate increased revenue and bring important social and environmental benefits.</w:t>
      </w:r>
    </w:p>
    <w:p w:rsidR="006D6E8A" w:rsidRDefault="002E711B">
      <w:pPr>
        <w:spacing w:after="120" w:line="240" w:lineRule="auto"/>
        <w:jc w:val="both"/>
        <w:rPr>
          <w:rFonts w:cs="Times New Roman"/>
          <w:noProof/>
          <w:sz w:val="20"/>
        </w:rPr>
      </w:pPr>
      <w:r>
        <w:rPr>
          <w:rFonts w:cs="Times New Roman"/>
          <w:noProof/>
          <w:sz w:val="20"/>
        </w:rPr>
        <w:t>In 2014, environmental tax revenue amounted to 3.89% of Slovenia’s GDP. This percentage share was the second highest in the EU-2</w:t>
      </w:r>
      <w:r>
        <w:rPr>
          <w:rFonts w:cs="Times New Roman"/>
          <w:noProof/>
          <w:sz w:val="20"/>
        </w:rPr>
        <w:t xml:space="preserve">8 for the year.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D6E8A">
        <w:tc>
          <w:tcPr>
            <w:tcW w:w="4909" w:type="dxa"/>
          </w:tcPr>
          <w:p w:rsidR="006D6E8A" w:rsidRDefault="002E711B">
            <w:pPr>
              <w:spacing w:after="120"/>
              <w:jc w:val="both"/>
              <w:rPr>
                <w:rFonts w:cs="Times New Roman"/>
                <w:b/>
                <w:bCs/>
                <w:noProof/>
                <w:color w:val="1F497D" w:themeColor="text2"/>
                <w:sz w:val="20"/>
              </w:rPr>
            </w:pPr>
            <w:r>
              <w:rPr>
                <w:rFonts w:cs="Times New Roman"/>
                <w:b/>
                <w:bCs/>
                <w:noProof/>
                <w:color w:val="1F497D" w:themeColor="text2"/>
                <w:sz w:val="20"/>
              </w:rPr>
              <w:t xml:space="preserve">Figure 11: </w:t>
            </w:r>
            <w:r>
              <w:rPr>
                <w:b/>
                <w:bCs/>
                <w:noProof/>
                <w:color w:val="1F497D" w:themeColor="text2"/>
                <w:sz w:val="20"/>
              </w:rPr>
              <w:t>Environmental tax revenues as a share of total revenues from taxes and social contributions (excluding imputed social contributions) in 2014</w:t>
            </w:r>
            <w:r>
              <w:rPr>
                <w:b/>
                <w:bCs/>
                <w:noProof/>
                <w:color w:val="1F497D" w:themeColor="text2"/>
                <w:sz w:val="20"/>
                <w:vertAlign w:val="superscript"/>
              </w:rPr>
              <w:footnoteReference w:id="84"/>
            </w:r>
          </w:p>
        </w:tc>
      </w:tr>
      <w:tr w:rsidR="006D6E8A">
        <w:tc>
          <w:tcPr>
            <w:tcW w:w="4909" w:type="dxa"/>
          </w:tcPr>
          <w:p w:rsidR="006D6E8A" w:rsidRDefault="002E711B">
            <w:pPr>
              <w:spacing w:after="120"/>
              <w:jc w:val="both"/>
              <w:rPr>
                <w:rFonts w:cs="Times New Roman"/>
                <w:noProof/>
                <w:sz w:val="20"/>
              </w:rPr>
            </w:pPr>
            <w:r>
              <w:rPr>
                <w:rFonts w:cs="Times New Roman"/>
                <w:noProof/>
                <w:sz w:val="20"/>
                <w:lang w:eastAsia="en-GB"/>
              </w:rPr>
              <w:drawing>
                <wp:inline distT="0" distB="0" distL="0" distR="0" wp14:anchorId="50A38B9E" wp14:editId="2D2FFA2D">
                  <wp:extent cx="2955851" cy="4203829"/>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61596" cy="4211999"/>
                          </a:xfrm>
                          <a:prstGeom prst="rect">
                            <a:avLst/>
                          </a:prstGeom>
                          <a:noFill/>
                        </pic:spPr>
                      </pic:pic>
                    </a:graphicData>
                  </a:graphic>
                </wp:inline>
              </w:drawing>
            </w:r>
          </w:p>
        </w:tc>
      </w:tr>
    </w:tbl>
    <w:p w:rsidR="006D6E8A" w:rsidRDefault="006D6E8A">
      <w:pPr>
        <w:spacing w:after="120" w:line="240" w:lineRule="auto"/>
        <w:jc w:val="both"/>
        <w:rPr>
          <w:noProof/>
          <w:sz w:val="20"/>
        </w:rPr>
      </w:pPr>
      <w:bookmarkStart w:id="44" w:name="_Toc433296179"/>
    </w:p>
    <w:p w:rsidR="006D6E8A" w:rsidRDefault="006D6E8A">
      <w:pPr>
        <w:spacing w:after="120" w:line="240" w:lineRule="auto"/>
        <w:jc w:val="both"/>
        <w:rPr>
          <w:noProof/>
          <w:sz w:val="20"/>
        </w:rPr>
      </w:pPr>
    </w:p>
    <w:p w:rsidR="006D6E8A" w:rsidRDefault="002E711B">
      <w:pPr>
        <w:spacing w:after="120" w:line="240" w:lineRule="auto"/>
        <w:jc w:val="both"/>
        <w:rPr>
          <w:noProof/>
          <w:sz w:val="20"/>
        </w:rPr>
      </w:pPr>
      <w:r>
        <w:rPr>
          <w:noProof/>
          <w:sz w:val="20"/>
        </w:rPr>
        <w:t xml:space="preserve">In the same year environmental tax revenues accounted for 10.61% of total revenues from taxes and social-security contributions (EU-28 average: 6.35%) as shown in Figure 11. It puts Slovenia in the first place among other EU Member States. </w:t>
      </w:r>
      <w:r>
        <w:rPr>
          <w:rFonts w:cs="Times New Roman"/>
          <w:noProof/>
          <w:sz w:val="20"/>
        </w:rPr>
        <w:t xml:space="preserve">The majority of </w:t>
      </w:r>
      <w:r>
        <w:rPr>
          <w:rFonts w:cs="Times New Roman"/>
          <w:noProof/>
          <w:sz w:val="20"/>
        </w:rPr>
        <w:t>Slovenia’s environmental tax revenue for 2014 came from taxation of energy, which amounted to 3.0% of GDP. Transport (excluding fuel) taxes amounted to 0.46% of GDP, and pollution and resource taxes amounted to 0.45% of the country’s GDP.</w:t>
      </w:r>
    </w:p>
    <w:p w:rsidR="006D6E8A" w:rsidRDefault="002E711B">
      <w:pPr>
        <w:spacing w:after="120" w:line="240" w:lineRule="auto"/>
        <w:jc w:val="both"/>
        <w:rPr>
          <w:rFonts w:cs="Times New Roman"/>
          <w:noProof/>
          <w:sz w:val="20"/>
        </w:rPr>
      </w:pPr>
      <w:r>
        <w:rPr>
          <w:rFonts w:cs="Times New Roman"/>
          <w:noProof/>
          <w:sz w:val="20"/>
        </w:rPr>
        <w:t>Slovenia performs</w:t>
      </w:r>
      <w:r>
        <w:rPr>
          <w:rFonts w:cs="Times New Roman"/>
          <w:noProof/>
          <w:sz w:val="20"/>
        </w:rPr>
        <w:t xml:space="preserve"> well in terms of the use of market based instruments to achieve environmental policy objectives.</w:t>
      </w:r>
    </w:p>
    <w:p w:rsidR="006D6E8A" w:rsidRDefault="002E711B">
      <w:pPr>
        <w:spacing w:before="360" w:after="120" w:line="240" w:lineRule="auto"/>
        <w:jc w:val="both"/>
        <w:outlineLvl w:val="1"/>
        <w:rPr>
          <w:rFonts w:cs="Times New Roman"/>
          <w:b/>
          <w:noProof/>
          <w:color w:val="1F497D" w:themeColor="text2"/>
          <w:sz w:val="24"/>
          <w:szCs w:val="20"/>
        </w:rPr>
      </w:pPr>
      <w:bookmarkStart w:id="45" w:name="_Toc469495577"/>
      <w:r>
        <w:rPr>
          <w:rFonts w:cs="Times New Roman"/>
          <w:b/>
          <w:noProof/>
          <w:color w:val="1F497D" w:themeColor="text2"/>
          <w:sz w:val="24"/>
          <w:szCs w:val="20"/>
        </w:rPr>
        <w:t>Green Public Procurement</w:t>
      </w:r>
      <w:bookmarkEnd w:id="44"/>
      <w:bookmarkEnd w:id="45"/>
      <w:r>
        <w:rPr>
          <w:rFonts w:cs="Times New Roman"/>
          <w:b/>
          <w:noProof/>
          <w:color w:val="1F497D" w:themeColor="text2"/>
          <w:sz w:val="24"/>
          <w:szCs w:val="20"/>
        </w:rPr>
        <w:t xml:space="preserve"> </w:t>
      </w:r>
    </w:p>
    <w:p w:rsidR="006D6E8A" w:rsidRDefault="002E711B">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 xml:space="preserve">The EU green public procurement policies encourage Member States to take further steps to reach the target of applying green </w:t>
      </w:r>
      <w:r>
        <w:rPr>
          <w:rFonts w:cs="Times New Roman"/>
          <w:noProof/>
          <w:color w:val="FFFFFF" w:themeColor="background1"/>
          <w:sz w:val="20"/>
        </w:rPr>
        <w:t>procurement criteria to at least 50% of public tenders.</w:t>
      </w:r>
    </w:p>
    <w:p w:rsidR="006D6E8A" w:rsidRDefault="002E711B">
      <w:pPr>
        <w:spacing w:after="120" w:line="240" w:lineRule="auto"/>
        <w:jc w:val="both"/>
        <w:rPr>
          <w:rFonts w:cs="Times New Roman"/>
          <w:noProof/>
          <w:sz w:val="20"/>
        </w:rPr>
      </w:pPr>
      <w:r>
        <w:rPr>
          <w:rFonts w:cs="Times New Roman"/>
          <w:noProof/>
          <w:sz w:val="20"/>
        </w:rPr>
        <w:t>Green Public Procurement (GPP) is a process whereby public authorities seek to procure goods, services and works with a reduced environmental impact throughout their life-cycle when compared to goods,</w:t>
      </w:r>
      <w:r>
        <w:rPr>
          <w:rFonts w:cs="Times New Roman"/>
          <w:noProof/>
          <w:sz w:val="20"/>
        </w:rPr>
        <w:t xml:space="preserve"> services and works with the same primary function that would otherwise be procured. </w:t>
      </w:r>
    </w:p>
    <w:p w:rsidR="006D6E8A" w:rsidRDefault="002E711B">
      <w:pPr>
        <w:widowControl w:val="0"/>
        <w:spacing w:after="120" w:line="240" w:lineRule="auto"/>
        <w:jc w:val="both"/>
        <w:rPr>
          <w:rFonts w:cs="Times New Roman"/>
          <w:noProof/>
          <w:sz w:val="20"/>
        </w:rPr>
      </w:pPr>
      <w:r>
        <w:rPr>
          <w:rFonts w:cs="Times New Roman"/>
          <w:noProof/>
          <w:sz w:val="20"/>
        </w:rPr>
        <w:t>The purchasing power of public procurement equals to approximately 14% of GDP</w:t>
      </w:r>
      <w:r>
        <w:rPr>
          <w:rFonts w:cs="Times New Roman"/>
          <w:noProof/>
          <w:sz w:val="20"/>
          <w:vertAlign w:val="superscript"/>
        </w:rPr>
        <w:footnoteReference w:id="85"/>
      </w:r>
      <w:r>
        <w:rPr>
          <w:rFonts w:cs="Times New Roman"/>
          <w:noProof/>
          <w:sz w:val="20"/>
        </w:rPr>
        <w:t>. A substantial part of this money is spent on sectors with high environmental impact such a</w:t>
      </w:r>
      <w:r>
        <w:rPr>
          <w:rFonts w:cs="Times New Roman"/>
          <w:noProof/>
          <w:sz w:val="20"/>
        </w:rPr>
        <w:t>s construction or transport, so GPP can help to significantly lower the impact of public spending and foster sustainable innovative businesses.</w:t>
      </w:r>
    </w:p>
    <w:p w:rsidR="006D6E8A" w:rsidRDefault="002E711B">
      <w:pPr>
        <w:spacing w:after="120" w:line="240" w:lineRule="auto"/>
        <w:jc w:val="both"/>
        <w:rPr>
          <w:rFonts w:cs="Times New Roman"/>
          <w:noProof/>
          <w:sz w:val="20"/>
        </w:rPr>
      </w:pPr>
      <w:r>
        <w:rPr>
          <w:rFonts w:cs="Times New Roman"/>
          <w:noProof/>
          <w:sz w:val="20"/>
        </w:rPr>
        <w:t xml:space="preserve">A National Action Plan (NAP) was adopted in 2009. The main legislative instrument is the 2011 Decree on GPP for </w:t>
      </w:r>
      <w:r>
        <w:rPr>
          <w:rFonts w:cs="Times New Roman"/>
          <w:noProof/>
          <w:sz w:val="20"/>
        </w:rPr>
        <w:t>procurers to use minimum and ambitious GPP criteria; however, the Decree does not provide for any sanctions for non-compliance. The EU GPP criteria</w:t>
      </w:r>
      <w:r>
        <w:rPr>
          <w:rFonts w:cs="Times New Roman"/>
          <w:noProof/>
          <w:sz w:val="20"/>
          <w:vertAlign w:val="superscript"/>
        </w:rPr>
        <w:footnoteReference w:id="86"/>
      </w:r>
      <w:r>
        <w:rPr>
          <w:rFonts w:cs="Times New Roman"/>
          <w:noProof/>
          <w:sz w:val="20"/>
        </w:rPr>
        <w:t xml:space="preserve"> are recommended for the following product groups: paper, electricity, office equipment, furniture, transpor</w:t>
      </w:r>
      <w:r>
        <w:rPr>
          <w:rFonts w:cs="Times New Roman"/>
          <w:noProof/>
          <w:sz w:val="20"/>
        </w:rPr>
        <w:t>t, food and catering, construction, cleaning products and services</w:t>
      </w:r>
      <w:r>
        <w:rPr>
          <w:rFonts w:cs="Times New Roman"/>
          <w:noProof/>
          <w:sz w:val="20"/>
          <w:vertAlign w:val="superscript"/>
        </w:rPr>
        <w:footnoteReference w:id="87"/>
      </w:r>
      <w:r>
        <w:rPr>
          <w:rFonts w:cs="Times New Roman"/>
          <w:noProof/>
          <w:sz w:val="20"/>
        </w:rPr>
        <w:t>. The key target was to achieve 50% GPP by 2012 by Central Governmental Authorities for eight products categories</w:t>
      </w:r>
      <w:r>
        <w:rPr>
          <w:rFonts w:cs="Times New Roman"/>
          <w:noProof/>
          <w:sz w:val="20"/>
          <w:vertAlign w:val="superscript"/>
        </w:rPr>
        <w:footnoteReference w:id="88"/>
      </w:r>
      <w:r>
        <w:rPr>
          <w:rFonts w:cs="Times New Roman"/>
          <w:noProof/>
          <w:sz w:val="20"/>
        </w:rPr>
        <w:t>. The GPP legislative framework in Slovenia is currently under revision. It</w:t>
      </w:r>
      <w:r>
        <w:rPr>
          <w:rFonts w:cs="Times New Roman"/>
          <w:noProof/>
          <w:sz w:val="20"/>
        </w:rPr>
        <w:t xml:space="preserve"> is planned that the guidelines for GPP criteria in more additional product groups will be prepared.</w:t>
      </w:r>
    </w:p>
    <w:p w:rsidR="006D6E8A" w:rsidRDefault="002E711B">
      <w:pPr>
        <w:spacing w:before="360" w:after="120" w:line="240" w:lineRule="auto"/>
        <w:jc w:val="both"/>
        <w:outlineLvl w:val="1"/>
        <w:rPr>
          <w:rFonts w:cs="Times New Roman"/>
          <w:b/>
          <w:noProof/>
          <w:color w:val="1F497D" w:themeColor="text2"/>
          <w:sz w:val="24"/>
          <w:szCs w:val="20"/>
        </w:rPr>
      </w:pPr>
      <w:bookmarkStart w:id="46" w:name="_Toc469495578"/>
      <w:r>
        <w:rPr>
          <w:rFonts w:cs="Times New Roman"/>
          <w:b/>
          <w:noProof/>
          <w:color w:val="1F497D" w:themeColor="text2"/>
          <w:sz w:val="24"/>
          <w:szCs w:val="20"/>
        </w:rPr>
        <w:t>Investments: the contribution of EU funds</w:t>
      </w:r>
      <w:bookmarkEnd w:id="41"/>
      <w:bookmarkEnd w:id="46"/>
      <w:r>
        <w:rPr>
          <w:rFonts w:cs="Times New Roman"/>
          <w:b/>
          <w:noProof/>
          <w:color w:val="1F497D" w:themeColor="text2"/>
          <w:sz w:val="24"/>
          <w:szCs w:val="20"/>
        </w:rPr>
        <w:t xml:space="preserve"> </w:t>
      </w:r>
    </w:p>
    <w:p w:rsidR="006D6E8A" w:rsidRDefault="002E711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European Structural and Investment Funds Regulations call on Member States to integrate environment and climate </w:t>
      </w:r>
      <w:r>
        <w:rPr>
          <w:rFonts w:cs="Times New Roman"/>
          <w:noProof/>
          <w:color w:val="FFFFFF" w:themeColor="background1"/>
          <w:sz w:val="20"/>
        </w:rPr>
        <w:t xml:space="preserve">objectives in their funding strategies and programmes for economic, social and territorial cohesion, rural development and maritime policy, and reinforce the capacity of implementing bodies to deliver cost-effective and sustainable investments in order to </w:t>
      </w:r>
      <w:r>
        <w:rPr>
          <w:rFonts w:cs="Times New Roman"/>
          <w:noProof/>
          <w:color w:val="FFFFFF" w:themeColor="background1"/>
          <w:sz w:val="20"/>
        </w:rPr>
        <w:t>secure the necessary adequate financial support for investments in these areas.</w:t>
      </w:r>
    </w:p>
    <w:p w:rsidR="006D6E8A" w:rsidRDefault="002E711B">
      <w:pPr>
        <w:widowControl w:val="0"/>
        <w:spacing w:after="120" w:line="240" w:lineRule="auto"/>
        <w:jc w:val="both"/>
        <w:rPr>
          <w:rFonts w:cs="Times New Roman"/>
          <w:noProof/>
          <w:sz w:val="20"/>
        </w:rPr>
      </w:pPr>
      <w:r>
        <w:rPr>
          <w:rFonts w:cs="Times New Roman"/>
          <w:noProof/>
          <w:sz w:val="20"/>
        </w:rPr>
        <w:t xml:space="preserve">Making good use of the </w:t>
      </w:r>
      <w:r>
        <w:rPr>
          <w:rFonts w:cs="Times New Roman"/>
          <w:noProof/>
          <w:sz w:val="20"/>
          <w:szCs w:val="24"/>
        </w:rPr>
        <w:t>European Structural and Investment Funds (ESIF)</w:t>
      </w:r>
      <w:r>
        <w:rPr>
          <w:rFonts w:cs="Times New Roman"/>
          <w:noProof/>
          <w:sz w:val="20"/>
          <w:szCs w:val="24"/>
          <w:vertAlign w:val="superscript"/>
        </w:rPr>
        <w:footnoteReference w:id="89"/>
      </w:r>
      <w:r>
        <w:rPr>
          <w:rFonts w:cs="Times New Roman"/>
          <w:noProof/>
          <w:sz w:val="20"/>
          <w:szCs w:val="24"/>
        </w:rPr>
        <w:t xml:space="preserve"> </w:t>
      </w:r>
      <w:r>
        <w:rPr>
          <w:rFonts w:cs="Times New Roman"/>
          <w:noProof/>
          <w:sz w:val="20"/>
        </w:rPr>
        <w:t xml:space="preserve">is essential to achieve the environmental goals and integrate these into other policy areas. Other </w:t>
      </w:r>
      <w:r>
        <w:rPr>
          <w:rFonts w:cs="Times New Roman"/>
          <w:noProof/>
          <w:sz w:val="20"/>
        </w:rPr>
        <w:t>instruments such as the Horizon 2020, the LIFE programme and European Fund for Strategic Investment</w:t>
      </w:r>
      <w:r>
        <w:rPr>
          <w:rFonts w:cs="Times New Roman"/>
          <w:noProof/>
          <w:sz w:val="20"/>
          <w:vertAlign w:val="superscript"/>
        </w:rPr>
        <w:footnoteReference w:id="90"/>
      </w:r>
      <w:r>
        <w:rPr>
          <w:rFonts w:cs="Times New Roman"/>
          <w:noProof/>
          <w:sz w:val="20"/>
        </w:rPr>
        <w:t xml:space="preserve"> (EFSI) may also support implementation and spread off best practice. </w:t>
      </w:r>
      <w:r>
        <w:rPr>
          <w:rFonts w:cs="Times New Roman"/>
          <w:noProof/>
          <w:sz w:val="20"/>
          <w:szCs w:val="20"/>
        </w:rPr>
        <w:t>The 2014-2020 Partnership Agreement for Slovenia sets the framework for the use of the</w:t>
      </w:r>
      <w:r>
        <w:rPr>
          <w:rFonts w:cs="Times New Roman"/>
          <w:noProof/>
          <w:sz w:val="20"/>
          <w:szCs w:val="20"/>
        </w:rPr>
        <w:t xml:space="preserve"> ESIF. </w:t>
      </w:r>
    </w:p>
    <w:p w:rsidR="006D6E8A" w:rsidRDefault="002E711B">
      <w:pPr>
        <w:spacing w:after="120" w:line="240" w:lineRule="auto"/>
        <w:jc w:val="both"/>
        <w:rPr>
          <w:rFonts w:cs="Times New Roman"/>
          <w:noProof/>
          <w:sz w:val="20"/>
          <w:szCs w:val="20"/>
        </w:rPr>
      </w:pPr>
      <w:r>
        <w:rPr>
          <w:rFonts w:cs="Times New Roman"/>
          <w:noProof/>
          <w:sz w:val="20"/>
          <w:szCs w:val="20"/>
        </w:rPr>
        <w:t>Slovenia is eligible in this period for the overall funds support totalling approximately EUR 3.9 billion (including, approximately EUR 3 billion from the cohesion policy covering ERDF, ESF and CF; EUR 837 million from EAFRD; and EUR 24.8 million f</w:t>
      </w:r>
      <w:r>
        <w:rPr>
          <w:rFonts w:cs="Times New Roman"/>
          <w:noProof/>
          <w:sz w:val="20"/>
          <w:szCs w:val="20"/>
        </w:rPr>
        <w:t>rom the EMFF), see Figure 12.</w:t>
      </w:r>
    </w:p>
    <w:p w:rsidR="006D6E8A" w:rsidRDefault="002E711B">
      <w:pPr>
        <w:spacing w:after="120" w:line="240" w:lineRule="auto"/>
        <w:jc w:val="both"/>
        <w:rPr>
          <w:rFonts w:cs="Times New Roman"/>
          <w:noProof/>
          <w:sz w:val="20"/>
          <w:szCs w:val="20"/>
        </w:rPr>
      </w:pPr>
      <w:r>
        <w:rPr>
          <w:rFonts w:cs="Times New Roman"/>
          <w:noProof/>
          <w:sz w:val="20"/>
          <w:szCs w:val="20"/>
        </w:rPr>
        <w:t>The planned EUR 3 billion from the cohesion policy has a clear focus on the competitiveness and innovation of the economy. Nonetheless, almost EUR 500 million of investment will go for environmental protection and the efficien</w:t>
      </w:r>
      <w:r>
        <w:rPr>
          <w:rFonts w:cs="Times New Roman"/>
          <w:noProof/>
          <w:sz w:val="20"/>
          <w:szCs w:val="20"/>
        </w:rPr>
        <w:t>t and sustainable use of resources</w:t>
      </w:r>
      <w:r>
        <w:rPr>
          <w:rFonts w:cs="Times New Roman"/>
          <w:noProof/>
          <w:sz w:val="20"/>
          <w:szCs w:val="20"/>
          <w:vertAlign w:val="superscript"/>
        </w:rPr>
        <w:footnoteReference w:id="91"/>
      </w:r>
      <w:r>
        <w:rPr>
          <w:rFonts w:cs="Times New Roman"/>
          <w:noProof/>
          <w:sz w:val="20"/>
          <w:szCs w:val="20"/>
        </w:rPr>
        <w:t xml:space="preserve">. It represents 16.6% of the overall Slovenia's cohesion policy budget which is above the EU average. </w:t>
      </w:r>
    </w:p>
    <w:p w:rsidR="006D6E8A" w:rsidRDefault="002E711B">
      <w:pPr>
        <w:spacing w:after="120" w:line="240" w:lineRule="auto"/>
        <w:jc w:val="both"/>
        <w:rPr>
          <w:rFonts w:cs="Times New Roman"/>
          <w:noProof/>
          <w:sz w:val="20"/>
        </w:rPr>
      </w:pPr>
      <w:r>
        <w:rPr>
          <w:rFonts w:cs="Times New Roman"/>
          <w:noProof/>
          <w:sz w:val="20"/>
        </w:rPr>
        <w:t>As regards specific allocations, the key priority is the water sector with a total allocation of about EUR 264 million</w:t>
      </w:r>
      <w:r>
        <w:rPr>
          <w:rFonts w:cs="Times New Roman"/>
          <w:noProof/>
          <w:sz w:val="20"/>
        </w:rPr>
        <w:t xml:space="preserve"> (EUR 125 million for drinking water; EUR 125 million for urban wastewater treatment; and EUR 14 million for other water measures). It is followed by EUR 83 million for the climate change adaptation, specifically for flood protection measures and a slightl</w:t>
      </w:r>
      <w:r>
        <w:rPr>
          <w:rFonts w:cs="Times New Roman"/>
          <w:noProof/>
          <w:sz w:val="20"/>
        </w:rPr>
        <w:t>y lower amount of EUR 78 million for the efficient land use within urban areas. Further EUR 40 million is earmarked for Natura 2000 and biodiversity and EUR 26 million for air quality measures. The list closes EUR 8 million to support environmentally-frien</w:t>
      </w:r>
      <w:r>
        <w:rPr>
          <w:rFonts w:cs="Times New Roman"/>
          <w:noProof/>
          <w:sz w:val="20"/>
        </w:rPr>
        <w:t>dly production processes and resource efficiency in SMEs.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D6E8A">
        <w:trPr>
          <w:trHeight w:val="541"/>
        </w:trPr>
        <w:tc>
          <w:tcPr>
            <w:tcW w:w="7027" w:type="dxa"/>
          </w:tcPr>
          <w:p w:rsidR="006D6E8A" w:rsidRDefault="002E711B">
            <w:pPr>
              <w:spacing w:after="120"/>
              <w:jc w:val="both"/>
              <w:rPr>
                <w:rFonts w:cs="Times New Roman"/>
                <w:noProof/>
                <w:sz w:val="20"/>
              </w:rPr>
            </w:pPr>
            <w:r>
              <w:rPr>
                <w:rFonts w:cs="Times New Roman"/>
                <w:b/>
                <w:bCs/>
                <w:noProof/>
                <w:color w:val="1F497D" w:themeColor="text2"/>
                <w:sz w:val="20"/>
              </w:rPr>
              <w:t>Figure 12: European Structural and Investment Funds 2014-2020: Budget Slovenia by theme, EUR billion</w:t>
            </w:r>
            <w:r>
              <w:rPr>
                <w:rFonts w:cs="Times New Roman"/>
                <w:noProof/>
                <w:sz w:val="20"/>
                <w:vertAlign w:val="superscript"/>
              </w:rPr>
              <w:footnoteReference w:id="92"/>
            </w:r>
          </w:p>
        </w:tc>
      </w:tr>
      <w:tr w:rsidR="006D6E8A">
        <w:trPr>
          <w:trHeight w:val="558"/>
        </w:trPr>
        <w:tc>
          <w:tcPr>
            <w:tcW w:w="7027" w:type="dxa"/>
          </w:tcPr>
          <w:p w:rsidR="006D6E8A" w:rsidRDefault="002E711B">
            <w:pPr>
              <w:spacing w:after="120"/>
              <w:jc w:val="both"/>
              <w:rPr>
                <w:rFonts w:cs="Times New Roman"/>
                <w:noProof/>
                <w:sz w:val="20"/>
              </w:rPr>
            </w:pPr>
            <w:r>
              <w:rPr>
                <w:rFonts w:cs="Times New Roman"/>
                <w:noProof/>
                <w:sz w:val="20"/>
                <w:lang w:eastAsia="en-GB"/>
              </w:rPr>
              <w:drawing>
                <wp:inline distT="0" distB="0" distL="0" distR="0" wp14:anchorId="249D641F" wp14:editId="4516AF96">
                  <wp:extent cx="3115319" cy="3619500"/>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117090" cy="3621557"/>
                          </a:xfrm>
                          <a:prstGeom prst="rect">
                            <a:avLst/>
                          </a:prstGeom>
                        </pic:spPr>
                      </pic:pic>
                    </a:graphicData>
                  </a:graphic>
                </wp:inline>
              </w:drawing>
            </w:r>
          </w:p>
        </w:tc>
      </w:tr>
    </w:tbl>
    <w:p w:rsidR="006D6E8A" w:rsidRDefault="002E711B">
      <w:pPr>
        <w:spacing w:after="120" w:line="240" w:lineRule="auto"/>
        <w:jc w:val="both"/>
        <w:rPr>
          <w:rFonts w:cs="Times New Roman"/>
          <w:noProof/>
          <w:sz w:val="20"/>
        </w:rPr>
      </w:pPr>
      <w:r>
        <w:rPr>
          <w:rFonts w:cs="Times New Roman"/>
          <w:noProof/>
          <w:sz w:val="20"/>
        </w:rPr>
        <w:t xml:space="preserve">It is too early to draw conclusions as regards the use and results of ESIF funds for the </w:t>
      </w:r>
      <w:r>
        <w:rPr>
          <w:rFonts w:cs="Times New Roman"/>
          <w:noProof/>
          <w:sz w:val="20"/>
        </w:rPr>
        <w:t>period 2014-2020, as the cohesion policy operational programme is still at an early stage of the implementation.</w:t>
      </w:r>
    </w:p>
    <w:p w:rsidR="006D6E8A" w:rsidRDefault="002E711B">
      <w:pPr>
        <w:spacing w:after="120" w:line="240" w:lineRule="auto"/>
        <w:jc w:val="both"/>
        <w:rPr>
          <w:rFonts w:cs="Times New Roman"/>
          <w:noProof/>
          <w:sz w:val="20"/>
        </w:rPr>
      </w:pPr>
      <w:r>
        <w:rPr>
          <w:rFonts w:cs="Times New Roman"/>
          <w:noProof/>
          <w:sz w:val="20"/>
        </w:rPr>
        <w:t>For the period 2007-2013, 567 million, or 40 % of the CF budget was allocated to water, wastewater or waste projects. By the end of 2015 Sloven</w:t>
      </w:r>
      <w:r>
        <w:rPr>
          <w:rFonts w:cs="Times New Roman"/>
          <w:noProof/>
          <w:sz w:val="20"/>
        </w:rPr>
        <w:t>ia fully used the allocated funds which were used to construct six new regional centres for waste management throughout the country, extension of drinking water supply networks, the construction and upgrade of water retention basins; the construction and r</w:t>
      </w:r>
      <w:r>
        <w:rPr>
          <w:rFonts w:cs="Times New Roman"/>
          <w:noProof/>
          <w:sz w:val="20"/>
        </w:rPr>
        <w:t>efurbishment of sewage networks and waste water treatment plants. Thanks to these investments, Slovenia increased by 16% the share of adequate wastewater infrastructure in agglomerations above 2000 p.e. Nonetheless, complying with the Urban Wastewater Dire</w:t>
      </w:r>
      <w:r>
        <w:rPr>
          <w:rFonts w:cs="Times New Roman"/>
          <w:noProof/>
          <w:sz w:val="20"/>
        </w:rPr>
        <w:t>ctive remains the main investment gap for Slovenia that even the Structural Funds allocation for 2014-2020 will not be able to bridge.</w:t>
      </w:r>
    </w:p>
    <w:p w:rsidR="006D6E8A" w:rsidRDefault="002E711B">
      <w:pPr>
        <w:spacing w:after="120" w:line="240" w:lineRule="auto"/>
        <w:jc w:val="both"/>
        <w:rPr>
          <w:rFonts w:cs="Times New Roman"/>
          <w:noProof/>
          <w:sz w:val="20"/>
        </w:rPr>
      </w:pPr>
      <w:r>
        <w:rPr>
          <w:rFonts w:cs="Times New Roman"/>
          <w:noProof/>
          <w:sz w:val="20"/>
        </w:rPr>
        <w:t>As during 1995 – 2013 period, mixed municipal waste has decreased significantly, it enabled the country to drop an incine</w:t>
      </w:r>
      <w:r>
        <w:rPr>
          <w:rFonts w:cs="Times New Roman"/>
          <w:noProof/>
          <w:sz w:val="20"/>
        </w:rPr>
        <w:t>ration project and a waste treatment centre. Only six regional waste treatment centres have been built covering the whole country. No more waste infrastructure is foreseen for the 2014-2020 period.</w:t>
      </w:r>
    </w:p>
    <w:p w:rsidR="006D6E8A" w:rsidRDefault="002E711B">
      <w:pPr>
        <w:spacing w:after="120" w:line="240" w:lineRule="auto"/>
        <w:jc w:val="both"/>
        <w:rPr>
          <w:rFonts w:cs="Times New Roman"/>
          <w:noProof/>
          <w:sz w:val="20"/>
        </w:rPr>
      </w:pPr>
      <w:r>
        <w:rPr>
          <w:rFonts w:cs="Times New Roman"/>
          <w:noProof/>
          <w:sz w:val="20"/>
        </w:rPr>
        <w:t>The 2007-2013 cohesion policy spending was affected by the</w:t>
      </w:r>
      <w:r>
        <w:rPr>
          <w:rFonts w:cs="Times New Roman"/>
          <w:noProof/>
          <w:sz w:val="20"/>
        </w:rPr>
        <w:t xml:space="preserve"> transposition gaps of the Directive 2011/92/EU</w:t>
      </w:r>
      <w:r>
        <w:rPr>
          <w:rFonts w:cs="Times New Roman"/>
          <w:noProof/>
          <w:sz w:val="20"/>
          <w:szCs w:val="20"/>
          <w:vertAlign w:val="superscript"/>
        </w:rPr>
        <w:footnoteReference w:id="93"/>
      </w:r>
      <w:r>
        <w:rPr>
          <w:rFonts w:cs="Times New Roman"/>
          <w:noProof/>
          <w:sz w:val="20"/>
        </w:rPr>
        <w:t xml:space="preserve"> (the 'EIA Directive'). It was solved and reflected in the positive assessment of the fulfilment of the horizontal conditionality on environmental legislation for the 2014-2020 funding period. Slovenia has de</w:t>
      </w:r>
      <w:r>
        <w:rPr>
          <w:rFonts w:cs="Times New Roman"/>
          <w:noProof/>
          <w:sz w:val="20"/>
        </w:rPr>
        <w:t>veloped a comprehensive EIA Training Action Plan to ensure appropriate training for the authorities involved in the permitting procedures and learn lessons from the previous financial perspective.</w:t>
      </w:r>
    </w:p>
    <w:p w:rsidR="006D6E8A" w:rsidRDefault="002E711B">
      <w:pPr>
        <w:spacing w:after="120" w:line="240" w:lineRule="auto"/>
        <w:jc w:val="both"/>
        <w:rPr>
          <w:rFonts w:cs="Times New Roman"/>
          <w:noProof/>
          <w:sz w:val="20"/>
        </w:rPr>
      </w:pPr>
      <w:r>
        <w:rPr>
          <w:rFonts w:cs="Times New Roman"/>
          <w:noProof/>
          <w:sz w:val="20"/>
        </w:rPr>
        <w:t xml:space="preserve">The Rural Development Program of Slovenia (the 'RDP'), its </w:t>
      </w:r>
      <w:r>
        <w:rPr>
          <w:rFonts w:cs="Times New Roman"/>
          <w:noProof/>
          <w:sz w:val="20"/>
        </w:rPr>
        <w:t xml:space="preserve">EAFRD part, amounts to about EUR 838 million. The budget for agri-environmental-climate measure represents 18.2% of the total EAFRD. </w:t>
      </w:r>
    </w:p>
    <w:p w:rsidR="006D6E8A" w:rsidRDefault="002E711B">
      <w:pPr>
        <w:spacing w:after="120" w:line="240" w:lineRule="auto"/>
        <w:jc w:val="both"/>
        <w:rPr>
          <w:rFonts w:cs="Times New Roman"/>
          <w:noProof/>
          <w:sz w:val="20"/>
        </w:rPr>
      </w:pPr>
      <w:r>
        <w:rPr>
          <w:rFonts w:cs="Times New Roman"/>
          <w:noProof/>
          <w:sz w:val="20"/>
        </w:rPr>
        <w:t>Contribution of the RDP towards environmental objectives is limited. Natura 2000 compensation measure is not programmed, a</w:t>
      </w:r>
      <w:r>
        <w:rPr>
          <w:rFonts w:cs="Times New Roman"/>
          <w:noProof/>
          <w:sz w:val="20"/>
        </w:rPr>
        <w:t>lthough Slovenia has one of the highest Natura 2000 coverages in the EU. Four schemes in agri-environment-climate measure directly contribute to the implementation of the Natura 2000 Management Programme for 2014-2020.</w:t>
      </w:r>
    </w:p>
    <w:p w:rsidR="006D6E8A" w:rsidRDefault="002E711B">
      <w:pPr>
        <w:spacing w:after="120" w:line="240" w:lineRule="auto"/>
        <w:jc w:val="both"/>
        <w:rPr>
          <w:rFonts w:cs="Times New Roman"/>
          <w:noProof/>
          <w:sz w:val="20"/>
          <w:szCs w:val="20"/>
        </w:rPr>
      </w:pPr>
      <w:r>
        <w:rPr>
          <w:rFonts w:cs="Times New Roman"/>
          <w:noProof/>
          <w:sz w:val="20"/>
          <w:szCs w:val="20"/>
        </w:rPr>
        <w:t>In the context of the RDP, Slovenia i</w:t>
      </w:r>
      <w:r>
        <w:rPr>
          <w:rFonts w:cs="Times New Roman"/>
          <w:noProof/>
          <w:sz w:val="20"/>
          <w:szCs w:val="20"/>
        </w:rPr>
        <w:t>mproved conditions for projects of land consolidation in order not to harm the natural heritage. It does not support drainage investments (as there is a ''moratorium'' on construction of drainage in Slovenia), whereas, irrigation investments need to genera</w:t>
      </w:r>
      <w:r>
        <w:rPr>
          <w:rFonts w:cs="Times New Roman"/>
          <w:noProof/>
          <w:sz w:val="20"/>
          <w:szCs w:val="20"/>
        </w:rPr>
        <w:t>te potential water savings of 15%.</w:t>
      </w:r>
    </w:p>
    <w:p w:rsidR="006D6E8A" w:rsidRDefault="002E711B">
      <w:pPr>
        <w:spacing w:after="120" w:line="240" w:lineRule="auto"/>
        <w:jc w:val="both"/>
        <w:rPr>
          <w:rFonts w:cs="Times New Roman"/>
          <w:noProof/>
          <w:sz w:val="20"/>
          <w:szCs w:val="20"/>
        </w:rPr>
      </w:pPr>
      <w:r>
        <w:rPr>
          <w:rFonts w:cs="Times New Roman"/>
          <w:noProof/>
          <w:sz w:val="20"/>
          <w:szCs w:val="20"/>
        </w:rPr>
        <w:t>With regard to the integration of environmental concerns into the Common Agricultural Policy (CAP), the two key areas for Slovenia (as for all Member States) are, first, using Rural Development funds to pay for environmen</w:t>
      </w:r>
      <w:r>
        <w:rPr>
          <w:rFonts w:cs="Times New Roman"/>
          <w:noProof/>
          <w:sz w:val="20"/>
          <w:szCs w:val="20"/>
        </w:rPr>
        <w:t>tal land management and other environmental measures, while avoiding financing measures which could damage the environment; and second, ensuring an effective implementation of the first pillar of the CAP with regard to cross compliance and the 1st pillar '</w:t>
      </w:r>
      <w:r>
        <w:rPr>
          <w:rFonts w:cs="Times New Roman"/>
          <w:noProof/>
          <w:sz w:val="20"/>
          <w:szCs w:val="20"/>
        </w:rPr>
        <w:t>greening'. 30 % of the direct payments' envelope (out of total of about EUR 680 million for 2015-2020</w:t>
      </w:r>
      <w:r>
        <w:rPr>
          <w:rFonts w:cs="Times New Roman"/>
          <w:noProof/>
          <w:sz w:val="20"/>
          <w:szCs w:val="20"/>
          <w:vertAlign w:val="superscript"/>
        </w:rPr>
        <w:footnoteReference w:id="94"/>
      </w:r>
      <w:r>
        <w:rPr>
          <w:rFonts w:cs="Times New Roman"/>
          <w:noProof/>
          <w:sz w:val="20"/>
          <w:szCs w:val="20"/>
        </w:rPr>
        <w:t>) is allocated to greening practices beneficial to the environment. An environmentally ambitious implementation of the 1st pillar greening would clearly h</w:t>
      </w:r>
      <w:r>
        <w:rPr>
          <w:rFonts w:cs="Times New Roman"/>
          <w:noProof/>
          <w:sz w:val="20"/>
          <w:szCs w:val="20"/>
        </w:rPr>
        <w:t>elp to improve the environmental situation in areas not covered by rural development, including areas of intensive agriculture.</w:t>
      </w:r>
    </w:p>
    <w:p w:rsidR="006D6E8A" w:rsidRDefault="002E711B">
      <w:pPr>
        <w:spacing w:after="120" w:line="240" w:lineRule="auto"/>
        <w:jc w:val="both"/>
        <w:rPr>
          <w:rFonts w:cs="Times New Roman"/>
          <w:noProof/>
          <w:sz w:val="20"/>
          <w:szCs w:val="20"/>
        </w:rPr>
      </w:pPr>
      <w:r>
        <w:rPr>
          <w:rFonts w:cs="Times New Roman"/>
          <w:noProof/>
          <w:sz w:val="20"/>
          <w:szCs w:val="20"/>
        </w:rPr>
        <w:t>For the year 2015 Slovenia made it possible to use only three elements laid down by the regulation as Ecological Focus Areas</w:t>
      </w:r>
      <w:r>
        <w:rPr>
          <w:rFonts w:cs="Times New Roman"/>
          <w:noProof/>
          <w:sz w:val="20"/>
          <w:szCs w:val="20"/>
          <w:vertAlign w:val="superscript"/>
        </w:rPr>
        <w:footnoteReference w:id="95"/>
      </w:r>
      <w:r>
        <w:rPr>
          <w:rFonts w:cs="Times New Roman"/>
          <w:noProof/>
          <w:sz w:val="20"/>
          <w:szCs w:val="20"/>
        </w:rPr>
        <w:t xml:space="preserve"> ou</w:t>
      </w:r>
      <w:r>
        <w:rPr>
          <w:rFonts w:cs="Times New Roman"/>
          <w:noProof/>
          <w:sz w:val="20"/>
          <w:szCs w:val="20"/>
        </w:rPr>
        <w:t>t of possible 19 elements. This is rather a minimalistic approach compared to other Member States. The chosen Ecological Focus Areas are only land laying fallow, areas of catch crops (need to be present on the field as of 15/9-16/10) and nitrogen fixing cr</w:t>
      </w:r>
      <w:r>
        <w:rPr>
          <w:rFonts w:cs="Times New Roman"/>
          <w:noProof/>
          <w:sz w:val="20"/>
          <w:szCs w:val="20"/>
        </w:rPr>
        <w:t xml:space="preserve">ops (also soybean without any biodiversity benefits). </w:t>
      </w:r>
      <w:r>
        <w:rPr>
          <w:rFonts w:cs="Times New Roman"/>
          <w:noProof/>
          <w:sz w:val="20"/>
        </w:rPr>
        <w:t>26% of Natura 2000 grasslands were designated as environmentally sensitive, of which 0 ha outside Natura 2000, which is very modest</w:t>
      </w:r>
      <w:r>
        <w:rPr>
          <w:rFonts w:cs="Times New Roman"/>
          <w:noProof/>
          <w:sz w:val="20"/>
          <w:szCs w:val="20"/>
        </w:rPr>
        <w:t>.</w:t>
      </w:r>
    </w:p>
    <w:p w:rsidR="006D6E8A" w:rsidRDefault="002E711B">
      <w:pPr>
        <w:rPr>
          <w:rFonts w:cs="Times New Roman"/>
          <w:noProof/>
          <w:sz w:val="20"/>
        </w:rPr>
        <w:sectPr w:rsidR="006D6E8A">
          <w:headerReference w:type="even" r:id="rId111"/>
          <w:headerReference w:type="default" r:id="rId112"/>
          <w:footerReference w:type="even" r:id="rId113"/>
          <w:footerReference w:type="default" r:id="rId114"/>
          <w:headerReference w:type="first" r:id="rId115"/>
          <w:footerReference w:type="first" r:id="rId116"/>
          <w:type w:val="continuous"/>
          <w:pgSz w:w="11906" w:h="16838" w:code="9"/>
          <w:pgMar w:top="1440" w:right="1080" w:bottom="1440" w:left="1080" w:header="709" w:footer="709" w:gutter="0"/>
          <w:cols w:num="2" w:space="360"/>
          <w:docGrid w:linePitch="360"/>
        </w:sectPr>
      </w:pPr>
      <w:r>
        <w:rPr>
          <w:rFonts w:cs="Times New Roman"/>
          <w:noProof/>
          <w:sz w:val="20"/>
        </w:rPr>
        <w:br w:type="page"/>
      </w:r>
    </w:p>
    <w:p w:rsidR="006D6E8A" w:rsidRDefault="002E711B">
      <w:pPr>
        <w:keepNext/>
        <w:keepLines/>
        <w:numPr>
          <w:ilvl w:val="0"/>
          <w:numId w:val="26"/>
        </w:numPr>
        <w:spacing w:after="0" w:line="240" w:lineRule="auto"/>
        <w:jc w:val="center"/>
        <w:outlineLvl w:val="0"/>
        <w:rPr>
          <w:rFonts w:eastAsiaTheme="majorEastAsia" w:cstheme="majorBidi"/>
          <w:b/>
          <w:bCs/>
          <w:noProof/>
          <w:color w:val="1F497D" w:themeColor="text2"/>
          <w:sz w:val="32"/>
          <w:szCs w:val="28"/>
        </w:rPr>
      </w:pPr>
      <w:bookmarkStart w:id="47" w:name="_Toc469495579"/>
      <w:r>
        <w:rPr>
          <w:rFonts w:eastAsiaTheme="majorEastAsia" w:cstheme="majorBidi"/>
          <w:b/>
          <w:bCs/>
          <w:noProof/>
          <w:color w:val="1F497D" w:themeColor="text2"/>
          <w:sz w:val="32"/>
          <w:szCs w:val="28"/>
        </w:rPr>
        <w:t>Effective governance and knowledge</w:t>
      </w:r>
      <w:bookmarkEnd w:id="47"/>
    </w:p>
    <w:p w:rsidR="006D6E8A" w:rsidRDefault="006D6E8A">
      <w:pPr>
        <w:spacing w:after="120" w:line="240" w:lineRule="auto"/>
        <w:jc w:val="both"/>
        <w:rPr>
          <w:rFonts w:cs="Times New Roman"/>
          <w:noProof/>
          <w:sz w:val="20"/>
        </w:rPr>
      </w:pPr>
    </w:p>
    <w:p w:rsidR="006D6E8A" w:rsidRDefault="006D6E8A">
      <w:pPr>
        <w:spacing w:after="120" w:line="240" w:lineRule="auto"/>
        <w:jc w:val="both"/>
        <w:rPr>
          <w:rFonts w:cs="Times New Roman"/>
          <w:noProof/>
          <w:sz w:val="20"/>
        </w:rPr>
        <w:sectPr w:rsidR="006D6E8A">
          <w:headerReference w:type="even" r:id="rId117"/>
          <w:headerReference w:type="default" r:id="rId118"/>
          <w:footerReference w:type="even" r:id="rId119"/>
          <w:footerReference w:type="default" r:id="rId120"/>
          <w:headerReference w:type="first" r:id="rId121"/>
          <w:footerReference w:type="first" r:id="rId122"/>
          <w:type w:val="continuous"/>
          <w:pgSz w:w="11906" w:h="16838"/>
          <w:pgMar w:top="1440" w:right="1080" w:bottom="1440" w:left="1080" w:header="708" w:footer="708" w:gutter="0"/>
          <w:cols w:space="566"/>
          <w:docGrid w:linePitch="360"/>
        </w:sectPr>
      </w:pPr>
    </w:p>
    <w:p w:rsidR="006D6E8A" w:rsidRDefault="002E711B">
      <w:pPr>
        <w:shd w:val="clear" w:color="auto" w:fill="4F81BD" w:themeFill="accent1"/>
        <w:spacing w:after="120" w:line="240" w:lineRule="auto"/>
        <w:jc w:val="both"/>
        <w:rPr>
          <w:rFonts w:cs="Times New Roman"/>
          <w:noProof/>
          <w:color w:val="FFFFFF" w:themeColor="background1"/>
          <w:sz w:val="20"/>
        </w:rPr>
      </w:pPr>
      <w:bookmarkStart w:id="48" w:name="_Toc433798401"/>
      <w:r>
        <w:rPr>
          <w:rFonts w:cs="Times New Roman"/>
          <w:noProof/>
          <w:color w:val="FFFFFF" w:themeColor="background1"/>
          <w:sz w:val="20"/>
        </w:rPr>
        <w:t xml:space="preserve">SDG 16 aims at providing access to </w:t>
      </w:r>
      <w:r>
        <w:rPr>
          <w:rFonts w:cs="Times New Roman"/>
          <w:noProof/>
          <w:color w:val="FFFFFF" w:themeColor="background1"/>
          <w:sz w:val="20"/>
        </w:rPr>
        <w:t>justice and building effective, accountable and inclusive institutions at all levels. SDG 17 aims at better implementation, improving policy coordination and policy coherence, stimulating science, technology and innovation, establishing partnerships and de</w:t>
      </w:r>
      <w:r>
        <w:rPr>
          <w:rFonts w:cs="Times New Roman"/>
          <w:noProof/>
          <w:color w:val="FFFFFF" w:themeColor="background1"/>
          <w:sz w:val="20"/>
        </w:rPr>
        <w:t>veloping measurements of progress.</w:t>
      </w:r>
    </w:p>
    <w:p w:rsidR="006D6E8A" w:rsidRDefault="002E711B">
      <w:pPr>
        <w:spacing w:after="120" w:line="240" w:lineRule="auto"/>
        <w:jc w:val="both"/>
        <w:rPr>
          <w:rFonts w:cs="Times New Roman"/>
          <w:noProof/>
          <w:sz w:val="20"/>
        </w:rPr>
      </w:pPr>
      <w:r>
        <w:rPr>
          <w:rFonts w:cs="Times New Roman"/>
          <w:noProof/>
          <w:sz w:val="20"/>
        </w:rPr>
        <w:t xml:space="preserve">Effective governance of EU environmental legislation and policies requires having an appropriate institutional framework, policy coherence and coordination, applying legal and non-legal instruments, engaging with </w:t>
      </w:r>
      <w:r>
        <w:rPr>
          <w:rFonts w:cs="Times New Roman"/>
          <w:noProof/>
          <w:sz w:val="20"/>
        </w:rPr>
        <w:t>non-governmental stakeholders, and having adequate levels of knowledge and skills</w:t>
      </w:r>
      <w:r>
        <w:rPr>
          <w:rFonts w:cs="Times New Roman"/>
          <w:noProof/>
          <w:sz w:val="20"/>
          <w:vertAlign w:val="superscript"/>
        </w:rPr>
        <w:footnoteReference w:id="96"/>
      </w:r>
      <w:r>
        <w:rPr>
          <w:rFonts w:cs="Times New Roman"/>
          <w:noProof/>
          <w:sz w:val="20"/>
        </w:rPr>
        <w:t>. Successful implementation depends, to a large extent, on central, regional and local government fulfilling key legislative and administrative tasks, notably adoption of sou</w:t>
      </w:r>
      <w:r>
        <w:rPr>
          <w:rFonts w:cs="Times New Roman"/>
          <w:noProof/>
          <w:sz w:val="20"/>
        </w:rPr>
        <w:t>nd implementing legislation, co-ordinated action to meet environmental objectives and correct decision-making on matters such as industrial permits. Beyond fulfilment of these tasks, government must intervene to ensure day-to-day compliance by economic ope</w:t>
      </w:r>
      <w:r>
        <w:rPr>
          <w:rFonts w:cs="Times New Roman"/>
          <w:noProof/>
          <w:sz w:val="20"/>
        </w:rPr>
        <w:t>rators, utilities and individuals ("compliance assurance"). Civil society also has a role to play, including through legal action. To underpin the roles of all actors, it is crucial to collect and share knowledge and evidence on the state of the environmen</w:t>
      </w:r>
      <w:r>
        <w:rPr>
          <w:rFonts w:cs="Times New Roman"/>
          <w:noProof/>
          <w:sz w:val="20"/>
        </w:rPr>
        <w:t>t and on environmental pressures, drivers and impacts.</w:t>
      </w:r>
    </w:p>
    <w:p w:rsidR="006D6E8A" w:rsidRDefault="002E711B">
      <w:pPr>
        <w:widowControl w:val="0"/>
        <w:spacing w:after="120" w:line="240" w:lineRule="auto"/>
        <w:jc w:val="both"/>
        <w:rPr>
          <w:rFonts w:cs="Times New Roman"/>
          <w:noProof/>
          <w:sz w:val="20"/>
        </w:rPr>
      </w:pPr>
      <w:r>
        <w:rPr>
          <w:rFonts w:cs="Times New Roman"/>
          <w:noProof/>
          <w:sz w:val="20"/>
          <w:szCs w:val="20"/>
          <w:lang w:val="en-US"/>
        </w:rPr>
        <w:t>Equally, effective governance of EU environmental legislation and policies benefits from a dialogue within Member States and between Member States and the Commission on whether the current EU environme</w:t>
      </w:r>
      <w:r>
        <w:rPr>
          <w:rFonts w:cs="Times New Roman"/>
          <w:noProof/>
          <w:sz w:val="20"/>
          <w:szCs w:val="20"/>
          <w:lang w:val="en-US"/>
        </w:rPr>
        <w:t xml:space="preserve">ntal legislation is fit for purpose. Legislation can only be properly implemented when it takes into account experiences at Member State level with putting EU commitments into effect. The Make it Work initiative, a Member State driven project, established </w:t>
      </w:r>
      <w:r>
        <w:rPr>
          <w:rFonts w:cs="Times New Roman"/>
          <w:noProof/>
          <w:sz w:val="20"/>
          <w:szCs w:val="20"/>
          <w:lang w:val="en-US"/>
        </w:rPr>
        <w:t>in 2014, organizes a discussion on how the clarity, coherence and structure of EU environmental legislation can be improved without lowering existing protection standards.</w:t>
      </w:r>
    </w:p>
    <w:p w:rsidR="006D6E8A" w:rsidRDefault="002E711B">
      <w:pPr>
        <w:widowControl w:val="0"/>
        <w:spacing w:before="360" w:after="120" w:line="240" w:lineRule="auto"/>
        <w:jc w:val="both"/>
        <w:rPr>
          <w:rFonts w:cs="Times New Roman"/>
          <w:b/>
          <w:noProof/>
          <w:color w:val="1F497D" w:themeColor="text2"/>
          <w:sz w:val="24"/>
          <w:szCs w:val="20"/>
        </w:rPr>
      </w:pPr>
      <w:bookmarkStart w:id="49" w:name="_Toc455589321"/>
      <w:r>
        <w:rPr>
          <w:rFonts w:cs="Times New Roman"/>
          <w:b/>
          <w:noProof/>
          <w:color w:val="1F497D" w:themeColor="text2"/>
          <w:sz w:val="24"/>
          <w:szCs w:val="20"/>
        </w:rPr>
        <w:t>Effective governance within central, regional and local government</w:t>
      </w:r>
      <w:bookmarkEnd w:id="49"/>
    </w:p>
    <w:bookmarkEnd w:id="48"/>
    <w:p w:rsidR="006D6E8A" w:rsidRDefault="002E711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Those involved in</w:t>
      </w:r>
      <w:r>
        <w:rPr>
          <w:rFonts w:cs="Times New Roman"/>
          <w:noProof/>
          <w:color w:val="FFFFFF" w:themeColor="background1"/>
          <w:sz w:val="20"/>
        </w:rPr>
        <w:t xml:space="preserve"> implementing environment legislation at Union, national, regional and local levels need to be equipped with the knowledge, tools and capacity to improve the delivery of benefits from that legislation, and the governance of the enforcement process.</w:t>
      </w:r>
    </w:p>
    <w:p w:rsidR="006D6E8A" w:rsidRDefault="006D6E8A">
      <w:pPr>
        <w:spacing w:after="120" w:line="240" w:lineRule="auto"/>
        <w:jc w:val="both"/>
        <w:outlineLvl w:val="2"/>
        <w:rPr>
          <w:rFonts w:cs="Times New Roman"/>
          <w:b/>
          <w:noProof/>
          <w:color w:val="1F497D" w:themeColor="text2"/>
        </w:rPr>
      </w:pPr>
    </w:p>
    <w:p w:rsidR="006D6E8A" w:rsidRDefault="002E711B">
      <w:pPr>
        <w:spacing w:after="120" w:line="240" w:lineRule="auto"/>
        <w:jc w:val="both"/>
        <w:outlineLvl w:val="2"/>
        <w:rPr>
          <w:rFonts w:cs="Times New Roman"/>
          <w:b/>
          <w:noProof/>
          <w:color w:val="1F497D" w:themeColor="text2"/>
        </w:rPr>
      </w:pPr>
      <w:r>
        <w:rPr>
          <w:rFonts w:cs="Times New Roman"/>
          <w:b/>
          <w:noProof/>
          <w:color w:val="1F497D" w:themeColor="text2"/>
        </w:rPr>
        <w:t>Capaci</w:t>
      </w:r>
      <w:r>
        <w:rPr>
          <w:rFonts w:cs="Times New Roman"/>
          <w:b/>
          <w:noProof/>
          <w:color w:val="1F497D" w:themeColor="text2"/>
        </w:rPr>
        <w:t>ty to implement rules</w:t>
      </w:r>
    </w:p>
    <w:p w:rsidR="006D6E8A" w:rsidRDefault="002E711B">
      <w:pPr>
        <w:spacing w:after="120" w:line="240" w:lineRule="auto"/>
        <w:jc w:val="both"/>
        <w:rPr>
          <w:rFonts w:cs="Times New Roman"/>
          <w:noProof/>
          <w:sz w:val="20"/>
        </w:rPr>
      </w:pPr>
      <w:r>
        <w:rPr>
          <w:noProof/>
          <w:color w:val="000000" w:themeColor="text1"/>
          <w:sz w:val="20"/>
        </w:rPr>
        <w:t xml:space="preserve">It is crucial that central, regional and local administrations have the necessary capacities and skills and training to carry out their own tasks and co-operate and co-ordinate effectively with each other, within a system of </w:t>
      </w:r>
      <w:r>
        <w:rPr>
          <w:noProof/>
          <w:color w:val="000000" w:themeColor="text1"/>
          <w:sz w:val="20"/>
        </w:rPr>
        <w:t>multi-level governance.</w:t>
      </w:r>
    </w:p>
    <w:p w:rsidR="006D6E8A" w:rsidRDefault="002E711B">
      <w:pPr>
        <w:spacing w:after="120" w:line="240" w:lineRule="auto"/>
        <w:jc w:val="both"/>
        <w:rPr>
          <w:rFonts w:cs="Times New Roman"/>
          <w:i/>
          <w:noProof/>
          <w:sz w:val="20"/>
        </w:rPr>
      </w:pPr>
      <w:r>
        <w:rPr>
          <w:rFonts w:cs="Times New Roman"/>
          <w:noProof/>
          <w:sz w:val="20"/>
        </w:rPr>
        <w:t>In accordance with the 2015 Council recommendations</w:t>
      </w:r>
      <w:r>
        <w:rPr>
          <w:rFonts w:cs="Times New Roman"/>
          <w:noProof/>
          <w:sz w:val="20"/>
          <w:vertAlign w:val="superscript"/>
        </w:rPr>
        <w:footnoteReference w:id="97"/>
      </w:r>
      <w:r>
        <w:rPr>
          <w:rFonts w:cs="Times New Roman"/>
          <w:noProof/>
          <w:sz w:val="20"/>
        </w:rPr>
        <w:t xml:space="preserve">, </w:t>
      </w:r>
      <w:r>
        <w:rPr>
          <w:rFonts w:cs="Times New Roman"/>
          <w:i/>
          <w:noProof/>
          <w:sz w:val="20"/>
        </w:rPr>
        <w:t>"An unsupportive business environment in Slovenia is a key factor for low investment levels in Slovenian business and the high number of laws and numerous changes in the legislat</w:t>
      </w:r>
      <w:r>
        <w:rPr>
          <w:rFonts w:cs="Times New Roman"/>
          <w:i/>
          <w:noProof/>
          <w:sz w:val="20"/>
        </w:rPr>
        <w:t xml:space="preserve">ion make it difficult to run a business and comply with local regulation." </w:t>
      </w:r>
      <w:r>
        <w:rPr>
          <w:rFonts w:cs="Times New Roman"/>
          <w:noProof/>
          <w:sz w:val="20"/>
        </w:rPr>
        <w:t>It is reinstated in the Commission Staff Working Document on Member States Investment Challenges</w:t>
      </w:r>
      <w:r>
        <w:rPr>
          <w:rFonts w:cs="Times New Roman"/>
          <w:noProof/>
          <w:sz w:val="20"/>
          <w:vertAlign w:val="superscript"/>
        </w:rPr>
        <w:footnoteReference w:id="98"/>
      </w:r>
      <w:r>
        <w:rPr>
          <w:rFonts w:cs="Times New Roman"/>
          <w:noProof/>
          <w:sz w:val="20"/>
        </w:rPr>
        <w:t xml:space="preserve">.   </w:t>
      </w:r>
    </w:p>
    <w:p w:rsidR="006D6E8A" w:rsidRDefault="002E711B">
      <w:pPr>
        <w:spacing w:after="120" w:line="240" w:lineRule="auto"/>
        <w:jc w:val="both"/>
        <w:rPr>
          <w:rFonts w:cs="Times New Roman"/>
          <w:noProof/>
          <w:sz w:val="20"/>
        </w:rPr>
      </w:pPr>
      <w:r>
        <w:rPr>
          <w:rFonts w:cs="Times New Roman"/>
          <w:noProof/>
          <w:sz w:val="20"/>
        </w:rPr>
        <w:t xml:space="preserve">To address these investment challenges, the authorities are planning to reform </w:t>
      </w:r>
      <w:r>
        <w:rPr>
          <w:rFonts w:cs="Times New Roman"/>
          <w:noProof/>
          <w:sz w:val="20"/>
        </w:rPr>
        <w:t>the spatial planning and building legislation. Any changes should ensure compliance with the EU environmental legislation, in particular, Directives 2011/92/EU, 2001/42/EC</w:t>
      </w:r>
      <w:r>
        <w:rPr>
          <w:rFonts w:cs="Times New Roman"/>
          <w:noProof/>
          <w:sz w:val="20"/>
          <w:vertAlign w:val="superscript"/>
        </w:rPr>
        <w:footnoteReference w:id="99"/>
      </w:r>
      <w:r>
        <w:rPr>
          <w:rFonts w:cs="Times New Roman"/>
          <w:noProof/>
          <w:sz w:val="20"/>
        </w:rPr>
        <w:t xml:space="preserve"> and 92/43/EEC</w:t>
      </w:r>
      <w:r>
        <w:rPr>
          <w:rFonts w:cs="Times New Roman"/>
          <w:noProof/>
          <w:sz w:val="20"/>
          <w:vertAlign w:val="superscript"/>
        </w:rPr>
        <w:footnoteReference w:id="100"/>
      </w:r>
      <w:r>
        <w:rPr>
          <w:rFonts w:cs="Times New Roman"/>
          <w:noProof/>
          <w:sz w:val="20"/>
        </w:rPr>
        <w:t xml:space="preserve"> and correct the deficiencies identified by on-going infringement act</w:t>
      </w:r>
      <w:r>
        <w:rPr>
          <w:rFonts w:cs="Times New Roman"/>
          <w:noProof/>
          <w:sz w:val="20"/>
        </w:rPr>
        <w:t xml:space="preserve">ion. </w:t>
      </w:r>
    </w:p>
    <w:p w:rsidR="006D6E8A" w:rsidRDefault="002E711B">
      <w:pPr>
        <w:spacing w:after="120" w:line="240" w:lineRule="auto"/>
        <w:jc w:val="both"/>
        <w:outlineLvl w:val="2"/>
        <w:rPr>
          <w:rFonts w:cs="Times New Roman"/>
          <w:b/>
          <w:noProof/>
          <w:color w:val="1F497D" w:themeColor="text2"/>
        </w:rPr>
      </w:pPr>
      <w:r>
        <w:rPr>
          <w:rFonts w:cs="Times New Roman"/>
          <w:b/>
          <w:noProof/>
          <w:color w:val="1F497D" w:themeColor="text2"/>
          <w:lang w:eastAsia="en-GB"/>
        </w:rPr>
        <w:drawing>
          <wp:inline distT="0" distB="0" distL="0" distR="0" wp14:anchorId="125ADB6C" wp14:editId="42A06E1D">
            <wp:extent cx="2980055" cy="2235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parliament iStock_12998100_SMALL.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980055" cy="2235200"/>
                    </a:xfrm>
                    <a:prstGeom prst="rect">
                      <a:avLst/>
                    </a:prstGeom>
                  </pic:spPr>
                </pic:pic>
              </a:graphicData>
            </a:graphic>
          </wp:inline>
        </w:drawing>
      </w:r>
    </w:p>
    <w:p w:rsidR="006D6E8A" w:rsidRDefault="002E711B">
      <w:pPr>
        <w:spacing w:after="120" w:line="240" w:lineRule="auto"/>
        <w:jc w:val="both"/>
        <w:outlineLvl w:val="2"/>
        <w:rPr>
          <w:rFonts w:cs="Times New Roman"/>
          <w:b/>
          <w:noProof/>
          <w:color w:val="1F497D" w:themeColor="text2"/>
        </w:rPr>
      </w:pPr>
      <w:r>
        <w:rPr>
          <w:rFonts w:cs="Times New Roman"/>
          <w:b/>
          <w:noProof/>
          <w:color w:val="1F497D" w:themeColor="text2"/>
        </w:rPr>
        <w:t>Coordination and integration</w:t>
      </w:r>
    </w:p>
    <w:p w:rsidR="006D6E8A" w:rsidRDefault="002E711B">
      <w:pPr>
        <w:spacing w:after="120" w:line="240" w:lineRule="auto"/>
        <w:jc w:val="both"/>
        <w:rPr>
          <w:rFonts w:cs="Times New Roman"/>
          <w:noProof/>
          <w:sz w:val="20"/>
        </w:rPr>
      </w:pPr>
      <w:r>
        <w:rPr>
          <w:rFonts w:cs="Times New Roman"/>
          <w:noProof/>
          <w:sz w:val="20"/>
        </w:rPr>
        <w:t>The transposition of the revised EIA Directive</w:t>
      </w:r>
      <w:r>
        <w:rPr>
          <w:rFonts w:cs="Times New Roman"/>
          <w:noProof/>
          <w:sz w:val="20"/>
          <w:vertAlign w:val="superscript"/>
        </w:rPr>
        <w:footnoteReference w:id="101"/>
      </w:r>
      <w:r>
        <w:rPr>
          <w:rFonts w:cs="Times New Roman"/>
          <w:noProof/>
          <w:sz w:val="20"/>
        </w:rPr>
        <w:t xml:space="preserve"> will be an opportunity to streamline the regulatory framework on environmental assessments. The Commission encourages the streamlining of the environmental assessments because this approach reduces duplication and avoids unnecessary overlaps in environmen</w:t>
      </w:r>
      <w:r>
        <w:rPr>
          <w:rFonts w:cs="Times New Roman"/>
          <w:noProof/>
          <w:sz w:val="20"/>
        </w:rPr>
        <w:t>tal assessments applicable for a particular project. Moreover, streamlining helps reducing unnecessary administrative burden and accelerates decision-making, without compromising the quality of the environmental assessment procedure.  The Commission issued</w:t>
      </w:r>
      <w:r>
        <w:rPr>
          <w:rFonts w:cs="Times New Roman"/>
          <w:noProof/>
          <w:sz w:val="20"/>
        </w:rPr>
        <w:t xml:space="preserve"> a guidance document in 2016 regarding the setting up of coordinated and/or joint procedures that are simultaneously subject to assessments under the EIA Directive, Habitats Directive, Water Framework Directive, and the Industrial Emissions Directive</w:t>
      </w:r>
      <w:r>
        <w:rPr>
          <w:rFonts w:cs="Times New Roman"/>
          <w:noProof/>
          <w:sz w:val="20"/>
          <w:vertAlign w:val="superscript"/>
        </w:rPr>
        <w:footnoteReference w:id="102"/>
      </w:r>
      <w:r>
        <w:rPr>
          <w:rFonts w:cs="Times New Roman"/>
          <w:noProof/>
          <w:sz w:val="20"/>
        </w:rPr>
        <w:t>.</w:t>
      </w:r>
    </w:p>
    <w:p w:rsidR="006D6E8A" w:rsidRDefault="002E711B">
      <w:pPr>
        <w:spacing w:after="120" w:line="240" w:lineRule="auto"/>
        <w:jc w:val="both"/>
        <w:rPr>
          <w:rFonts w:cs="Times New Roman"/>
          <w:noProof/>
          <w:sz w:val="20"/>
        </w:rPr>
      </w:pPr>
      <w:r>
        <w:rPr>
          <w:rFonts w:cs="Times New Roman"/>
          <w:noProof/>
          <w:sz w:val="20"/>
        </w:rPr>
        <w:t>Slo</w:t>
      </w:r>
      <w:r>
        <w:rPr>
          <w:rFonts w:cs="Times New Roman"/>
          <w:noProof/>
          <w:sz w:val="20"/>
        </w:rPr>
        <w:t xml:space="preserve">venia usually ensures timely and correct transposition of the EU environmental directives. </w:t>
      </w:r>
    </w:p>
    <w:p w:rsidR="006D6E8A" w:rsidRDefault="002E711B">
      <w:pPr>
        <w:spacing w:after="120" w:line="240" w:lineRule="auto"/>
        <w:jc w:val="both"/>
        <w:rPr>
          <w:rFonts w:cs="Times New Roman"/>
          <w:noProof/>
          <w:color w:val="7030A0"/>
          <w:sz w:val="20"/>
        </w:rPr>
      </w:pPr>
      <w:r>
        <w:rPr>
          <w:rFonts w:cs="Times New Roman"/>
          <w:noProof/>
          <w:sz w:val="20"/>
        </w:rPr>
        <w:t>Slovenia is among the countries with the highest number of environmental infringement cases and EU Pilot investigations. Most of them are related to waste managemen</w:t>
      </w:r>
      <w:r>
        <w:rPr>
          <w:rFonts w:cs="Times New Roman"/>
          <w:noProof/>
          <w:sz w:val="20"/>
        </w:rPr>
        <w:t>t, air and industrial emissions legislation, and nature protection</w:t>
      </w:r>
      <w:r>
        <w:rPr>
          <w:rFonts w:cs="Times New Roman"/>
          <w:noProof/>
          <w:color w:val="FF0000"/>
          <w:sz w:val="20"/>
        </w:rPr>
        <w:t xml:space="preserve">. </w:t>
      </w:r>
      <w:r>
        <w:rPr>
          <w:rFonts w:cs="Times New Roman"/>
          <w:noProof/>
          <w:color w:val="FF0000"/>
          <w:sz w:val="20"/>
          <w:highlight w:val="green"/>
        </w:rPr>
        <w:t xml:space="preserve"> </w:t>
      </w:r>
    </w:p>
    <w:p w:rsidR="006D6E8A" w:rsidRDefault="002E711B">
      <w:pPr>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D6E8A" w:rsidRDefault="002E711B">
      <w:pPr>
        <w:pStyle w:val="NoSpacing"/>
        <w:rPr>
          <w:noProof/>
        </w:rPr>
      </w:pPr>
      <w:r>
        <w:rPr>
          <w:noProof/>
        </w:rPr>
        <w:t xml:space="preserve">Ensure that the EU environmental legislation is respected as part of the reform of the national permitting system aiming to remove unnecessary administrative burden and </w:t>
      </w:r>
      <w:r>
        <w:rPr>
          <w:noProof/>
        </w:rPr>
        <w:t xml:space="preserve">streamline procedures. </w:t>
      </w:r>
    </w:p>
    <w:p w:rsidR="006D6E8A" w:rsidRDefault="002E711B">
      <w:pPr>
        <w:widowControl w:val="0"/>
        <w:spacing w:before="360" w:after="120" w:line="240" w:lineRule="auto"/>
        <w:jc w:val="both"/>
        <w:rPr>
          <w:rFonts w:cs="Times New Roman"/>
          <w:b/>
          <w:noProof/>
          <w:color w:val="1F497D" w:themeColor="text2"/>
          <w:sz w:val="24"/>
          <w:szCs w:val="20"/>
        </w:rPr>
      </w:pPr>
      <w:r>
        <w:rPr>
          <w:rFonts w:cs="Times New Roman"/>
          <w:b/>
          <w:noProof/>
          <w:color w:val="1F497D" w:themeColor="text2"/>
          <w:sz w:val="24"/>
          <w:szCs w:val="20"/>
        </w:rPr>
        <w:t>Compliance assurance</w:t>
      </w:r>
    </w:p>
    <w:p w:rsidR="006D6E8A" w:rsidRDefault="002E711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EU law generally and specific provisions on inspections, other checks, penalties and environmental liability help lay the basis for the systems Member States need to have in place to secure compliance with EU </w:t>
      </w:r>
      <w:r>
        <w:rPr>
          <w:rFonts w:cs="Times New Roman"/>
          <w:noProof/>
          <w:color w:val="FFFFFF" w:themeColor="background1"/>
          <w:sz w:val="20"/>
        </w:rPr>
        <w:t>environmental rules.</w:t>
      </w:r>
    </w:p>
    <w:p w:rsidR="006D6E8A" w:rsidRDefault="002E711B">
      <w:pPr>
        <w:spacing w:after="120" w:line="240" w:lineRule="auto"/>
        <w:jc w:val="both"/>
        <w:rPr>
          <w:rFonts w:cs="Times New Roman"/>
          <w:noProof/>
          <w:sz w:val="20"/>
        </w:rPr>
      </w:pPr>
      <w:r>
        <w:rPr>
          <w:rFonts w:cs="Times New Roman"/>
          <w:noProof/>
          <w:sz w:val="20"/>
        </w:rPr>
        <w:t>Public authorities help ensure accountability of duty-holders by monitoring and promoting compliance and by taking credible follow-up action (i.e. enforcement) when breaches occur or liabilities arise. Compliance monitoring can be done</w:t>
      </w:r>
      <w:r>
        <w:rPr>
          <w:rFonts w:cs="Times New Roman"/>
          <w:noProof/>
          <w:sz w:val="20"/>
        </w:rPr>
        <w:t xml:space="preserve"> both on the initiative of authorities themselves and in response to citizen complaints. It can involve using various kinds of checks, including inspections for permitted activities, surveillance for possible illegal activities, investigations for crimes a</w:t>
      </w:r>
      <w:r>
        <w:rPr>
          <w:rFonts w:cs="Times New Roman"/>
          <w:noProof/>
          <w:sz w:val="20"/>
        </w:rPr>
        <w:t>nd audits for systemic weaknesses. Similarly, there is a range of means to promote compliance, including awareness-raising campaigns and use of guidance documents and online information tools. Follow-up to breaches and liabilities can include administrativ</w:t>
      </w:r>
      <w:r>
        <w:rPr>
          <w:rFonts w:cs="Times New Roman"/>
          <w:noProof/>
          <w:sz w:val="20"/>
        </w:rPr>
        <w:t>e action (e.g. withdrawal of a permit), use of criminal law</w:t>
      </w:r>
      <w:r>
        <w:rPr>
          <w:rFonts w:cs="Times New Roman"/>
          <w:noProof/>
          <w:sz w:val="20"/>
          <w:vertAlign w:val="superscript"/>
        </w:rPr>
        <w:footnoteReference w:id="103"/>
      </w:r>
      <w:r>
        <w:rPr>
          <w:rFonts w:cs="Times New Roman"/>
          <w:noProof/>
          <w:sz w:val="20"/>
        </w:rPr>
        <w:t xml:space="preserve"> and action under liability law (e.g. required remediation after damage from an accident using liability rules) and contractual law (e.g. measures to require compliance with nature conservation co</w:t>
      </w:r>
      <w:r>
        <w:rPr>
          <w:rFonts w:cs="Times New Roman"/>
          <w:noProof/>
          <w:sz w:val="20"/>
        </w:rPr>
        <w:t>ntracts). Taken together, all of these interventions represent "compliance assurance" as shown in Figure 13.</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D6E8A">
        <w:tc>
          <w:tcPr>
            <w:tcW w:w="4909" w:type="dxa"/>
          </w:tcPr>
          <w:p w:rsidR="006D6E8A" w:rsidRDefault="002E711B">
            <w:pPr>
              <w:spacing w:after="120"/>
              <w:jc w:val="both"/>
              <w:rPr>
                <w:rFonts w:cs="Times New Roman"/>
                <w:b/>
                <w:bCs/>
                <w:noProof/>
                <w:color w:val="1F497D" w:themeColor="text2"/>
                <w:sz w:val="20"/>
              </w:rPr>
            </w:pPr>
            <w:r>
              <w:rPr>
                <w:rFonts w:cs="Times New Roman"/>
                <w:b/>
                <w:bCs/>
                <w:noProof/>
                <w:color w:val="1F497D" w:themeColor="text2"/>
                <w:sz w:val="20"/>
              </w:rPr>
              <w:t>Figure 13: Environmental compliance assurance</w:t>
            </w:r>
          </w:p>
          <w:p w:rsidR="006D6E8A" w:rsidRDefault="002E711B">
            <w:pPr>
              <w:spacing w:after="120"/>
              <w:jc w:val="both"/>
              <w:rPr>
                <w:rFonts w:cs="Times New Roman"/>
                <w:b/>
                <w:bCs/>
                <w:noProof/>
                <w:color w:val="1F497D" w:themeColor="text2"/>
                <w:sz w:val="20"/>
              </w:rPr>
            </w:pPr>
            <w:r>
              <w:rPr>
                <w:rFonts w:cs="Times New Roman"/>
                <w:noProof/>
                <w:sz w:val="20"/>
                <w:lang w:eastAsia="en-GB"/>
              </w:rPr>
              <w:drawing>
                <wp:inline distT="0" distB="0" distL="0" distR="0" wp14:anchorId="1FAD2B00" wp14:editId="51575805">
                  <wp:extent cx="2980055" cy="210566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6D6E8A" w:rsidRDefault="002E711B">
      <w:pPr>
        <w:spacing w:after="120" w:line="240" w:lineRule="auto"/>
        <w:jc w:val="both"/>
        <w:rPr>
          <w:noProof/>
          <w:sz w:val="20"/>
        </w:rPr>
      </w:pPr>
      <w:r>
        <w:rPr>
          <w:noProof/>
          <w:sz w:val="20"/>
        </w:rPr>
        <w:t>Best practice has moved towards a risk-based approach at strategic and operational levels in which</w:t>
      </w:r>
      <w:r>
        <w:rPr>
          <w:noProof/>
          <w:sz w:val="20"/>
        </w:rPr>
        <w:t xml:space="preserve"> the best mix of compliance monitoring, promotion and enforcement is directed at the most serious problems. Best practice also recognises the need for coordination and cooperation between different authorities to ensure consistency, avoid duplication of wo</w:t>
      </w:r>
      <w:r>
        <w:rPr>
          <w:noProof/>
          <w:sz w:val="20"/>
        </w:rPr>
        <w:t>rk and reduce administrative burden. Active participation in established pan-European networks of inspectors, police, prosecutors and judges, such as</w:t>
      </w:r>
      <w:r>
        <w:rPr>
          <w:i/>
          <w:noProof/>
          <w:sz w:val="20"/>
        </w:rPr>
        <w:t xml:space="preserve"> IMPEL</w:t>
      </w:r>
      <w:r>
        <w:rPr>
          <w:i/>
          <w:noProof/>
          <w:sz w:val="20"/>
          <w:vertAlign w:val="superscript"/>
        </w:rPr>
        <w:footnoteReference w:id="104"/>
      </w:r>
      <w:r>
        <w:rPr>
          <w:i/>
          <w:noProof/>
          <w:sz w:val="20"/>
        </w:rPr>
        <w:t>, EUFJE</w:t>
      </w:r>
      <w:r>
        <w:rPr>
          <w:i/>
          <w:noProof/>
          <w:sz w:val="20"/>
          <w:vertAlign w:val="superscript"/>
        </w:rPr>
        <w:footnoteReference w:id="105"/>
      </w:r>
      <w:r>
        <w:rPr>
          <w:i/>
          <w:noProof/>
          <w:sz w:val="20"/>
        </w:rPr>
        <w:t>, ENPE</w:t>
      </w:r>
      <w:r>
        <w:rPr>
          <w:i/>
          <w:noProof/>
          <w:sz w:val="20"/>
          <w:vertAlign w:val="superscript"/>
        </w:rPr>
        <w:footnoteReference w:id="106"/>
      </w:r>
      <w:r>
        <w:rPr>
          <w:i/>
          <w:noProof/>
          <w:sz w:val="20"/>
        </w:rPr>
        <w:t xml:space="preserve"> and EnviCrimeNet</w:t>
      </w:r>
      <w:r>
        <w:rPr>
          <w:i/>
          <w:noProof/>
          <w:sz w:val="20"/>
          <w:vertAlign w:val="superscript"/>
        </w:rPr>
        <w:footnoteReference w:id="107"/>
      </w:r>
      <w:r>
        <w:rPr>
          <w:noProof/>
          <w:sz w:val="20"/>
        </w:rPr>
        <w:t>, is a valuable tool for sharing experience and good practices.</w:t>
      </w:r>
    </w:p>
    <w:p w:rsidR="006D6E8A" w:rsidRDefault="002E711B">
      <w:pPr>
        <w:spacing w:after="120" w:line="240" w:lineRule="auto"/>
        <w:jc w:val="both"/>
        <w:rPr>
          <w:rFonts w:cs="Times New Roman"/>
          <w:noProof/>
          <w:sz w:val="20"/>
        </w:rPr>
      </w:pPr>
      <w:r>
        <w:rPr>
          <w:rFonts w:cs="Times New Roman"/>
          <w:noProof/>
          <w:sz w:val="20"/>
        </w:rPr>
        <w:t>Cur</w:t>
      </w:r>
      <w:r>
        <w:rPr>
          <w:rFonts w:cs="Times New Roman"/>
          <w:noProof/>
          <w:sz w:val="20"/>
        </w:rPr>
        <w:t>rently, there exist a number of sectoral obligations on inspections and the EU directive on environmental liability (ELD)</w:t>
      </w:r>
      <w:r>
        <w:rPr>
          <w:rFonts w:cs="Times New Roman"/>
          <w:noProof/>
          <w:sz w:val="20"/>
          <w:vertAlign w:val="superscript"/>
        </w:rPr>
        <w:t xml:space="preserve"> </w:t>
      </w:r>
      <w:r>
        <w:rPr>
          <w:rFonts w:cs="Times New Roman"/>
          <w:noProof/>
          <w:sz w:val="20"/>
          <w:vertAlign w:val="superscript"/>
        </w:rPr>
        <w:footnoteReference w:id="108"/>
      </w:r>
      <w:r>
        <w:rPr>
          <w:rFonts w:cs="Times New Roman"/>
          <w:noProof/>
          <w:sz w:val="20"/>
        </w:rPr>
        <w:t xml:space="preserve"> provides a means of ensuring that the "polluter-pays principle" is applied when there are accidents and incidents that harm the envi</w:t>
      </w:r>
      <w:r>
        <w:rPr>
          <w:rFonts w:cs="Times New Roman"/>
          <w:noProof/>
          <w:sz w:val="20"/>
        </w:rPr>
        <w:t xml:space="preserve">ronment. There is also publically available information giving insights into existing strengths and weaknesses in each Member State. </w:t>
      </w:r>
    </w:p>
    <w:p w:rsidR="006D6E8A" w:rsidRDefault="002E711B">
      <w:pPr>
        <w:spacing w:after="120" w:line="240" w:lineRule="auto"/>
        <w:jc w:val="both"/>
        <w:rPr>
          <w:rFonts w:cs="Times New Roman"/>
          <w:noProof/>
          <w:sz w:val="20"/>
        </w:rPr>
      </w:pPr>
      <w:r>
        <w:rPr>
          <w:rFonts w:cs="Times New Roman"/>
          <w:noProof/>
          <w:sz w:val="20"/>
        </w:rPr>
        <w:t>For each Member State, the following were therefore reviewed: use of risk-based compliance assurance; coordination and co-</w:t>
      </w:r>
      <w:r>
        <w:rPr>
          <w:rFonts w:cs="Times New Roman"/>
          <w:noProof/>
          <w:sz w:val="20"/>
        </w:rPr>
        <w:t>operation between authorities and participation in pan-European networks; and key aspects of implementation of the ELD based on the Commission's recently published implementation report and REFIT evaluation</w:t>
      </w:r>
      <w:r>
        <w:rPr>
          <w:rFonts w:cs="Times New Roman"/>
          <w:noProof/>
          <w:sz w:val="20"/>
          <w:vertAlign w:val="superscript"/>
        </w:rPr>
        <w:footnoteReference w:id="109"/>
      </w:r>
      <w:r>
        <w:rPr>
          <w:rFonts w:cs="Times New Roman"/>
          <w:noProof/>
          <w:sz w:val="20"/>
        </w:rPr>
        <w:t xml:space="preserve">. </w:t>
      </w:r>
    </w:p>
    <w:p w:rsidR="006D6E8A" w:rsidRDefault="002E711B">
      <w:pPr>
        <w:spacing w:after="0" w:line="240" w:lineRule="auto"/>
        <w:jc w:val="both"/>
        <w:rPr>
          <w:rFonts w:cs="Times New Roman"/>
          <w:noProof/>
          <w:sz w:val="20"/>
        </w:rPr>
      </w:pPr>
      <w:r>
        <w:rPr>
          <w:rFonts w:cs="Times New Roman"/>
          <w:noProof/>
          <w:sz w:val="20"/>
        </w:rPr>
        <w:t>The Inspectorate of the Republic of Slovenia f</w:t>
      </w:r>
      <w:r>
        <w:rPr>
          <w:rFonts w:cs="Times New Roman"/>
          <w:noProof/>
          <w:sz w:val="20"/>
        </w:rPr>
        <w:t>or Environment and Spatial Planning (IRSOP) has developed</w:t>
      </w:r>
      <w:r>
        <w:rPr>
          <w:rFonts w:ascii="Times New Roman" w:hAnsi="Times New Roman" w:cs="Times New Roman"/>
          <w:noProof/>
          <w:color w:val="000000" w:themeColor="text1"/>
          <w:sz w:val="20"/>
          <w:lang w:val="en-US"/>
        </w:rPr>
        <w:t xml:space="preserve"> </w:t>
      </w:r>
      <w:r>
        <w:rPr>
          <w:rFonts w:cs="Times New Roman"/>
          <w:noProof/>
          <w:sz w:val="20"/>
        </w:rPr>
        <w:t>some risk assessment tools for inspections of industrial installations</w:t>
      </w:r>
      <w:r>
        <w:rPr>
          <w:rFonts w:cs="Times New Roman"/>
          <w:noProof/>
          <w:sz w:val="20"/>
          <w:vertAlign w:val="superscript"/>
        </w:rPr>
        <w:footnoteReference w:id="110"/>
      </w:r>
      <w:r>
        <w:rPr>
          <w:rFonts w:cs="Times New Roman"/>
          <w:noProof/>
          <w:sz w:val="20"/>
        </w:rPr>
        <w:t>. Overall challenges have included budget constraints, wide responsibilities and a lack of specialised staff</w:t>
      </w:r>
      <w:r>
        <w:rPr>
          <w:rFonts w:cs="Times New Roman"/>
          <w:noProof/>
          <w:sz w:val="20"/>
          <w:vertAlign w:val="superscript"/>
        </w:rPr>
        <w:footnoteReference w:id="111"/>
      </w:r>
      <w:r>
        <w:rPr>
          <w:rFonts w:cs="Times New Roman"/>
          <w:noProof/>
          <w:sz w:val="20"/>
        </w:rPr>
        <w:t xml:space="preserve">. </w:t>
      </w:r>
    </w:p>
    <w:p w:rsidR="006D6E8A" w:rsidRDefault="006D6E8A">
      <w:pPr>
        <w:spacing w:after="0" w:line="240" w:lineRule="auto"/>
        <w:jc w:val="both"/>
        <w:rPr>
          <w:rFonts w:cs="Times New Roman"/>
          <w:noProof/>
          <w:sz w:val="20"/>
        </w:rPr>
      </w:pPr>
    </w:p>
    <w:p w:rsidR="006D6E8A" w:rsidRDefault="002E711B">
      <w:pPr>
        <w:spacing w:after="0" w:line="240" w:lineRule="auto"/>
        <w:jc w:val="both"/>
        <w:rPr>
          <w:rFonts w:cs="Times New Roman"/>
          <w:noProof/>
          <w:sz w:val="20"/>
        </w:rPr>
      </w:pPr>
      <w:r>
        <w:rPr>
          <w:rFonts w:cs="Times New Roman"/>
          <w:noProof/>
          <w:sz w:val="20"/>
        </w:rPr>
        <w:t xml:space="preserve">Up-to-date </w:t>
      </w:r>
      <w:r>
        <w:rPr>
          <w:rFonts w:cs="Times New Roman"/>
          <w:noProof/>
          <w:sz w:val="20"/>
        </w:rPr>
        <w:t>information is lacking in relation to the following:</w:t>
      </w:r>
    </w:p>
    <w:p w:rsidR="006D6E8A" w:rsidRDefault="002E711B">
      <w:pPr>
        <w:numPr>
          <w:ilvl w:val="0"/>
          <w:numId w:val="27"/>
        </w:numPr>
        <w:spacing w:after="120" w:line="240" w:lineRule="auto"/>
        <w:contextualSpacing/>
        <w:jc w:val="both"/>
        <w:rPr>
          <w:rFonts w:cs="Times New Roman"/>
          <w:noProof/>
          <w:sz w:val="20"/>
        </w:rPr>
      </w:pPr>
      <w:r>
        <w:rPr>
          <w:rFonts w:cs="Times New Roman"/>
          <w:noProof/>
          <w:sz w:val="20"/>
        </w:rPr>
        <w:t>data-collection arrangements to track the use and effectiveness of different compliance assurance interventions</w:t>
      </w:r>
      <w:r>
        <w:rPr>
          <w:rFonts w:cs="Times New Roman"/>
          <w:noProof/>
          <w:sz w:val="20"/>
          <w:vertAlign w:val="superscript"/>
        </w:rPr>
        <w:footnoteReference w:id="112"/>
      </w:r>
      <w:r>
        <w:rPr>
          <w:rFonts w:cs="Times New Roman"/>
          <w:noProof/>
          <w:sz w:val="20"/>
        </w:rPr>
        <w:t>;</w:t>
      </w:r>
    </w:p>
    <w:p w:rsidR="006D6E8A" w:rsidRDefault="002E711B">
      <w:pPr>
        <w:numPr>
          <w:ilvl w:val="0"/>
          <w:numId w:val="27"/>
        </w:numPr>
        <w:spacing w:after="120" w:line="240" w:lineRule="auto"/>
        <w:contextualSpacing/>
        <w:jc w:val="both"/>
        <w:rPr>
          <w:rFonts w:cs="Times New Roman"/>
          <w:noProof/>
          <w:sz w:val="20"/>
        </w:rPr>
      </w:pPr>
      <w:r>
        <w:rPr>
          <w:rFonts w:cs="Times New Roman"/>
          <w:noProof/>
          <w:sz w:val="20"/>
        </w:rPr>
        <w:t>the extent to which risk-based methods are used to direct compliance assurance at the str</w:t>
      </w:r>
      <w:r>
        <w:rPr>
          <w:rFonts w:cs="Times New Roman"/>
          <w:noProof/>
          <w:sz w:val="20"/>
        </w:rPr>
        <w:t>ategic level and in relation to critical activities outside of industrial installations</w:t>
      </w:r>
      <w:r>
        <w:rPr>
          <w:rFonts w:cs="Times New Roman"/>
          <w:noProof/>
          <w:sz w:val="20"/>
          <w:vertAlign w:val="superscript"/>
        </w:rPr>
        <w:footnoteReference w:id="113"/>
      </w:r>
      <w:r>
        <w:rPr>
          <w:rFonts w:cs="Times New Roman"/>
          <w:noProof/>
          <w:sz w:val="20"/>
        </w:rPr>
        <w:t>, in particular in specific problem-areas highlighted elsewhere in this Country Report, i.e. issues related to illegal dumping, the threats to protected habitat types a</w:t>
      </w:r>
      <w:r>
        <w:rPr>
          <w:rFonts w:cs="Times New Roman"/>
          <w:noProof/>
          <w:sz w:val="20"/>
        </w:rPr>
        <w:t>nd species, air quality breaches and the pressures on water quality from point and diffuse water pollution, including inadequate urban waste-water infrastructure</w:t>
      </w:r>
      <w:r>
        <w:rPr>
          <w:rFonts w:cs="Times New Roman"/>
          <w:noProof/>
          <w:sz w:val="20"/>
          <w:vertAlign w:val="superscript"/>
        </w:rPr>
        <w:footnoteReference w:id="114"/>
      </w:r>
      <w:r>
        <w:rPr>
          <w:rFonts w:cs="Times New Roman"/>
          <w:noProof/>
          <w:sz w:val="20"/>
        </w:rPr>
        <w:t>; and</w:t>
      </w:r>
    </w:p>
    <w:p w:rsidR="006D6E8A" w:rsidRDefault="002E711B">
      <w:pPr>
        <w:numPr>
          <w:ilvl w:val="0"/>
          <w:numId w:val="27"/>
        </w:numPr>
        <w:spacing w:after="120" w:line="240" w:lineRule="auto"/>
        <w:contextualSpacing/>
        <w:jc w:val="both"/>
        <w:rPr>
          <w:rFonts w:cs="Times New Roman"/>
          <w:noProof/>
          <w:sz w:val="20"/>
        </w:rPr>
      </w:pPr>
      <w:r>
        <w:rPr>
          <w:rFonts w:cs="Times New Roman"/>
          <w:noProof/>
          <w:sz w:val="20"/>
        </w:rPr>
        <w:t xml:space="preserve">how the Slovenian authorities ensure a targeted and proportionate response to different </w:t>
      </w:r>
      <w:r>
        <w:rPr>
          <w:rFonts w:cs="Times New Roman"/>
          <w:noProof/>
          <w:sz w:val="20"/>
        </w:rPr>
        <w:t>types of non-compliant behaviour, given that the focus is on administrative procedures and sanctions and that the probability of being prosecuted and criminally sentenced for environmental offences seems to be low</w:t>
      </w:r>
      <w:r>
        <w:rPr>
          <w:rFonts w:cs="Times New Roman"/>
          <w:noProof/>
          <w:sz w:val="20"/>
          <w:vertAlign w:val="superscript"/>
        </w:rPr>
        <w:footnoteReference w:id="115"/>
      </w:r>
      <w:r>
        <w:rPr>
          <w:rFonts w:cs="Times New Roman"/>
          <w:noProof/>
          <w:sz w:val="20"/>
        </w:rPr>
        <w:t xml:space="preserve">. </w:t>
      </w:r>
    </w:p>
    <w:p w:rsidR="006D6E8A" w:rsidRDefault="002E711B">
      <w:pPr>
        <w:spacing w:before="240" w:after="0" w:line="240" w:lineRule="auto"/>
        <w:jc w:val="both"/>
        <w:rPr>
          <w:rFonts w:cs="Times New Roman"/>
          <w:noProof/>
          <w:color w:val="000000" w:themeColor="text1"/>
          <w:sz w:val="20"/>
          <w:szCs w:val="20"/>
        </w:rPr>
      </w:pPr>
      <w:r>
        <w:rPr>
          <w:rFonts w:cs="Times New Roman"/>
          <w:noProof/>
          <w:color w:val="000000" w:themeColor="text1"/>
          <w:sz w:val="20"/>
          <w:szCs w:val="20"/>
          <w:lang w:val="en-US"/>
        </w:rPr>
        <w:t xml:space="preserve">The added value of cooperation between </w:t>
      </w:r>
      <w:r>
        <w:rPr>
          <w:rFonts w:cs="Times New Roman"/>
          <w:noProof/>
          <w:color w:val="000000" w:themeColor="text1"/>
          <w:sz w:val="20"/>
          <w:szCs w:val="20"/>
          <w:lang w:val="en-US"/>
        </w:rPr>
        <w:t>different inspection authorities is recognized and a national Inspection Council has been established to ensure joint implementation of inspection tasks, resolve competence questions and ensure overall consistency</w:t>
      </w:r>
      <w:r>
        <w:rPr>
          <w:rFonts w:cs="Times New Roman"/>
          <w:noProof/>
          <w:color w:val="000000" w:themeColor="text1"/>
          <w:sz w:val="20"/>
          <w:szCs w:val="20"/>
          <w:vertAlign w:val="superscript"/>
          <w:lang w:val="en-US"/>
        </w:rPr>
        <w:footnoteReference w:id="116"/>
      </w:r>
      <w:r>
        <w:rPr>
          <w:rFonts w:cs="Times New Roman"/>
          <w:noProof/>
          <w:color w:val="000000" w:themeColor="text1"/>
          <w:sz w:val="20"/>
          <w:szCs w:val="20"/>
          <w:lang w:val="en-US"/>
        </w:rPr>
        <w:t>. However, a more coordinated approach wit</w:t>
      </w:r>
      <w:r>
        <w:rPr>
          <w:rFonts w:cs="Times New Roman"/>
          <w:noProof/>
          <w:color w:val="000000" w:themeColor="text1"/>
          <w:sz w:val="20"/>
          <w:szCs w:val="20"/>
          <w:lang w:val="en-US"/>
        </w:rPr>
        <w:t>h municipal inspectors and other inspection authorities has been considered necessary, in particular in order to reduce illegal dumping of household waste and to undertake combined inspections on chemicals</w:t>
      </w:r>
      <w:r>
        <w:rPr>
          <w:rFonts w:cs="Times New Roman"/>
          <w:noProof/>
          <w:color w:val="000000" w:themeColor="text1"/>
          <w:sz w:val="20"/>
          <w:szCs w:val="20"/>
          <w:vertAlign w:val="superscript"/>
          <w:lang w:val="en-US"/>
        </w:rPr>
        <w:footnoteReference w:id="117"/>
      </w:r>
      <w:r>
        <w:rPr>
          <w:rFonts w:cs="Times New Roman"/>
          <w:noProof/>
          <w:color w:val="000000" w:themeColor="text1"/>
          <w:sz w:val="20"/>
          <w:szCs w:val="20"/>
          <w:lang w:val="en-US"/>
        </w:rPr>
        <w:t>. Slovenia</w:t>
      </w:r>
      <w:r>
        <w:rPr>
          <w:rFonts w:cs="Times New Roman"/>
          <w:noProof/>
          <w:color w:val="000000" w:themeColor="text1"/>
          <w:sz w:val="20"/>
          <w:szCs w:val="20"/>
        </w:rPr>
        <w:t xml:space="preserve"> is active within IMPEL and hosted an IM</w:t>
      </w:r>
      <w:r>
        <w:rPr>
          <w:rFonts w:cs="Times New Roman"/>
          <w:noProof/>
          <w:color w:val="000000" w:themeColor="text1"/>
          <w:sz w:val="20"/>
          <w:szCs w:val="20"/>
        </w:rPr>
        <w:t xml:space="preserve">PEL peer review in 2010. </w:t>
      </w:r>
    </w:p>
    <w:p w:rsidR="006D6E8A" w:rsidRDefault="006D6E8A">
      <w:pPr>
        <w:spacing w:after="0" w:line="240" w:lineRule="auto"/>
        <w:jc w:val="both"/>
        <w:rPr>
          <w:rFonts w:cs="Times New Roman"/>
          <w:noProof/>
          <w:color w:val="000000" w:themeColor="text1"/>
          <w:sz w:val="20"/>
          <w:szCs w:val="20"/>
        </w:rPr>
      </w:pPr>
    </w:p>
    <w:p w:rsidR="006D6E8A" w:rsidRDefault="002E711B">
      <w:pPr>
        <w:spacing w:after="120" w:line="240" w:lineRule="auto"/>
        <w:jc w:val="both"/>
        <w:rPr>
          <w:rFonts w:cs="Times New Roman"/>
          <w:noProof/>
          <w:sz w:val="20"/>
        </w:rPr>
      </w:pPr>
      <w:r>
        <w:rPr>
          <w:rFonts w:cs="Times New Roman"/>
          <w:noProof/>
          <w:sz w:val="20"/>
        </w:rPr>
        <w:t xml:space="preserve">Slovenia did not report any instance of environmental damage handled under the Environmental Liability Directive for the period 2007-2013. It appears to be short in administrative resources and technical expertise to comply with </w:t>
      </w:r>
      <w:r>
        <w:rPr>
          <w:rFonts w:cs="Times New Roman"/>
          <w:noProof/>
          <w:sz w:val="20"/>
        </w:rPr>
        <w:t xml:space="preserve">the technical requirements under the Directive and there is not much practical experience available in remedying environmental damage. Slovenia decided against mandatory financial security (to pay for remediation if an operator cannot) , instead opting to </w:t>
      </w:r>
      <w:r>
        <w:rPr>
          <w:rFonts w:cs="Times New Roman"/>
          <w:noProof/>
          <w:sz w:val="20"/>
        </w:rPr>
        <w:t xml:space="preserve">promote supply and demand of financial security instruments and to look into the possibility to use an existing environmental fund to cover remediation costs where operators are not identifiable or insolvent. Evidence is lacking of the results. </w:t>
      </w:r>
    </w:p>
    <w:p w:rsidR="006D6E8A" w:rsidRDefault="002E711B">
      <w:pPr>
        <w:spacing w:after="120" w:line="240" w:lineRule="auto"/>
        <w:jc w:val="both"/>
        <w:rPr>
          <w:rFonts w:cstheme="minorHAnsi"/>
          <w:noProof/>
          <w:color w:val="1F497D" w:themeColor="text2"/>
        </w:rPr>
      </w:pPr>
      <w:r>
        <w:rPr>
          <w:rFonts w:cstheme="minorHAnsi"/>
          <w:noProof/>
          <w:color w:val="1F497D" w:themeColor="text2"/>
        </w:rPr>
        <w:t xml:space="preserve">Suggested </w:t>
      </w:r>
      <w:r>
        <w:rPr>
          <w:rFonts w:cstheme="minorHAnsi"/>
          <w:noProof/>
          <w:color w:val="1F497D" w:themeColor="text2"/>
        </w:rPr>
        <w:t>action</w:t>
      </w:r>
    </w:p>
    <w:p w:rsidR="006D6E8A" w:rsidRDefault="002E711B">
      <w:pPr>
        <w:pStyle w:val="NoSpacing"/>
        <w:rPr>
          <w:noProof/>
        </w:rPr>
      </w:pPr>
      <w:r>
        <w:rPr>
          <w:noProof/>
        </w:rPr>
        <w:t>Improve transparency on the organisation and functioning of compliance assurance and on how significant risks are addressed, as outlined above.</w:t>
      </w:r>
    </w:p>
    <w:p w:rsidR="006D6E8A" w:rsidRDefault="002E711B">
      <w:pPr>
        <w:pStyle w:val="NoSpacing"/>
        <w:rPr>
          <w:noProof/>
        </w:rPr>
      </w:pPr>
      <w:r>
        <w:rPr>
          <w:noProof/>
        </w:rPr>
        <w:t>Encourage greater participation of competent authorities in the activities of ENPE, EUFJE and EnviCrimeNe</w:t>
      </w:r>
      <w:r>
        <w:rPr>
          <w:noProof/>
        </w:rPr>
        <w:t xml:space="preserve">t. </w:t>
      </w:r>
    </w:p>
    <w:p w:rsidR="006D6E8A" w:rsidRDefault="002E711B">
      <w:pPr>
        <w:pStyle w:val="NoSpacing"/>
        <w:rPr>
          <w:noProof/>
          <w:color w:val="1F497D" w:themeColor="text2"/>
        </w:rPr>
      </w:pPr>
      <w:r>
        <w:rPr>
          <w:noProof/>
        </w:rPr>
        <w:t>Step up efforts in the implementation of the Environmental Liability Directive (ELD) with proactive initiatives, in particular by setting up a national register of ELD incidents and drafting national guidance. Slovenia should take further steps to ensu</w:t>
      </w:r>
      <w:r>
        <w:rPr>
          <w:noProof/>
        </w:rPr>
        <w:t>re an effective system of financial security for environmental liabilities (so that operators not only have insurance cover available to them but actually take it up).</w:t>
      </w:r>
      <w:r>
        <w:rPr>
          <w:noProof/>
          <w:color w:val="1F497D" w:themeColor="text2"/>
        </w:rPr>
        <w:t xml:space="preserve"> </w:t>
      </w:r>
    </w:p>
    <w:p w:rsidR="006D6E8A" w:rsidRDefault="002E711B">
      <w:pPr>
        <w:spacing w:before="360" w:after="120" w:line="240" w:lineRule="auto"/>
        <w:jc w:val="both"/>
        <w:outlineLvl w:val="1"/>
        <w:rPr>
          <w:rFonts w:cs="Times New Roman"/>
          <w:b/>
          <w:noProof/>
          <w:color w:val="1F497D" w:themeColor="text2"/>
          <w:sz w:val="24"/>
          <w:szCs w:val="20"/>
        </w:rPr>
      </w:pPr>
      <w:bookmarkStart w:id="50" w:name="_Toc439678163"/>
      <w:bookmarkStart w:id="51" w:name="_Toc454457667"/>
      <w:bookmarkStart w:id="52" w:name="_Toc469495580"/>
      <w:r>
        <w:rPr>
          <w:rFonts w:cs="Times New Roman"/>
          <w:b/>
          <w:noProof/>
          <w:color w:val="1F497D" w:themeColor="text2"/>
          <w:sz w:val="24"/>
          <w:szCs w:val="20"/>
        </w:rPr>
        <w:t>Public participation and access to justice</w:t>
      </w:r>
      <w:bookmarkEnd w:id="50"/>
      <w:bookmarkEnd w:id="51"/>
      <w:bookmarkEnd w:id="52"/>
    </w:p>
    <w:p w:rsidR="006D6E8A" w:rsidRDefault="002E711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Aarhus Convention, related EU </w:t>
      </w:r>
      <w:r>
        <w:rPr>
          <w:rFonts w:cs="Times New Roman"/>
          <w:noProof/>
          <w:color w:val="FFFFFF" w:themeColor="background1"/>
          <w:sz w:val="20"/>
        </w:rPr>
        <w:t>legislation on public participation and environmental impact assessment, and the case-law of the Court of Justice require that citizens and their associations should be able to participate in decision-making on projects and plans and should enjoy effective</w:t>
      </w:r>
      <w:r>
        <w:rPr>
          <w:rFonts w:cs="Times New Roman"/>
          <w:noProof/>
          <w:color w:val="FFFFFF" w:themeColor="background1"/>
          <w:sz w:val="20"/>
        </w:rPr>
        <w:t xml:space="preserve"> environmental access to justice.</w:t>
      </w:r>
    </w:p>
    <w:p w:rsidR="006D6E8A" w:rsidRDefault="002E711B">
      <w:pPr>
        <w:spacing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Decision-making and Access to Justice in Environmental Matte</w:t>
      </w:r>
      <w:r>
        <w:rPr>
          <w:rFonts w:cs="Times New Roman"/>
          <w:noProof/>
          <w:sz w:val="20"/>
        </w:rPr>
        <w:t>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Public participation in the administrative decision making process is an important element to ensure that the authority takes its decision on the best possible basis. The Commission intends to examine compliance with mandatory</w:t>
      </w:r>
      <w:r>
        <w:rPr>
          <w:rFonts w:cs="Times New Roman"/>
          <w:noProof/>
          <w:sz w:val="20"/>
        </w:rPr>
        <w:t xml:space="preserve"> public participation requirements more systematically at a later stage.</w:t>
      </w:r>
    </w:p>
    <w:p w:rsidR="006D6E8A" w:rsidRDefault="002E711B">
      <w:pPr>
        <w:spacing w:after="120" w:line="240" w:lineRule="auto"/>
        <w:jc w:val="both"/>
        <w:rPr>
          <w:rFonts w:cs="Times New Roman"/>
          <w:noProof/>
          <w:sz w:val="20"/>
        </w:rPr>
      </w:pPr>
      <w:r>
        <w:rPr>
          <w:rFonts w:cs="Times New Roman"/>
          <w:noProof/>
          <w:sz w:val="20"/>
        </w:rPr>
        <w:t>Access to justice in environmental matters is a set of guarantees that allows citizens and their associations to challenge acts or omissions of the public administration before a cour</w:t>
      </w:r>
      <w:r>
        <w:rPr>
          <w:rFonts w:cs="Times New Roman"/>
          <w:noProof/>
          <w:sz w:val="20"/>
        </w:rPr>
        <w:t>t. It is a tool for decentralised implementation of EU environmental law.</w:t>
      </w:r>
    </w:p>
    <w:p w:rsidR="006D6E8A" w:rsidRDefault="002E711B">
      <w:pPr>
        <w:spacing w:after="120" w:line="240" w:lineRule="auto"/>
        <w:jc w:val="both"/>
        <w:rPr>
          <w:rFonts w:cs="Times New Roman"/>
          <w:noProof/>
          <w:sz w:val="20"/>
        </w:rPr>
      </w:pPr>
      <w:r>
        <w:rPr>
          <w:rFonts w:cs="Times New Roman"/>
          <w:noProof/>
          <w:sz w:val="20"/>
        </w:rPr>
        <w:t>For each Member State, two crucial elements for effective access to justice have been systematically reviewed: the legal standing for the public, including NGOs and the extent to whi</w:t>
      </w:r>
      <w:r>
        <w:rPr>
          <w:rFonts w:cs="Times New Roman"/>
          <w:noProof/>
          <w:sz w:val="20"/>
        </w:rPr>
        <w:t>ch prohibitive costs represent a barrier.</w:t>
      </w:r>
    </w:p>
    <w:p w:rsidR="006D6E8A" w:rsidRDefault="002E711B">
      <w:pPr>
        <w:spacing w:after="120" w:line="240" w:lineRule="auto"/>
        <w:jc w:val="both"/>
        <w:rPr>
          <w:rFonts w:cs="Times New Roman"/>
          <w:noProof/>
          <w:sz w:val="20"/>
        </w:rPr>
      </w:pPr>
      <w:r>
        <w:rPr>
          <w:rFonts w:cs="Times New Roman"/>
          <w:noProof/>
          <w:sz w:val="20"/>
        </w:rPr>
        <w:t>In general, the existing rules and provisions in Slovenia concerning access to administrative appeal and to judicial review are predictable and transparent. However, environmental NGOs still do not have legal stand</w:t>
      </w:r>
      <w:r>
        <w:rPr>
          <w:rFonts w:cs="Times New Roman"/>
          <w:noProof/>
          <w:sz w:val="20"/>
        </w:rPr>
        <w:t>ing in many of the environmental sectors. The costs of administrative court procedure, however, are not considered as being prohibitively high</w:t>
      </w:r>
      <w:r>
        <w:rPr>
          <w:rFonts w:cs="Times New Roman"/>
          <w:noProof/>
          <w:sz w:val="20"/>
          <w:vertAlign w:val="superscript"/>
        </w:rPr>
        <w:footnoteReference w:id="118"/>
      </w:r>
      <w:r>
        <w:rPr>
          <w:rFonts w:cs="Times New Roman"/>
          <w:noProof/>
          <w:sz w:val="20"/>
        </w:rPr>
        <w:t>.</w:t>
      </w:r>
    </w:p>
    <w:p w:rsidR="006D6E8A" w:rsidRDefault="002E711B">
      <w:pPr>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6D6E8A" w:rsidRDefault="002E711B">
      <w:pPr>
        <w:pStyle w:val="NoSpacing"/>
        <w:rPr>
          <w:noProof/>
        </w:rPr>
      </w:pPr>
      <w:r>
        <w:rPr>
          <w:noProof/>
        </w:rPr>
        <w:t xml:space="preserve">Ensure standing of environmental NGOs to challenge acts or omissions of a public authority in </w:t>
      </w:r>
      <w:r>
        <w:rPr>
          <w:noProof/>
        </w:rPr>
        <w:t xml:space="preserve">all sectoral EU environmental laws, in full compliance with EU law as well as the Aarhus Convention. </w:t>
      </w:r>
    </w:p>
    <w:p w:rsidR="006D6E8A" w:rsidRDefault="002E711B">
      <w:pPr>
        <w:spacing w:before="360" w:after="120" w:line="240" w:lineRule="auto"/>
        <w:jc w:val="both"/>
        <w:outlineLvl w:val="1"/>
        <w:rPr>
          <w:rFonts w:cs="Times New Roman"/>
          <w:b/>
          <w:noProof/>
          <w:color w:val="1F497D" w:themeColor="text2"/>
          <w:sz w:val="24"/>
          <w:szCs w:val="20"/>
        </w:rPr>
      </w:pPr>
      <w:bookmarkStart w:id="53" w:name="_Toc454457668"/>
      <w:bookmarkStart w:id="54" w:name="_Toc469495581"/>
      <w:r>
        <w:rPr>
          <w:rFonts w:cs="Times New Roman"/>
          <w:b/>
          <w:noProof/>
          <w:color w:val="1F497D" w:themeColor="text2"/>
          <w:sz w:val="24"/>
          <w:szCs w:val="20"/>
        </w:rPr>
        <w:t>Access to information, knowledge and evidence</w:t>
      </w:r>
      <w:bookmarkEnd w:id="53"/>
      <w:bookmarkEnd w:id="54"/>
    </w:p>
    <w:p w:rsidR="006D6E8A" w:rsidRDefault="002E711B">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and related EU legislation on access to information and the sharing of spatial data re</w:t>
      </w:r>
      <w:r>
        <w:rPr>
          <w:rFonts w:cs="Times New Roman"/>
          <w:noProof/>
          <w:color w:val="FFFFFF" w:themeColor="background1"/>
          <w:sz w:val="20"/>
        </w:rPr>
        <w:t xml:space="preserve">quire that the public has access to clear information on the environment, including on how Union environmental law is being implemented. </w:t>
      </w:r>
    </w:p>
    <w:p w:rsidR="006D6E8A" w:rsidRDefault="002E711B">
      <w:pPr>
        <w:spacing w:after="120" w:line="240" w:lineRule="auto"/>
        <w:jc w:val="both"/>
        <w:rPr>
          <w:rFonts w:cs="Times New Roman"/>
          <w:noProof/>
          <w:sz w:val="20"/>
        </w:rPr>
      </w:pPr>
      <w:r>
        <w:rPr>
          <w:rFonts w:cs="Times New Roman"/>
          <w:noProof/>
          <w:sz w:val="20"/>
        </w:rPr>
        <w:t>It is of crucial importance to public authorities, the public and business that environmental information is shared in</w:t>
      </w:r>
      <w:r>
        <w:rPr>
          <w:rFonts w:cs="Times New Roman"/>
          <w:noProof/>
          <w:sz w:val="20"/>
        </w:rPr>
        <w:t xml:space="preserve"> an efficient and effective way. This covers reporting by businesses and public authorities and active dissemination to the public, increasingly through electronic means.</w:t>
      </w:r>
    </w:p>
    <w:p w:rsidR="006D6E8A" w:rsidRDefault="002E711B">
      <w:pPr>
        <w:spacing w:after="120" w:line="240" w:lineRule="auto"/>
        <w:jc w:val="both"/>
        <w:rPr>
          <w:rFonts w:cs="Times New Roman"/>
          <w:noProof/>
          <w:sz w:val="20"/>
        </w:rPr>
      </w:pPr>
      <w:r>
        <w:rPr>
          <w:rFonts w:cs="Times New Roman"/>
          <w:noProof/>
          <w:sz w:val="20"/>
        </w:rPr>
        <w:t>The Aarhus Convention</w:t>
      </w:r>
      <w:r>
        <w:rPr>
          <w:rFonts w:cs="Times New Roman"/>
          <w:noProof/>
          <w:sz w:val="20"/>
          <w:vertAlign w:val="superscript"/>
        </w:rPr>
        <w:footnoteReference w:id="119"/>
      </w:r>
      <w:r>
        <w:rPr>
          <w:rFonts w:cs="Times New Roman"/>
          <w:noProof/>
          <w:sz w:val="20"/>
        </w:rPr>
        <w:t>, the Access to Environmental Information Directive</w:t>
      </w:r>
      <w:r>
        <w:rPr>
          <w:rFonts w:cs="Times New Roman"/>
          <w:noProof/>
          <w:sz w:val="20"/>
          <w:vertAlign w:val="superscript"/>
        </w:rPr>
        <w:footnoteReference w:id="120"/>
      </w:r>
      <w:r>
        <w:rPr>
          <w:rFonts w:cs="Times New Roman"/>
          <w:noProof/>
          <w:sz w:val="20"/>
        </w:rPr>
        <w:t xml:space="preserve"> and the IN</w:t>
      </w:r>
      <w:r>
        <w:rPr>
          <w:rFonts w:cs="Times New Roman"/>
          <w:noProof/>
          <w:sz w:val="20"/>
        </w:rPr>
        <w:t>SPIRE Directive</w:t>
      </w:r>
      <w:r>
        <w:rPr>
          <w:rFonts w:cs="Times New Roman"/>
          <w:noProof/>
          <w:sz w:val="20"/>
          <w:vertAlign w:val="superscript"/>
        </w:rPr>
        <w:footnoteReference w:id="121"/>
      </w:r>
      <w:r>
        <w:rPr>
          <w:rFonts w:cs="Times New Roman"/>
          <w:noProof/>
          <w:sz w:val="20"/>
        </w:rPr>
        <w:t xml:space="preserve"> together create a legal foundation for the sharing of environmental information between public authorities and with the public. They also represent the green part of the ongoing EU e-Government Action Plan</w:t>
      </w:r>
      <w:r>
        <w:rPr>
          <w:rFonts w:cs="Times New Roman"/>
          <w:noProof/>
          <w:sz w:val="20"/>
          <w:vertAlign w:val="superscript"/>
        </w:rPr>
        <w:footnoteReference w:id="122"/>
      </w:r>
      <w:r>
        <w:rPr>
          <w:rFonts w:cs="Times New Roman"/>
          <w:noProof/>
          <w:sz w:val="20"/>
        </w:rPr>
        <w:t>. The first two instruments creat</w:t>
      </w:r>
      <w:r>
        <w:rPr>
          <w:rFonts w:cs="Times New Roman"/>
          <w:noProof/>
          <w:sz w:val="20"/>
        </w:rPr>
        <w:t>e obligations to provide information to the public, both on request and actively. The INSPIRE Directive is a pioneering instrument for electronic data-sharing between public authorities who can vary in their data-sharing policies, e.g. on whether access to</w:t>
      </w:r>
      <w:r>
        <w:rPr>
          <w:rFonts w:cs="Times New Roman"/>
          <w:noProof/>
          <w:sz w:val="20"/>
        </w:rPr>
        <w:t xml:space="preserve"> data is for free. The INSPIRE Directive sets up a geoportal which indicates the level of shared spatial data in each Member State – i.e. data related to specific locations, such as air quality monitoring data. Amongst other benefits it facilitates the pub</w:t>
      </w:r>
      <w:r>
        <w:rPr>
          <w:rFonts w:cs="Times New Roman"/>
          <w:noProof/>
          <w:sz w:val="20"/>
        </w:rPr>
        <w:t xml:space="preserve">lic authorities' reporting obligations. </w:t>
      </w:r>
    </w:p>
    <w:p w:rsidR="006D6E8A" w:rsidRDefault="002E711B">
      <w:pPr>
        <w:spacing w:after="120" w:line="240" w:lineRule="auto"/>
        <w:jc w:val="both"/>
        <w:rPr>
          <w:rFonts w:cs="Times New Roman"/>
          <w:noProof/>
          <w:sz w:val="20"/>
        </w:rPr>
      </w:pPr>
      <w:r>
        <w:rPr>
          <w:rFonts w:cs="Times New Roman"/>
          <w:noProof/>
          <w:sz w:val="20"/>
        </w:rPr>
        <w:t xml:space="preserve">For each Member State, the accessibility of environmental data (based on what the INSPIRE Directive envisages) as well as data-sharing policies ('open data') have been systematically reviewed. </w:t>
      </w:r>
    </w:p>
    <w:p w:rsidR="006D6E8A" w:rsidRDefault="002E711B">
      <w:pPr>
        <w:spacing w:after="120" w:line="240" w:lineRule="auto"/>
        <w:jc w:val="both"/>
        <w:rPr>
          <w:rFonts w:cs="Times New Roman"/>
          <w:noProof/>
          <w:sz w:val="20"/>
        </w:rPr>
      </w:pPr>
      <w:r>
        <w:rPr>
          <w:rFonts w:cs="Times New Roman"/>
          <w:noProof/>
          <w:sz w:val="20"/>
        </w:rPr>
        <w:t xml:space="preserve">Slovenia's </w:t>
      </w:r>
      <w:r>
        <w:rPr>
          <w:rFonts w:cs="Times New Roman"/>
          <w:noProof/>
          <w:sz w:val="20"/>
        </w:rPr>
        <w:t>performance on the implementation of the INSPIRE Directive as enabling framework to actively disseminate environmental information to the public leaves room for improvement. It has indicated in the 3-yearly INSPIRE implementation report</w:t>
      </w:r>
      <w:r>
        <w:rPr>
          <w:rFonts w:cs="Times New Roman"/>
          <w:noProof/>
          <w:sz w:val="20"/>
          <w:vertAlign w:val="superscript"/>
        </w:rPr>
        <w:footnoteReference w:id="123"/>
      </w:r>
      <w:r>
        <w:rPr>
          <w:rFonts w:cs="Times New Roman"/>
          <w:noProof/>
          <w:sz w:val="20"/>
        </w:rPr>
        <w:t xml:space="preserve"> that the necessary</w:t>
      </w:r>
      <w:r>
        <w:rPr>
          <w:rFonts w:cs="Times New Roman"/>
          <w:noProof/>
          <w:sz w:val="20"/>
        </w:rPr>
        <w:t xml:space="preserve"> data-sharing policies allowing access and use of spatial data by national administrations, other Member States' administrations and EU institutions without procedural obstacles are available but not fully implemented. Recently amendments were made to the </w:t>
      </w:r>
      <w:r>
        <w:rPr>
          <w:rFonts w:cs="Times New Roman"/>
          <w:noProof/>
          <w:sz w:val="20"/>
        </w:rPr>
        <w:t xml:space="preserve">Slovenian Public Information Access Act to implement the Directive on the re-use of public sector information. Data gathered in the public administration during the execution of public tasks will have to be available for reuse without charging fees. </w:t>
      </w:r>
    </w:p>
    <w:p w:rsidR="006D6E8A" w:rsidRDefault="002E711B">
      <w:pPr>
        <w:spacing w:after="120" w:line="240" w:lineRule="auto"/>
        <w:jc w:val="both"/>
        <w:rPr>
          <w:rFonts w:cstheme="minorHAnsi"/>
          <w:noProof/>
          <w:color w:val="1F497D" w:themeColor="text2"/>
          <w:sz w:val="20"/>
        </w:rPr>
      </w:pPr>
      <w:r>
        <w:rPr>
          <w:rFonts w:cs="Times New Roman"/>
          <w:noProof/>
          <w:sz w:val="20"/>
        </w:rPr>
        <w:t>Asses</w:t>
      </w:r>
      <w:r>
        <w:rPr>
          <w:rFonts w:cs="Times New Roman"/>
          <w:noProof/>
          <w:sz w:val="20"/>
        </w:rPr>
        <w:t>sments of monitoring reports</w:t>
      </w:r>
      <w:r>
        <w:rPr>
          <w:rFonts w:cs="Times New Roman"/>
          <w:noProof/>
          <w:sz w:val="20"/>
          <w:vertAlign w:val="superscript"/>
        </w:rPr>
        <w:footnoteReference w:id="124"/>
      </w:r>
      <w:r>
        <w:rPr>
          <w:rFonts w:cs="Times New Roman"/>
          <w:noProof/>
          <w:sz w:val="20"/>
        </w:rPr>
        <w:t xml:space="preserve"> and the spatial information that Slovenia has published on the INSPIRE geoportal</w:t>
      </w:r>
      <w:r>
        <w:rPr>
          <w:rFonts w:cs="Times New Roman"/>
          <w:noProof/>
          <w:sz w:val="20"/>
          <w:vertAlign w:val="superscript"/>
        </w:rPr>
        <w:footnoteReference w:id="125"/>
      </w:r>
      <w:r>
        <w:rPr>
          <w:rFonts w:cs="Times New Roman"/>
          <w:noProof/>
          <w:sz w:val="20"/>
        </w:rPr>
        <w:t xml:space="preserve"> indicate that not all spatial information needed for the evaluation and implementation of EU environmental law has been made available or is acc</w:t>
      </w:r>
      <w:r>
        <w:rPr>
          <w:rFonts w:cs="Times New Roman"/>
          <w:noProof/>
          <w:sz w:val="20"/>
        </w:rPr>
        <w:t>essible. The larger part of this missing spatial information consists of the environmental data required to be made available under the existing reporting and monitoring regulations of EU environmental law</w:t>
      </w:r>
      <w:r>
        <w:rPr>
          <w:rFonts w:cstheme="minorHAnsi"/>
          <w:noProof/>
          <w:sz w:val="20"/>
        </w:rPr>
        <w:t>.</w:t>
      </w:r>
    </w:p>
    <w:p w:rsidR="006D6E8A" w:rsidRDefault="002E711B">
      <w:pPr>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D6E8A" w:rsidRDefault="002E711B">
      <w:pPr>
        <w:pStyle w:val="NoSpacing"/>
        <w:rPr>
          <w:noProof/>
        </w:rPr>
      </w:pPr>
      <w:r>
        <w:rPr>
          <w:noProof/>
        </w:rPr>
        <w:t>Critically review the effectiven</w:t>
      </w:r>
      <w:r>
        <w:rPr>
          <w:noProof/>
        </w:rPr>
        <w:t xml:space="preserve">ess of its data policies and amend them, taking 'best practices' into consideration. </w:t>
      </w:r>
    </w:p>
    <w:p w:rsidR="006D6E8A" w:rsidRDefault="002E711B">
      <w:pPr>
        <w:pStyle w:val="NoSpacing"/>
        <w:rPr>
          <w:noProof/>
        </w:rPr>
      </w:pPr>
      <w:r>
        <w:rPr>
          <w:noProof/>
        </w:rPr>
        <w:t>Identify and document all spatial data sets required for the implementation of environmental law, and make the data and documentation at least accessible 'as is' to other</w:t>
      </w:r>
      <w:r>
        <w:rPr>
          <w:noProof/>
        </w:rPr>
        <w:t xml:space="preserve"> public authorities and the public through the digital services foreseen in the INSPIRE Directive. </w:t>
      </w:r>
    </w:p>
    <w:sectPr w:rsidR="006D6E8A">
      <w:headerReference w:type="even" r:id="rId125"/>
      <w:headerReference w:type="default" r:id="rId126"/>
      <w:footerReference w:type="even" r:id="rId127"/>
      <w:footerReference w:type="default" r:id="rId128"/>
      <w:headerReference w:type="first" r:id="rId129"/>
      <w:footerReference w:type="first" r:id="rId130"/>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E8A" w:rsidRDefault="002E711B">
      <w:pPr>
        <w:spacing w:after="0" w:line="240" w:lineRule="auto"/>
      </w:pPr>
      <w:r>
        <w:separator/>
      </w:r>
    </w:p>
  </w:endnote>
  <w:endnote w:type="continuationSeparator" w:id="0">
    <w:p w:rsidR="006D6E8A" w:rsidRDefault="002E7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11B" w:rsidRPr="002E711B" w:rsidRDefault="002E711B" w:rsidP="002E711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Implementation Report – Slovenia</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Implementation Report – Slovenia</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Implementation Report 2016 – Slovenia</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11B" w:rsidRPr="002E711B" w:rsidRDefault="002E711B" w:rsidP="002E711B">
    <w:pPr>
      <w:pStyle w:val="FooterCoverPage"/>
      <w:rPr>
        <w:rFonts w:ascii="Arial" w:hAnsi="Arial" w:cs="Arial"/>
        <w:b/>
        <w:sz w:val="48"/>
      </w:rPr>
    </w:pPr>
    <w:r w:rsidRPr="002E711B">
      <w:rPr>
        <w:rFonts w:ascii="Arial" w:hAnsi="Arial" w:cs="Arial"/>
        <w:b/>
        <w:sz w:val="48"/>
      </w:rPr>
      <w:t>EN</w:t>
    </w:r>
    <w:r w:rsidRPr="002E711B">
      <w:rPr>
        <w:rFonts w:ascii="Arial" w:hAnsi="Arial" w:cs="Arial"/>
        <w:b/>
        <w:sz w:val="48"/>
      </w:rPr>
      <w:tab/>
    </w:r>
    <w:r w:rsidRPr="002E711B">
      <w:rPr>
        <w:rFonts w:ascii="Arial" w:hAnsi="Arial" w:cs="Arial"/>
        <w:b/>
        <w:sz w:val="48"/>
      </w:rPr>
      <w:tab/>
    </w:r>
    <w:fldSimple w:instr=" DOCVARIABLE &quot;LW_Confidence&quot; \* MERGEFORMAT ">
      <w:r>
        <w:t xml:space="preserve"> </w:t>
      </w:r>
    </w:fldSimple>
    <w:r w:rsidRPr="002E711B">
      <w:tab/>
    </w:r>
    <w:r w:rsidRPr="002E711B">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Implementation Report – Slovenia</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Implementation Report – Slovenia</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Implementation Report – Slovenia</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Implementation Report – Slovenia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11B" w:rsidRPr="002E711B" w:rsidRDefault="002E711B" w:rsidP="002E711B">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w:t>
    </w:r>
    <w:r>
      <w:t>ation Report – Slovenia</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Implementation Report – Slovenia</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Implementation Report – Slovenia</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Implementation Report 2016 – Slovenia</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 xml:space="preserve">Environmental </w:t>
    </w:r>
    <w:r>
      <w:t>Implementation Report – Slovenia</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Implementation Report – Slovenia</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Implementation Report – Slovenia</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2E711B">
    <w:pPr>
      <w:pStyle w:val="Footer"/>
      <w:jc w:val="center"/>
    </w:pPr>
    <w:r>
      <w:t>Environmental Implementation Report – Slovenia</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E8A" w:rsidRDefault="002E711B">
      <w:pPr>
        <w:spacing w:after="0" w:line="240" w:lineRule="auto"/>
      </w:pPr>
      <w:r>
        <w:separator/>
      </w:r>
    </w:p>
  </w:footnote>
  <w:footnote w:type="continuationSeparator" w:id="0">
    <w:p w:rsidR="006D6E8A" w:rsidRDefault="002E711B">
      <w:pPr>
        <w:spacing w:after="0" w:line="240" w:lineRule="auto"/>
      </w:pPr>
      <w:r>
        <w:continuationSeparator/>
      </w:r>
    </w:p>
  </w:footnote>
  <w:footnote w:id="1">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
  </w:footnote>
  <w:footnote w:id="2">
    <w:p w:rsidR="006D6E8A" w:rsidRDefault="002E711B">
      <w:pPr>
        <w:pStyle w:val="FootnoteText"/>
        <w:keepLines/>
        <w:widowControl w:val="0"/>
        <w:tabs>
          <w:tab w:val="left" w:pos="240"/>
        </w:tabs>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Decision No. 1386</w:t>
      </w:r>
      <w:r>
        <w:rPr>
          <w:rFonts w:asciiTheme="minorHAnsi" w:hAnsiTheme="minorHAnsi"/>
          <w:sz w:val="16"/>
          <w:szCs w:val="16"/>
        </w:rPr>
        <w:t>/2013/EU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 xml:space="preserve">". </w:t>
      </w:r>
    </w:p>
  </w:footnote>
  <w:footnote w:id="3">
    <w:p w:rsidR="006D6E8A" w:rsidRDefault="002E711B">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United Nations, 2015.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6D6E8A" w:rsidRDefault="002E711B">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4" w:history="1">
        <w:r>
          <w:rPr>
            <w:rStyle w:val="Hyperlink"/>
            <w:rFonts w:asciiTheme="minorHAnsi" w:hAnsiTheme="minorHAnsi"/>
            <w:sz w:val="16"/>
            <w:szCs w:val="16"/>
          </w:rPr>
          <w:t>Proposed Circular Economy Package</w:t>
        </w:r>
      </w:hyperlink>
    </w:p>
  </w:footnote>
  <w:footnote w:id="6">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 as the ratio between gross domestic product (GDP) and domestic material consumption (DMC).</w:t>
      </w:r>
    </w:p>
  </w:footnote>
  <w:footnote w:id="7">
    <w:p w:rsidR="006D6E8A" w:rsidRDefault="002E711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5"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u w:val="none"/>
        </w:rPr>
        <w:t xml:space="preserve"> </w:t>
      </w:r>
      <w:r>
        <w:rPr>
          <w:rStyle w:val="Hyperlink"/>
          <w:rFonts w:asciiTheme="minorHAnsi" w:hAnsiTheme="minorHAnsi" w:cstheme="minorHAnsi"/>
          <w:color w:val="auto"/>
          <w:sz w:val="16"/>
          <w:szCs w:val="16"/>
          <w:u w:val="none"/>
        </w:rPr>
        <w:t>accessed October 2016.</w:t>
      </w:r>
    </w:p>
  </w:footnote>
  <w:footnote w:id="8">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Slovenian Government. 2015, </w:t>
      </w:r>
      <w:hyperlink r:id="rId6" w:history="1">
        <w:r>
          <w:rPr>
            <w:rStyle w:val="Hyperlink"/>
            <w:rFonts w:asciiTheme="minorHAnsi" w:hAnsiTheme="minorHAnsi"/>
            <w:sz w:val="16"/>
            <w:szCs w:val="16"/>
          </w:rPr>
          <w:t>Framework Program</w:t>
        </w:r>
        <w:r>
          <w:rPr>
            <w:rStyle w:val="Hyperlink"/>
            <w:rFonts w:asciiTheme="minorHAnsi" w:hAnsiTheme="minorHAnsi"/>
            <w:sz w:val="16"/>
            <w:szCs w:val="16"/>
          </w:rPr>
          <w:t>me for the Transition to a Green Economy</w:t>
        </w:r>
      </w:hyperlink>
    </w:p>
  </w:footnote>
  <w:footnote w:id="9">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Slovenian Government, 2015. </w:t>
      </w:r>
      <w:hyperlink r:id="rId7" w:history="1">
        <w:r>
          <w:rPr>
            <w:rStyle w:val="Hyperlink"/>
            <w:rFonts w:asciiTheme="minorHAnsi" w:hAnsiTheme="minorHAnsi"/>
            <w:sz w:val="16"/>
            <w:szCs w:val="16"/>
          </w:rPr>
          <w:t>Slovenia’s Smart Specialisation Strategy</w:t>
        </w:r>
      </w:hyperlink>
      <w:r>
        <w:rPr>
          <w:rStyle w:val="Hyperlink"/>
          <w:rFonts w:asciiTheme="minorHAnsi" w:hAnsiTheme="minorHAnsi"/>
          <w:sz w:val="16"/>
          <w:szCs w:val="16"/>
          <w:u w:val="none"/>
        </w:rPr>
        <w:t>.</w:t>
      </w:r>
    </w:p>
  </w:footnote>
  <w:footnote w:id="10">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Vovk M., Reuse Ormož, 2016, Interview on barriers and drivers to circular economy and eco-innovation in Slovenia.</w:t>
      </w:r>
    </w:p>
  </w:footnote>
  <w:footnote w:id="11">
    <w:p w:rsidR="006D6E8A" w:rsidRDefault="002E711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8" w:history="1">
        <w:r>
          <w:rPr>
            <w:rStyle w:val="Hyperlink"/>
            <w:rFonts w:asciiTheme="minorHAnsi" w:hAnsiTheme="minorHAnsi"/>
            <w:sz w:val="16"/>
            <w:szCs w:val="16"/>
          </w:rPr>
          <w:t>Flash 426 Eurobarometer</w:t>
        </w:r>
      </w:hyperlink>
      <w:r>
        <w:rPr>
          <w:rFonts w:asciiTheme="minorHAnsi" w:hAnsiTheme="minorHAnsi"/>
          <w:sz w:val="16"/>
          <w:szCs w:val="16"/>
        </w:rPr>
        <w:t xml:space="preserve"> "SMEs, resour</w:t>
      </w:r>
      <w:r>
        <w:rPr>
          <w:rFonts w:asciiTheme="minorHAnsi" w:hAnsiTheme="minorHAnsi"/>
          <w:sz w:val="16"/>
          <w:szCs w:val="16"/>
        </w:rPr>
        <w:t>ce efficiency and green markets".</w:t>
      </w:r>
    </w:p>
  </w:footnote>
  <w:footnote w:id="12">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Style w:val="FootnoteReference"/>
          <w:rFonts w:asciiTheme="minorHAnsi" w:hAnsiTheme="minorHAnsi"/>
          <w:sz w:val="16"/>
          <w:szCs w:val="16"/>
        </w:rPr>
        <w:t xml:space="preserve"> </w:t>
      </w:r>
      <w:r>
        <w:rPr>
          <w:rFonts w:asciiTheme="minorHAnsi" w:hAnsiTheme="minorHAnsi"/>
          <w:sz w:val="16"/>
          <w:szCs w:val="16"/>
        </w:rPr>
        <w:t>The Flash 426 Eurobarometer "SMEs, resource efficiency and green markets" defines "green job" as a job that directly deals with information, technologies, or materials that preserves or restores environmental quality. Th</w:t>
      </w:r>
      <w:r>
        <w:rPr>
          <w:rFonts w:asciiTheme="minorHAnsi" w:hAnsiTheme="minorHAnsi"/>
          <w:sz w:val="16"/>
          <w:szCs w:val="16"/>
        </w:rPr>
        <w:t>is requires specialised skills, knowledge, training, or experience (e.g. verifying compliance with environmental legislation, monitoring resource efficiency within the company, promoting and selling green products and services).</w:t>
      </w:r>
    </w:p>
  </w:footnote>
  <w:footnote w:id="13">
    <w:p w:rsidR="006D6E8A" w:rsidRDefault="002E711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14">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Prevention Programmes.</w:t>
      </w:r>
    </w:p>
  </w:footnote>
  <w:footnote w:id="15">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Municipal waste consists of waste collected by or on behalf of municipal authorities, or directl</w:t>
      </w:r>
      <w:r>
        <w:rPr>
          <w:rFonts w:asciiTheme="minorHAnsi" w:hAnsiTheme="minorHAnsi"/>
          <w:sz w:val="16"/>
          <w:szCs w:val="16"/>
        </w:rPr>
        <w:t>y by the private sector (business or private non-profit institutions) not on behalf of municipalities.</w:t>
      </w:r>
    </w:p>
  </w:footnote>
  <w:footnote w:id="16">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issue has been spotted by the Slovenian Court of Auditors which suggested that the data is not reliable due to inaccurate records being kept by the ministries.</w:t>
      </w:r>
    </w:p>
  </w:footnote>
  <w:footnote w:id="17">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0" w:history="1">
        <w:r>
          <w:rPr>
            <w:rStyle w:val="Hyperlink"/>
            <w:sz w:val="16"/>
            <w:szCs w:val="16"/>
          </w:rPr>
          <w:t>Municipal waste and treatment, by type of treatment method,</w:t>
        </w:r>
      </w:hyperlink>
      <w:r>
        <w:rPr>
          <w:sz w:val="16"/>
          <w:szCs w:val="16"/>
        </w:rPr>
        <w:t xml:space="preserve"> accessed October 2016</w:t>
      </w:r>
    </w:p>
  </w:footnote>
  <w:footnote w:id="18">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 (and referred to in this report) to calculate their recycling rates a</w:t>
      </w:r>
      <w:r>
        <w:rPr>
          <w:rFonts w:asciiTheme="minorHAnsi" w:hAnsiTheme="minorHAnsi"/>
          <w:sz w:val="16"/>
          <w:szCs w:val="16"/>
        </w:rPr>
        <w:t>nd track compliance with the 2020 target of 50% recycling of municipal waste.</w:t>
      </w:r>
    </w:p>
  </w:footnote>
  <w:footnote w:id="19">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1" w:history="1">
        <w:r>
          <w:rPr>
            <w:rStyle w:val="Hyperlink"/>
            <w:sz w:val="16"/>
            <w:szCs w:val="16"/>
          </w:rPr>
          <w:t>Recycling rate of municipal waste</w:t>
        </w:r>
      </w:hyperlink>
      <w:r>
        <w:rPr>
          <w:sz w:val="16"/>
          <w:szCs w:val="16"/>
        </w:rPr>
        <w:t xml:space="preserve">, accessed </w:t>
      </w:r>
      <w:r>
        <w:rPr>
          <w:rStyle w:val="Hyperlink"/>
          <w:rFonts w:cstheme="minorHAnsi"/>
          <w:sz w:val="16"/>
          <w:szCs w:val="16"/>
        </w:rPr>
        <w:t xml:space="preserve">October </w:t>
      </w:r>
      <w:r>
        <w:rPr>
          <w:rStyle w:val="Hyperlink"/>
          <w:rFonts w:cstheme="minorHAnsi"/>
          <w:sz w:val="16"/>
          <w:szCs w:val="16"/>
        </w:rPr>
        <w:t>2016</w:t>
      </w:r>
    </w:p>
  </w:footnote>
  <w:footnote w:id="20">
    <w:p w:rsidR="006D6E8A" w:rsidRDefault="002E711B">
      <w:pPr>
        <w:autoSpaceDE w:val="0"/>
        <w:autoSpaceDN w:val="0"/>
        <w:adjustRightInd w:val="0"/>
        <w:spacing w:after="0" w:line="240" w:lineRule="auto"/>
        <w:ind w:left="170" w:hanging="170"/>
        <w:rPr>
          <w:bCs/>
          <w:sz w:val="16"/>
          <w:szCs w:val="16"/>
        </w:rPr>
      </w:pPr>
      <w:r>
        <w:rPr>
          <w:rStyle w:val="FootnoteReference"/>
          <w:sz w:val="16"/>
          <w:szCs w:val="16"/>
        </w:rPr>
        <w:footnoteRef/>
      </w:r>
      <w:r>
        <w:rPr>
          <w:sz w:val="16"/>
          <w:szCs w:val="16"/>
        </w:rPr>
        <w:t xml:space="preserve"> European Commission, 2016. </w:t>
      </w:r>
      <w:hyperlink r:id="rId12" w:history="1">
        <w:r>
          <w:rPr>
            <w:rStyle w:val="Hyperlink"/>
            <w:bCs/>
            <w:sz w:val="16"/>
            <w:szCs w:val="16"/>
          </w:rPr>
          <w:t>Support to Implementation</w:t>
        </w:r>
        <w:r>
          <w:rPr>
            <w:rStyle w:val="Hyperlink"/>
            <w:b/>
            <w:bCs/>
            <w:sz w:val="16"/>
            <w:szCs w:val="16"/>
          </w:rPr>
          <w:t xml:space="preserve"> – </w:t>
        </w:r>
        <w:r>
          <w:rPr>
            <w:rStyle w:val="Hyperlink"/>
            <w:bCs/>
            <w:color w:val="auto"/>
            <w:sz w:val="16"/>
            <w:szCs w:val="16"/>
            <w:u w:val="none"/>
          </w:rPr>
          <w:t>The</w:t>
        </w:r>
        <w:r>
          <w:rPr>
            <w:rStyle w:val="Hyperlink"/>
            <w:b/>
            <w:bCs/>
            <w:color w:val="auto"/>
            <w:sz w:val="16"/>
            <w:szCs w:val="16"/>
            <w:u w:val="none"/>
          </w:rPr>
          <w:t xml:space="preserve"> </w:t>
        </w:r>
        <w:r>
          <w:rPr>
            <w:rStyle w:val="Hyperlink"/>
            <w:bCs/>
            <w:color w:val="auto"/>
            <w:sz w:val="16"/>
            <w:szCs w:val="16"/>
            <w:u w:val="none"/>
          </w:rPr>
          <w:t>Commission helps eight Member States to improve their municipal waste management</w:t>
        </w:r>
      </w:hyperlink>
      <w:r>
        <w:rPr>
          <w:bCs/>
          <w:sz w:val="16"/>
          <w:szCs w:val="16"/>
        </w:rPr>
        <w:t>,</w:t>
      </w:r>
      <w:r>
        <w:rPr>
          <w:sz w:val="16"/>
          <w:szCs w:val="16"/>
        </w:rPr>
        <w:t xml:space="preserve"> </w:t>
      </w:r>
      <w:hyperlink r:id="rId13" w:history="1">
        <w:r>
          <w:rPr>
            <w:rStyle w:val="Hyperlink"/>
            <w:bCs/>
            <w:sz w:val="16"/>
            <w:szCs w:val="16"/>
          </w:rPr>
          <w:t>Slovenia country factsheet</w:t>
        </w:r>
      </w:hyperlink>
    </w:p>
  </w:footnote>
  <w:footnote w:id="21">
    <w:p w:rsidR="006D6E8A" w:rsidRDefault="002E711B">
      <w:pPr>
        <w:pStyle w:val="FootnoteText"/>
        <w:ind w:left="170" w:hanging="170"/>
        <w:rPr>
          <w:rFonts w:asciiTheme="minorHAnsi" w:hAnsiTheme="minorHAnsi"/>
          <w:sz w:val="16"/>
          <w:szCs w:val="16"/>
          <w:lang w:val="sv-SE"/>
        </w:rPr>
      </w:pPr>
      <w:r>
        <w:rPr>
          <w:rStyle w:val="FootnoteReference"/>
          <w:rFonts w:asciiTheme="minorHAnsi" w:hAnsiTheme="minorHAnsi"/>
          <w:sz w:val="16"/>
          <w:szCs w:val="16"/>
        </w:rPr>
        <w:footnoteRef/>
      </w:r>
      <w:r>
        <w:rPr>
          <w:rFonts w:asciiTheme="minorHAnsi" w:hAnsiTheme="minorHAnsi"/>
          <w:sz w:val="16"/>
          <w:szCs w:val="16"/>
          <w:lang w:val="sv-SE"/>
        </w:rPr>
        <w:t xml:space="preserve">Dvorsak S., Ekart J., Kroslin T., 2011. </w:t>
      </w:r>
      <w:hyperlink r:id="rId14" w:history="1">
        <w:r>
          <w:rPr>
            <w:rStyle w:val="Hyperlink"/>
            <w:rFonts w:asciiTheme="minorHAnsi" w:hAnsiTheme="minorHAnsi"/>
            <w:sz w:val="16"/>
            <w:szCs w:val="16"/>
            <w:lang w:val="sv-SE"/>
          </w:rPr>
          <w:t>Balkwaste –National Report Slovenia</w:t>
        </w:r>
      </w:hyperlink>
    </w:p>
  </w:footnote>
  <w:footnote w:id="22">
    <w:p w:rsidR="006D6E8A" w:rsidRDefault="002E711B">
      <w:pPr>
        <w:pStyle w:val="FootnoteText"/>
        <w:ind w:left="170" w:hanging="170"/>
        <w:rPr>
          <w:rFonts w:asciiTheme="minorHAnsi" w:hAnsiTheme="minorHAnsi"/>
          <w:sz w:val="16"/>
          <w:szCs w:val="16"/>
          <w:lang w:val="sl-SI"/>
        </w:rPr>
      </w:pPr>
      <w:r>
        <w:rPr>
          <w:rStyle w:val="FootnoteReference"/>
          <w:rFonts w:asciiTheme="minorHAnsi" w:hAnsiTheme="minorHAnsi"/>
          <w:sz w:val="16"/>
          <w:szCs w:val="16"/>
        </w:rPr>
        <w:footnoteRef/>
      </w:r>
      <w:r>
        <w:rPr>
          <w:rFonts w:asciiTheme="minorHAnsi" w:hAnsiTheme="minorHAnsi"/>
          <w:sz w:val="16"/>
          <w:szCs w:val="16"/>
          <w:lang w:val="sv-SE"/>
        </w:rPr>
        <w:t xml:space="preserve"> BIPRO, 2015. </w:t>
      </w:r>
      <w:hyperlink r:id="rId15" w:history="1">
        <w:r>
          <w:rPr>
            <w:rStyle w:val="Hyperlink"/>
            <w:rFonts w:asciiTheme="minorHAnsi" w:hAnsiTheme="minorHAnsi"/>
            <w:sz w:val="16"/>
            <w:szCs w:val="16"/>
          </w:rPr>
          <w:t>Assessment of separate collection schemes in the 28 capitals of the EU</w:t>
        </w:r>
      </w:hyperlink>
    </w:p>
  </w:footnote>
  <w:footnote w:id="23">
    <w:p w:rsidR="006D6E8A" w:rsidRDefault="002E711B">
      <w:pPr>
        <w:pStyle w:val="FootnoteText"/>
        <w:ind w:left="170" w:hanging="170"/>
        <w:rPr>
          <w:rFonts w:asciiTheme="minorHAnsi" w:hAnsiTheme="minorHAnsi"/>
          <w:sz w:val="16"/>
          <w:szCs w:val="16"/>
          <w:lang w:val="sl-SI"/>
        </w:rPr>
      </w:pPr>
      <w:r>
        <w:rPr>
          <w:rStyle w:val="FootnoteReference"/>
          <w:rFonts w:asciiTheme="minorHAnsi" w:hAnsiTheme="minorHAnsi"/>
          <w:sz w:val="16"/>
          <w:szCs w:val="16"/>
        </w:rPr>
        <w:footnoteRef/>
      </w:r>
      <w:r>
        <w:rPr>
          <w:rFonts w:asciiTheme="minorHAnsi" w:hAnsiTheme="minorHAnsi"/>
          <w:sz w:val="16"/>
          <w:szCs w:val="16"/>
          <w:lang w:val="sl-SI"/>
        </w:rPr>
        <w:t xml:space="preserve"> </w:t>
      </w:r>
      <w:hyperlink r:id="rId16" w:history="1">
        <w:r>
          <w:rPr>
            <w:rStyle w:val="Hyperlink"/>
            <w:rFonts w:asciiTheme="minorHAnsi" w:hAnsiTheme="minorHAnsi"/>
            <w:sz w:val="16"/>
            <w:szCs w:val="16"/>
            <w:lang w:val="sl-SI"/>
          </w:rPr>
          <w:t>RCERO Ljubjana, 2015</w:t>
        </w:r>
      </w:hyperlink>
    </w:p>
  </w:footnote>
  <w:footnote w:id="24">
    <w:p w:rsidR="006D6E8A" w:rsidRDefault="002E711B">
      <w:pPr>
        <w:pStyle w:val="FootnoteText"/>
        <w:ind w:left="170" w:hanging="170"/>
        <w:rPr>
          <w:rFonts w:asciiTheme="minorHAnsi" w:hAnsiTheme="minorHAnsi" w:cstheme="minorBid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Bidi"/>
          <w:sz w:val="16"/>
          <w:szCs w:val="16"/>
        </w:rPr>
        <w:t xml:space="preserve">Bio Intelligence service, 2011. </w:t>
      </w:r>
      <w:hyperlink r:id="rId17" w:history="1">
        <w:r>
          <w:rPr>
            <w:rFonts w:asciiTheme="minorHAnsi" w:hAnsiTheme="minorHAnsi" w:cstheme="minorBidi"/>
            <w:color w:val="0000FF"/>
            <w:sz w:val="16"/>
            <w:szCs w:val="16"/>
            <w:u w:val="single"/>
          </w:rPr>
          <w:t>Implementing EU Waste legislation for Green Growth</w:t>
        </w:r>
      </w:hyperlink>
      <w:r>
        <w:rPr>
          <w:rFonts w:asciiTheme="minorHAnsi" w:hAnsiTheme="minorHAnsi" w:cstheme="minorBidi"/>
          <w:sz w:val="16"/>
          <w:szCs w:val="16"/>
        </w:rPr>
        <w:t>, study for the European Commission.</w:t>
      </w:r>
    </w:p>
    <w:p w:rsidR="006D6E8A" w:rsidRDefault="006D6E8A">
      <w:pPr>
        <w:pStyle w:val="FootnoteText"/>
        <w:ind w:left="170" w:hanging="170"/>
        <w:rPr>
          <w:rFonts w:asciiTheme="minorHAnsi" w:hAnsiTheme="minorHAnsi"/>
          <w:sz w:val="16"/>
          <w:szCs w:val="16"/>
          <w:lang w:val="en-US"/>
        </w:rPr>
      </w:pPr>
    </w:p>
  </w:footnote>
  <w:footnote w:id="25">
    <w:p w:rsidR="006D6E8A" w:rsidRDefault="002E711B">
      <w:pPr>
        <w:pStyle w:val="FootnoteText"/>
        <w:widowControl w:val="0"/>
        <w:ind w:left="170" w:hanging="170"/>
        <w:outlineLvl w:val="4"/>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Directive whereas Special Areas of Protection (SPAs) are designated pursuant to the Birds Directive; figures of coverage do not add up due to the fact that some SCIs and SPAs ove</w:t>
      </w:r>
      <w:r>
        <w:rPr>
          <w:rFonts w:asciiTheme="minorHAnsi" w:hAnsiTheme="minorHAnsi"/>
          <w:sz w:val="16"/>
          <w:szCs w:val="16"/>
        </w:rPr>
        <w:t xml:space="preserve">rlap. Special Areas of Conservation (SACs) </w:t>
      </w:r>
      <w:r>
        <w:rPr>
          <w:rFonts w:asciiTheme="minorHAnsi" w:hAnsiTheme="minorHAnsi"/>
          <w:sz w:val="16"/>
          <w:szCs w:val="16"/>
          <w:lang w:val="en"/>
        </w:rPr>
        <w:t>means a SCI designated by the Member States.</w:t>
      </w:r>
    </w:p>
  </w:footnote>
  <w:footnote w:id="26">
    <w:p w:rsidR="006D6E8A" w:rsidRDefault="002E711B">
      <w:pPr>
        <w:pStyle w:val="FootnoteText"/>
        <w:ind w:left="170" w:hanging="17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For each Member State, the Commission assesses whether the species and habitat types on Annexes I and II of the Habitats Directive, are sufficiently represented by the</w:t>
      </w:r>
      <w:r>
        <w:rPr>
          <w:rFonts w:asciiTheme="minorHAnsi" w:hAnsiTheme="minorHAnsi"/>
          <w:sz w:val="16"/>
          <w:szCs w:val="16"/>
          <w:lang w:val="en"/>
        </w:rPr>
        <w:t xml:space="preserve"> sites designated to date. This is expressed as a percentage of species and habitats for which further areas need to be designated in order to complete the network in that country</w:t>
      </w:r>
      <w:r>
        <w:rPr>
          <w:rFonts w:asciiTheme="minorHAnsi" w:hAnsiTheme="minorHAnsi"/>
          <w:sz w:val="16"/>
          <w:szCs w:val="16"/>
        </w:rPr>
        <w:t xml:space="preserve">. </w:t>
      </w:r>
      <w:hyperlink r:id="rId18" w:history="1">
        <w:r>
          <w:rPr>
            <w:rStyle w:val="Hyperlink"/>
            <w:rFonts w:asciiTheme="minorHAnsi" w:hAnsiTheme="minorHAnsi"/>
            <w:sz w:val="16"/>
            <w:szCs w:val="16"/>
          </w:rPr>
          <w:t>The current data</w:t>
        </w:r>
      </w:hyperlink>
      <w:r>
        <w:rPr>
          <w:rFonts w:asciiTheme="minorHAnsi" w:hAnsiTheme="minorHAnsi"/>
          <w:sz w:val="16"/>
          <w:szCs w:val="16"/>
          <w:lang w:val="en"/>
        </w:rPr>
        <w:t>, which were assessed in 2014-2015, reflect the situation up until December 2013.</w:t>
      </w:r>
    </w:p>
  </w:footnote>
  <w:footnote w:id="27">
    <w:p w:rsidR="006D6E8A" w:rsidRDefault="002E711B">
      <w:pPr>
        <w:pStyle w:val="FootnoteText"/>
        <w:ind w:left="170" w:hanging="170"/>
      </w:pPr>
      <w:r>
        <w:rPr>
          <w:rStyle w:val="FootnoteReference"/>
        </w:rPr>
        <w:footnoteRef/>
      </w:r>
      <w:r>
        <w:t xml:space="preserve"> </w:t>
      </w:r>
      <w:r>
        <w:rPr>
          <w:sz w:val="16"/>
          <w:szCs w:val="16"/>
        </w:rPr>
        <w:t xml:space="preserve">The percentages in Figure 5 refer to percentages of the total number of assessments (one assessment covering 1 species or 1 habitat in </w:t>
      </w:r>
      <w:r>
        <w:rPr>
          <w:sz w:val="16"/>
          <w:szCs w:val="16"/>
        </w:rPr>
        <w:t>a given biographical region with the Member State); if a habitat type or a species occurs in more than 1 Biogeographic region within a given Member State, there will be as many individual assessments as there are Biogeographic regions with an occurrence of</w:t>
      </w:r>
      <w:r>
        <w:rPr>
          <w:sz w:val="16"/>
          <w:szCs w:val="16"/>
        </w:rPr>
        <w:t xml:space="preserve"> that species or habitat in this Member State.</w:t>
      </w:r>
    </w:p>
  </w:footnote>
  <w:footnote w:id="28">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internal assessment.</w:t>
      </w:r>
    </w:p>
  </w:footnote>
  <w:footnote w:id="29">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Official Gazette of the Republic of Slovenia, no. </w:t>
      </w:r>
      <w:r>
        <w:rPr>
          <w:rFonts w:asciiTheme="minorHAnsi" w:hAnsiTheme="minorHAnsi" w:cs="Arial-BoldMT"/>
          <w:bCs/>
          <w:sz w:val="16"/>
          <w:szCs w:val="16"/>
        </w:rPr>
        <w:t xml:space="preserve">34 of 11.5.2016. </w:t>
      </w:r>
      <w:hyperlink r:id="rId19" w:anchor="!/34" w:history="1">
        <w:r>
          <w:rPr>
            <w:rStyle w:val="Hyperlink"/>
            <w:rFonts w:asciiTheme="minorHAnsi" w:hAnsiTheme="minorHAnsi" w:cs="Arial-BoldMT"/>
            <w:bCs/>
            <w:sz w:val="16"/>
            <w:szCs w:val="16"/>
          </w:rPr>
          <w:t>Regulation 1462</w:t>
        </w:r>
      </w:hyperlink>
    </w:p>
  </w:footnote>
  <w:footnote w:id="30">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biogeographical assessments in each category of conservation status for habitats and species </w:t>
      </w:r>
      <w:r>
        <w:rPr>
          <w:sz w:val="16"/>
          <w:szCs w:val="16"/>
        </w:rPr>
        <w:t>(one assessment covering 1 species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infor</w:t>
      </w:r>
      <w:r>
        <w:rPr>
          <w:rFonts w:asciiTheme="minorHAnsi" w:hAnsiTheme="minorHAnsi"/>
          <w:sz w:val="16"/>
          <w:szCs w:val="16"/>
        </w:rPr>
        <w:t xml:space="preserve">mation is based on Article 17 of the Habitats Directive reporting - </w:t>
      </w:r>
      <w:hyperlink r:id="rId20" w:history="1">
        <w:r>
          <w:rPr>
            <w:rStyle w:val="Hyperlink"/>
            <w:rFonts w:asciiTheme="minorHAnsi" w:hAnsiTheme="minorHAnsi"/>
            <w:sz w:val="16"/>
            <w:szCs w:val="16"/>
          </w:rPr>
          <w:t>national summary of Slovenia</w:t>
        </w:r>
      </w:hyperlink>
    </w:p>
  </w:footnote>
  <w:footnote w:id="31">
    <w:p w:rsidR="006D6E8A" w:rsidRDefault="002E711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core of the ‘Article 17’ report is the assessment of </w:t>
      </w:r>
      <w:r>
        <w:rPr>
          <w:rFonts w:asciiTheme="minorHAnsi" w:hAnsiTheme="minorHAnsi"/>
          <w:sz w:val="16"/>
          <w:szCs w:val="16"/>
        </w:rPr>
        <w:t>conservation status of the habitats and species targeted by the Habitats Directive.</w:t>
      </w:r>
    </w:p>
  </w:footnote>
  <w:footnote w:id="32">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 a standard methodology as being either ‘favourable’, ‘unfavourable-inadequate’ and ‘unfavourable-bad’, based on four parameters as d</w:t>
      </w:r>
      <w:r>
        <w:rPr>
          <w:rFonts w:asciiTheme="minorHAnsi" w:hAnsiTheme="minorHAnsi"/>
          <w:sz w:val="16"/>
          <w:szCs w:val="16"/>
        </w:rPr>
        <w:t>efined in Article 1 of the Habitats Directive.</w:t>
      </w:r>
    </w:p>
  </w:footnote>
  <w:footnote w:id="33">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between 2007 and 2013 data is complicated by the fact that Bulgaria and Romania were not covered by the 2007 reporting cycle, that the ‘unknown’ assessments have strongly</w:t>
      </w:r>
      <w:r>
        <w:rPr>
          <w:rFonts w:asciiTheme="minorHAnsi" w:hAnsiTheme="minorHAnsi"/>
          <w:sz w:val="16"/>
          <w:szCs w:val="16"/>
        </w:rPr>
        <w:t xml:space="preserve"> diminished particularly for species, and that some reported changes are not genuine as they result from improved data / monitoring methods.</w:t>
      </w:r>
    </w:p>
  </w:footnote>
  <w:footnote w:id="34">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requires Member States to report about the progress made with the implementatio</w:t>
      </w:r>
      <w:r>
        <w:rPr>
          <w:rFonts w:asciiTheme="minorHAnsi" w:hAnsiTheme="minorHAnsi"/>
          <w:sz w:val="16"/>
          <w:szCs w:val="16"/>
        </w:rPr>
        <w:t>n of the Birds Directive.</w:t>
      </w:r>
    </w:p>
  </w:footnote>
  <w:footnote w:id="35">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reporting - </w:t>
      </w:r>
      <w:hyperlink r:id="rId21" w:history="1">
        <w:r>
          <w:rPr>
            <w:rStyle w:val="Hyperlink"/>
            <w:rFonts w:asciiTheme="minorHAnsi" w:hAnsiTheme="minorHAnsi"/>
            <w:sz w:val="16"/>
            <w:szCs w:val="16"/>
          </w:rPr>
          <w:t>national summary of Slovenia</w:t>
        </w:r>
      </w:hyperlink>
    </w:p>
  </w:footnote>
  <w:footnote w:id="36">
    <w:p w:rsidR="006D6E8A" w:rsidRDefault="002E711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Ecosystem services are benefits provided </w:t>
      </w:r>
      <w:r>
        <w:rPr>
          <w:rFonts w:asciiTheme="minorHAnsi" w:hAnsiTheme="minorHAnsi"/>
          <w:sz w:val="16"/>
          <w:szCs w:val="16"/>
        </w:rPr>
        <w:t>by nature such as food, clean water and pollination on which human society depends.</w:t>
      </w:r>
    </w:p>
  </w:footnote>
  <w:footnote w:id="37">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BISE, </w:t>
      </w:r>
      <w:hyperlink r:id="rId22" w:history="1">
        <w:r>
          <w:rPr>
            <w:rStyle w:val="Hyperlink"/>
            <w:rFonts w:asciiTheme="minorHAnsi" w:hAnsiTheme="minorHAnsi"/>
            <w:sz w:val="16"/>
            <w:szCs w:val="16"/>
          </w:rPr>
          <w:t>MAES –related developments in Slovenia</w:t>
        </w:r>
      </w:hyperlink>
    </w:p>
  </w:footnote>
  <w:footnote w:id="38">
    <w:p w:rsidR="006D6E8A" w:rsidRDefault="002E711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Enhancing Europe’s Natural Capital, </w:t>
      </w:r>
      <w:hyperlink r:id="rId23" w:history="1">
        <w:r>
          <w:rPr>
            <w:rStyle w:val="Hyperlink"/>
            <w:rFonts w:asciiTheme="minorHAnsi" w:hAnsiTheme="minorHAnsi"/>
            <w:sz w:val="16"/>
            <w:szCs w:val="16"/>
          </w:rPr>
          <w:t>COM/2013/0249</w:t>
        </w:r>
      </w:hyperlink>
    </w:p>
  </w:footnote>
  <w:footnote w:id="39">
    <w:p w:rsidR="006D6E8A" w:rsidRDefault="002E711B">
      <w:pPr>
        <w:pStyle w:val="FootnoteText"/>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24" w:history="1">
        <w:r>
          <w:rPr>
            <w:rStyle w:val="Hyperlink"/>
            <w:rFonts w:asciiTheme="minorHAnsi" w:hAnsiTheme="minorHAnsi"/>
            <w:sz w:val="16"/>
            <w:szCs w:val="16"/>
          </w:rPr>
          <w:t>Imperviousness and imperviousness change</w:t>
        </w:r>
      </w:hyperlink>
    </w:p>
  </w:footnote>
  <w:footnote w:id="40">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25" w:history="1">
        <w:r>
          <w:rPr>
            <w:rStyle w:val="Hyperlink"/>
            <w:rFonts w:asciiTheme="minorHAnsi" w:hAnsiTheme="minorHAnsi"/>
            <w:sz w:val="16"/>
            <w:szCs w:val="16"/>
          </w:rPr>
          <w:t xml:space="preserve">Draft results of CORINE Land Cover </w:t>
        </w:r>
        <w:r>
          <w:rPr>
            <w:rStyle w:val="Hyperlink"/>
            <w:rFonts w:asciiTheme="minorHAnsi" w:hAnsiTheme="minorHAnsi"/>
            <w:sz w:val="16"/>
            <w:szCs w:val="16"/>
          </w:rPr>
          <w:t>(CLC) inventory 2012</w:t>
        </w:r>
      </w:hyperlink>
      <w:r>
        <w:rPr>
          <w:rStyle w:val="Hyperlink"/>
          <w:rFonts w:asciiTheme="minorHAnsi" w:hAnsiTheme="minorHAnsi"/>
          <w:sz w:val="16"/>
          <w:szCs w:val="16"/>
        </w:rPr>
        <w:t xml:space="preserve">; </w:t>
      </w:r>
      <w:r>
        <w:rPr>
          <w:rFonts w:asciiTheme="minorHAnsi" w:hAnsiTheme="minorHAnsi"/>
          <w:sz w:val="16"/>
          <w:szCs w:val="16"/>
        </w:rPr>
        <w:t>mean annual land take 2006-12 as a % of 2006 artificial land.</w:t>
      </w:r>
    </w:p>
  </w:footnote>
  <w:footnote w:id="41">
    <w:p w:rsidR="006D6E8A" w:rsidRDefault="002E711B">
      <w:pPr>
        <w:pStyle w:val="FootnoteText"/>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Eurostat,</w:t>
      </w:r>
      <w:hyperlink r:id="rId26" w:history="1">
        <w:r>
          <w:rPr>
            <w:rStyle w:val="Hyperlink"/>
            <w:sz w:val="16"/>
            <w:szCs w:val="16"/>
          </w:rPr>
          <w:t xml:space="preserve"> Soil water erosion rate</w:t>
        </w:r>
      </w:hyperlink>
      <w:r>
        <w:rPr>
          <w:sz w:val="16"/>
          <w:szCs w:val="16"/>
        </w:rPr>
        <w:t>, Figure 2, acces</w:t>
      </w:r>
      <w:r>
        <w:rPr>
          <w:sz w:val="16"/>
          <w:szCs w:val="16"/>
        </w:rPr>
        <w:t>sed November 2016</w:t>
      </w:r>
    </w:p>
  </w:footnote>
  <w:footnote w:id="42">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Land cover 2012 and changes country analysis [publication forthcoming]</w:t>
      </w:r>
    </w:p>
  </w:footnote>
  <w:footnote w:id="43">
    <w:p w:rsidR="006D6E8A" w:rsidRDefault="002E711B">
      <w:pPr>
        <w:pStyle w:val="FootnoteText"/>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27" w:history="1">
        <w:r>
          <w:rPr>
            <w:rStyle w:val="Hyperlink"/>
            <w:rFonts w:asciiTheme="minorHAnsi" w:hAnsiTheme="minorHAnsi"/>
            <w:sz w:val="16"/>
            <w:szCs w:val="16"/>
          </w:rPr>
          <w:t>Marine Strategy Framework Direct</w:t>
        </w:r>
        <w:r>
          <w:rPr>
            <w:rStyle w:val="Hyperlink"/>
            <w:rFonts w:asciiTheme="minorHAnsi" w:hAnsiTheme="minorHAnsi"/>
            <w:sz w:val="16"/>
            <w:szCs w:val="16"/>
          </w:rPr>
          <w:t>ive 2008/56/EC</w:t>
        </w:r>
      </w:hyperlink>
    </w:p>
  </w:footnote>
  <w:footnote w:id="44">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MSFD defines Good Environmental Status (GES) in Article 3 as: "The environmental status of marine waters where these provide ecologically diverse and dynamic oceans and seas which are clean, healthy and productive”.</w:t>
      </w:r>
    </w:p>
  </w:footnote>
  <w:footnote w:id="45">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Style w:val="Hyperlink"/>
          <w:rFonts w:asciiTheme="minorHAnsi" w:hAnsiTheme="minorHAnsi"/>
          <w:sz w:val="16"/>
          <w:szCs w:val="16"/>
        </w:rPr>
        <w:t>http://195.97.36.</w:t>
      </w:r>
      <w:r>
        <w:rPr>
          <w:rStyle w:val="Hyperlink"/>
          <w:rFonts w:asciiTheme="minorHAnsi" w:hAnsiTheme="minorHAnsi"/>
          <w:sz w:val="16"/>
          <w:szCs w:val="16"/>
        </w:rPr>
        <w:t>231/dbases/webdocs/BCP/bc95_Eng_p.pdf</w:t>
      </w:r>
    </w:p>
  </w:footnote>
  <w:footnote w:id="46">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Report from the Commission "The first phase of implementation of the Marine Strategy Framework Directive (2008/56/EC) - The European Commission's assessment and guidance" </w:t>
      </w:r>
      <w:hyperlink r:id="rId28" w:history="1">
        <w:r>
          <w:rPr>
            <w:rStyle w:val="Hyperlink"/>
            <w:rFonts w:asciiTheme="minorHAnsi" w:hAnsiTheme="minorHAnsi"/>
            <w:sz w:val="16"/>
            <w:szCs w:val="16"/>
          </w:rPr>
          <w:t>COM(2014)097</w:t>
        </w:r>
      </w:hyperlink>
    </w:p>
  </w:footnote>
  <w:footnote w:id="47">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2012 Data prov</w:t>
      </w:r>
      <w:r>
        <w:rPr>
          <w:rFonts w:asciiTheme="minorHAnsi" w:hAnsiTheme="minorHAnsi"/>
          <w:sz w:val="16"/>
          <w:szCs w:val="16"/>
        </w:rPr>
        <w:t>ided by the European Environmental – Not published.</w:t>
      </w:r>
    </w:p>
  </w:footnote>
  <w:footnote w:id="48">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Report from the Commission "The first phase of implementation of the Marine Strategy Framework Directive (2008/56/EC) - The European Commission's assessment and guidance" </w:t>
      </w:r>
      <w:hyperlink r:id="rId29" w:history="1">
        <w:r>
          <w:rPr>
            <w:rStyle w:val="Hyperlink"/>
            <w:rFonts w:asciiTheme="minorHAnsi" w:hAnsiTheme="minorHAnsi"/>
            <w:sz w:val="16"/>
            <w:szCs w:val="16"/>
          </w:rPr>
          <w:t>COM(2014)097</w:t>
        </w:r>
      </w:hyperlink>
      <w:r>
        <w:rPr>
          <w:rFonts w:asciiTheme="minorHAnsi" w:hAnsiTheme="minorHAnsi"/>
          <w:sz w:val="16"/>
          <w:szCs w:val="16"/>
        </w:rPr>
        <w:t xml:space="preserve"> an</w:t>
      </w:r>
      <w:r>
        <w:rPr>
          <w:rFonts w:asciiTheme="minorHAnsi" w:hAnsiTheme="minorHAnsi"/>
          <w:sz w:val="16"/>
          <w:szCs w:val="16"/>
        </w:rPr>
        <w:t>d Commission Staff Working Document Accompanying the Commission Report assessing Member States' monitoring programmes under the Marine Strategy Framework Directive (COM(2017)3 and SWD(2017)1 final)</w:t>
      </w:r>
    </w:p>
  </w:footnote>
  <w:footnote w:id="49">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As of 7.10.2016, SI had not yet reported its programme o</w:t>
      </w:r>
      <w:r>
        <w:rPr>
          <w:rFonts w:asciiTheme="minorHAnsi" w:hAnsiTheme="minorHAnsi"/>
          <w:sz w:val="16"/>
          <w:szCs w:val="16"/>
        </w:rPr>
        <w:t>f measures to the Commission.</w:t>
      </w:r>
    </w:p>
  </w:footnote>
  <w:footnote w:id="50">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w:t>
      </w:r>
      <w:hyperlink r:id="rId30" w:history="1">
        <w:r>
          <w:rPr>
            <w:rStyle w:val="Hyperlink"/>
            <w:rFonts w:asciiTheme="minorHAnsi" w:hAnsiTheme="minorHAnsi"/>
            <w:sz w:val="16"/>
            <w:szCs w:val="16"/>
          </w:rPr>
          <w:t>Air Quality Standards</w:t>
        </w:r>
      </w:hyperlink>
      <w:r>
        <w:rPr>
          <w:rFonts w:asciiTheme="minorHAnsi" w:hAnsiTheme="minorHAnsi"/>
          <w:sz w:val="16"/>
          <w:szCs w:val="16"/>
        </w:rPr>
        <w:t>.</w:t>
      </w:r>
    </w:p>
  </w:footnote>
  <w:footnote w:id="51">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31" w:history="1">
        <w:r>
          <w:rPr>
            <w:rStyle w:val="Hyperlink"/>
            <w:rFonts w:asciiTheme="minorHAnsi" w:hAnsiTheme="minorHAnsi"/>
            <w:sz w:val="16"/>
            <w:szCs w:val="16"/>
          </w:rPr>
          <w:t>EIONET Central Data Repository</w:t>
        </w:r>
      </w:hyperlink>
      <w:r>
        <w:rPr>
          <w:rFonts w:asciiTheme="minorHAnsi" w:hAnsiTheme="minorHAnsi"/>
          <w:sz w:val="16"/>
          <w:szCs w:val="16"/>
        </w:rPr>
        <w:t xml:space="preserve"> and </w:t>
      </w:r>
      <w:hyperlink r:id="rId32" w:history="1">
        <w:r>
          <w:rPr>
            <w:rStyle w:val="Hyperlink"/>
            <w:rFonts w:asciiTheme="minorHAnsi" w:hAnsiTheme="minorHAnsi"/>
            <w:sz w:val="16"/>
            <w:szCs w:val="16"/>
          </w:rPr>
          <w:t>Air pollutant emissions data viewer (NEC Directive)</w:t>
        </w:r>
      </w:hyperlink>
    </w:p>
  </w:footnote>
  <w:footnote w:id="52">
    <w:p w:rsidR="006D6E8A" w:rsidRDefault="002E711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current national emission ceilings apply since 2010 (</w:t>
      </w:r>
      <w:hyperlink r:id="rId33" w:history="1">
        <w:r>
          <w:rPr>
            <w:rFonts w:asciiTheme="minorHAnsi" w:hAnsiTheme="minorHAnsi"/>
            <w:color w:val="0000FF"/>
            <w:sz w:val="16"/>
            <w:szCs w:val="16"/>
            <w:u w:val="single"/>
          </w:rPr>
          <w:t>Directive 2001/81/EC</w:t>
        </w:r>
      </w:hyperlink>
      <w:r>
        <w:rPr>
          <w:rFonts w:asciiTheme="minorHAnsi" w:hAnsiTheme="minorHAnsi"/>
          <w:sz w:val="16"/>
          <w:szCs w:val="16"/>
        </w:rPr>
        <w:t xml:space="preserve">); revised ceilings for 2020 and 2030 have been set by </w:t>
      </w:r>
      <w:hyperlink r:id="rId34" w:history="1">
        <w:r>
          <w:rPr>
            <w:rFonts w:asciiTheme="minorHAnsi" w:hAnsiTheme="minorHAnsi"/>
            <w:color w:val="0000FF"/>
            <w:sz w:val="16"/>
            <w:szCs w:val="16"/>
            <w:u w:val="single"/>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53">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Particulate matter (PM) is a mixture of aerosol particles (so</w:t>
      </w:r>
      <w:r>
        <w:rPr>
          <w:rFonts w:asciiTheme="minorHAnsi" w:hAnsiTheme="minorHAnsi"/>
          <w:sz w:val="16"/>
          <w:szCs w:val="16"/>
        </w:rPr>
        <w:t>lid and liquid) covering a wide range of sizes and chemical compositions. PM10 (PM2.5) refers to particles with a diameter of 10 (2.5) micrometres or less. PM is emitted from many anthropogenic sources, including combustion.</w:t>
      </w:r>
    </w:p>
  </w:footnote>
  <w:footnote w:id="54">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Low level ozone is produced b</w:t>
      </w:r>
      <w:r>
        <w:rPr>
          <w:rFonts w:asciiTheme="minorHAnsi" w:hAnsiTheme="minorHAnsi"/>
          <w:sz w:val="16"/>
          <w:szCs w:val="16"/>
        </w:rPr>
        <w:t>y photochemical action and it is also a greenhouse gas.</w:t>
      </w:r>
    </w:p>
  </w:footnote>
  <w:footnote w:id="55">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NOx is emitted during fuel combustion e.g. from industrial facilities and the road transport sector. NOx is a group of gases comprising nitrogen monoxide (NO) and nitrogen dioxide (NO2).</w:t>
      </w:r>
    </w:p>
  </w:footnote>
  <w:footnote w:id="56">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sz w:val="16"/>
          <w:szCs w:val="16"/>
        </w:rPr>
        <w:t xml:space="preserve">European </w:t>
      </w:r>
      <w:r>
        <w:rPr>
          <w:rFonts w:asciiTheme="minorHAnsi" w:hAnsiTheme="minorHAnsi" w:cstheme="minorHAnsi"/>
          <w:sz w:val="16"/>
          <w:szCs w:val="16"/>
        </w:rPr>
        <w:t xml:space="preserve">Environment Agency, 2016. </w:t>
      </w:r>
      <w:hyperlink r:id="rId35" w:history="1">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 (Table 10.2, please see details in this report as regards the underpinning methodology)</w:t>
      </w:r>
    </w:p>
  </w:footnote>
  <w:footnote w:id="57">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sz w:val="16"/>
          <w:szCs w:val="16"/>
        </w:rPr>
        <w:t>Based on European Envi</w:t>
      </w:r>
      <w:r>
        <w:rPr>
          <w:rFonts w:asciiTheme="minorHAnsi" w:hAnsiTheme="minorHAnsi" w:cstheme="minorHAnsi"/>
          <w:sz w:val="16"/>
          <w:szCs w:val="16"/>
        </w:rPr>
        <w:t xml:space="preserve">ronment Agency, 2016. </w:t>
      </w:r>
      <w:hyperlink r:id="rId36" w:history="1">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 (Figures 4.1, 5.1 and 6.1)</w:t>
      </w:r>
    </w:p>
  </w:footnote>
  <w:footnote w:id="58">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37" w:history="1">
        <w:r>
          <w:rPr>
            <w:rStyle w:val="Hyperlink"/>
            <w:rFonts w:asciiTheme="minorHAnsi" w:hAnsiTheme="minorHAnsi"/>
            <w:sz w:val="16"/>
            <w:szCs w:val="16"/>
          </w:rPr>
          <w:t>The EEA/Eionet Air Quality Por</w:t>
        </w:r>
        <w:r>
          <w:rPr>
            <w:rStyle w:val="Hyperlink"/>
            <w:rFonts w:asciiTheme="minorHAnsi" w:hAnsiTheme="minorHAnsi"/>
            <w:sz w:val="16"/>
            <w:szCs w:val="16"/>
          </w:rPr>
          <w:t>tal</w:t>
        </w:r>
      </w:hyperlink>
      <w:r>
        <w:rPr>
          <w:rFonts w:asciiTheme="minorHAnsi" w:hAnsiTheme="minorHAnsi"/>
          <w:sz w:val="16"/>
          <w:szCs w:val="16"/>
        </w:rPr>
        <w:t xml:space="preserve"> and the related Central Data Repository</w:t>
      </w:r>
    </w:p>
  </w:footnote>
  <w:footnote w:id="59">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These figures are based on the </w:t>
      </w:r>
      <w:hyperlink r:id="rId38" w:history="1">
        <w:r>
          <w:rPr>
            <w:rStyle w:val="Hyperlink"/>
            <w:rFonts w:asciiTheme="minorHAnsi" w:hAnsiTheme="minorHAnsi"/>
            <w:sz w:val="16"/>
            <w:szCs w:val="16"/>
          </w:rPr>
          <w:t>Impact Assessment</w:t>
        </w:r>
      </w:hyperlink>
      <w:r>
        <w:rPr>
          <w:rFonts w:asciiTheme="minorHAnsi" w:hAnsiTheme="minorHAnsi"/>
          <w:sz w:val="16"/>
          <w:szCs w:val="16"/>
        </w:rPr>
        <w:t xml:space="preserve"> for the European Commission Integrated Clean Air Package (2013).</w:t>
      </w:r>
    </w:p>
  </w:footnote>
  <w:footnote w:id="60">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w:t>
      </w:r>
      <w:r>
        <w:rPr>
          <w:rFonts w:asciiTheme="minorHAnsi" w:hAnsiTheme="minorHAnsi"/>
          <w:sz w:val="16"/>
          <w:szCs w:val="16"/>
        </w:rPr>
        <w:t xml:space="preserve">JRC, 2011, Burden of disease from environmental noise, Fritschi, L., Brown, A.L., Kim, R., Schwela, D., Kephalopoulos, S. (eds), </w:t>
      </w:r>
      <w:hyperlink r:id="rId39"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Denmark</w:t>
      </w:r>
    </w:p>
  </w:footnote>
  <w:footnote w:id="61">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Directive requires Member States to prepare and publish, every 5 years, noise maps and noise management action plans for agglomeratio</w:t>
      </w:r>
      <w:r>
        <w:rPr>
          <w:rFonts w:asciiTheme="minorHAnsi" w:hAnsiTheme="minorHAnsi"/>
          <w:sz w:val="16"/>
          <w:szCs w:val="16"/>
        </w:rPr>
        <w:t>ns with more than 100,000 inhabitants, and for major roads, railways and airports.</w:t>
      </w:r>
    </w:p>
  </w:footnote>
  <w:footnote w:id="62">
    <w:p w:rsidR="006D6E8A" w:rsidRDefault="002E711B">
      <w:pPr>
        <w:pStyle w:val="FootnoteText"/>
        <w:widowControl w:val="0"/>
        <w:ind w:left="170" w:hanging="17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40"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41"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concerning discharges of municipal and some industrial waste waters; the </w:t>
      </w:r>
      <w:hyperlink r:id="rId42"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43"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w:t>
      </w:r>
      <w:r>
        <w:rPr>
          <w:rFonts w:asciiTheme="minorHAnsi" w:hAnsiTheme="minorHAnsi"/>
          <w:sz w:val="16"/>
          <w:szCs w:val="16"/>
        </w:rPr>
        <w:t xml:space="preserve">cerning water resources management; the </w:t>
      </w:r>
      <w:hyperlink r:id="rId44"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45" w:history="1">
        <w:r>
          <w:rPr>
            <w:rStyle w:val="Hyperlink"/>
            <w:rFonts w:asciiTheme="minorHAnsi" w:hAnsiTheme="minorHAnsi"/>
            <w:sz w:val="16"/>
            <w:szCs w:val="16"/>
          </w:rPr>
          <w:t>Floods</w:t>
        </w:r>
        <w:r>
          <w:rPr>
            <w:rStyle w:val="Hyperlink"/>
            <w:rFonts w:asciiTheme="minorHAnsi" w:hAnsiTheme="minorHAnsi"/>
            <w:sz w:val="16"/>
            <w:szCs w:val="16"/>
          </w:rPr>
          <w:t xml:space="preserve"> Directive (2007/60/EC)</w:t>
        </w:r>
      </w:hyperlink>
    </w:p>
  </w:footnote>
  <w:footnote w:id="63">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46" w:history="1">
        <w:r>
          <w:rPr>
            <w:rStyle w:val="Hyperlink"/>
            <w:rFonts w:asciiTheme="minorHAnsi" w:hAnsiTheme="minorHAnsi"/>
            <w:sz w:val="16"/>
            <w:szCs w:val="16"/>
          </w:rPr>
          <w:t>Commission Staff Working Document</w:t>
        </w:r>
      </w:hyperlink>
      <w:r>
        <w:rPr>
          <w:rFonts w:asciiTheme="minorHAnsi" w:hAnsiTheme="minorHAnsi"/>
          <w:sz w:val="16"/>
          <w:szCs w:val="16"/>
        </w:rPr>
        <w:t xml:space="preserve"> (SWD (2012)379 final).</w:t>
      </w:r>
    </w:p>
  </w:footnote>
  <w:footnote w:id="64">
    <w:p w:rsidR="006D6E8A" w:rsidRDefault="002E711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ecological status is defined in the Water Framework Directive referring to the quality of the biological community, the hydrological characteristics and the chemical characteristics.</w:t>
      </w:r>
    </w:p>
  </w:footnote>
  <w:footnote w:id="65">
    <w:p w:rsidR="006D6E8A" w:rsidRDefault="002E711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Many European river basins and waters have been altered by human </w:t>
      </w:r>
      <w:r>
        <w:rPr>
          <w:rFonts w:asciiTheme="minorHAnsi" w:hAnsiTheme="minorHAnsi"/>
          <w:sz w:val="16"/>
          <w:szCs w:val="16"/>
        </w:rPr>
        <w:t>activities, such as land drainage, flood protection and building of dams to create reservoirs.</w:t>
      </w:r>
    </w:p>
  </w:footnote>
  <w:footnote w:id="66">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chemical status is defined in the Water Framework Directive referring to compliance with all the quality standards established for chemical substances at </w:t>
      </w:r>
      <w:r>
        <w:rPr>
          <w:rFonts w:asciiTheme="minorHAnsi" w:hAnsiTheme="minorHAnsi"/>
          <w:sz w:val="16"/>
          <w:szCs w:val="16"/>
        </w:rPr>
        <w:t>European level.</w:t>
      </w:r>
    </w:p>
  </w:footnote>
  <w:footnote w:id="67">
    <w:p w:rsidR="006D6E8A" w:rsidRDefault="002E711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groundwater, a precautionary approach has been taken that comprises a prohibition on direct discharges to groundwater, and a requirement to monitor groundwater bodies. </w:t>
      </w:r>
    </w:p>
  </w:footnote>
  <w:footnote w:id="68">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Each RBMP includes a “programme of measures” to meet the enviro</w:t>
      </w:r>
      <w:r>
        <w:rPr>
          <w:rFonts w:asciiTheme="minorHAnsi" w:hAnsiTheme="minorHAnsi"/>
          <w:sz w:val="16"/>
          <w:szCs w:val="16"/>
        </w:rPr>
        <w:t>nmental and other objectives of the Water Framework Directive cost-effectively.</w:t>
      </w:r>
    </w:p>
  </w:footnote>
  <w:footnote w:id="69">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Exemptions are set in Article 4 of the Water Framework Directive. They give Member States the possibility to deviate from the “good status” objective in specific circumstance</w:t>
      </w:r>
      <w:r>
        <w:rPr>
          <w:rFonts w:asciiTheme="minorHAnsi" w:hAnsiTheme="minorHAnsi"/>
          <w:sz w:val="16"/>
          <w:szCs w:val="16"/>
        </w:rPr>
        <w:t>s and/or under strict conditions.</w:t>
      </w:r>
    </w:p>
  </w:footnote>
  <w:footnote w:id="70">
    <w:p w:rsidR="006D6E8A" w:rsidRDefault="002E711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More information on the implementation status and more specific recommendations can be found at European Commission, </w:t>
      </w:r>
      <w:hyperlink r:id="rId47" w:history="1">
        <w:r>
          <w:rPr>
            <w:rStyle w:val="Hyperlink"/>
            <w:rFonts w:asciiTheme="minorHAnsi" w:hAnsiTheme="minorHAnsi"/>
            <w:sz w:val="16"/>
            <w:szCs w:val="16"/>
          </w:rPr>
          <w:t xml:space="preserve">Water Framework </w:t>
        </w:r>
        <w:r>
          <w:rPr>
            <w:rStyle w:val="Hyperlink"/>
            <w:rFonts w:asciiTheme="minorHAnsi" w:hAnsiTheme="minorHAnsi"/>
            <w:sz w:val="16"/>
            <w:szCs w:val="16"/>
          </w:rPr>
          <w:t>Directive Implementation Reports</w:t>
        </w:r>
      </w:hyperlink>
    </w:p>
  </w:footnote>
  <w:footnote w:id="71">
    <w:p w:rsidR="006D6E8A" w:rsidRDefault="002E711B">
      <w:pPr>
        <w:pStyle w:val="FootnoteText"/>
        <w:ind w:left="170" w:hanging="170"/>
        <w:rPr>
          <w:rFonts w:asciiTheme="minorHAnsi" w:hAnsiTheme="minorHAnsi"/>
          <w:sz w:val="16"/>
          <w:szCs w:val="16"/>
          <w:lang w:val="pl-PL"/>
        </w:rPr>
      </w:pPr>
      <w:r>
        <w:rPr>
          <w:rStyle w:val="FootnoteReference"/>
          <w:rFonts w:asciiTheme="minorHAnsi" w:hAnsiTheme="minorHAnsi"/>
          <w:sz w:val="16"/>
          <w:szCs w:val="16"/>
        </w:rPr>
        <w:footnoteRef/>
      </w:r>
      <w:r>
        <w:rPr>
          <w:rFonts w:asciiTheme="minorHAnsi" w:hAnsiTheme="minorHAnsi"/>
          <w:sz w:val="16"/>
          <w:szCs w:val="16"/>
          <w:lang w:val="pl-PL"/>
        </w:rPr>
        <w:t xml:space="preserve"> Uradni list RS, št. 113/09, 5/13 in 22/15.</w:t>
      </w:r>
    </w:p>
  </w:footnote>
  <w:footnote w:id="72">
    <w:p w:rsidR="006D6E8A" w:rsidRDefault="002E711B">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48" w:history="1">
        <w:r>
          <w:rPr>
            <w:rStyle w:val="Hyperlink"/>
            <w:rFonts w:asciiTheme="minorHAnsi" w:hAnsiTheme="minorHAnsi"/>
            <w:sz w:val="16"/>
            <w:szCs w:val="16"/>
          </w:rPr>
          <w:t>Commission's Synthesis Report on the Quality of Drinking Water in the Union</w:t>
        </w:r>
      </w:hyperlink>
      <w:r>
        <w:rPr>
          <w:rFonts w:asciiTheme="minorHAnsi" w:hAnsiTheme="minorHAnsi"/>
          <w:sz w:val="16"/>
          <w:szCs w:val="16"/>
        </w:rPr>
        <w:t xml:space="preserve"> examining Member States' reports for the 2011-2013 period, foreseen under Article 13(5) of Directive 98/83/EC; COM(2016)666</w:t>
      </w:r>
    </w:p>
  </w:footnote>
  <w:footnote w:id="73">
    <w:p w:rsidR="006D6E8A" w:rsidRDefault="002E711B">
      <w:pPr>
        <w:pStyle w:val="FootnoteText"/>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49" w:history="1">
        <w:r>
          <w:rPr>
            <w:rStyle w:val="Hyperlink"/>
            <w:rFonts w:asciiTheme="minorHAnsi" w:hAnsiTheme="minorHAnsi"/>
            <w:sz w:val="16"/>
            <w:szCs w:val="16"/>
          </w:rPr>
          <w:t>Euro</w:t>
        </w:r>
        <w:r>
          <w:rPr>
            <w:rStyle w:val="Hyperlink"/>
            <w:rFonts w:asciiTheme="minorHAnsi" w:hAnsiTheme="minorHAnsi"/>
            <w:sz w:val="16"/>
            <w:szCs w:val="16"/>
          </w:rPr>
          <w:t>pean bathing water quality in 2015</w:t>
        </w:r>
      </w:hyperlink>
      <w:r>
        <w:rPr>
          <w:rStyle w:val="Hyperlink"/>
          <w:rFonts w:asciiTheme="minorHAnsi" w:hAnsiTheme="minorHAnsi"/>
          <w:sz w:val="16"/>
          <w:szCs w:val="16"/>
        </w:rPr>
        <w:t xml:space="preserve">, </w:t>
      </w:r>
      <w:r>
        <w:rPr>
          <w:rFonts w:asciiTheme="minorHAnsi" w:hAnsiTheme="minorHAnsi"/>
          <w:sz w:val="16"/>
          <w:szCs w:val="16"/>
        </w:rPr>
        <w:t>p. 26.</w:t>
      </w:r>
    </w:p>
  </w:footnote>
  <w:footnote w:id="74">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Environment Agency, 2016. </w:t>
      </w:r>
      <w:hyperlink r:id="rId50" w:history="1">
        <w:r>
          <w:rPr>
            <w:rStyle w:val="Hyperlink"/>
            <w:rFonts w:asciiTheme="minorHAnsi" w:hAnsiTheme="minorHAnsi"/>
            <w:sz w:val="16"/>
            <w:szCs w:val="16"/>
          </w:rPr>
          <w:t>State of bathing water country reports - S</w:t>
        </w:r>
        <w:r>
          <w:rPr>
            <w:rStyle w:val="Hyperlink"/>
            <w:rFonts w:asciiTheme="minorHAnsi" w:hAnsiTheme="minorHAnsi"/>
            <w:sz w:val="16"/>
            <w:szCs w:val="16"/>
          </w:rPr>
          <w:t>lovenia</w:t>
        </w:r>
      </w:hyperlink>
    </w:p>
  </w:footnote>
  <w:footnote w:id="75">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Eighth Report on the Implementation Status and the Programmes for Implementation (as required by Article 17) of Council Directive 91/271/EEC concerning urban waste water treatment </w:t>
      </w:r>
      <w:hyperlink r:id="rId51" w:history="1">
        <w:r>
          <w:rPr>
            <w:rFonts w:asciiTheme="minorHAnsi" w:hAnsiTheme="minorHAnsi"/>
            <w:color w:val="0000FF"/>
            <w:sz w:val="16"/>
            <w:szCs w:val="16"/>
            <w:u w:val="single"/>
          </w:rPr>
          <w:t>(COM (2016)105 final)</w:t>
        </w:r>
      </w:hyperlink>
      <w:r>
        <w:rPr>
          <w:rFonts w:asciiTheme="minorHAnsi" w:hAnsiTheme="minorHAnsi"/>
          <w:sz w:val="16"/>
          <w:szCs w:val="16"/>
        </w:rPr>
        <w:t xml:space="preserve"> and Commission Staff Working Document accompanying the report </w:t>
      </w:r>
      <w:hyperlink r:id="rId52" w:history="1">
        <w:r>
          <w:rPr>
            <w:rFonts w:asciiTheme="minorHAnsi" w:hAnsiTheme="minorHAnsi"/>
            <w:color w:val="0000FF"/>
            <w:sz w:val="16"/>
            <w:szCs w:val="16"/>
            <w:u w:val="single"/>
          </w:rPr>
          <w:t>(SWD(2016)45 final</w:t>
        </w:r>
      </w:hyperlink>
      <w:r>
        <w:rPr>
          <w:rFonts w:asciiTheme="minorHAnsi" w:hAnsiTheme="minorHAnsi"/>
          <w:sz w:val="16"/>
          <w:szCs w:val="16"/>
        </w:rPr>
        <w:t>).</w:t>
      </w:r>
    </w:p>
  </w:footnote>
  <w:footnote w:id="76">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Eighth Report on the Implementation Status </w:t>
      </w:r>
      <w:r>
        <w:rPr>
          <w:rFonts w:asciiTheme="minorHAnsi" w:hAnsiTheme="minorHAnsi"/>
          <w:sz w:val="16"/>
          <w:szCs w:val="16"/>
        </w:rPr>
        <w:t xml:space="preserve">and the Programmes for Implementation (as required by Article 17) of Council Directive 91/271/EEC concerning urban waste water treatment </w:t>
      </w:r>
      <w:hyperlink r:id="rId53" w:history="1">
        <w:r>
          <w:rPr>
            <w:rFonts w:asciiTheme="minorHAnsi" w:hAnsiTheme="minorHAnsi"/>
            <w:color w:val="0000FF"/>
            <w:sz w:val="16"/>
            <w:szCs w:val="16"/>
            <w:u w:val="single"/>
          </w:rPr>
          <w:t>(COM (2016)105 final)</w:t>
        </w:r>
      </w:hyperlink>
      <w:r>
        <w:rPr>
          <w:rFonts w:asciiTheme="minorHAnsi" w:hAnsiTheme="minorHAnsi"/>
          <w:sz w:val="16"/>
          <w:szCs w:val="16"/>
        </w:rPr>
        <w:t xml:space="preserve"> and Commis</w:t>
      </w:r>
      <w:r>
        <w:rPr>
          <w:rFonts w:asciiTheme="minorHAnsi" w:hAnsiTheme="minorHAnsi"/>
          <w:sz w:val="16"/>
          <w:szCs w:val="16"/>
        </w:rPr>
        <w:t xml:space="preserve">sion Staff Working Document accompanying the report </w:t>
      </w:r>
      <w:hyperlink r:id="rId54" w:history="1">
        <w:r>
          <w:rPr>
            <w:rFonts w:asciiTheme="minorHAnsi" w:hAnsiTheme="minorHAnsi"/>
            <w:color w:val="0000FF"/>
            <w:sz w:val="16"/>
            <w:szCs w:val="16"/>
            <w:u w:val="single"/>
          </w:rPr>
          <w:t>(SWD(2016)45 final</w:t>
        </w:r>
      </w:hyperlink>
      <w:r>
        <w:rPr>
          <w:rFonts w:asciiTheme="minorHAnsi" w:hAnsiTheme="minorHAnsi"/>
          <w:sz w:val="16"/>
          <w:szCs w:val="16"/>
        </w:rPr>
        <w:t>).</w:t>
      </w:r>
    </w:p>
  </w:footnote>
  <w:footnote w:id="77">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full set of recommendations relevant to the Water Framework Directive is included in Commiss</w:t>
      </w:r>
      <w:r>
        <w:rPr>
          <w:rFonts w:asciiTheme="minorHAnsi" w:hAnsiTheme="minorHAnsi"/>
          <w:sz w:val="16"/>
          <w:szCs w:val="16"/>
        </w:rPr>
        <w:t xml:space="preserve">ion Staff Working Document </w:t>
      </w:r>
      <w:hyperlink r:id="rId55" w:history="1">
        <w:r>
          <w:rPr>
            <w:rStyle w:val="Hyperlink"/>
            <w:rFonts w:asciiTheme="minorHAnsi" w:hAnsiTheme="minorHAnsi"/>
            <w:sz w:val="16"/>
            <w:szCs w:val="16"/>
          </w:rPr>
          <w:t xml:space="preserve">(SWD(2015) 50 final) </w:t>
        </w:r>
      </w:hyperlink>
      <w:r>
        <w:rPr>
          <w:rFonts w:asciiTheme="minorHAnsi" w:hAnsiTheme="minorHAnsi"/>
          <w:sz w:val="16"/>
          <w:szCs w:val="16"/>
        </w:rPr>
        <w:t xml:space="preserve"> accompanying the Communication (</w:t>
      </w:r>
      <w:hyperlink r:id="rId56" w:history="1">
        <w:r>
          <w:rPr>
            <w:rStyle w:val="Hyperlink"/>
            <w:rFonts w:asciiTheme="minorHAnsi" w:hAnsiTheme="minorHAnsi"/>
            <w:sz w:val="16"/>
            <w:szCs w:val="16"/>
          </w:rPr>
          <w:t>COM(2015) 120 final</w:t>
        </w:r>
      </w:hyperlink>
      <w:r>
        <w:rPr>
          <w:rFonts w:asciiTheme="minorHAnsi" w:hAnsiTheme="minorHAnsi"/>
          <w:sz w:val="16"/>
          <w:szCs w:val="16"/>
        </w:rPr>
        <w:t xml:space="preserve">). </w:t>
      </w:r>
    </w:p>
  </w:footnote>
  <w:footnote w:id="78">
    <w:p w:rsidR="006D6E8A" w:rsidRDefault="002E711B">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European Environment Agency, </w:t>
      </w:r>
      <w:hyperlink r:id="rId57" w:history="1">
        <w:r>
          <w:rPr>
            <w:rStyle w:val="Hyperlink"/>
            <w:rFonts w:asciiTheme="minorHAnsi" w:hAnsiTheme="minorHAnsi"/>
            <w:sz w:val="16"/>
            <w:szCs w:val="16"/>
            <w:lang w:val="fr-BE"/>
          </w:rPr>
          <w:t>Urban environment</w:t>
        </w:r>
      </w:hyperlink>
    </w:p>
  </w:footnote>
  <w:footnote w:id="79">
    <w:p w:rsidR="006D6E8A" w:rsidRDefault="002E711B">
      <w:pPr>
        <w:pStyle w:val="FootnoteText"/>
        <w:ind w:left="170" w:hanging="170"/>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hyperlink r:id="rId58" w:history="1">
        <w:r>
          <w:rPr>
            <w:rStyle w:val="Hyperlink"/>
            <w:rFonts w:asciiTheme="minorHAnsi" w:hAnsiTheme="minorHAnsi"/>
            <w:sz w:val="16"/>
            <w:szCs w:val="16"/>
            <w:lang w:val="fr-BE"/>
          </w:rPr>
          <w:t>http://urbanagendaforthe.eu/</w:t>
        </w:r>
      </w:hyperlink>
    </w:p>
  </w:footnote>
  <w:footnote w:id="80">
    <w:p w:rsidR="006D6E8A" w:rsidRDefault="002E711B">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59" w:history="1">
        <w:r>
          <w:rPr>
            <w:rStyle w:val="Hyperlink"/>
            <w:rFonts w:asciiTheme="minorHAnsi" w:hAnsiTheme="minorHAnsi"/>
            <w:sz w:val="16"/>
            <w:szCs w:val="16"/>
          </w:rPr>
          <w:t>Urban Benchmarking and Monitoring ('UBaM') tool</w:t>
        </w:r>
      </w:hyperlink>
      <w:r>
        <w:rPr>
          <w:rFonts w:asciiTheme="minorHAnsi" w:hAnsiTheme="minorHAnsi"/>
          <w:sz w:val="16"/>
          <w:szCs w:val="16"/>
        </w:rPr>
        <w:t xml:space="preserve"> to be launched in 2017. Best practices emerge and these will</w:t>
      </w:r>
      <w:r>
        <w:rPr>
          <w:rFonts w:asciiTheme="minorHAnsi" w:hAnsiTheme="minorHAnsi"/>
          <w:sz w:val="16"/>
          <w:szCs w:val="16"/>
        </w:rPr>
        <w:t xml:space="preserve"> be better disseminated via the app featuring the UBaM tool, and increasingly via e.g. EUROCITIES, ICLEI, CEMR, Committee of the Regions, Covenant of Mayors and others.</w:t>
      </w:r>
    </w:p>
  </w:footnote>
  <w:footnote w:id="81">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w:t>
      </w:r>
      <w:hyperlink r:id="rId60" w:history="1">
        <w:r>
          <w:rPr>
            <w:rStyle w:val="Hyperlink"/>
            <w:rFonts w:asciiTheme="minorHAnsi" w:hAnsiTheme="minorHAnsi"/>
            <w:sz w:val="16"/>
            <w:szCs w:val="16"/>
          </w:rPr>
          <w:t>Ljubljana becomes European Green Capital 2016</w:t>
        </w:r>
      </w:hyperlink>
    </w:p>
  </w:footnote>
  <w:footnote w:id="82">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1" w:history="1">
        <w:r>
          <w:rPr>
            <w:rStyle w:val="Hyperlink"/>
            <w:rFonts w:asciiTheme="minorHAnsi" w:hAnsiTheme="minorHAnsi"/>
            <w:sz w:val="16"/>
            <w:szCs w:val="16"/>
          </w:rPr>
          <w:t>Protocol for the Protection of the Mediterranean Sea against Pollutio</w:t>
        </w:r>
        <w:r>
          <w:rPr>
            <w:rStyle w:val="Hyperlink"/>
            <w:rFonts w:asciiTheme="minorHAnsi" w:hAnsiTheme="minorHAnsi"/>
            <w:sz w:val="16"/>
            <w:szCs w:val="16"/>
          </w:rPr>
          <w:t>n Resulting from Exploration and Exploitation of the Continental Shelf and the Seabed and its Subsoil</w:t>
        </w:r>
      </w:hyperlink>
    </w:p>
  </w:footnote>
  <w:footnote w:id="83">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2" w:history="1">
        <w:r>
          <w:rPr>
            <w:rStyle w:val="Hyperlink"/>
            <w:rFonts w:asciiTheme="minorHAnsi" w:hAnsiTheme="minorHAnsi"/>
            <w:sz w:val="16"/>
            <w:szCs w:val="16"/>
          </w:rPr>
          <w:t xml:space="preserve">Protocol on Access to Genetic Resources and the Fair and Equitable Sharing of Benefits </w:t>
        </w:r>
        <w:r>
          <w:rPr>
            <w:rStyle w:val="Hyperlink"/>
            <w:rFonts w:asciiTheme="minorHAnsi" w:hAnsiTheme="minorHAnsi"/>
            <w:sz w:val="16"/>
            <w:szCs w:val="16"/>
          </w:rPr>
          <w:t>Arising from their Utilization to the Convention on Biological Diversity</w:t>
        </w:r>
      </w:hyperlink>
    </w:p>
  </w:footnote>
  <w:footnote w:id="84">
    <w:p w:rsidR="006D6E8A" w:rsidRDefault="002E711B">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63" w:history="1">
        <w:r>
          <w:rPr>
            <w:rStyle w:val="Hyperlink"/>
            <w:rFonts w:asciiTheme="minorHAnsi" w:hAnsiTheme="minorHAnsi"/>
            <w:sz w:val="16"/>
            <w:szCs w:val="16"/>
            <w:lang w:val="fr-BE"/>
          </w:rPr>
          <w:t>Environmental tax revenues</w:t>
        </w:r>
      </w:hyperlink>
      <w:r>
        <w:rPr>
          <w:rFonts w:asciiTheme="minorHAnsi" w:hAnsiTheme="minorHAnsi"/>
          <w:sz w:val="16"/>
          <w:szCs w:val="16"/>
          <w:lang w:val="fr-BE"/>
        </w:rPr>
        <w:t>, accessed October 2016.</w:t>
      </w:r>
    </w:p>
  </w:footnote>
  <w:footnote w:id="85">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64" w:history="1">
        <w:r>
          <w:rPr>
            <w:rStyle w:val="Hyperlink"/>
            <w:rFonts w:asciiTheme="minorHAnsi" w:hAnsiTheme="minorHAnsi"/>
            <w:sz w:val="16"/>
            <w:szCs w:val="16"/>
          </w:rPr>
          <w:t>Public procurement</w:t>
        </w:r>
      </w:hyperlink>
    </w:p>
  </w:footnote>
  <w:footnote w:id="86">
    <w:p w:rsidR="006D6E8A" w:rsidRDefault="002E711B">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In the Communication “</w:t>
      </w:r>
      <w:r>
        <w:rPr>
          <w:sz w:val="16"/>
          <w:szCs w:val="16"/>
          <w:lang w:val="en"/>
        </w:rPr>
        <w:t xml:space="preserve">Public procurement for a better environment” </w:t>
      </w:r>
      <w:hyperlink r:id="rId65" w:history="1">
        <w:r>
          <w:rPr>
            <w:rStyle w:val="Hyperlink"/>
            <w:sz w:val="16"/>
            <w:szCs w:val="16"/>
            <w:lang w:val="en"/>
          </w:rPr>
          <w:t>(COM /2008/400)</w:t>
        </w:r>
      </w:hyperlink>
      <w:r>
        <w:rPr>
          <w:sz w:val="16"/>
          <w:szCs w:val="16"/>
          <w:lang w:val="en"/>
        </w:rPr>
        <w:t xml:space="preserve"> the Commission recommended the creation of</w:t>
      </w:r>
      <w:r>
        <w:rPr>
          <w:sz w:val="16"/>
          <w:szCs w:val="16"/>
          <w:lang w:val="en"/>
        </w:rPr>
        <w:t xml:space="preserve"> a process for setting common GPP criteria. The basic concept of GPP relies on having clear, verifiable, justifiable and ambitious environmental criteria for products and services, based on a life-cycle approach and scientific evidence base.</w:t>
      </w:r>
    </w:p>
  </w:footnote>
  <w:footnote w:id="87">
    <w:p w:rsidR="006D6E8A" w:rsidRDefault="002E711B">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European Comm</w:t>
      </w:r>
      <w:r>
        <w:rPr>
          <w:rFonts w:asciiTheme="minorHAnsi" w:hAnsiTheme="minorHAnsi"/>
          <w:sz w:val="16"/>
          <w:szCs w:val="16"/>
          <w:lang w:val="fr-BE"/>
        </w:rPr>
        <w:t xml:space="preserve">ission, 2015. </w:t>
      </w:r>
      <w:hyperlink r:id="rId66" w:history="1">
        <w:r>
          <w:rPr>
            <w:rStyle w:val="Hyperlink"/>
            <w:rFonts w:asciiTheme="minorHAnsi" w:hAnsiTheme="minorHAnsi"/>
            <w:sz w:val="16"/>
            <w:szCs w:val="16"/>
            <w:lang w:val="fr-BE"/>
          </w:rPr>
          <w:t>Documentation on National GPP Action Plans</w:t>
        </w:r>
      </w:hyperlink>
    </w:p>
  </w:footnote>
  <w:footnote w:id="88">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lang w:val="fr-BE"/>
        </w:rPr>
        <w:t xml:space="preserve">European Commission, 2015. </w:t>
      </w:r>
      <w:hyperlink r:id="rId67" w:history="1">
        <w:r>
          <w:rPr>
            <w:rStyle w:val="Hyperlink"/>
            <w:rFonts w:asciiTheme="minorHAnsi" w:hAnsiTheme="minorHAnsi"/>
            <w:sz w:val="16"/>
            <w:szCs w:val="16"/>
          </w:rPr>
          <w:t>Documentation on National GPP</w:t>
        </w:r>
        <w:r>
          <w:rPr>
            <w:rStyle w:val="Hyperlink"/>
            <w:rFonts w:asciiTheme="minorHAnsi" w:hAnsiTheme="minorHAnsi"/>
            <w:sz w:val="16"/>
            <w:szCs w:val="16"/>
          </w:rPr>
          <w:t xml:space="preserve"> Action Plans</w:t>
        </w:r>
      </w:hyperlink>
    </w:p>
  </w:footnote>
  <w:footnote w:id="89">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ESIF comprises five funds – the European Regional Development Funds (ERDF), the Cohesion Fund (CF), the European Social Fund (ESF), the European Agricultural Fund for Rural Development (EAFRD), and the European Maritime and Fisheries Fund (</w:t>
      </w:r>
      <w:r>
        <w:rPr>
          <w:rFonts w:asciiTheme="minorHAnsi" w:hAnsiTheme="minorHAnsi"/>
          <w:sz w:val="16"/>
          <w:szCs w:val="16"/>
        </w:rPr>
        <w:t>EMFF). The ERDF, the CF and the ESF together form the Cohesion Policy funds.</w:t>
      </w:r>
    </w:p>
  </w:footnote>
  <w:footnote w:id="90">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EIB: </w:t>
      </w:r>
      <w:hyperlink r:id="rId68" w:history="1">
        <w:r>
          <w:rPr>
            <w:rStyle w:val="Hyperlink"/>
            <w:rFonts w:asciiTheme="minorHAnsi" w:hAnsiTheme="minorHAnsi"/>
            <w:sz w:val="16"/>
            <w:szCs w:val="16"/>
            <w:lang w:val="en"/>
          </w:rPr>
          <w:t>European Fund for Strategic Investments</w:t>
        </w:r>
      </w:hyperlink>
    </w:p>
  </w:footnote>
  <w:footnote w:id="91">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This amount includes allocations for water management, flood protection, regeneration and </w:t>
      </w:r>
      <w:r>
        <w:rPr>
          <w:rFonts w:asciiTheme="minorHAnsi" w:hAnsiTheme="minorHAnsi"/>
          <w:sz w:val="16"/>
          <w:szCs w:val="16"/>
        </w:rPr>
        <w:t>decontamination of brownfields, Natura 2000 and biodiversity, air, as well as environmentally-friendly production processed and resource efficiency in SMEs.</w:t>
      </w:r>
    </w:p>
  </w:footnote>
  <w:footnote w:id="92">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69" w:history="1">
        <w:r>
          <w:rPr>
            <w:rStyle w:val="Hyperlink"/>
            <w:rFonts w:asciiTheme="minorHAnsi" w:hAnsiTheme="minorHAnsi"/>
            <w:sz w:val="16"/>
            <w:szCs w:val="16"/>
          </w:rPr>
          <w:t>European Structu</w:t>
        </w:r>
        <w:r>
          <w:rPr>
            <w:rStyle w:val="Hyperlink"/>
            <w:rFonts w:asciiTheme="minorHAnsi" w:hAnsiTheme="minorHAnsi"/>
            <w:sz w:val="16"/>
            <w:szCs w:val="16"/>
          </w:rPr>
          <w:t>ral and Investment Funds Data By Country</w:t>
        </w:r>
      </w:hyperlink>
    </w:p>
  </w:footnote>
  <w:footnote w:id="93">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70" w:history="1">
        <w:r>
          <w:rPr>
            <w:rStyle w:val="Hyperlink"/>
            <w:rFonts w:asciiTheme="minorHAnsi" w:hAnsiTheme="minorHAnsi"/>
            <w:sz w:val="16"/>
            <w:szCs w:val="16"/>
          </w:rPr>
          <w:t>Environmental Impact Assessment Directive 2011/92/EU</w:t>
        </w:r>
      </w:hyperlink>
      <w:r>
        <w:rPr>
          <w:rStyle w:val="Hyperlink"/>
          <w:rFonts w:asciiTheme="minorHAnsi" w:hAnsiTheme="minorHAnsi"/>
          <w:sz w:val="16"/>
          <w:szCs w:val="16"/>
        </w:rPr>
        <w:t xml:space="preserve"> </w:t>
      </w:r>
    </w:p>
  </w:footnote>
  <w:footnote w:id="94">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Commission, </w:t>
      </w:r>
      <w:hyperlink r:id="rId71" w:history="1">
        <w:r>
          <w:rPr>
            <w:rStyle w:val="Hyperlink"/>
            <w:rFonts w:asciiTheme="minorHAnsi" w:hAnsiTheme="minorHAnsi"/>
            <w:sz w:val="16"/>
            <w:szCs w:val="16"/>
          </w:rPr>
          <w:t>Commission Delegated Regulation (EU) 2015/851 of 27 March 2015 amending Annexes II, III and VI to Regulation (EU) No 1307/2013 of the European Parliament and of the Council establishing rules for direct paym</w:t>
        </w:r>
        <w:r>
          <w:rPr>
            <w:rStyle w:val="Hyperlink"/>
            <w:rFonts w:asciiTheme="minorHAnsi" w:hAnsiTheme="minorHAnsi"/>
            <w:sz w:val="16"/>
            <w:szCs w:val="16"/>
          </w:rPr>
          <w:t>ents to farmers under support schemes within the framework of the common agricultural policy, OJ L 135, 2.6.2015</w:t>
        </w:r>
      </w:hyperlink>
    </w:p>
  </w:footnote>
  <w:footnote w:id="95">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Since 2015, every farmer in the EU who claims a direct payment and has more than 15 hectares of arable land is obliged to have 5% of his arab</w:t>
      </w:r>
      <w:r>
        <w:rPr>
          <w:rFonts w:asciiTheme="minorHAnsi" w:hAnsiTheme="minorHAnsi"/>
          <w:sz w:val="16"/>
          <w:szCs w:val="16"/>
        </w:rPr>
        <w:t xml:space="preserve">le land covered by ecological focus areas. These are areas which bring benefits for the environment, improve biodiversity and maintain attractive landscapes Some exceptions to this general rule apply, for example to farmers who have more than 75% of their </w:t>
      </w:r>
      <w:r>
        <w:rPr>
          <w:rFonts w:asciiTheme="minorHAnsi" w:hAnsiTheme="minorHAnsi"/>
          <w:sz w:val="16"/>
          <w:szCs w:val="16"/>
        </w:rPr>
        <w:t xml:space="preserve">area under grassland. </w:t>
      </w:r>
      <w:hyperlink r:id="rId72" w:history="1">
        <w:r>
          <w:rPr>
            <w:rStyle w:val="Hyperlink"/>
            <w:rFonts w:asciiTheme="minorHAnsi" w:hAnsiTheme="minorHAnsi"/>
            <w:sz w:val="16"/>
            <w:szCs w:val="16"/>
          </w:rPr>
          <w:t>http://ec.europa.eu/agriculture/glossary_en</w:t>
        </w:r>
      </w:hyperlink>
    </w:p>
    <w:p w:rsidR="006D6E8A" w:rsidRDefault="006D6E8A">
      <w:pPr>
        <w:pStyle w:val="FootnoteText"/>
        <w:ind w:left="170" w:hanging="170"/>
        <w:rPr>
          <w:rFonts w:asciiTheme="minorHAnsi" w:hAnsiTheme="minorHAnsi"/>
          <w:sz w:val="16"/>
          <w:szCs w:val="16"/>
        </w:rPr>
      </w:pPr>
    </w:p>
  </w:footnote>
  <w:footnote w:id="96">
    <w:p w:rsidR="006D6E8A" w:rsidRDefault="002E711B">
      <w:pPr>
        <w:spacing w:after="0" w:line="240" w:lineRule="auto"/>
        <w:ind w:left="170" w:hanging="170"/>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administrative s</w:t>
      </w:r>
      <w:r>
        <w:rPr>
          <w:sz w:val="16"/>
          <w:szCs w:val="16"/>
        </w:rPr>
        <w:t>ystems of Member States.</w:t>
      </w:r>
    </w:p>
  </w:footnote>
  <w:footnote w:id="97">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3" w:history="1">
        <w:r>
          <w:rPr>
            <w:rStyle w:val="Hyperlink"/>
            <w:rFonts w:asciiTheme="minorHAnsi" w:hAnsiTheme="minorHAnsi"/>
            <w:sz w:val="16"/>
            <w:szCs w:val="16"/>
          </w:rPr>
          <w:t>Council Recommendation on the 2015 National Reform Programme of Slovenia and delivering a Council opinion on the 2015 Stability Programme of Slove</w:t>
        </w:r>
        <w:r>
          <w:rPr>
            <w:rStyle w:val="Hyperlink"/>
            <w:rFonts w:asciiTheme="minorHAnsi" w:hAnsiTheme="minorHAnsi"/>
            <w:sz w:val="16"/>
            <w:szCs w:val="16"/>
          </w:rPr>
          <w:t>nia</w:t>
        </w:r>
      </w:hyperlink>
      <w:r>
        <w:rPr>
          <w:rFonts w:asciiTheme="minorHAnsi" w:hAnsiTheme="minorHAnsi"/>
          <w:sz w:val="16"/>
          <w:szCs w:val="16"/>
        </w:rPr>
        <w:t>, p. 5.</w:t>
      </w:r>
    </w:p>
  </w:footnote>
  <w:footnote w:id="98">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Member States Investment Challenges, </w:t>
      </w:r>
      <w:hyperlink r:id="rId74" w:history="1">
        <w:r>
          <w:rPr>
            <w:rStyle w:val="Hyperlink"/>
            <w:rFonts w:asciiTheme="minorHAnsi" w:hAnsiTheme="minorHAnsi"/>
            <w:sz w:val="16"/>
            <w:szCs w:val="16"/>
          </w:rPr>
          <w:t>SWD(2015)400 final/2</w:t>
        </w:r>
      </w:hyperlink>
    </w:p>
  </w:footnote>
  <w:footnote w:id="99">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75" w:history="1">
        <w:r>
          <w:rPr>
            <w:rStyle w:val="Hyperlink"/>
            <w:rFonts w:asciiTheme="minorHAnsi" w:hAnsiTheme="minorHAnsi"/>
            <w:sz w:val="16"/>
            <w:szCs w:val="16"/>
          </w:rPr>
          <w:t>Strategic Environmental Assessment Directive 2001/42/EC</w:t>
        </w:r>
      </w:hyperlink>
    </w:p>
  </w:footnote>
  <w:footnote w:id="100">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76" w:history="1">
        <w:r>
          <w:rPr>
            <w:rStyle w:val="Hyperlink"/>
            <w:rFonts w:asciiTheme="minorHAnsi" w:hAnsiTheme="minorHAnsi"/>
            <w:sz w:val="16"/>
            <w:szCs w:val="16"/>
          </w:rPr>
          <w:t xml:space="preserve">Habitats Directive 92/43/EEC </w:t>
        </w:r>
      </w:hyperlink>
    </w:p>
  </w:footnote>
  <w:footnote w:id="101">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transposition of Directive 2014/52/EU is due in May 2017.</w:t>
      </w:r>
    </w:p>
  </w:footnote>
  <w:footnote w:id="102">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Commission notice — </w:t>
      </w:r>
      <w:hyperlink r:id="rId77" w:history="1">
        <w:r>
          <w:rPr>
            <w:rStyle w:val="Hyperlink"/>
            <w:rFonts w:asciiTheme="minorHAnsi" w:hAnsiTheme="minorHAnsi"/>
            <w:sz w:val="16"/>
            <w:szCs w:val="16"/>
          </w:rPr>
          <w:t xml:space="preserve">Commission guidance document on streamlining environmental </w:t>
        </w:r>
        <w:r>
          <w:rPr>
            <w:rStyle w:val="Hyperlink"/>
            <w:rFonts w:asciiTheme="minorHAnsi" w:hAnsiTheme="minorHAnsi"/>
            <w:sz w:val="16"/>
            <w:szCs w:val="16"/>
          </w:rPr>
          <w:t>assessments conducted under Article 2(3) of the Environmental Impact Assessment Directive (Directive 2011/92/EU of the European Parliament and of the Council, as amended by Directive 2014/52/EU)</w:t>
        </w:r>
      </w:hyperlink>
    </w:p>
  </w:footnote>
  <w:footnote w:id="103">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78" w:history="1">
        <w:r>
          <w:rPr>
            <w:rStyle w:val="Hyperlink"/>
            <w:rFonts w:asciiTheme="minorHAnsi" w:hAnsiTheme="minorHAnsi"/>
            <w:sz w:val="16"/>
            <w:szCs w:val="16"/>
          </w:rPr>
          <w:t>Environmental Crime Directive 2008/99/EC</w:t>
        </w:r>
      </w:hyperlink>
      <w:r>
        <w:rPr>
          <w:rFonts w:asciiTheme="minorHAnsi" w:hAnsiTheme="minorHAnsi"/>
          <w:sz w:val="16"/>
          <w:szCs w:val="16"/>
        </w:rPr>
        <w:t xml:space="preserve"> </w:t>
      </w:r>
      <w:hyperlink r:id="rId79" w:history="1">
        <w:r>
          <w:rPr>
            <w:rStyle w:val="Hyperlink"/>
            <w:rFonts w:asciiTheme="minorHAnsi" w:hAnsiTheme="minorHAnsi"/>
            <w:sz w:val="16"/>
            <w:szCs w:val="16"/>
          </w:rPr>
          <w:t>Environmental Crim</w:t>
        </w:r>
        <w:r>
          <w:rPr>
            <w:rStyle w:val="Hyperlink"/>
            <w:rFonts w:asciiTheme="minorHAnsi" w:hAnsiTheme="minorHAnsi"/>
            <w:sz w:val="16"/>
            <w:szCs w:val="16"/>
          </w:rPr>
          <w:t>e Directive 2008/99/EC</w:t>
        </w:r>
      </w:hyperlink>
      <w:r>
        <w:rPr>
          <w:rStyle w:val="Hyperlink"/>
          <w:rFonts w:asciiTheme="minorHAnsi" w:hAnsiTheme="minorHAnsi"/>
          <w:sz w:val="16"/>
          <w:szCs w:val="16"/>
        </w:rPr>
        <w:t xml:space="preserve"> </w:t>
      </w:r>
    </w:p>
  </w:footnote>
  <w:footnote w:id="104">
    <w:p w:rsidR="006D6E8A" w:rsidRDefault="002E711B">
      <w:pPr>
        <w:pStyle w:val="FootnoteText"/>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0" w:history="1">
        <w:r>
          <w:rPr>
            <w:rStyle w:val="Hyperlink"/>
            <w:rFonts w:asciiTheme="minorHAnsi" w:hAnsiTheme="minorHAnsi"/>
            <w:sz w:val="16"/>
            <w:szCs w:val="16"/>
          </w:rPr>
          <w:t>European Union Network for the Implementation and Enforcement of Environmental Law</w:t>
        </w:r>
      </w:hyperlink>
    </w:p>
  </w:footnote>
  <w:footnote w:id="105">
    <w:p w:rsidR="006D6E8A" w:rsidRDefault="002E711B">
      <w:pPr>
        <w:pStyle w:val="FootnoteText"/>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1" w:history="1">
        <w:r>
          <w:rPr>
            <w:rStyle w:val="Hyperlink"/>
            <w:rFonts w:asciiTheme="minorHAnsi" w:hAnsiTheme="minorHAnsi"/>
            <w:sz w:val="16"/>
            <w:szCs w:val="16"/>
          </w:rPr>
          <w:t>European Union Forum of judges for the environment</w:t>
        </w:r>
      </w:hyperlink>
    </w:p>
  </w:footnote>
  <w:footnote w:id="106">
    <w:p w:rsidR="006D6E8A" w:rsidRDefault="002E711B">
      <w:pPr>
        <w:pStyle w:val="FootnoteText"/>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2" w:history="1">
        <w:r>
          <w:rPr>
            <w:rStyle w:val="Hyperlink"/>
            <w:rFonts w:asciiTheme="minorHAnsi" w:hAnsiTheme="minorHAnsi"/>
            <w:sz w:val="16"/>
            <w:szCs w:val="16"/>
          </w:rPr>
          <w:t>The European Network of Prosecutors for the Environment</w:t>
        </w:r>
      </w:hyperlink>
    </w:p>
  </w:footnote>
  <w:footnote w:id="107">
    <w:p w:rsidR="006D6E8A" w:rsidRDefault="002E711B">
      <w:pPr>
        <w:pStyle w:val="FootnoteText"/>
        <w:ind w:left="170" w:hanging="170"/>
        <w:outlineLvl w:val="4"/>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hyperlink r:id="rId83" w:history="1">
        <w:r>
          <w:rPr>
            <w:rStyle w:val="Hyperlink"/>
            <w:rFonts w:asciiTheme="minorHAnsi" w:hAnsiTheme="minorHAnsi"/>
            <w:sz w:val="16"/>
            <w:szCs w:val="16"/>
            <w:lang w:val="fr-BE"/>
          </w:rPr>
          <w:t>EnviCrimeNet</w:t>
        </w:r>
      </w:hyperlink>
    </w:p>
  </w:footnote>
  <w:footnote w:id="108">
    <w:p w:rsidR="006D6E8A" w:rsidRDefault="002E711B">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r>
        <w:rPr>
          <w:rFonts w:asciiTheme="minorHAnsi" w:hAnsiTheme="minorHAnsi"/>
          <w:sz w:val="16"/>
          <w:szCs w:val="16"/>
          <w:lang w:val="fr-FR"/>
        </w:rPr>
        <w:t xml:space="preserve">European Union, </w:t>
      </w:r>
      <w:hyperlink r:id="rId84" w:history="1">
        <w:r>
          <w:rPr>
            <w:rStyle w:val="Hyperlink"/>
            <w:rFonts w:asciiTheme="minorHAnsi" w:hAnsiTheme="minorHAnsi"/>
            <w:sz w:val="16"/>
            <w:szCs w:val="16"/>
            <w:lang w:val="fr-FR"/>
          </w:rPr>
          <w:t>Envi</w:t>
        </w:r>
        <w:r>
          <w:rPr>
            <w:rStyle w:val="Hyperlink"/>
            <w:rFonts w:asciiTheme="minorHAnsi" w:hAnsiTheme="minorHAnsi"/>
            <w:sz w:val="16"/>
            <w:szCs w:val="16"/>
            <w:lang w:val="fr-FR"/>
          </w:rPr>
          <w:t>ronmental Liability Directive 2004/35/CE</w:t>
        </w:r>
      </w:hyperlink>
    </w:p>
  </w:footnote>
  <w:footnote w:id="109">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hyperlink r:id="rId85" w:history="1">
        <w:r>
          <w:rPr>
            <w:rFonts w:asciiTheme="minorHAnsi" w:hAnsiTheme="minorHAnsi"/>
            <w:color w:val="0000FF"/>
            <w:sz w:val="16"/>
            <w:szCs w:val="16"/>
            <w:u w:val="single"/>
          </w:rPr>
          <w:t>COM(2016)204 final</w:t>
        </w:r>
      </w:hyperlink>
      <w:r>
        <w:rPr>
          <w:rFonts w:asciiTheme="minorHAnsi" w:hAnsiTheme="minorHAnsi"/>
          <w:sz w:val="16"/>
          <w:szCs w:val="16"/>
        </w:rPr>
        <w:t xml:space="preserve"> and </w:t>
      </w:r>
      <w:hyperlink r:id="rId86" w:history="1">
        <w:r>
          <w:rPr>
            <w:rFonts w:asciiTheme="minorHAnsi" w:hAnsiTheme="minorHAnsi"/>
            <w:color w:val="0000FF"/>
            <w:sz w:val="16"/>
            <w:szCs w:val="16"/>
            <w:u w:val="single"/>
          </w:rPr>
          <w:t>COM(2016)121 final</w:t>
        </w:r>
      </w:hyperlink>
      <w:r>
        <w:rPr>
          <w:rFonts w:asciiTheme="minorHAnsi" w:hAnsiTheme="minorHAnsi"/>
          <w:sz w:val="16"/>
          <w:szCs w:val="16"/>
        </w:rPr>
        <w:t xml:space="preserve"> of 14.4.2016. This highlighted the need for better evidence on how the directive is used in practice; for tools to support its implementation, such as guidance, training and ELD registers; and for financial security to be available in ca</w:t>
      </w:r>
      <w:r>
        <w:rPr>
          <w:rFonts w:asciiTheme="minorHAnsi" w:hAnsiTheme="minorHAnsi"/>
          <w:sz w:val="16"/>
          <w:szCs w:val="16"/>
        </w:rPr>
        <w:t>se events or incidents generate remediation costs.</w:t>
      </w:r>
    </w:p>
  </w:footnote>
  <w:footnote w:id="110">
    <w:p w:rsidR="006D6E8A" w:rsidRDefault="002E711B">
      <w:pPr>
        <w:pStyle w:val="FootnoteText"/>
        <w:ind w:left="170" w:hanging="170"/>
        <w:rPr>
          <w:rFonts w:asciiTheme="minorHAnsi" w:hAnsiTheme="minorHAnsi"/>
          <w:sz w:val="16"/>
          <w:szCs w:val="16"/>
          <w:lang w:val="it-IT"/>
        </w:rPr>
      </w:pPr>
      <w:r>
        <w:rPr>
          <w:rStyle w:val="FootnoteReference"/>
          <w:rFonts w:asciiTheme="minorHAnsi" w:hAnsiTheme="minorHAnsi"/>
          <w:sz w:val="16"/>
          <w:szCs w:val="16"/>
        </w:rPr>
        <w:footnoteRef/>
      </w:r>
      <w:r>
        <w:rPr>
          <w:rFonts w:asciiTheme="minorHAnsi" w:hAnsiTheme="minorHAnsi"/>
          <w:sz w:val="16"/>
          <w:szCs w:val="16"/>
          <w:lang w:val="it-IT"/>
        </w:rPr>
        <w:t xml:space="preserve"> IMPEL, 2010. </w:t>
      </w:r>
      <w:hyperlink r:id="rId87" w:history="1">
        <w:r>
          <w:rPr>
            <w:rStyle w:val="Hyperlink"/>
            <w:rFonts w:asciiTheme="minorHAnsi" w:hAnsiTheme="minorHAnsi"/>
            <w:sz w:val="16"/>
            <w:szCs w:val="16"/>
            <w:lang w:val="it-IT"/>
          </w:rPr>
          <w:t>IRI Report Slovenia</w:t>
        </w:r>
      </w:hyperlink>
      <w:r>
        <w:rPr>
          <w:rFonts w:asciiTheme="minorHAnsi" w:hAnsiTheme="minorHAnsi"/>
          <w:sz w:val="16"/>
          <w:szCs w:val="16"/>
          <w:lang w:val="it-IT"/>
        </w:rPr>
        <w:t>, p. 4, 33, 44, 48 and 52.</w:t>
      </w:r>
    </w:p>
  </w:footnote>
  <w:footnote w:id="111">
    <w:p w:rsidR="006D6E8A" w:rsidRDefault="002E711B">
      <w:pPr>
        <w:pStyle w:val="FootnoteText"/>
        <w:ind w:left="170" w:hanging="170"/>
        <w:rPr>
          <w:rFonts w:asciiTheme="minorHAnsi" w:hAnsiTheme="minorHAnsi"/>
          <w:sz w:val="16"/>
          <w:szCs w:val="16"/>
          <w:lang w:val="it-IT"/>
        </w:rPr>
      </w:pPr>
      <w:r>
        <w:rPr>
          <w:rStyle w:val="FootnoteReference"/>
          <w:rFonts w:asciiTheme="minorHAnsi" w:hAnsiTheme="minorHAnsi"/>
          <w:sz w:val="16"/>
          <w:szCs w:val="16"/>
        </w:rPr>
        <w:footnoteRef/>
      </w:r>
      <w:r>
        <w:rPr>
          <w:rFonts w:asciiTheme="minorHAnsi" w:hAnsiTheme="minorHAnsi"/>
          <w:sz w:val="16"/>
          <w:szCs w:val="16"/>
          <w:lang w:val="it-IT"/>
        </w:rPr>
        <w:t xml:space="preserve"> IMPEL, 2010. </w:t>
      </w:r>
      <w:hyperlink r:id="rId88" w:history="1">
        <w:r>
          <w:rPr>
            <w:rStyle w:val="Hyperlink"/>
            <w:rFonts w:asciiTheme="minorHAnsi" w:hAnsiTheme="minorHAnsi"/>
            <w:sz w:val="16"/>
            <w:szCs w:val="16"/>
            <w:lang w:val="it-IT"/>
          </w:rPr>
          <w:t>IRI Report Slovenia</w:t>
        </w:r>
      </w:hyperlink>
      <w:r>
        <w:rPr>
          <w:rFonts w:asciiTheme="minorHAnsi" w:hAnsiTheme="minorHAnsi"/>
          <w:sz w:val="16"/>
          <w:szCs w:val="16"/>
          <w:lang w:val="it-IT"/>
        </w:rPr>
        <w:t>, p. 18, 27, 33, 46-47.</w:t>
      </w:r>
    </w:p>
  </w:footnote>
  <w:footnote w:id="112">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IMPEL IRI Report indicates that </w:t>
      </w:r>
      <w:r>
        <w:rPr>
          <w:rFonts w:asciiTheme="minorHAnsi" w:hAnsiTheme="minorHAnsi"/>
          <w:color w:val="000000" w:themeColor="text1"/>
          <w:sz w:val="16"/>
          <w:szCs w:val="16"/>
          <w:lang w:val="en-US"/>
        </w:rPr>
        <w:t>IRSOP publishes an annual activity report which is however based mostly only on basic output indicators, which is insufficient to evaluate the q</w:t>
      </w:r>
      <w:r>
        <w:rPr>
          <w:rFonts w:asciiTheme="minorHAnsi" w:hAnsiTheme="minorHAnsi"/>
          <w:color w:val="000000" w:themeColor="text1"/>
          <w:sz w:val="16"/>
          <w:szCs w:val="16"/>
          <w:lang w:val="en-US"/>
        </w:rPr>
        <w:t>uality of inspection work, see</w:t>
      </w:r>
      <w:r>
        <w:rPr>
          <w:rFonts w:asciiTheme="minorHAnsi" w:hAnsiTheme="minorHAnsi"/>
          <w:sz w:val="16"/>
          <w:szCs w:val="16"/>
        </w:rPr>
        <w:t xml:space="preserve"> p. 22, 53.</w:t>
      </w:r>
    </w:p>
  </w:footnote>
  <w:footnote w:id="113">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olor w:val="000000" w:themeColor="text1"/>
          <w:sz w:val="16"/>
          <w:szCs w:val="16"/>
        </w:rPr>
        <w:t>The IMPEL IRI Report notes that w</w:t>
      </w:r>
      <w:r>
        <w:rPr>
          <w:rFonts w:asciiTheme="minorHAnsi" w:hAnsiTheme="minorHAnsi"/>
          <w:color w:val="000000" w:themeColor="text1"/>
          <w:sz w:val="16"/>
          <w:szCs w:val="16"/>
          <w:lang w:val="en-US"/>
        </w:rPr>
        <w:t xml:space="preserve">written procedures and protocols to steer inspection work were not widely used, and that there was a need for a </w:t>
      </w:r>
      <w:r>
        <w:rPr>
          <w:rFonts w:asciiTheme="minorHAnsi" w:hAnsiTheme="minorHAnsi"/>
          <w:color w:val="000000" w:themeColor="text1"/>
          <w:sz w:val="16"/>
          <w:szCs w:val="16"/>
        </w:rPr>
        <w:t>more strategic approach.</w:t>
      </w:r>
    </w:p>
  </w:footnote>
  <w:footnote w:id="114">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IMPEL IRI Report indicates that </w:t>
      </w:r>
      <w:r>
        <w:rPr>
          <w:rFonts w:asciiTheme="minorHAnsi" w:hAnsiTheme="minorHAnsi"/>
          <w:color w:val="000000" w:themeColor="text1"/>
          <w:sz w:val="16"/>
          <w:szCs w:val="16"/>
        </w:rPr>
        <w:t xml:space="preserve">a risk-based approach and related data collection did not seem to be applied for inspections in environmental policy areas such as water and nature protection, see </w:t>
      </w:r>
      <w:r>
        <w:rPr>
          <w:rFonts w:asciiTheme="minorHAnsi" w:hAnsiTheme="minorHAnsi"/>
          <w:sz w:val="16"/>
          <w:szCs w:val="16"/>
        </w:rPr>
        <w:t>p. 29, 39 and 41.</w:t>
      </w:r>
    </w:p>
  </w:footnote>
  <w:footnote w:id="115">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Milieu, 2012, </w:t>
      </w:r>
      <w:hyperlink r:id="rId89" w:history="1">
        <w:r>
          <w:rPr>
            <w:rStyle w:val="Hyperlink"/>
            <w:rFonts w:asciiTheme="minorHAnsi" w:hAnsiTheme="minorHAnsi"/>
            <w:sz w:val="16"/>
            <w:szCs w:val="16"/>
          </w:rPr>
          <w:t>Evaluation Study on the Implementation of Directive 2008/99/EC on the Protection of the Environment through Criminal Law by member States, National Report for Sloven</w:t>
        </w:r>
        <w:r>
          <w:rPr>
            <w:rStyle w:val="Hyperlink"/>
            <w:rFonts w:asciiTheme="minorHAnsi" w:hAnsiTheme="minorHAnsi"/>
            <w:sz w:val="16"/>
            <w:szCs w:val="16"/>
          </w:rPr>
          <w:t>ia</w:t>
        </w:r>
      </w:hyperlink>
      <w:r>
        <w:rPr>
          <w:rFonts w:asciiTheme="minorHAnsi" w:hAnsiTheme="minorHAnsi"/>
          <w:sz w:val="16"/>
          <w:szCs w:val="16"/>
        </w:rPr>
        <w:t>, p. 21-22.</w:t>
      </w:r>
    </w:p>
  </w:footnote>
  <w:footnote w:id="116">
    <w:p w:rsidR="006D6E8A" w:rsidRDefault="002E711B">
      <w:pPr>
        <w:pStyle w:val="FootnoteText"/>
        <w:ind w:left="170" w:hanging="170"/>
        <w:rPr>
          <w:rFonts w:asciiTheme="minorHAnsi" w:hAnsiTheme="minorHAnsi"/>
          <w:sz w:val="16"/>
          <w:szCs w:val="16"/>
          <w:lang w:val="it-IT"/>
        </w:rPr>
      </w:pPr>
      <w:r>
        <w:rPr>
          <w:rStyle w:val="FootnoteReference"/>
          <w:rFonts w:asciiTheme="minorHAnsi" w:hAnsiTheme="minorHAnsi"/>
          <w:sz w:val="16"/>
          <w:szCs w:val="16"/>
        </w:rPr>
        <w:footnoteRef/>
      </w:r>
      <w:r>
        <w:rPr>
          <w:rFonts w:asciiTheme="minorHAnsi" w:hAnsiTheme="minorHAnsi"/>
          <w:sz w:val="16"/>
          <w:szCs w:val="16"/>
          <w:lang w:val="it-IT"/>
        </w:rPr>
        <w:t xml:space="preserve">IMPEL, 2010. </w:t>
      </w:r>
      <w:hyperlink r:id="rId90" w:history="1">
        <w:r>
          <w:rPr>
            <w:rStyle w:val="Hyperlink"/>
            <w:rFonts w:asciiTheme="minorHAnsi" w:hAnsiTheme="minorHAnsi"/>
            <w:sz w:val="16"/>
            <w:szCs w:val="16"/>
            <w:lang w:val="it-IT"/>
          </w:rPr>
          <w:t>IRI Report Slovenia</w:t>
        </w:r>
      </w:hyperlink>
      <w:r>
        <w:rPr>
          <w:rFonts w:asciiTheme="minorHAnsi" w:hAnsiTheme="minorHAnsi"/>
          <w:sz w:val="16"/>
          <w:szCs w:val="16"/>
          <w:lang w:val="it-IT"/>
        </w:rPr>
        <w:t>, p. 29-30.</w:t>
      </w:r>
    </w:p>
  </w:footnote>
  <w:footnote w:id="117">
    <w:p w:rsidR="006D6E8A" w:rsidRDefault="002E711B">
      <w:pPr>
        <w:pStyle w:val="FootnoteText"/>
        <w:ind w:left="170" w:hanging="170"/>
        <w:rPr>
          <w:rFonts w:asciiTheme="minorHAnsi" w:hAnsiTheme="minorHAnsi"/>
          <w:sz w:val="16"/>
          <w:szCs w:val="16"/>
          <w:lang w:val="it-IT"/>
        </w:rPr>
      </w:pPr>
      <w:r>
        <w:rPr>
          <w:rStyle w:val="FootnoteReference"/>
          <w:rFonts w:asciiTheme="minorHAnsi" w:hAnsiTheme="minorHAnsi"/>
          <w:sz w:val="16"/>
          <w:szCs w:val="16"/>
        </w:rPr>
        <w:footnoteRef/>
      </w:r>
      <w:r>
        <w:rPr>
          <w:rFonts w:asciiTheme="minorHAnsi" w:hAnsiTheme="minorHAnsi"/>
          <w:sz w:val="16"/>
          <w:szCs w:val="16"/>
          <w:lang w:val="it-IT"/>
        </w:rPr>
        <w:t xml:space="preserve">IMPEL, 2010. </w:t>
      </w:r>
      <w:hyperlink r:id="rId91" w:history="1">
        <w:r>
          <w:rPr>
            <w:rStyle w:val="Hyperlink"/>
            <w:rFonts w:asciiTheme="minorHAnsi" w:hAnsiTheme="minorHAnsi"/>
            <w:sz w:val="16"/>
            <w:szCs w:val="16"/>
            <w:lang w:val="it-IT"/>
          </w:rPr>
          <w:t>IRI Report Slovenia</w:t>
        </w:r>
      </w:hyperlink>
      <w:r>
        <w:rPr>
          <w:rFonts w:asciiTheme="minorHAnsi" w:hAnsiTheme="minorHAnsi"/>
          <w:sz w:val="16"/>
          <w:szCs w:val="16"/>
          <w:lang w:val="it-IT"/>
        </w:rPr>
        <w:t>, p.</w:t>
      </w:r>
      <w:r>
        <w:rPr>
          <w:rFonts w:asciiTheme="minorHAnsi" w:hAnsiTheme="minorHAnsi"/>
          <w:sz w:val="16"/>
          <w:szCs w:val="16"/>
          <w:lang w:val="it-IT"/>
        </w:rPr>
        <w:t xml:space="preserve"> 52-53.</w:t>
      </w:r>
    </w:p>
  </w:footnote>
  <w:footnote w:id="118">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92" w:history="1">
        <w:r>
          <w:rPr>
            <w:rStyle w:val="Hyperlink"/>
            <w:rFonts w:asciiTheme="minorHAnsi" w:hAnsiTheme="minorHAnsi"/>
            <w:sz w:val="16"/>
            <w:szCs w:val="16"/>
          </w:rPr>
          <w:t>2012/2013 access to justice in environmental matters in Slovenia</w:t>
        </w:r>
      </w:hyperlink>
    </w:p>
  </w:footnote>
  <w:footnote w:id="119">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UNECE, 1998. </w:t>
      </w:r>
      <w:hyperlink r:id="rId93" w:history="1">
        <w:r>
          <w:rPr>
            <w:rStyle w:val="Hyperlink"/>
            <w:rFonts w:asciiTheme="minorHAnsi" w:hAnsiTheme="minorHAnsi"/>
            <w:sz w:val="16"/>
            <w:szCs w:val="16"/>
          </w:rPr>
          <w:t>Convention on Access to Information, Public Participation in Decision-making and Access to Justice in Environmental Matters</w:t>
        </w:r>
      </w:hyperlink>
    </w:p>
  </w:footnote>
  <w:footnote w:id="120">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94" w:history="1">
        <w:r>
          <w:rPr>
            <w:rStyle w:val="Hyperlink"/>
            <w:rFonts w:asciiTheme="minorHAnsi" w:hAnsiTheme="minorHAnsi"/>
            <w:sz w:val="16"/>
            <w:szCs w:val="16"/>
          </w:rPr>
          <w:t>Directive 2003/4/EC on p</w:t>
        </w:r>
        <w:r>
          <w:rPr>
            <w:rStyle w:val="Hyperlink"/>
            <w:rFonts w:asciiTheme="minorHAnsi" w:hAnsiTheme="minorHAnsi"/>
            <w:sz w:val="16"/>
            <w:szCs w:val="16"/>
          </w:rPr>
          <w:t>ublic access to environmental information</w:t>
        </w:r>
      </w:hyperlink>
    </w:p>
  </w:footnote>
  <w:footnote w:id="121">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95" w:history="1">
        <w:r>
          <w:rPr>
            <w:rStyle w:val="Hyperlink"/>
            <w:rFonts w:asciiTheme="minorHAnsi" w:hAnsiTheme="minorHAnsi"/>
            <w:sz w:val="16"/>
            <w:szCs w:val="16"/>
          </w:rPr>
          <w:t xml:space="preserve">INSPIRE </w:t>
        </w:r>
        <w:r>
          <w:rPr>
            <w:rStyle w:val="Hyperlink"/>
            <w:rFonts w:asciiTheme="minorHAnsi" w:hAnsiTheme="minorHAnsi"/>
            <w:sz w:val="16"/>
            <w:szCs w:val="16"/>
            <w:lang w:val="en"/>
          </w:rPr>
          <w:t>Directive 2007/2/EC</w:t>
        </w:r>
      </w:hyperlink>
    </w:p>
  </w:footnote>
  <w:footnote w:id="122">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European Union, EU eGovernment Action Plan 2016-2020 Accelerating the digi</w:t>
      </w:r>
      <w:r>
        <w:rPr>
          <w:rFonts w:asciiTheme="minorHAnsi" w:hAnsiTheme="minorHAnsi"/>
          <w:sz w:val="16"/>
          <w:szCs w:val="16"/>
        </w:rPr>
        <w:t xml:space="preserve">tal transformation of government </w:t>
      </w:r>
      <w:hyperlink r:id="rId96"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23">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97" w:history="1">
        <w:r>
          <w:rPr>
            <w:rStyle w:val="Hyperlink"/>
            <w:rFonts w:asciiTheme="minorHAnsi" w:hAnsiTheme="minorHAnsi"/>
            <w:sz w:val="16"/>
            <w:szCs w:val="16"/>
          </w:rPr>
          <w:t>INSPIRE reports</w:t>
        </w:r>
      </w:hyperlink>
    </w:p>
  </w:footnote>
  <w:footnote w:id="124">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8" w:history="1">
        <w:r>
          <w:rPr>
            <w:rStyle w:val="Hyperlink"/>
            <w:rFonts w:asciiTheme="minorHAnsi" w:hAnsiTheme="minorHAnsi"/>
            <w:sz w:val="16"/>
            <w:szCs w:val="16"/>
          </w:rPr>
          <w:t>INSPIRE Indicator trends</w:t>
        </w:r>
      </w:hyperlink>
    </w:p>
  </w:footnote>
  <w:footnote w:id="125">
    <w:p w:rsidR="006D6E8A" w:rsidRDefault="002E711B">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9" w:history="1">
        <w:r>
          <w:rPr>
            <w:rStyle w:val="Hyperlink"/>
            <w:rFonts w:asciiTheme="minorHAnsi" w:hAnsiTheme="minorHAnsi"/>
            <w:sz w:val="16"/>
            <w:szCs w:val="16"/>
          </w:rPr>
          <w:t xml:space="preserve">Inspire Resources Summary Report </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11B" w:rsidRPr="002E711B" w:rsidRDefault="002E711B" w:rsidP="002E711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57"/>
      <w:gridCol w:w="1105"/>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sdt>
            <w:sdtPr>
              <w:rPr>
                <w:rFonts w:cstheme="minorHAnsi"/>
                <w:b/>
                <w:bCs/>
                <w:color w:val="1F497D" w:themeColor="text2"/>
              </w:rPr>
              <w:id w:val="-1739625537"/>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11B" w:rsidRPr="002E711B" w:rsidRDefault="002E711B" w:rsidP="002E711B">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6</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9</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10</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14</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11B" w:rsidRPr="002E711B" w:rsidRDefault="002E711B" w:rsidP="002E711B">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15</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19</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953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20</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9447"/>
      <w:gridCol w:w="1235"/>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953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sdt>
            <w:sdtPr>
              <w:rPr>
                <w:rFonts w:cstheme="minorHAnsi"/>
                <w:b/>
                <w:bCs/>
                <w:color w:val="1F497D" w:themeColor="text2"/>
              </w:rPr>
              <w:id w:val="170837203"/>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412.4pt;height:247.45pt;rotation:315;z-index:-2516362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9447"/>
      <w:gridCol w:w="1235"/>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23</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26</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4"/>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6D6E8A" w:rsidRDefault="006D6E8A">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E8A" w:rsidRDefault="006D6E8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6D6E8A">
      <w:tc>
        <w:tcPr>
          <w:tcW w:w="0" w:type="auto"/>
          <w:tcBorders>
            <w:top w:val="nil"/>
            <w:left w:val="nil"/>
            <w:bottom w:val="nil"/>
            <w:right w:val="single" w:sz="6" w:space="0" w:color="000000" w:themeColor="text1"/>
          </w:tcBorders>
          <w:hideMark/>
        </w:tcPr>
        <w:p w:rsidR="006D6E8A" w:rsidRDefault="002E711B">
          <w:pPr>
            <w:pStyle w:val="Header"/>
            <w:spacing w:line="276" w:lineRule="auto"/>
            <w:jc w:val="right"/>
            <w:rPr>
              <w:rFonts w:cstheme="minorHAnsi"/>
              <w:b/>
              <w:bCs/>
              <w:color w:val="1F497D" w:themeColor="text2"/>
            </w:rPr>
          </w:pPr>
          <w:r>
            <w:rPr>
              <w:rFonts w:cstheme="minorHAnsi"/>
              <w:b/>
              <w:bCs/>
              <w:color w:val="1F497D" w:themeColor="text2"/>
            </w:rPr>
            <w:t>Slovenia</w:t>
          </w:r>
        </w:p>
      </w:tc>
      <w:tc>
        <w:tcPr>
          <w:tcW w:w="1152" w:type="dxa"/>
          <w:tcBorders>
            <w:top w:val="nil"/>
            <w:left w:val="single" w:sz="6" w:space="0" w:color="000000" w:themeColor="text1"/>
            <w:bottom w:val="nil"/>
            <w:right w:val="nil"/>
          </w:tcBorders>
          <w:hideMark/>
        </w:tcPr>
        <w:p w:rsidR="006D6E8A" w:rsidRDefault="002E711B">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6D6E8A" w:rsidRDefault="006D6E8A">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57"/>
      <w:gridCol w:w="1105"/>
    </w:tblGrid>
    <w:tr w:rsidR="006D6E8A">
      <w:tc>
        <w:tcPr>
          <w:tcW w:w="4422" w:type="pct"/>
          <w:tcBorders>
            <w:top w:val="nil"/>
            <w:left w:val="nil"/>
            <w:bottom w:val="nil"/>
            <w:right w:val="single" w:sz="6" w:space="0" w:color="000000" w:themeColor="text1"/>
          </w:tcBorders>
        </w:tcPr>
        <w:p w:rsidR="006D6E8A" w:rsidRDefault="006D6E8A">
          <w:pPr>
            <w:pStyle w:val="Header"/>
            <w:spacing w:line="276" w:lineRule="auto"/>
            <w:jc w:val="right"/>
            <w:rPr>
              <w:rFonts w:cstheme="minorHAnsi"/>
              <w:b/>
              <w:bCs/>
              <w:color w:val="1F497D" w:themeColor="text2"/>
            </w:rPr>
          </w:pPr>
        </w:p>
      </w:tc>
      <w:tc>
        <w:tcPr>
          <w:tcW w:w="578" w:type="pct"/>
          <w:tcBorders>
            <w:top w:val="nil"/>
            <w:left w:val="single" w:sz="6" w:space="0" w:color="000000" w:themeColor="text1"/>
            <w:bottom w:val="nil"/>
            <w:right w:val="nil"/>
          </w:tcBorders>
        </w:tcPr>
        <w:p w:rsidR="006D6E8A" w:rsidRDefault="006D6E8A">
          <w:pPr>
            <w:pStyle w:val="Header"/>
            <w:spacing w:line="276" w:lineRule="auto"/>
            <w:rPr>
              <w:rFonts w:cstheme="minorHAnsi"/>
              <w:b/>
              <w:bCs/>
              <w:color w:val="1F497D" w:themeColor="text2"/>
            </w:rPr>
          </w:pPr>
        </w:p>
      </w:tc>
    </w:tr>
  </w:tbl>
  <w:p w:rsidR="006D6E8A" w:rsidRDefault="006D6E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44D"/>
    <w:multiLevelType w:val="hybridMultilevel"/>
    <w:tmpl w:val="BB38E5CC"/>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3">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4">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5">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6">
    <w:nsid w:val="375D2424"/>
    <w:multiLevelType w:val="hybridMultilevel"/>
    <w:tmpl w:val="10784D0A"/>
    <w:lvl w:ilvl="0" w:tplc="C63C885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8">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04025B9"/>
    <w:multiLevelType w:val="hybridMultilevel"/>
    <w:tmpl w:val="A18E44B6"/>
    <w:lvl w:ilvl="0" w:tplc="76C843FC">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8E11F9D"/>
    <w:multiLevelType w:val="multilevel"/>
    <w:tmpl w:val="099C26CC"/>
    <w:styleLink w:val="List158"/>
    <w:lvl w:ilvl="0">
      <w:start w:val="1"/>
      <w:numFmt w:val="lowerLetter"/>
      <w:lvlText w:val="(%1)"/>
      <w:lvlJc w:val="left"/>
      <w:rPr>
        <w:b/>
        <w:bCs/>
        <w:position w:val="0"/>
        <w:rtl w:val="0"/>
      </w:rPr>
    </w:lvl>
    <w:lvl w:ilvl="1">
      <w:start w:val="1"/>
      <w:numFmt w:val="lowerLetter"/>
      <w:lvlText w:val="%2."/>
      <w:lvlJc w:val="left"/>
      <w:rPr>
        <w:b/>
        <w:bCs/>
        <w:position w:val="0"/>
        <w:rtl w:val="0"/>
      </w:rPr>
    </w:lvl>
    <w:lvl w:ilvl="2">
      <w:start w:val="1"/>
      <w:numFmt w:val="lowerRoman"/>
      <w:lvlText w:val="%3."/>
      <w:lvlJc w:val="left"/>
      <w:rPr>
        <w:b/>
        <w:bCs/>
        <w:position w:val="0"/>
        <w:rtl w:val="0"/>
      </w:rPr>
    </w:lvl>
    <w:lvl w:ilvl="3">
      <w:start w:val="1"/>
      <w:numFmt w:val="decimal"/>
      <w:lvlText w:val="%4."/>
      <w:lvlJc w:val="left"/>
      <w:rPr>
        <w:b/>
        <w:bCs/>
        <w:position w:val="0"/>
        <w:rtl w:val="0"/>
      </w:rPr>
    </w:lvl>
    <w:lvl w:ilvl="4">
      <w:start w:val="1"/>
      <w:numFmt w:val="lowerLetter"/>
      <w:lvlText w:val="%5."/>
      <w:lvlJc w:val="left"/>
      <w:rPr>
        <w:b/>
        <w:bCs/>
        <w:position w:val="0"/>
        <w:rtl w:val="0"/>
      </w:rPr>
    </w:lvl>
    <w:lvl w:ilvl="5">
      <w:start w:val="1"/>
      <w:numFmt w:val="lowerRoman"/>
      <w:lvlText w:val="%6."/>
      <w:lvlJc w:val="left"/>
      <w:rPr>
        <w:b/>
        <w:bCs/>
        <w:position w:val="0"/>
        <w:rtl w:val="0"/>
      </w:rPr>
    </w:lvl>
    <w:lvl w:ilvl="6">
      <w:start w:val="1"/>
      <w:numFmt w:val="decimal"/>
      <w:lvlText w:val="%7."/>
      <w:lvlJc w:val="left"/>
      <w:rPr>
        <w:b/>
        <w:bCs/>
        <w:position w:val="0"/>
        <w:rtl w:val="0"/>
      </w:rPr>
    </w:lvl>
    <w:lvl w:ilvl="7">
      <w:start w:val="1"/>
      <w:numFmt w:val="lowerLetter"/>
      <w:lvlText w:val="%8."/>
      <w:lvlJc w:val="left"/>
      <w:rPr>
        <w:b/>
        <w:bCs/>
        <w:position w:val="0"/>
        <w:rtl w:val="0"/>
      </w:rPr>
    </w:lvl>
    <w:lvl w:ilvl="8">
      <w:start w:val="1"/>
      <w:numFmt w:val="lowerRoman"/>
      <w:lvlText w:val="%9."/>
      <w:lvlJc w:val="left"/>
      <w:rPr>
        <w:b/>
        <w:bCs/>
        <w:position w:val="0"/>
        <w:rtl w:val="0"/>
      </w:rPr>
    </w:lvl>
  </w:abstractNum>
  <w:abstractNum w:abstractNumId="18">
    <w:nsid w:val="49EF108E"/>
    <w:multiLevelType w:val="hybridMultilevel"/>
    <w:tmpl w:val="D69A7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371529F"/>
    <w:multiLevelType w:val="hybridMultilevel"/>
    <w:tmpl w:val="D8E097A6"/>
    <w:lvl w:ilvl="0" w:tplc="1B90A77A">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1">
    <w:nsid w:val="5578175A"/>
    <w:multiLevelType w:val="hybridMultilevel"/>
    <w:tmpl w:val="0DD044FE"/>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6C16868"/>
    <w:multiLevelType w:val="hybridMultilevel"/>
    <w:tmpl w:val="5434E24E"/>
    <w:lvl w:ilvl="0" w:tplc="2ABCD1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CA1692A"/>
    <w:multiLevelType w:val="hybridMultilevel"/>
    <w:tmpl w:val="7CAE9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5A232B3"/>
    <w:multiLevelType w:val="hybridMultilevel"/>
    <w:tmpl w:val="69C62AB0"/>
    <w:lvl w:ilvl="0" w:tplc="08090009">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7">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8">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9">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1">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13"/>
  </w:num>
  <w:num w:numId="3">
    <w:abstractNumId w:val="29"/>
  </w:num>
  <w:num w:numId="4">
    <w:abstractNumId w:val="23"/>
  </w:num>
  <w:num w:numId="5">
    <w:abstractNumId w:val="11"/>
  </w:num>
  <w:num w:numId="6">
    <w:abstractNumId w:val="8"/>
  </w:num>
  <w:num w:numId="7">
    <w:abstractNumId w:val="32"/>
  </w:num>
  <w:num w:numId="8">
    <w:abstractNumId w:val="20"/>
  </w:num>
  <w:num w:numId="9">
    <w:abstractNumId w:val="7"/>
  </w:num>
  <w:num w:numId="10">
    <w:abstractNumId w:val="5"/>
  </w:num>
  <w:num w:numId="11">
    <w:abstractNumId w:val="3"/>
  </w:num>
  <w:num w:numId="12">
    <w:abstractNumId w:val="2"/>
  </w:num>
  <w:num w:numId="13">
    <w:abstractNumId w:val="26"/>
  </w:num>
  <w:num w:numId="14">
    <w:abstractNumId w:val="28"/>
  </w:num>
  <w:num w:numId="15">
    <w:abstractNumId w:val="27"/>
  </w:num>
  <w:num w:numId="16">
    <w:abstractNumId w:val="30"/>
  </w:num>
  <w:num w:numId="17">
    <w:abstractNumId w:val="4"/>
  </w:num>
  <w:num w:numId="18">
    <w:abstractNumId w:val="10"/>
  </w:num>
  <w:num w:numId="19">
    <w:abstractNumId w:val="14"/>
  </w:num>
  <w:num w:numId="20">
    <w:abstractNumId w:val="12"/>
  </w:num>
  <w:num w:numId="21">
    <w:abstractNumId w:val="1"/>
  </w:num>
  <w:num w:numId="22">
    <w:abstractNumId w:val="15"/>
  </w:num>
  <w:num w:numId="23">
    <w:abstractNumId w:val="16"/>
  </w:num>
  <w:num w:numId="24">
    <w:abstractNumId w:val="6"/>
  </w:num>
  <w:num w:numId="25">
    <w:abstractNumId w:val="9"/>
  </w:num>
  <w:num w:numId="26">
    <w:abstractNumId w:val="18"/>
  </w:num>
  <w:num w:numId="27">
    <w:abstractNumId w:val="22"/>
  </w:num>
  <w:num w:numId="28">
    <w:abstractNumId w:val="17"/>
  </w:num>
  <w:num w:numId="29">
    <w:abstractNumId w:val="24"/>
  </w:num>
  <w:num w:numId="30">
    <w:abstractNumId w:val="0"/>
  </w:num>
  <w:num w:numId="31">
    <w:abstractNumId w:val="25"/>
  </w:num>
  <w:num w:numId="32">
    <w:abstractNumId w:val="2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D0862AC5DDE8445ABD78A360A4CBA56F"/>
    <w:docVar w:name="LW_CROSSREFERENCE" w:val="{COM(2017) 63 final}_x000a_{SWD(2017) 33 - 56 final}_x000a_{SWD(2017) 58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57"/>
    <w:docVar w:name="LW_REF.INTERNE" w:val="&lt;UNUSED&gt;"/>
    <w:docVar w:name="LW_SUPERTITRE" w:val="&lt;UNUSED&gt;"/>
    <w:docVar w:name="LW_TITRE.OBJ.CP" w:val="The EU Environmental Implementation Review_x000b_Country Report - SLOVENIA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6D6E8A"/>
    <w:rsid w:val="002E711B"/>
    <w:rsid w:val="006D6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3"/>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rint-only">
    <w:name w:val="print-only"/>
    <w:basedOn w:val="DefaultParagraphFont"/>
  </w:style>
  <w:style w:type="paragraph" w:styleId="BodyText">
    <w:name w:val="Body Text"/>
    <w:basedOn w:val="Normal"/>
    <w:link w:val="BodyTextChar"/>
    <w:pPr>
      <w:spacing w:after="120" w:line="240" w:lineRule="auto"/>
      <w:jc w:val="both"/>
    </w:pPr>
    <w:rPr>
      <w:rFonts w:eastAsia="Times New Roman" w:cs="Times New Roman"/>
      <w:sz w:val="24"/>
      <w:szCs w:val="20"/>
    </w:rPr>
  </w:style>
  <w:style w:type="character" w:customStyle="1" w:styleId="BodyTextChar">
    <w:name w:val="Body Text Char"/>
    <w:basedOn w:val="DefaultParagraphFont"/>
    <w:link w:val="BodyText"/>
    <w:rPr>
      <w:rFonts w:eastAsia="Times New Roman" w:cs="Times New Roman"/>
      <w:sz w:val="24"/>
      <w:szCs w:val="20"/>
    </w:rPr>
  </w:style>
  <w:style w:type="paragraph" w:customStyle="1" w:styleId="Heading20">
    <w:name w:val="Heading  2"/>
    <w:basedOn w:val="Normal"/>
    <w:pPr>
      <w:spacing w:before="360" w:after="120" w:line="240" w:lineRule="auto"/>
      <w:outlineLvl w:val="1"/>
    </w:pPr>
    <w:rPr>
      <w:rFonts w:cs="Times New Roman"/>
      <w:color w:val="1F497D" w:themeColor="text2"/>
      <w:sz w:val="24"/>
    </w:rPr>
  </w:style>
  <w:style w:type="table" w:customStyle="1" w:styleId="LightList-Accent111">
    <w:name w:val="Light List - Accent 11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uiPriority w:val="99"/>
    <w:semiHidden/>
    <w:unhideWhenUsed/>
    <w:pPr>
      <w:spacing w:after="0" w:line="240" w:lineRule="auto"/>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numbering" w:customStyle="1" w:styleId="List158">
    <w:name w:val="List 158"/>
    <w:basedOn w:val="NoList"/>
    <w:pPr>
      <w:numPr>
        <w:numId w:val="28"/>
      </w:numPr>
    </w:p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3"/>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rint-only">
    <w:name w:val="print-only"/>
    <w:basedOn w:val="DefaultParagraphFont"/>
  </w:style>
  <w:style w:type="paragraph" w:styleId="BodyText">
    <w:name w:val="Body Text"/>
    <w:basedOn w:val="Normal"/>
    <w:link w:val="BodyTextChar"/>
    <w:pPr>
      <w:spacing w:after="120" w:line="240" w:lineRule="auto"/>
      <w:jc w:val="both"/>
    </w:pPr>
    <w:rPr>
      <w:rFonts w:eastAsia="Times New Roman" w:cs="Times New Roman"/>
      <w:sz w:val="24"/>
      <w:szCs w:val="20"/>
    </w:rPr>
  </w:style>
  <w:style w:type="character" w:customStyle="1" w:styleId="BodyTextChar">
    <w:name w:val="Body Text Char"/>
    <w:basedOn w:val="DefaultParagraphFont"/>
    <w:link w:val="BodyText"/>
    <w:rPr>
      <w:rFonts w:eastAsia="Times New Roman" w:cs="Times New Roman"/>
      <w:sz w:val="24"/>
      <w:szCs w:val="20"/>
    </w:rPr>
  </w:style>
  <w:style w:type="paragraph" w:customStyle="1" w:styleId="Heading20">
    <w:name w:val="Heading  2"/>
    <w:basedOn w:val="Normal"/>
    <w:pPr>
      <w:spacing w:before="360" w:after="120" w:line="240" w:lineRule="auto"/>
      <w:outlineLvl w:val="1"/>
    </w:pPr>
    <w:rPr>
      <w:rFonts w:cs="Times New Roman"/>
      <w:color w:val="1F497D" w:themeColor="text2"/>
      <w:sz w:val="24"/>
    </w:rPr>
  </w:style>
  <w:style w:type="table" w:customStyle="1" w:styleId="LightList-Accent111">
    <w:name w:val="Light List - Accent 11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uiPriority w:val="99"/>
    <w:semiHidden/>
    <w:unhideWhenUsed/>
    <w:pPr>
      <w:spacing w:after="0" w:line="240" w:lineRule="auto"/>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numbering" w:customStyle="1" w:styleId="List158">
    <w:name w:val="List 158"/>
    <w:basedOn w:val="NoList"/>
    <w:pPr>
      <w:numPr>
        <w:numId w:val="28"/>
      </w:numPr>
    </w:p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99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6.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4.xml"/><Relationship Id="rId68" Type="http://schemas.openxmlformats.org/officeDocument/2006/relationships/footer" Target="footer26.xml"/><Relationship Id="rId84" Type="http://schemas.openxmlformats.org/officeDocument/2006/relationships/footer" Target="footer31.xml"/><Relationship Id="rId89" Type="http://schemas.openxmlformats.org/officeDocument/2006/relationships/image" Target="media/image13.png"/><Relationship Id="rId112" Type="http://schemas.openxmlformats.org/officeDocument/2006/relationships/header" Target="header44.xml"/><Relationship Id="rId16" Type="http://schemas.openxmlformats.org/officeDocument/2006/relationships/hyperlink" Target="mailto:ENV-EIR@ec.europa.eu" TargetMode="External"/><Relationship Id="rId107" Type="http://schemas.openxmlformats.org/officeDocument/2006/relationships/header" Target="header42.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footer" Target="footer21.xml"/><Relationship Id="rId58" Type="http://schemas.openxmlformats.org/officeDocument/2006/relationships/image" Target="media/image6.jpeg"/><Relationship Id="rId74" Type="http://schemas.openxmlformats.org/officeDocument/2006/relationships/image" Target="media/image10.jpeg"/><Relationship Id="rId79" Type="http://schemas.openxmlformats.org/officeDocument/2006/relationships/footer" Target="footer29.xml"/><Relationship Id="rId102" Type="http://schemas.openxmlformats.org/officeDocument/2006/relationships/footer" Target="footer39.xml"/><Relationship Id="rId123" Type="http://schemas.openxmlformats.org/officeDocument/2006/relationships/image" Target="media/image17.jpeg"/><Relationship Id="rId128" Type="http://schemas.openxmlformats.org/officeDocument/2006/relationships/footer" Target="footer50.xml"/><Relationship Id="rId5" Type="http://schemas.openxmlformats.org/officeDocument/2006/relationships/settings" Target="settings.xml"/><Relationship Id="rId90" Type="http://schemas.openxmlformats.org/officeDocument/2006/relationships/image" Target="media/image14.jpeg"/><Relationship Id="rId95" Type="http://schemas.openxmlformats.org/officeDocument/2006/relationships/header" Target="header36.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image" Target="media/image4.png"/><Relationship Id="rId64" Type="http://schemas.openxmlformats.org/officeDocument/2006/relationships/footer" Target="footer24.xml"/><Relationship Id="rId69" Type="http://schemas.openxmlformats.org/officeDocument/2006/relationships/header" Target="header27.xml"/><Relationship Id="rId77" Type="http://schemas.openxmlformats.org/officeDocument/2006/relationships/header" Target="header29.xml"/><Relationship Id="rId100" Type="http://schemas.openxmlformats.org/officeDocument/2006/relationships/footer" Target="footer38.xml"/><Relationship Id="rId105" Type="http://schemas.openxmlformats.org/officeDocument/2006/relationships/footer" Target="footer40.xml"/><Relationship Id="rId113" Type="http://schemas.openxmlformats.org/officeDocument/2006/relationships/footer" Target="footer43.xml"/><Relationship Id="rId118" Type="http://schemas.openxmlformats.org/officeDocument/2006/relationships/header" Target="header47.xml"/><Relationship Id="rId126" Type="http://schemas.openxmlformats.org/officeDocument/2006/relationships/header" Target="header50.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image" Target="media/image8.png"/><Relationship Id="rId80" Type="http://schemas.openxmlformats.org/officeDocument/2006/relationships/header" Target="header30.xml"/><Relationship Id="rId85" Type="http://schemas.openxmlformats.org/officeDocument/2006/relationships/footer" Target="footer32.xml"/><Relationship Id="rId93" Type="http://schemas.openxmlformats.org/officeDocument/2006/relationships/footer" Target="footer34.xml"/><Relationship Id="rId98" Type="http://schemas.openxmlformats.org/officeDocument/2006/relationships/header" Target="header38.xml"/><Relationship Id="rId121" Type="http://schemas.openxmlformats.org/officeDocument/2006/relationships/header" Target="header4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2.xml"/><Relationship Id="rId67" Type="http://schemas.openxmlformats.org/officeDocument/2006/relationships/footer" Target="footer25.xml"/><Relationship Id="rId103" Type="http://schemas.openxmlformats.org/officeDocument/2006/relationships/header" Target="header40.xml"/><Relationship Id="rId108" Type="http://schemas.openxmlformats.org/officeDocument/2006/relationships/footer" Target="footer42.xml"/><Relationship Id="rId116" Type="http://schemas.openxmlformats.org/officeDocument/2006/relationships/footer" Target="footer45.xml"/><Relationship Id="rId124" Type="http://schemas.openxmlformats.org/officeDocument/2006/relationships/image" Target="media/image18.jpeg"/><Relationship Id="rId129" Type="http://schemas.openxmlformats.org/officeDocument/2006/relationships/header" Target="header51.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image" Target="media/image2.png"/><Relationship Id="rId62" Type="http://schemas.openxmlformats.org/officeDocument/2006/relationships/footer" Target="footer23.xml"/><Relationship Id="rId70" Type="http://schemas.openxmlformats.org/officeDocument/2006/relationships/footer" Target="footer27.xml"/><Relationship Id="rId75" Type="http://schemas.openxmlformats.org/officeDocument/2006/relationships/image" Target="media/image11.jpeg"/><Relationship Id="rId83" Type="http://schemas.openxmlformats.org/officeDocument/2006/relationships/header" Target="header32.xml"/><Relationship Id="rId88" Type="http://schemas.openxmlformats.org/officeDocument/2006/relationships/image" Target="media/image12.png"/><Relationship Id="rId91" Type="http://schemas.openxmlformats.org/officeDocument/2006/relationships/header" Target="header34.xml"/><Relationship Id="rId96" Type="http://schemas.openxmlformats.org/officeDocument/2006/relationships/footer" Target="footer36.xml"/><Relationship Id="rId111" Type="http://schemas.openxmlformats.org/officeDocument/2006/relationships/header" Target="header43.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image" Target="media/image5.png"/><Relationship Id="rId106" Type="http://schemas.openxmlformats.org/officeDocument/2006/relationships/footer" Target="footer41.xml"/><Relationship Id="rId114" Type="http://schemas.openxmlformats.org/officeDocument/2006/relationships/footer" Target="footer44.xml"/><Relationship Id="rId119" Type="http://schemas.openxmlformats.org/officeDocument/2006/relationships/footer" Target="footer46.xml"/><Relationship Id="rId127" Type="http://schemas.openxmlformats.org/officeDocument/2006/relationships/footer" Target="footer49.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3.xml"/><Relationship Id="rId65" Type="http://schemas.openxmlformats.org/officeDocument/2006/relationships/header" Target="header25.xml"/><Relationship Id="rId73" Type="http://schemas.openxmlformats.org/officeDocument/2006/relationships/image" Target="media/image9.png"/><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header" Target="header33.xml"/><Relationship Id="rId94" Type="http://schemas.openxmlformats.org/officeDocument/2006/relationships/footer" Target="footer35.xml"/><Relationship Id="rId99" Type="http://schemas.openxmlformats.org/officeDocument/2006/relationships/footer" Target="footer37.xml"/><Relationship Id="rId101" Type="http://schemas.openxmlformats.org/officeDocument/2006/relationships/header" Target="header39.xml"/><Relationship Id="rId122" Type="http://schemas.openxmlformats.org/officeDocument/2006/relationships/footer" Target="footer48.xml"/><Relationship Id="rId130" Type="http://schemas.openxmlformats.org/officeDocument/2006/relationships/footer" Target="footer5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image" Target="media/image15.png"/><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image" Target="media/image3.png"/><Relationship Id="rId76" Type="http://schemas.openxmlformats.org/officeDocument/2006/relationships/header" Target="header28.xml"/><Relationship Id="rId97" Type="http://schemas.openxmlformats.org/officeDocument/2006/relationships/header" Target="header37.xml"/><Relationship Id="rId104" Type="http://schemas.openxmlformats.org/officeDocument/2006/relationships/header" Target="header41.xml"/><Relationship Id="rId120" Type="http://schemas.openxmlformats.org/officeDocument/2006/relationships/footer" Target="footer47.xml"/><Relationship Id="rId125" Type="http://schemas.openxmlformats.org/officeDocument/2006/relationships/header" Target="header49.xml"/><Relationship Id="rId7" Type="http://schemas.openxmlformats.org/officeDocument/2006/relationships/footnotes" Target="footnotes.xml"/><Relationship Id="rId71" Type="http://schemas.openxmlformats.org/officeDocument/2006/relationships/image" Target="media/image7.png"/><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6.xml"/><Relationship Id="rId87" Type="http://schemas.openxmlformats.org/officeDocument/2006/relationships/footer" Target="footer33.xml"/><Relationship Id="rId110" Type="http://schemas.openxmlformats.org/officeDocument/2006/relationships/image" Target="media/image16.png"/><Relationship Id="rId115" Type="http://schemas.openxmlformats.org/officeDocument/2006/relationships/header" Target="header45.xml"/><Relationship Id="rId131" Type="http://schemas.openxmlformats.org/officeDocument/2006/relationships/fontTable" Target="fontTable.xml"/><Relationship Id="rId61" Type="http://schemas.openxmlformats.org/officeDocument/2006/relationships/footer" Target="footer22.xml"/><Relationship Id="rId82" Type="http://schemas.openxmlformats.org/officeDocument/2006/relationships/header" Target="header31.xml"/></Relationships>
</file>

<file path=word/_rels/footnotes.xml.rels><?xml version="1.0" encoding="UTF-8" standalone="yes"?>
<Relationships xmlns="http://schemas.openxmlformats.org/package/2006/relationships"><Relationship Id="rId26" Type="http://schemas.openxmlformats.org/officeDocument/2006/relationships/hyperlink" Target="http://ec.europa.eu/eurostat/statistics-explained/index.php/Agri-environmental_indicator_-_soil_erosion" TargetMode="External"/><Relationship Id="rId21" Type="http://schemas.openxmlformats.org/officeDocument/2006/relationships/hyperlink" Target="https://circabc.europa.eu/sd/a/f29c25a7-961a-4eb7-a130-57559abe7b24/SI_A12NatSum_20141031.pdf" TargetMode="External"/><Relationship Id="rId34" Type="http://schemas.openxmlformats.org/officeDocument/2006/relationships/hyperlink" Target="http://eur-lex.europa.eu/legal-content/EN/TXT/?uri=uriserv:OJ.L_.2016.344.01.0001.01.ENG&amp;toc=OJ:L:2016:344:TOC" TargetMode="External"/><Relationship Id="rId42" Type="http://schemas.openxmlformats.org/officeDocument/2006/relationships/hyperlink" Target="http://eur-lex.europa.eu/legal-content/EN/TXT/?uri=CELEX%3A31998L0083" TargetMode="External"/><Relationship Id="rId47" Type="http://schemas.openxmlformats.org/officeDocument/2006/relationships/hyperlink" Target="http://ec.europa.eu/environment/water/water-framework/impl_reports.htm" TargetMode="External"/><Relationship Id="rId50" Type="http://schemas.openxmlformats.org/officeDocument/2006/relationships/hyperlink" Target="http://www.eea.europa.eu/themes/water/status-and-monitoring/state-of-bathing-water/country-reports-2015-bathing-season" TargetMode="External"/><Relationship Id="rId55" Type="http://schemas.openxmlformats.org/officeDocument/2006/relationships/hyperlink" Target="http://ec.europa.eu/environment/water/water-framework/pdf/4th_report/CSWD%20Report%20on%20WFD%20PoMs.pdf" TargetMode="External"/><Relationship Id="rId63" Type="http://schemas.openxmlformats.org/officeDocument/2006/relationships/hyperlink" Target="http://ec.europa.eu/eurostat/tgm/table.do?tab=table&amp;init=1&amp;language=en&amp;pcode=t2020_rt320&amp;plugin=1http://ec.europa.eu/eurostat/en/web/products-datasets/-/T2020_RT320" TargetMode="External"/><Relationship Id="rId68" Type="http://schemas.openxmlformats.org/officeDocument/2006/relationships/hyperlink" Target="http://www.eib.org/efsi/" TargetMode="External"/><Relationship Id="rId76" Type="http://schemas.openxmlformats.org/officeDocument/2006/relationships/hyperlink" Target="http://eur-lex.europa.eu/eli/dir/1992/43/2007-01-01" TargetMode="External"/><Relationship Id="rId84" Type="http://schemas.openxmlformats.org/officeDocument/2006/relationships/hyperlink" Target="http://eur-lex.europa.eu/legal-content/EN/TXT/?uri=CELEX%3A32004L0035" TargetMode="External"/><Relationship Id="rId89" Type="http://schemas.openxmlformats.org/officeDocument/2006/relationships/hyperlink" Target="http://ec.europa.eu/justice/criminal/files/environment/nr_si_redacted_en.pdf" TargetMode="External"/><Relationship Id="rId97" Type="http://schemas.openxmlformats.org/officeDocument/2006/relationships/hyperlink" Target="http://inspire.ec.europa.eu/index.cfm/pageid/182" TargetMode="External"/><Relationship Id="rId7" Type="http://schemas.openxmlformats.org/officeDocument/2006/relationships/hyperlink" Target="http://www.svrk.gov.si/fileadmin/svrk.gov.si/pageuploads/SPS_predstavitve/S4_dokument_2015_october_eng_clean_lekt.pdf" TargetMode="External"/><Relationship Id="rId71" Type="http://schemas.openxmlformats.org/officeDocument/2006/relationships/hyperlink" Target="http://eur-lex.europa.eu/legal-content/EN/TXT/?uri=CELEX%3A32015R0851" TargetMode="External"/><Relationship Id="rId92" Type="http://schemas.openxmlformats.org/officeDocument/2006/relationships/hyperlink" Target="http://ec.europa.eu/environment/aarhus/access_studies.htm"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www.rcero-ljubljana.eu/" TargetMode="External"/><Relationship Id="rId29"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11" Type="http://schemas.openxmlformats.org/officeDocument/2006/relationships/hyperlink" Target="http://ec.europa.eu/eurostat/tgm/table.do?tab=table&amp;init=1&amp;language=en&amp;pcode=t2020_rt120&amp;plugin=1" TargetMode="External"/><Relationship Id="rId24" Type="http://schemas.openxmlformats.org/officeDocument/2006/relationships/hyperlink" Target="http://www.eea.europa.eu/data-and-maps/indicators/imperviousness-change/assessment" TargetMode="External"/><Relationship Id="rId32" Type="http://schemas.openxmlformats.org/officeDocument/2006/relationships/hyperlink" Target="http://www.eea.europa.eu/data-and-maps/data/data-viewers/emissions-nec-directive-viewer" TargetMode="External"/><Relationship Id="rId37" Type="http://schemas.openxmlformats.org/officeDocument/2006/relationships/hyperlink" Target="http://www.eionet.europa.eu/aqportal" TargetMode="External"/><Relationship Id="rId40" Type="http://schemas.openxmlformats.org/officeDocument/2006/relationships/hyperlink" Target="http://eur-lex.europa.eu/legal-content/EN/TXT/?qid=1481623908600&amp;uri=CELEX:32006L0007" TargetMode="External"/><Relationship Id="rId45" Type="http://schemas.openxmlformats.org/officeDocument/2006/relationships/hyperlink" Target="http://eur-lex.europa.eu/legal-content/EN/TXT/?uri=CELEX:32007L0060" TargetMode="External"/><Relationship Id="rId53" Type="http://schemas.openxmlformats.org/officeDocument/2006/relationships/hyperlink" Target="http://eur-lex.europa.eu/legal-content/EN/TXT/?uri=CELEX%3A52016DC0105" TargetMode="External"/><Relationship Id="rId58" Type="http://schemas.openxmlformats.org/officeDocument/2006/relationships/hyperlink" Target="http://urbanagendaforthe.eu/" TargetMode="External"/><Relationship Id="rId66" Type="http://schemas.openxmlformats.org/officeDocument/2006/relationships/hyperlink" Target="http://ec.europa.eu/environment/gpp/action_plan_en.htm" TargetMode="External"/><Relationship Id="rId74" Type="http://schemas.openxmlformats.org/officeDocument/2006/relationships/hyperlink" Target="http://ec.europa.eu/europe2020/pdf/2016/ags2016_challenges_ms_investment_environments_en.pdf" TargetMode="External"/><Relationship Id="rId79" Type="http://schemas.openxmlformats.org/officeDocument/2006/relationships/hyperlink" Target="http://eur-lex.europa.eu/legal-content/EN/TXT/?uri=CELEX%3A32008L0099http://eur-lex.europa.eu/legal-content/EN/TXT/?uri=CELEX%3A32008L0099" TargetMode="External"/><Relationship Id="rId87" Type="http://schemas.openxmlformats.org/officeDocument/2006/relationships/hyperlink" Target="http://www.impel.eu/wp-content/uploads/2016/06/Final-report.pdf" TargetMode="External"/><Relationship Id="rId5" Type="http://schemas.openxmlformats.org/officeDocument/2006/relationships/hyperlink" Target="http://ec.europa.eu/eurostat/tgm/table.do?tab=table&amp;init=1&amp;language=en&amp;pcode=tsdpc100&amp;plugin=1" TargetMode="External"/><Relationship Id="rId61" Type="http://schemas.openxmlformats.org/officeDocument/2006/relationships/hyperlink" Target="http://195.97.36.231/dbases/webdocs/BCP/ProtocolOffshore94_eng.pdf" TargetMode="External"/><Relationship Id="rId82" Type="http://schemas.openxmlformats.org/officeDocument/2006/relationships/hyperlink" Target="http://www.environmentalprosecutors.eu" TargetMode="External"/><Relationship Id="rId90" Type="http://schemas.openxmlformats.org/officeDocument/2006/relationships/hyperlink" Target="http://www.impel.eu/wp-content/uploads/2016/06/Final-report.pdf" TargetMode="External"/><Relationship Id="rId95" Type="http://schemas.openxmlformats.org/officeDocument/2006/relationships/hyperlink" Target="http://eur-lex.europa.eu/LexUriServ/LexUriServ.do?uri=CELEX:32007L0002:EN:NOT" TargetMode="External"/><Relationship Id="rId19" Type="http://schemas.openxmlformats.org/officeDocument/2006/relationships/hyperlink" Target="http://www.uradni-list.si/1/index?edition=201634" TargetMode="External"/><Relationship Id="rId14" Type="http://schemas.openxmlformats.org/officeDocument/2006/relationships/hyperlink" Target="http://www.balkwaste.eu/wp-content/downloads/deliverables/SLOVENIA.WASTE.pdf" TargetMode="External"/><Relationship Id="rId22" Type="http://schemas.openxmlformats.org/officeDocument/2006/relationships/hyperlink" Target="http://biodiversity.europa.eu/maes/maes_countries/slovenia" TargetMode="External"/><Relationship Id="rId27" Type="http://schemas.openxmlformats.org/officeDocument/2006/relationships/hyperlink" Target="http://eur-lex.europa.eu/legal-content/EN/TXT/?uri=CELEX%3A32008L0056" TargetMode="External"/><Relationship Id="rId30" Type="http://schemas.openxmlformats.org/officeDocument/2006/relationships/hyperlink" Target="http://ec.europa.eu/environment/air/quality/standards.htm" TargetMode="External"/><Relationship Id="rId35" Type="http://schemas.openxmlformats.org/officeDocument/2006/relationships/hyperlink" Target="http://www.eea.europa.eu/publications/air-quality-in-europe-2016" TargetMode="External"/><Relationship Id="rId43" Type="http://schemas.openxmlformats.org/officeDocument/2006/relationships/hyperlink" Target="http://eur-lex.europa.eu/legal-content/EN/TXT/?qid=1481624135097&amp;uri=CELEX:32000L0060" TargetMode="External"/><Relationship Id="rId48" Type="http://schemas.openxmlformats.org/officeDocument/2006/relationships/hyperlink" Target="http://ec.europa.eu/environment/water/water-drink/reporting_en.html" TargetMode="External"/><Relationship Id="rId56" Type="http://schemas.openxmlformats.org/officeDocument/2006/relationships/hyperlink" Target="http://ec.europa.eu/environment/water/water-framework/pdf/4th_report/COM_2015_120_en.pdf" TargetMode="External"/><Relationship Id="rId64" Type="http://schemas.openxmlformats.org/officeDocument/2006/relationships/hyperlink" Target="http://ec.europa.eu/internal_market/scoreboard/performance_per_policy_area/public_procurement/index_en.htm" TargetMode="External"/><Relationship Id="rId69" Type="http://schemas.openxmlformats.org/officeDocument/2006/relationships/hyperlink" Target="https://cohesiondata.ec.europa.eu/countries" TargetMode="External"/><Relationship Id="rId77" Type="http://schemas.openxmlformats.org/officeDocument/2006/relationships/hyperlink" Target="http://eur-lex.europa.eu/legal-content/EN/TXT/?uri=OJ:C:2016:273:TOC" TargetMode="External"/><Relationship Id="rId8" Type="http://schemas.openxmlformats.org/officeDocument/2006/relationships/hyperlink" Target="https://data.europa.eu/euodp/en/data/dataset/S2088_426_ENG" TargetMode="External"/><Relationship Id="rId51" Type="http://schemas.openxmlformats.org/officeDocument/2006/relationships/hyperlink" Target="http://eur-lex.europa.eu/legal-content/EN/TXT/?uri=CELEX%3A52016DC0105" TargetMode="External"/><Relationship Id="rId72" Type="http://schemas.openxmlformats.org/officeDocument/2006/relationships/hyperlink" Target="http://ec.europa.eu/agriculture/glossary_en" TargetMode="External"/><Relationship Id="rId80" Type="http://schemas.openxmlformats.org/officeDocument/2006/relationships/hyperlink" Target="http://www.impel.eu" TargetMode="External"/><Relationship Id="rId85" Type="http://schemas.openxmlformats.org/officeDocument/2006/relationships/hyperlink" Target="https://ec.europa.eu/transparency/regdoc/rep/1/2016/EN/1-2016-204-EN-F1-1.PDF" TargetMode="External"/><Relationship Id="rId93" Type="http://schemas.openxmlformats.org/officeDocument/2006/relationships/hyperlink" Target="http://www.unece.org/fileadmin/DAM/env/pp/documents/cep43e.pdf" TargetMode="External"/><Relationship Id="rId98" Type="http://schemas.openxmlformats.org/officeDocument/2006/relationships/hyperlink" Target="http://inspire.ec.europa.eu/portfolio/inspire-dashboard"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ec.europa.eu/environment/waste/framework/support_implementation.htm" TargetMode="External"/><Relationship Id="rId17" Type="http://schemas.openxmlformats.org/officeDocument/2006/relationships/hyperlink" Target="http://ec.europa.eu/environment/waste/studies/pdf/study%2012%20FINAL%20REPORT.pdf" TargetMode="External"/><Relationship Id="rId25" Type="http://schemas.openxmlformats.org/officeDocument/2006/relationships/hyperlink" Target="http://land.copernicus.eu/pan-european/corine-land-cover/lcc-2006-2012/view" TargetMode="External"/><Relationship Id="rId33" Type="http://schemas.openxmlformats.org/officeDocument/2006/relationships/hyperlink" Target="http://eur-lex.europa.eu/legal-content/EN/TXT/?uri=celex:32001L0081" TargetMode="External"/><Relationship Id="rId38" Type="http://schemas.openxmlformats.org/officeDocument/2006/relationships/hyperlink" Target="http://ec.europa.eu/environment/archives/air/pdf/Impact_assessment_en.pdf" TargetMode="External"/><Relationship Id="rId46" Type="http://schemas.openxmlformats.org/officeDocument/2006/relationships/hyperlink" Target="http://ec.europa.eu/environment/water/water-framework/pdf/3rd_report/CWD-2012-379_EN-Vol3_HU.pdf" TargetMode="External"/><Relationship Id="rId59" Type="http://schemas.openxmlformats.org/officeDocument/2006/relationships/hyperlink" Target="http://ec.europa.eu/environment/urban/tool.htm" TargetMode="External"/><Relationship Id="rId67" Type="http://schemas.openxmlformats.org/officeDocument/2006/relationships/hyperlink" Target="http://ec.europa.eu/environment/gpp/action_plan_en.htm" TargetMode="External"/><Relationship Id="rId20" Type="http://schemas.openxmlformats.org/officeDocument/2006/relationships/hyperlink" Target="https://circabc.europa.eu/sd/a/bc22699d-abab-4fd5-8a27-34b10a4194fd/SI_20140528.pdf" TargetMode="External"/><Relationship Id="rId41" Type="http://schemas.openxmlformats.org/officeDocument/2006/relationships/hyperlink" Target="http://eur-lex.europa.eu/legal-content/EN/ALL/?uri=CELEX%3A31991L0271" TargetMode="External"/><Relationship Id="rId54" Type="http://schemas.openxmlformats.org/officeDocument/2006/relationships/hyperlink" Target="http://eur-lex.europa.eu/legal-content/EN/TXT/?uri=CELEX:52016SC0045" TargetMode="External"/><Relationship Id="rId62" Type="http://schemas.openxmlformats.org/officeDocument/2006/relationships/hyperlink" Target="https://www.cbd.int/abs/text/default.shtml" TargetMode="External"/><Relationship Id="rId70" Type="http://schemas.openxmlformats.org/officeDocument/2006/relationships/hyperlink" Target="http://eur-lex.europa.eu/legal-content/EN/TXT/?uri=CELEX:32011L0092" TargetMode="External"/><Relationship Id="rId75" Type="http://schemas.openxmlformats.org/officeDocument/2006/relationships/hyperlink" Target="http://eur-lex.europa.eu/legal-content/en/TXT/?uri=CELEX%3A32001L0042" TargetMode="External"/><Relationship Id="rId83" Type="http://schemas.openxmlformats.org/officeDocument/2006/relationships/hyperlink" Target="http://envicrimenet.com/" TargetMode="External"/><Relationship Id="rId88" Type="http://schemas.openxmlformats.org/officeDocument/2006/relationships/hyperlink" Target="http://www.impel.eu/wp-content/uploads/2016/06/Final-report.pdf" TargetMode="External"/><Relationship Id="rId91" Type="http://schemas.openxmlformats.org/officeDocument/2006/relationships/hyperlink" Target="http://www.impel.eu/wp-content/uploads/2016/06/Final-report.pdf" TargetMode="External"/><Relationship Id="rId96" Type="http://schemas.openxmlformats.org/officeDocument/2006/relationships/hyperlink" Target="https://ec.europa.eu/digital-single-market/en/news/communication-eu-egovernment-action-plan-2016-2020-accelerating-digital-transformation"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s://skupnostobcin.si/2015/11/vlada-sprejela-okvirni-program-za-prehod-v-zeleno-gospodarstvo/" TargetMode="External"/><Relationship Id="rId15" Type="http://schemas.openxmlformats.org/officeDocument/2006/relationships/hyperlink" Target="http://ec.europa.eu/environment/waste/studies/index.htm" TargetMode="External"/><Relationship Id="rId23" Type="http://schemas.openxmlformats.org/officeDocument/2006/relationships/hyperlink" Target="http://eur-lex.europa.eu/legal-content/EN/TXT/?uri=CELEX:52013DC0249" TargetMode="External"/><Relationship Id="rId28"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6" Type="http://schemas.openxmlformats.org/officeDocument/2006/relationships/hyperlink" Target="http://www.eea.europa.eu/publications/air-quality-in-europe-2016" TargetMode="External"/><Relationship Id="rId49" Type="http://schemas.openxmlformats.org/officeDocument/2006/relationships/hyperlink" Target="http://www.eea.europa.eu/publications/european-bathing-water-quality-2015" TargetMode="External"/><Relationship Id="rId57" Type="http://schemas.openxmlformats.org/officeDocument/2006/relationships/hyperlink" Target="http://www.eea.europa.eu/themes/urban" TargetMode="External"/><Relationship Id="rId10" Type="http://schemas.openxmlformats.org/officeDocument/2006/relationships/hyperlink" Target="http://ec.europa.eu/eurostat/tgm/table.do?tab=table&amp;init=1&amp;plugin=1&amp;language=en&amp;pcode=tsdpc240" TargetMode="External"/><Relationship Id="rId31" Type="http://schemas.openxmlformats.org/officeDocument/2006/relationships/hyperlink" Target="http://cdr.eionet.europa.eu/" TargetMode="External"/><Relationship Id="rId44" Type="http://schemas.openxmlformats.org/officeDocument/2006/relationships/hyperlink" Target="http://eur-lex.europa.eu/legal-content/EN/TXT/?uri=CELEX%3A31991L0676" TargetMode="External"/><Relationship Id="rId52" Type="http://schemas.openxmlformats.org/officeDocument/2006/relationships/hyperlink" Target="http://eur-lex.europa.eu/legal-content/EN/TXT/?uri=CELEX:52016SC0045" TargetMode="External"/><Relationship Id="rId60" Type="http://schemas.openxmlformats.org/officeDocument/2006/relationships/hyperlink" Target="http://ec.europa.eu/environment/europeangreencapital/wp-content/uploads/2016/02/09_02_2016_en.pdf" TargetMode="External"/><Relationship Id="rId65" Type="http://schemas.openxmlformats.org/officeDocument/2006/relationships/hyperlink" Target="http://eur-lex.europa.eu/legal-content/EN/TXT/?uri=CELEX:52008DC0400http://eur-lex.europa.eu/legal-content/EN/TXT/?uri=CELEX:52008DC0400" TargetMode="External"/><Relationship Id="rId73" Type="http://schemas.openxmlformats.org/officeDocument/2006/relationships/hyperlink" Target="http://ec.europa.eu/europe2020/pdf/csr2015/csr2015_slovenia_en.pdf" TargetMode="External"/><Relationship Id="rId78" Type="http://schemas.openxmlformats.org/officeDocument/2006/relationships/hyperlink" Target="http://eur-lex.europa.eu/legal-content/EN/TXT/?uri=CELEX%3A32008L0099" TargetMode="External"/><Relationship Id="rId81" Type="http://schemas.openxmlformats.org/officeDocument/2006/relationships/hyperlink" Target="http://www.eufje.org" TargetMode="External"/><Relationship Id="rId86" Type="http://schemas.openxmlformats.org/officeDocument/2006/relationships/hyperlink" Target="http://eur-lex.europa.eu/legal-content/EN/TXT/?uri=CELEX%3A52016SC0121" TargetMode="External"/><Relationship Id="rId94" Type="http://schemas.openxmlformats.org/officeDocument/2006/relationships/hyperlink" Target="http://eur-lex.europa.eu/legal-content/GA/ALL/?uri=CELEX:32003L0004" TargetMode="External"/><Relationship Id="rId99" Type="http://schemas.openxmlformats.org/officeDocument/2006/relationships/hyperlink" Target="http://inspire-geoportal.ec.europa.eu/resources/INSPIREResourcesReports/resourcesReport_2016-05-09/"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s://ec.europa.eu/environment/ecoap/scoreboard_en" TargetMode="External"/><Relationship Id="rId13" Type="http://schemas.openxmlformats.org/officeDocument/2006/relationships/hyperlink" Target="http://ec.europa.eu/environment/waste/framework/pdf/facsheets%20and%20roadmaps/Factsheet_Slovenia.pdf" TargetMode="External"/><Relationship Id="rId18" Type="http://schemas.openxmlformats.org/officeDocument/2006/relationships/hyperlink" Target="http://ec.europa.eu/environment/nature/info/pubs/docs/nat2000newsl/nat37_en.pdf" TargetMode="External"/><Relationship Id="rId39" Type="http://schemas.openxmlformats.org/officeDocument/2006/relationships/hyperlink" Target="http://www.euro.who.int/en/media-centre/sections/press-releases/2011/03/new-evidence-from-who-on-health-effects-of-traffic-related-noise-in-euro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05101-31F4-44D8-8D1A-54F83A97F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11006</Words>
  <Characters>62710</Characters>
  <Application>Microsoft Office Word</Application>
  <DocSecurity>0</DocSecurity>
  <Lines>1595</Lines>
  <Paragraphs>300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2016-12-09T17:33:00Z</cp:lastPrinted>
  <dcterms:created xsi:type="dcterms:W3CDTF">2017-01-24T10:28:00Z</dcterms:created>
  <dcterms:modified xsi:type="dcterms:W3CDTF">2017-02-02T18:26:00Z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