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1F7" w:rsidRDefault="00884FC2" w:rsidP="00884FC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7DC5FCE6790C4D77B2BD4886D31DB107" style="width:450.75pt;height:498.75pt">
            <v:imagedata r:id="rId9" o:title=""/>
          </v:shape>
        </w:pict>
      </w:r>
    </w:p>
    <w:bookmarkEnd w:id="0"/>
    <w:p w:rsidR="00C571F7" w:rsidRDefault="00C571F7">
      <w:pPr>
        <w:rPr>
          <w:noProof/>
        </w:rPr>
        <w:sectPr w:rsidR="00C571F7" w:rsidSect="00884FC2">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C571F7" w:rsidRDefault="00C571F7">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884FC2">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C571F7" w:rsidRDefault="00C571F7">
      <w:pPr>
        <w:widowControl w:val="0"/>
        <w:tabs>
          <w:tab w:val="right" w:leader="dot" w:pos="8640"/>
        </w:tabs>
        <w:spacing w:before="120" w:after="120" w:line="240" w:lineRule="auto"/>
        <w:ind w:left="482" w:right="720" w:hanging="482"/>
        <w:rPr>
          <w:rFonts w:eastAsia="Times New Roman" w:cs="Times New Roman"/>
          <w:noProof/>
          <w:szCs w:val="20"/>
        </w:rPr>
      </w:pPr>
    </w:p>
    <w:p w:rsidR="00C571F7" w:rsidRDefault="00884FC2">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C571F7" w:rsidRDefault="00C571F7">
      <w:pPr>
        <w:widowControl w:val="0"/>
        <w:tabs>
          <w:tab w:val="right" w:leader="dot" w:pos="8640"/>
        </w:tabs>
        <w:spacing w:before="120" w:after="120" w:line="240" w:lineRule="auto"/>
        <w:ind w:left="482" w:right="720" w:hanging="482"/>
        <w:rPr>
          <w:rFonts w:eastAsia="Times New Roman" w:cs="Times New Roman"/>
          <w:noProof/>
          <w:szCs w:val="20"/>
        </w:rPr>
      </w:pPr>
    </w:p>
    <w:p w:rsidR="00C571F7" w:rsidRDefault="00884FC2">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p.11 – © Kaycco/iStock; p.17 – © Ken Wiedemann/iStock; p.22 – © Matej Krajcovic/iStock</w:t>
      </w:r>
    </w:p>
    <w:p w:rsidR="00C571F7" w:rsidRDefault="00C571F7">
      <w:pPr>
        <w:widowControl w:val="0"/>
        <w:tabs>
          <w:tab w:val="right" w:leader="dot" w:pos="8640"/>
        </w:tabs>
        <w:spacing w:before="120" w:after="120" w:line="240" w:lineRule="auto"/>
        <w:ind w:right="141"/>
        <w:rPr>
          <w:rFonts w:eastAsia="Times New Roman" w:cs="Times New Roman"/>
          <w:noProof/>
          <w:szCs w:val="20"/>
        </w:rPr>
      </w:pPr>
    </w:p>
    <w:p w:rsidR="00C571F7" w:rsidRDefault="00884FC2">
      <w:pPr>
        <w:widowControl w:val="0"/>
        <w:tabs>
          <w:tab w:val="right" w:leader="dot" w:pos="9214"/>
        </w:tabs>
        <w:spacing w:before="120" w:after="120" w:line="240" w:lineRule="auto"/>
        <w:ind w:right="-142"/>
        <w:rPr>
          <w:rFonts w:eastAsia="Times New Roman" w:cs="Times New Roman"/>
          <w:noProof/>
          <w:szCs w:val="20"/>
        </w:rPr>
      </w:pPr>
      <w:r>
        <w:rPr>
          <w:rFonts w:eastAsia="Times New Roman" w:cs="Times New Roman"/>
          <w:noProof/>
          <w:szCs w:val="20"/>
        </w:rPr>
        <w:t xml:space="preserve">For reproduction or use of these photos, permission must </w:t>
      </w:r>
      <w:r>
        <w:rPr>
          <w:rFonts w:eastAsia="Times New Roman" w:cs="Times New Roman"/>
          <w:noProof/>
          <w:szCs w:val="20"/>
        </w:rPr>
        <w:t>be sought directly from the copyright holder.</w:t>
      </w:r>
    </w:p>
    <w:p w:rsidR="00C571F7" w:rsidRDefault="00C571F7">
      <w:pPr>
        <w:widowControl w:val="0"/>
        <w:tabs>
          <w:tab w:val="right" w:leader="dot" w:pos="8640"/>
        </w:tabs>
        <w:spacing w:before="120" w:after="120" w:line="240" w:lineRule="auto"/>
        <w:jc w:val="both"/>
        <w:rPr>
          <w:rFonts w:eastAsia="Times New Roman" w:cs="Times New Roman"/>
          <w:noProof/>
          <w:szCs w:val="20"/>
        </w:rPr>
      </w:pPr>
    </w:p>
    <w:p w:rsidR="00C571F7" w:rsidRDefault="00884FC2">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C571F7" w:rsidRDefault="00884FC2">
      <w:pPr>
        <w:widowControl w:val="0"/>
        <w:tabs>
          <w:tab w:val="right" w:leader="dot" w:pos="8640"/>
        </w:tabs>
        <w:spacing w:before="120" w:after="120" w:line="240" w:lineRule="auto"/>
        <w:rPr>
          <w:rFonts w:eastAsia="Times New Roman" w:cs="Times New Roman"/>
          <w:noProof/>
          <w:szCs w:val="20"/>
        </w:rPr>
        <w:sectPr w:rsidR="00C571F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Reproduction is authorised provided the source is acknowledged.</w:t>
      </w:r>
    </w:p>
    <w:p w:rsidR="00C571F7" w:rsidRDefault="00884FC2">
      <w:pPr>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C571F7" w:rsidRDefault="00884FC2">
      <w:pPr>
        <w:pStyle w:val="TOC1"/>
        <w:rPr>
          <w:rFonts w:asciiTheme="minorHAnsi" w:eastAsiaTheme="minorEastAsia" w:hAnsiTheme="minorHAnsi" w:cstheme="minorBidi"/>
          <w:caps w:val="0"/>
          <w:noProof/>
          <w:sz w:val="22"/>
          <w:szCs w:val="22"/>
          <w:lang w:eastAsia="en-GB"/>
        </w:rPr>
      </w:pPr>
      <w:hyperlink w:anchor="_Toc469478089"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_Toc469478089 \h </w:instrText>
        </w:r>
        <w:r>
          <w:rPr>
            <w:noProof/>
            <w:webHidden/>
          </w:rPr>
        </w:r>
        <w:r>
          <w:rPr>
            <w:noProof/>
            <w:webHidden/>
          </w:rPr>
          <w:fldChar w:fldCharType="separate"/>
        </w:r>
        <w:r>
          <w:rPr>
            <w:noProof/>
            <w:webHidden/>
          </w:rPr>
          <w:t>4</w:t>
        </w:r>
        <w:r>
          <w:rPr>
            <w:noProof/>
            <w:webHidden/>
          </w:rPr>
          <w:fldChar w:fldCharType="end"/>
        </w:r>
      </w:hyperlink>
    </w:p>
    <w:p w:rsidR="00C571F7" w:rsidRDefault="00884FC2">
      <w:pPr>
        <w:pStyle w:val="TOC1"/>
        <w:rPr>
          <w:rFonts w:asciiTheme="minorHAnsi" w:eastAsiaTheme="minorEastAsia" w:hAnsiTheme="minorHAnsi" w:cstheme="minorBidi"/>
          <w:caps w:val="0"/>
          <w:noProof/>
          <w:sz w:val="22"/>
          <w:szCs w:val="22"/>
          <w:lang w:eastAsia="en-GB"/>
        </w:rPr>
      </w:pPr>
      <w:hyperlink w:anchor="_Toc469478090" w:history="1">
        <w:r>
          <w:rPr>
            <w:rStyle w:val="Hyperlink"/>
            <w:noProof/>
          </w:rPr>
          <w:t>Part I: Thematic Areas</w:t>
        </w:r>
        <w:r>
          <w:rPr>
            <w:noProof/>
            <w:webHidden/>
          </w:rPr>
          <w:tab/>
        </w:r>
        <w:r>
          <w:rPr>
            <w:noProof/>
            <w:webHidden/>
          </w:rPr>
          <w:fldChar w:fldCharType="begin"/>
        </w:r>
        <w:r>
          <w:rPr>
            <w:noProof/>
            <w:webHidden/>
          </w:rPr>
          <w:instrText xml:space="preserve"> PAGEREF _Toc469478090 \h </w:instrText>
        </w:r>
        <w:r>
          <w:rPr>
            <w:noProof/>
            <w:webHidden/>
          </w:rPr>
        </w:r>
        <w:r>
          <w:rPr>
            <w:noProof/>
            <w:webHidden/>
          </w:rPr>
          <w:fldChar w:fldCharType="separate"/>
        </w:r>
        <w:r>
          <w:rPr>
            <w:noProof/>
            <w:webHidden/>
          </w:rPr>
          <w:t>5</w:t>
        </w:r>
        <w:r>
          <w:rPr>
            <w:noProof/>
            <w:webHidden/>
          </w:rPr>
          <w:fldChar w:fldCharType="end"/>
        </w:r>
      </w:hyperlink>
    </w:p>
    <w:p w:rsidR="00C571F7" w:rsidRDefault="00884FC2">
      <w:pPr>
        <w:pStyle w:val="TOC1"/>
        <w:rPr>
          <w:rFonts w:asciiTheme="minorHAnsi" w:eastAsiaTheme="minorEastAsia" w:hAnsiTheme="minorHAnsi" w:cstheme="minorBidi"/>
          <w:caps w:val="0"/>
          <w:noProof/>
          <w:sz w:val="22"/>
          <w:szCs w:val="22"/>
          <w:lang w:eastAsia="en-GB"/>
        </w:rPr>
      </w:pPr>
      <w:hyperlink w:anchor="_Toc469478091"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_Toc469478091 \h </w:instrText>
        </w:r>
        <w:r>
          <w:rPr>
            <w:noProof/>
            <w:webHidden/>
          </w:rPr>
        </w:r>
        <w:r>
          <w:rPr>
            <w:noProof/>
            <w:webHidden/>
          </w:rPr>
          <w:fldChar w:fldCharType="separate"/>
        </w:r>
        <w:r>
          <w:rPr>
            <w:noProof/>
            <w:webHidden/>
          </w:rPr>
          <w:t>5</w:t>
        </w:r>
        <w:r>
          <w:rPr>
            <w:noProof/>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092" w:history="1">
        <w:r>
          <w:rPr>
            <w:rStyle w:val="Hyperlink"/>
          </w:rPr>
          <w:t>Developing a circular economy and improving resource efficiency</w:t>
        </w:r>
        <w:r>
          <w:rPr>
            <w:webHidden/>
          </w:rPr>
          <w:tab/>
        </w:r>
        <w:r>
          <w:rPr>
            <w:webHidden/>
          </w:rPr>
          <w:fldChar w:fldCharType="begin"/>
        </w:r>
        <w:r>
          <w:rPr>
            <w:webHidden/>
          </w:rPr>
          <w:instrText xml:space="preserve"> PAGEREF _Toc469478092 \h </w:instrText>
        </w:r>
        <w:r>
          <w:rPr>
            <w:webHidden/>
          </w:rPr>
        </w:r>
        <w:r>
          <w:rPr>
            <w:webHidden/>
          </w:rPr>
          <w:fldChar w:fldCharType="separate"/>
        </w:r>
        <w:r>
          <w:rPr>
            <w:webHidden/>
          </w:rPr>
          <w:t>5</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093" w:history="1">
        <w:r>
          <w:rPr>
            <w:rStyle w:val="Hyperlink"/>
          </w:rPr>
          <w:t>Waste management</w:t>
        </w:r>
        <w:r>
          <w:rPr>
            <w:webHidden/>
          </w:rPr>
          <w:tab/>
        </w:r>
        <w:r>
          <w:rPr>
            <w:webHidden/>
          </w:rPr>
          <w:fldChar w:fldCharType="begin"/>
        </w:r>
        <w:r>
          <w:rPr>
            <w:webHidden/>
          </w:rPr>
          <w:instrText xml:space="preserve"> PAGEREF _Toc469478093 \h </w:instrText>
        </w:r>
        <w:r>
          <w:rPr>
            <w:webHidden/>
          </w:rPr>
        </w:r>
        <w:r>
          <w:rPr>
            <w:webHidden/>
          </w:rPr>
          <w:fldChar w:fldCharType="separate"/>
        </w:r>
        <w:r>
          <w:rPr>
            <w:webHidden/>
          </w:rPr>
          <w:t>7</w:t>
        </w:r>
        <w:r>
          <w:rPr>
            <w:webHidden/>
          </w:rPr>
          <w:fldChar w:fldCharType="end"/>
        </w:r>
      </w:hyperlink>
    </w:p>
    <w:p w:rsidR="00C571F7" w:rsidRDefault="00884FC2">
      <w:pPr>
        <w:pStyle w:val="TOC1"/>
        <w:rPr>
          <w:rFonts w:asciiTheme="minorHAnsi" w:eastAsiaTheme="minorEastAsia" w:hAnsiTheme="minorHAnsi" w:cstheme="minorBidi"/>
          <w:caps w:val="0"/>
          <w:noProof/>
          <w:sz w:val="22"/>
          <w:szCs w:val="22"/>
          <w:lang w:eastAsia="en-GB"/>
        </w:rPr>
      </w:pPr>
      <w:hyperlink w:anchor="_Toc469478094" w:history="1">
        <w:r>
          <w:rPr>
            <w:rStyle w:val="Hyperlink"/>
            <w:rFonts w:eastAsiaTheme="minorHAnsi"/>
            <w:noProof/>
          </w:rPr>
          <w:t>2.</w:t>
        </w:r>
        <w:r>
          <w:rPr>
            <w:rFonts w:asciiTheme="minorHAnsi" w:eastAsiaTheme="minorEastAsia" w:hAnsiTheme="minorHAnsi" w:cstheme="minorBidi"/>
            <w:caps w:val="0"/>
            <w:noProof/>
            <w:sz w:val="22"/>
            <w:szCs w:val="22"/>
            <w:lang w:eastAsia="en-GB"/>
          </w:rPr>
          <w:tab/>
        </w:r>
        <w:r>
          <w:rPr>
            <w:rStyle w:val="Hyperlink"/>
            <w:rFonts w:eastAsiaTheme="minorHAnsi"/>
            <w:noProof/>
          </w:rPr>
          <w:t>Protecting, conserving and enhancing natural capital</w:t>
        </w:r>
        <w:r>
          <w:rPr>
            <w:noProof/>
            <w:webHidden/>
          </w:rPr>
          <w:tab/>
        </w:r>
        <w:r>
          <w:rPr>
            <w:noProof/>
            <w:webHidden/>
          </w:rPr>
          <w:fldChar w:fldCharType="begin"/>
        </w:r>
        <w:r>
          <w:rPr>
            <w:noProof/>
            <w:webHidden/>
          </w:rPr>
          <w:instrText xml:space="preserve"> PAGEREF _Toc4694780</w:instrText>
        </w:r>
        <w:r>
          <w:rPr>
            <w:noProof/>
            <w:webHidden/>
          </w:rPr>
          <w:instrText xml:space="preserve">94 \h </w:instrText>
        </w:r>
        <w:r>
          <w:rPr>
            <w:noProof/>
            <w:webHidden/>
          </w:rPr>
        </w:r>
        <w:r>
          <w:rPr>
            <w:noProof/>
            <w:webHidden/>
          </w:rPr>
          <w:fldChar w:fldCharType="separate"/>
        </w:r>
        <w:r>
          <w:rPr>
            <w:noProof/>
            <w:webHidden/>
          </w:rPr>
          <w:t>9</w:t>
        </w:r>
        <w:r>
          <w:rPr>
            <w:noProof/>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095" w:history="1">
        <w:r>
          <w:rPr>
            <w:rStyle w:val="Hyperlink"/>
            <w:lang w:eastAsia="en-GB"/>
          </w:rPr>
          <w:t>Nature and Biodiversity</w:t>
        </w:r>
        <w:r>
          <w:rPr>
            <w:webHidden/>
          </w:rPr>
          <w:tab/>
        </w:r>
        <w:r>
          <w:rPr>
            <w:webHidden/>
          </w:rPr>
          <w:fldChar w:fldCharType="begin"/>
        </w:r>
        <w:r>
          <w:rPr>
            <w:webHidden/>
          </w:rPr>
          <w:instrText xml:space="preserve"> PAGEREF _Toc469478095 \h </w:instrText>
        </w:r>
        <w:r>
          <w:rPr>
            <w:webHidden/>
          </w:rPr>
        </w:r>
        <w:r>
          <w:rPr>
            <w:webHidden/>
          </w:rPr>
          <w:fldChar w:fldCharType="separate"/>
        </w:r>
        <w:r>
          <w:rPr>
            <w:webHidden/>
          </w:rPr>
          <w:t>9</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096" w:history="1">
        <w:r>
          <w:rPr>
            <w:rStyle w:val="Hyperlink"/>
          </w:rPr>
          <w:t>Estimating Natural Capital</w:t>
        </w:r>
        <w:r>
          <w:rPr>
            <w:webHidden/>
          </w:rPr>
          <w:tab/>
        </w:r>
        <w:r>
          <w:rPr>
            <w:webHidden/>
          </w:rPr>
          <w:fldChar w:fldCharType="begin"/>
        </w:r>
        <w:r>
          <w:rPr>
            <w:webHidden/>
          </w:rPr>
          <w:instrText xml:space="preserve"> PAGEREF _Toc469478096 \h </w:instrText>
        </w:r>
        <w:r>
          <w:rPr>
            <w:webHidden/>
          </w:rPr>
        </w:r>
        <w:r>
          <w:rPr>
            <w:webHidden/>
          </w:rPr>
          <w:fldChar w:fldCharType="separate"/>
        </w:r>
        <w:r>
          <w:rPr>
            <w:webHidden/>
          </w:rPr>
          <w:t>11</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097" w:history="1">
        <w:r>
          <w:rPr>
            <w:rStyle w:val="Hyperlink"/>
          </w:rPr>
          <w:t>Green Infrastructure</w:t>
        </w:r>
        <w:r>
          <w:rPr>
            <w:webHidden/>
          </w:rPr>
          <w:tab/>
        </w:r>
        <w:r>
          <w:rPr>
            <w:webHidden/>
          </w:rPr>
          <w:fldChar w:fldCharType="begin"/>
        </w:r>
        <w:r>
          <w:rPr>
            <w:webHidden/>
          </w:rPr>
          <w:instrText xml:space="preserve"> PAGEREF _Toc469478097 \h </w:instrText>
        </w:r>
        <w:r>
          <w:rPr>
            <w:webHidden/>
          </w:rPr>
        </w:r>
        <w:r>
          <w:rPr>
            <w:webHidden/>
          </w:rPr>
          <w:fldChar w:fldCharType="separate"/>
        </w:r>
        <w:r>
          <w:rPr>
            <w:webHidden/>
          </w:rPr>
          <w:t>11</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098" w:history="1">
        <w:r>
          <w:rPr>
            <w:rStyle w:val="Hyperlink"/>
          </w:rPr>
          <w:t>Soil protection</w:t>
        </w:r>
        <w:r>
          <w:rPr>
            <w:webHidden/>
          </w:rPr>
          <w:tab/>
        </w:r>
        <w:r>
          <w:rPr>
            <w:webHidden/>
          </w:rPr>
          <w:fldChar w:fldCharType="begin"/>
        </w:r>
        <w:r>
          <w:rPr>
            <w:webHidden/>
          </w:rPr>
          <w:instrText xml:space="preserve"> PAGEREF _Toc469478098 \h </w:instrText>
        </w:r>
        <w:r>
          <w:rPr>
            <w:webHidden/>
          </w:rPr>
        </w:r>
        <w:r>
          <w:rPr>
            <w:webHidden/>
          </w:rPr>
          <w:fldChar w:fldCharType="separate"/>
        </w:r>
        <w:r>
          <w:rPr>
            <w:webHidden/>
          </w:rPr>
          <w:t>12</w:t>
        </w:r>
        <w:r>
          <w:rPr>
            <w:webHidden/>
          </w:rPr>
          <w:fldChar w:fldCharType="end"/>
        </w:r>
      </w:hyperlink>
    </w:p>
    <w:p w:rsidR="00C571F7" w:rsidRDefault="00884FC2">
      <w:pPr>
        <w:pStyle w:val="TOC1"/>
        <w:rPr>
          <w:rFonts w:asciiTheme="minorHAnsi" w:eastAsiaTheme="minorEastAsia" w:hAnsiTheme="minorHAnsi" w:cstheme="minorBidi"/>
          <w:caps w:val="0"/>
          <w:noProof/>
          <w:sz w:val="22"/>
          <w:szCs w:val="22"/>
          <w:lang w:eastAsia="en-GB"/>
        </w:rPr>
      </w:pPr>
      <w:hyperlink w:anchor="_Toc46947809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Ensuring citizens' health</w:t>
        </w:r>
        <w:r>
          <w:rPr>
            <w:rStyle w:val="Hyperlink"/>
            <w:noProof/>
          </w:rPr>
          <w:t xml:space="preserve"> and quality of life</w:t>
        </w:r>
        <w:r>
          <w:rPr>
            <w:noProof/>
            <w:webHidden/>
          </w:rPr>
          <w:tab/>
        </w:r>
        <w:r>
          <w:rPr>
            <w:noProof/>
            <w:webHidden/>
          </w:rPr>
          <w:fldChar w:fldCharType="begin"/>
        </w:r>
        <w:r>
          <w:rPr>
            <w:noProof/>
            <w:webHidden/>
          </w:rPr>
          <w:instrText xml:space="preserve"> PAGEREF _Toc469478099 \h </w:instrText>
        </w:r>
        <w:r>
          <w:rPr>
            <w:noProof/>
            <w:webHidden/>
          </w:rPr>
        </w:r>
        <w:r>
          <w:rPr>
            <w:noProof/>
            <w:webHidden/>
          </w:rPr>
          <w:fldChar w:fldCharType="separate"/>
        </w:r>
        <w:r>
          <w:rPr>
            <w:noProof/>
            <w:webHidden/>
          </w:rPr>
          <w:t>13</w:t>
        </w:r>
        <w:r>
          <w:rPr>
            <w:noProof/>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00" w:history="1">
        <w:r>
          <w:rPr>
            <w:rStyle w:val="Hyperlink"/>
          </w:rPr>
          <w:t>Air quality</w:t>
        </w:r>
        <w:r>
          <w:rPr>
            <w:webHidden/>
          </w:rPr>
          <w:tab/>
        </w:r>
        <w:r>
          <w:rPr>
            <w:webHidden/>
          </w:rPr>
          <w:fldChar w:fldCharType="begin"/>
        </w:r>
        <w:r>
          <w:rPr>
            <w:webHidden/>
          </w:rPr>
          <w:instrText xml:space="preserve"> PAGEREF _Toc469478100 \h </w:instrText>
        </w:r>
        <w:r>
          <w:rPr>
            <w:webHidden/>
          </w:rPr>
        </w:r>
        <w:r>
          <w:rPr>
            <w:webHidden/>
          </w:rPr>
          <w:fldChar w:fldCharType="separate"/>
        </w:r>
        <w:r>
          <w:rPr>
            <w:webHidden/>
          </w:rPr>
          <w:t>13</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01" w:history="1">
        <w:r>
          <w:rPr>
            <w:rStyle w:val="Hyperlink"/>
          </w:rPr>
          <w:t>Noise</w:t>
        </w:r>
        <w:r>
          <w:rPr>
            <w:rStyle w:val="Hyperlink"/>
          </w:rPr>
          <w:tab/>
        </w:r>
        <w:r>
          <w:rPr>
            <w:webHidden/>
          </w:rPr>
          <w:tab/>
        </w:r>
        <w:r>
          <w:rPr>
            <w:webHidden/>
          </w:rPr>
          <w:fldChar w:fldCharType="begin"/>
        </w:r>
        <w:r>
          <w:rPr>
            <w:webHidden/>
          </w:rPr>
          <w:instrText xml:space="preserve"> PAGEREF _Toc469478101 \h </w:instrText>
        </w:r>
        <w:r>
          <w:rPr>
            <w:webHidden/>
          </w:rPr>
        </w:r>
        <w:r>
          <w:rPr>
            <w:webHidden/>
          </w:rPr>
          <w:fldChar w:fldCharType="separate"/>
        </w:r>
        <w:r>
          <w:rPr>
            <w:webHidden/>
          </w:rPr>
          <w:t>14</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02" w:history="1">
        <w:r>
          <w:rPr>
            <w:rStyle w:val="Hyperlink"/>
          </w:rPr>
          <w:t>Water quality and mana</w:t>
        </w:r>
        <w:r>
          <w:rPr>
            <w:rStyle w:val="Hyperlink"/>
          </w:rPr>
          <w:t>gement</w:t>
        </w:r>
        <w:r>
          <w:rPr>
            <w:webHidden/>
          </w:rPr>
          <w:tab/>
        </w:r>
        <w:r>
          <w:rPr>
            <w:webHidden/>
          </w:rPr>
          <w:fldChar w:fldCharType="begin"/>
        </w:r>
        <w:r>
          <w:rPr>
            <w:webHidden/>
          </w:rPr>
          <w:instrText xml:space="preserve"> PAGEREF _Toc469478102 \h </w:instrText>
        </w:r>
        <w:r>
          <w:rPr>
            <w:webHidden/>
          </w:rPr>
        </w:r>
        <w:r>
          <w:rPr>
            <w:webHidden/>
          </w:rPr>
          <w:fldChar w:fldCharType="separate"/>
        </w:r>
        <w:r>
          <w:rPr>
            <w:webHidden/>
          </w:rPr>
          <w:t>14</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03" w:history="1">
        <w:r>
          <w:rPr>
            <w:rStyle w:val="Hyperlink"/>
          </w:rPr>
          <w:t>Enhancing the sustainability of cities</w:t>
        </w:r>
        <w:r>
          <w:rPr>
            <w:webHidden/>
          </w:rPr>
          <w:tab/>
        </w:r>
        <w:r>
          <w:rPr>
            <w:webHidden/>
          </w:rPr>
          <w:fldChar w:fldCharType="begin"/>
        </w:r>
        <w:r>
          <w:rPr>
            <w:webHidden/>
          </w:rPr>
          <w:instrText xml:space="preserve"> PAGEREF _Toc469478103 \h </w:instrText>
        </w:r>
        <w:r>
          <w:rPr>
            <w:webHidden/>
          </w:rPr>
        </w:r>
        <w:r>
          <w:rPr>
            <w:webHidden/>
          </w:rPr>
          <w:fldChar w:fldCharType="separate"/>
        </w:r>
        <w:r>
          <w:rPr>
            <w:webHidden/>
          </w:rPr>
          <w:t>17</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04" w:history="1">
        <w:r>
          <w:rPr>
            <w:rStyle w:val="Hyperlink"/>
          </w:rPr>
          <w:t>International agreements</w:t>
        </w:r>
        <w:r>
          <w:rPr>
            <w:webHidden/>
          </w:rPr>
          <w:tab/>
        </w:r>
        <w:r>
          <w:rPr>
            <w:webHidden/>
          </w:rPr>
          <w:fldChar w:fldCharType="begin"/>
        </w:r>
        <w:r>
          <w:rPr>
            <w:webHidden/>
          </w:rPr>
          <w:instrText xml:space="preserve"> PAGEREF _Toc469478104 \h </w:instrText>
        </w:r>
        <w:r>
          <w:rPr>
            <w:webHidden/>
          </w:rPr>
        </w:r>
        <w:r>
          <w:rPr>
            <w:webHidden/>
          </w:rPr>
          <w:fldChar w:fldCharType="separate"/>
        </w:r>
        <w:r>
          <w:rPr>
            <w:webHidden/>
          </w:rPr>
          <w:t>17</w:t>
        </w:r>
        <w:r>
          <w:rPr>
            <w:webHidden/>
          </w:rPr>
          <w:fldChar w:fldCharType="end"/>
        </w:r>
      </w:hyperlink>
    </w:p>
    <w:p w:rsidR="00C571F7" w:rsidRDefault="00884FC2">
      <w:pPr>
        <w:pStyle w:val="TOC1"/>
        <w:rPr>
          <w:rFonts w:asciiTheme="minorHAnsi" w:eastAsiaTheme="minorEastAsia" w:hAnsiTheme="minorHAnsi" w:cstheme="minorBidi"/>
          <w:caps w:val="0"/>
          <w:noProof/>
          <w:sz w:val="22"/>
          <w:szCs w:val="22"/>
          <w:lang w:eastAsia="en-GB"/>
        </w:rPr>
      </w:pPr>
      <w:hyperlink w:anchor="_Toc469478105"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w:instrText>
        </w:r>
        <w:r>
          <w:rPr>
            <w:noProof/>
            <w:webHidden/>
          </w:rPr>
          <w:instrText xml:space="preserve">EREF _Toc469478105 \h </w:instrText>
        </w:r>
        <w:r>
          <w:rPr>
            <w:noProof/>
            <w:webHidden/>
          </w:rPr>
        </w:r>
        <w:r>
          <w:rPr>
            <w:noProof/>
            <w:webHidden/>
          </w:rPr>
          <w:fldChar w:fldCharType="separate"/>
        </w:r>
        <w:r>
          <w:rPr>
            <w:noProof/>
            <w:webHidden/>
          </w:rPr>
          <w:t>19</w:t>
        </w:r>
        <w:r>
          <w:rPr>
            <w:noProof/>
            <w:webHidden/>
          </w:rPr>
          <w:fldChar w:fldCharType="end"/>
        </w:r>
      </w:hyperlink>
    </w:p>
    <w:p w:rsidR="00C571F7" w:rsidRDefault="00884FC2">
      <w:pPr>
        <w:pStyle w:val="TOC1"/>
        <w:rPr>
          <w:rFonts w:asciiTheme="minorHAnsi" w:eastAsiaTheme="minorEastAsia" w:hAnsiTheme="minorHAnsi" w:cstheme="minorBidi"/>
          <w:caps w:val="0"/>
          <w:noProof/>
          <w:sz w:val="22"/>
          <w:szCs w:val="22"/>
          <w:lang w:eastAsia="en-GB"/>
        </w:rPr>
      </w:pPr>
      <w:hyperlink w:anchor="_Toc469478106"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Market based instruments and investment</w:t>
        </w:r>
        <w:r>
          <w:rPr>
            <w:noProof/>
            <w:webHidden/>
          </w:rPr>
          <w:tab/>
        </w:r>
        <w:r>
          <w:rPr>
            <w:noProof/>
            <w:webHidden/>
          </w:rPr>
          <w:fldChar w:fldCharType="begin"/>
        </w:r>
        <w:r>
          <w:rPr>
            <w:noProof/>
            <w:webHidden/>
          </w:rPr>
          <w:instrText xml:space="preserve"> PAGEREF _Toc469478106 \h </w:instrText>
        </w:r>
        <w:r>
          <w:rPr>
            <w:noProof/>
            <w:webHidden/>
          </w:rPr>
        </w:r>
        <w:r>
          <w:rPr>
            <w:noProof/>
            <w:webHidden/>
          </w:rPr>
          <w:fldChar w:fldCharType="separate"/>
        </w:r>
        <w:r>
          <w:rPr>
            <w:noProof/>
            <w:webHidden/>
          </w:rPr>
          <w:t>19</w:t>
        </w:r>
        <w:r>
          <w:rPr>
            <w:noProof/>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07" w:history="1">
        <w:r>
          <w:rPr>
            <w:rStyle w:val="Hyperlink"/>
          </w:rPr>
          <w:t>Green taxation and environmentally harmful subsidies</w:t>
        </w:r>
        <w:r>
          <w:rPr>
            <w:webHidden/>
          </w:rPr>
          <w:tab/>
        </w:r>
        <w:r>
          <w:rPr>
            <w:webHidden/>
          </w:rPr>
          <w:fldChar w:fldCharType="begin"/>
        </w:r>
        <w:r>
          <w:rPr>
            <w:webHidden/>
          </w:rPr>
          <w:instrText xml:space="preserve"> PAGEREF _Toc469478107 \h </w:instrText>
        </w:r>
        <w:r>
          <w:rPr>
            <w:webHidden/>
          </w:rPr>
        </w:r>
        <w:r>
          <w:rPr>
            <w:webHidden/>
          </w:rPr>
          <w:fldChar w:fldCharType="separate"/>
        </w:r>
        <w:r>
          <w:rPr>
            <w:webHidden/>
          </w:rPr>
          <w:t>19</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08" w:history="1">
        <w:r>
          <w:rPr>
            <w:rStyle w:val="Hyperlink"/>
            <w:lang w:eastAsia="en-GB"/>
          </w:rPr>
          <w:t>Green Public Procurement</w:t>
        </w:r>
        <w:r>
          <w:rPr>
            <w:webHidden/>
          </w:rPr>
          <w:tab/>
        </w:r>
        <w:r>
          <w:rPr>
            <w:webHidden/>
          </w:rPr>
          <w:fldChar w:fldCharType="begin"/>
        </w:r>
        <w:r>
          <w:rPr>
            <w:webHidden/>
          </w:rPr>
          <w:instrText xml:space="preserve"> PAGEREF _Toc469478108 \h </w:instrText>
        </w:r>
        <w:r>
          <w:rPr>
            <w:webHidden/>
          </w:rPr>
        </w:r>
        <w:r>
          <w:rPr>
            <w:webHidden/>
          </w:rPr>
          <w:fldChar w:fldCharType="separate"/>
        </w:r>
        <w:r>
          <w:rPr>
            <w:webHidden/>
          </w:rPr>
          <w:t>20</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09" w:history="1">
        <w:r>
          <w:rPr>
            <w:rStyle w:val="Hyperlink"/>
          </w:rPr>
          <w:t>Investments: the contribution of EU funds</w:t>
        </w:r>
        <w:r>
          <w:rPr>
            <w:webHidden/>
          </w:rPr>
          <w:tab/>
        </w:r>
        <w:r>
          <w:rPr>
            <w:webHidden/>
          </w:rPr>
          <w:fldChar w:fldCharType="begin"/>
        </w:r>
        <w:r>
          <w:rPr>
            <w:webHidden/>
          </w:rPr>
          <w:instrText xml:space="preserve"> PAGEREF _Toc469478109 \h </w:instrText>
        </w:r>
        <w:r>
          <w:rPr>
            <w:webHidden/>
          </w:rPr>
        </w:r>
        <w:r>
          <w:rPr>
            <w:webHidden/>
          </w:rPr>
          <w:fldChar w:fldCharType="separate"/>
        </w:r>
        <w:r>
          <w:rPr>
            <w:webHidden/>
          </w:rPr>
          <w:t>20</w:t>
        </w:r>
        <w:r>
          <w:rPr>
            <w:webHidden/>
          </w:rPr>
          <w:fldChar w:fldCharType="end"/>
        </w:r>
      </w:hyperlink>
    </w:p>
    <w:p w:rsidR="00C571F7" w:rsidRDefault="00884FC2">
      <w:pPr>
        <w:pStyle w:val="TOC1"/>
        <w:rPr>
          <w:rFonts w:asciiTheme="minorHAnsi" w:eastAsiaTheme="minorEastAsia" w:hAnsiTheme="minorHAnsi" w:cstheme="minorBidi"/>
          <w:caps w:val="0"/>
          <w:noProof/>
          <w:sz w:val="22"/>
          <w:szCs w:val="22"/>
          <w:lang w:eastAsia="en-GB"/>
        </w:rPr>
      </w:pPr>
      <w:hyperlink w:anchor="_Toc469478110"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Effective governance and knowledge</w:t>
        </w:r>
        <w:r>
          <w:rPr>
            <w:noProof/>
            <w:webHidden/>
          </w:rPr>
          <w:tab/>
        </w:r>
        <w:r>
          <w:rPr>
            <w:noProof/>
            <w:webHidden/>
          </w:rPr>
          <w:fldChar w:fldCharType="begin"/>
        </w:r>
        <w:r>
          <w:rPr>
            <w:noProof/>
            <w:webHidden/>
          </w:rPr>
          <w:instrText xml:space="preserve"> PAGEREF _Toc469478110 \h </w:instrText>
        </w:r>
        <w:r>
          <w:rPr>
            <w:noProof/>
            <w:webHidden/>
          </w:rPr>
        </w:r>
        <w:r>
          <w:rPr>
            <w:noProof/>
            <w:webHidden/>
          </w:rPr>
          <w:fldChar w:fldCharType="separate"/>
        </w:r>
        <w:r>
          <w:rPr>
            <w:noProof/>
            <w:webHidden/>
          </w:rPr>
          <w:t>22</w:t>
        </w:r>
        <w:r>
          <w:rPr>
            <w:noProof/>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11" w:history="1">
        <w:r>
          <w:rPr>
            <w:rStyle w:val="Hyperlink"/>
          </w:rPr>
          <w:t>Effective governance within central, regional and local government</w:t>
        </w:r>
        <w:r>
          <w:rPr>
            <w:webHidden/>
          </w:rPr>
          <w:tab/>
        </w:r>
        <w:r>
          <w:rPr>
            <w:webHidden/>
          </w:rPr>
          <w:fldChar w:fldCharType="begin"/>
        </w:r>
        <w:r>
          <w:rPr>
            <w:webHidden/>
          </w:rPr>
          <w:instrText xml:space="preserve"> PAGEREF _Toc469478111 \h </w:instrText>
        </w:r>
        <w:r>
          <w:rPr>
            <w:webHidden/>
          </w:rPr>
        </w:r>
        <w:r>
          <w:rPr>
            <w:webHidden/>
          </w:rPr>
          <w:fldChar w:fldCharType="separate"/>
        </w:r>
        <w:r>
          <w:rPr>
            <w:webHidden/>
          </w:rPr>
          <w:t>22</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12" w:history="1">
        <w:r>
          <w:rPr>
            <w:rStyle w:val="Hyperlink"/>
          </w:rPr>
          <w:t>Compliance assurance</w:t>
        </w:r>
        <w:r>
          <w:rPr>
            <w:webHidden/>
          </w:rPr>
          <w:tab/>
        </w:r>
        <w:r>
          <w:rPr>
            <w:webHidden/>
          </w:rPr>
          <w:fldChar w:fldCharType="begin"/>
        </w:r>
        <w:r>
          <w:rPr>
            <w:webHidden/>
          </w:rPr>
          <w:instrText xml:space="preserve"> PAGEREF _Toc469478112 \h </w:instrText>
        </w:r>
        <w:r>
          <w:rPr>
            <w:webHidden/>
          </w:rPr>
        </w:r>
        <w:r>
          <w:rPr>
            <w:webHidden/>
          </w:rPr>
          <w:fldChar w:fldCharType="separate"/>
        </w:r>
        <w:r>
          <w:rPr>
            <w:webHidden/>
          </w:rPr>
          <w:t>23</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13" w:history="1">
        <w:r>
          <w:rPr>
            <w:rStyle w:val="Hyperlink"/>
          </w:rPr>
          <w:t>Public participation and access to justice</w:t>
        </w:r>
        <w:r>
          <w:rPr>
            <w:webHidden/>
          </w:rPr>
          <w:tab/>
        </w:r>
        <w:r>
          <w:rPr>
            <w:webHidden/>
          </w:rPr>
          <w:fldChar w:fldCharType="begin"/>
        </w:r>
        <w:r>
          <w:rPr>
            <w:webHidden/>
          </w:rPr>
          <w:instrText xml:space="preserve"> PAGEREF _Toc469478113 \h </w:instrText>
        </w:r>
        <w:r>
          <w:rPr>
            <w:webHidden/>
          </w:rPr>
        </w:r>
        <w:r>
          <w:rPr>
            <w:webHidden/>
          </w:rPr>
          <w:fldChar w:fldCharType="separate"/>
        </w:r>
        <w:r>
          <w:rPr>
            <w:webHidden/>
          </w:rPr>
          <w:t>25</w:t>
        </w:r>
        <w:r>
          <w:rPr>
            <w:webHidden/>
          </w:rPr>
          <w:fldChar w:fldCharType="end"/>
        </w:r>
      </w:hyperlink>
    </w:p>
    <w:p w:rsidR="00C571F7" w:rsidRDefault="00884FC2">
      <w:pPr>
        <w:pStyle w:val="TOC2"/>
        <w:rPr>
          <w:rFonts w:asciiTheme="minorHAnsi" w:eastAsiaTheme="minorEastAsia" w:hAnsiTheme="minorHAnsi" w:cstheme="minorBidi"/>
          <w:sz w:val="22"/>
          <w:szCs w:val="22"/>
          <w:lang w:eastAsia="en-GB"/>
        </w:rPr>
      </w:pPr>
      <w:hyperlink w:anchor="_Toc469478114" w:history="1">
        <w:r>
          <w:rPr>
            <w:rStyle w:val="Hyperlink"/>
          </w:rPr>
          <w:t>Access to information, knowledge and evidence</w:t>
        </w:r>
        <w:r>
          <w:rPr>
            <w:webHidden/>
          </w:rPr>
          <w:tab/>
        </w:r>
        <w:r>
          <w:rPr>
            <w:webHidden/>
          </w:rPr>
          <w:fldChar w:fldCharType="begin"/>
        </w:r>
        <w:r>
          <w:rPr>
            <w:webHidden/>
          </w:rPr>
          <w:instrText xml:space="preserve"> PAGEREF _Toc469478114 \h </w:instrText>
        </w:r>
        <w:r>
          <w:rPr>
            <w:webHidden/>
          </w:rPr>
        </w:r>
        <w:r>
          <w:rPr>
            <w:webHidden/>
          </w:rPr>
          <w:fldChar w:fldCharType="separate"/>
        </w:r>
        <w:r>
          <w:rPr>
            <w:webHidden/>
          </w:rPr>
          <w:t>26</w:t>
        </w:r>
        <w:r>
          <w:rPr>
            <w:webHidden/>
          </w:rPr>
          <w:fldChar w:fldCharType="end"/>
        </w:r>
      </w:hyperlink>
    </w:p>
    <w:p w:rsidR="00C571F7" w:rsidRDefault="00884FC2">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C571F7" w:rsidRDefault="00884FC2">
      <w:pPr>
        <w:widowControl w:val="0"/>
        <w:spacing w:after="120"/>
        <w:rPr>
          <w:rFonts w:cs="Times New Roman"/>
          <w:noProof/>
          <w:sz w:val="20"/>
        </w:rPr>
        <w:sectPr w:rsidR="00C571F7">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cols w:space="360"/>
          <w:docGrid w:linePitch="360"/>
        </w:sectPr>
      </w:pPr>
      <w:r>
        <w:rPr>
          <w:rFonts w:cs="Times New Roman"/>
          <w:noProof/>
          <w:sz w:val="20"/>
        </w:rPr>
        <w:br w:type="page"/>
      </w:r>
    </w:p>
    <w:p w:rsidR="00C571F7" w:rsidRDefault="00884FC2">
      <w:pPr>
        <w:widowControl w:val="0"/>
        <w:spacing w:after="0" w:line="240" w:lineRule="auto"/>
        <w:ind w:left="720"/>
        <w:jc w:val="center"/>
        <w:outlineLvl w:val="0"/>
        <w:rPr>
          <w:rFonts w:eastAsiaTheme="majorEastAsia" w:cstheme="majorBidi"/>
          <w:b/>
          <w:bCs/>
          <w:noProof/>
          <w:color w:val="1F497D" w:themeColor="text2"/>
          <w:sz w:val="32"/>
          <w:szCs w:val="28"/>
        </w:rPr>
      </w:pPr>
      <w:bookmarkStart w:id="5" w:name="_Toc469478089"/>
      <w:r>
        <w:rPr>
          <w:rFonts w:eastAsiaTheme="majorEastAsia" w:cstheme="majorBidi"/>
          <w:b/>
          <w:bCs/>
          <w:noProof/>
          <w:color w:val="1F497D" w:themeColor="text2"/>
          <w:sz w:val="32"/>
          <w:szCs w:val="28"/>
        </w:rPr>
        <w:lastRenderedPageBreak/>
        <w:t>Executive summary</w:t>
      </w:r>
      <w:bookmarkEnd w:id="4"/>
      <w:bookmarkEnd w:id="5"/>
    </w:p>
    <w:p w:rsidR="00C571F7" w:rsidRDefault="00C571F7">
      <w:pPr>
        <w:widowControl w:val="0"/>
        <w:spacing w:after="120" w:line="240" w:lineRule="auto"/>
        <w:jc w:val="both"/>
        <w:rPr>
          <w:rFonts w:cs="Times New Roman"/>
          <w:noProof/>
          <w:sz w:val="20"/>
        </w:rPr>
      </w:pPr>
    </w:p>
    <w:p w:rsidR="00C571F7" w:rsidRDefault="00C571F7">
      <w:pPr>
        <w:widowControl w:val="0"/>
        <w:spacing w:after="120" w:line="240" w:lineRule="auto"/>
        <w:jc w:val="both"/>
        <w:rPr>
          <w:rFonts w:cs="Times New Roman"/>
          <w:noProof/>
          <w:sz w:val="20"/>
        </w:rPr>
        <w:sectPr w:rsidR="00C571F7">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cols w:space="360"/>
          <w:docGrid w:linePitch="360"/>
        </w:sectPr>
      </w:pPr>
    </w:p>
    <w:p w:rsidR="00C571F7" w:rsidRDefault="00884FC2">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C571F7" w:rsidRDefault="00884FC2">
      <w:pPr>
        <w:widowControl w:val="0"/>
        <w:spacing w:after="120" w:line="240" w:lineRule="auto"/>
        <w:jc w:val="both"/>
        <w:rPr>
          <w:noProof/>
          <w:sz w:val="20"/>
        </w:rPr>
      </w:pPr>
      <w:r>
        <w:rPr>
          <w:noProof/>
          <w:sz w:val="20"/>
        </w:rPr>
        <w:t xml:space="preserve">In May 2016, the Commission launched the Environmental Implementation Review (EIR), a two-year cycle of analysis, dialogue and </w:t>
      </w:r>
      <w:r>
        <w:rPr>
          <w:noProof/>
          <w:sz w:val="20"/>
        </w:rPr>
        <w:t>collaboration to improve the implementation of existing EU environmental policy and legislation</w:t>
      </w:r>
      <w:r>
        <w:rPr>
          <w:noProof/>
          <w:sz w:val="20"/>
          <w:vertAlign w:val="superscript"/>
        </w:rPr>
        <w:footnoteReference w:id="1"/>
      </w:r>
      <w:r>
        <w:rPr>
          <w:noProof/>
          <w:sz w:val="20"/>
        </w:rPr>
        <w:t>. As a first step, the Commission drafted 28 reports describing the main challenges and opportunities on environmental implementation for each Member State. The</w:t>
      </w:r>
      <w:r>
        <w:rPr>
          <w:noProof/>
          <w:sz w:val="20"/>
        </w:rPr>
        <w:t>se reports are meant to stimulate a positive debate both on shared environmental challenges for the EU, as well as on the most effective ways to address the key implementation gaps. The reports rely on the detailed sectoral implementation reports collected</w:t>
      </w:r>
      <w:r>
        <w:rPr>
          <w:noProof/>
          <w:sz w:val="20"/>
        </w:rPr>
        <w:t xml:space="preserve"> or issued by the Commission under specific environmental legislation as well as the 2015 State of the Environment Report and other reports by the European Environment Agency. These reports will not replace the specific instruments to ensure compliance wit</w:t>
      </w:r>
      <w:r>
        <w:rPr>
          <w:noProof/>
          <w:sz w:val="20"/>
        </w:rPr>
        <w:t xml:space="preserve">h the EU legal obligations. </w:t>
      </w:r>
    </w:p>
    <w:p w:rsidR="00C571F7" w:rsidRDefault="00884FC2">
      <w:pPr>
        <w:widowControl w:val="0"/>
        <w:spacing w:after="120" w:line="240" w:lineRule="auto"/>
        <w:jc w:val="both"/>
        <w:rPr>
          <w:rFonts w:cs="Times New Roman"/>
          <w:noProof/>
          <w:sz w:val="20"/>
        </w:rPr>
      </w:pPr>
      <w:r>
        <w:rPr>
          <w:rFonts w:cs="Times New Roman"/>
          <w:noProof/>
          <w:sz w:val="20"/>
        </w:rPr>
        <w:t>The reports will broadly follow the outline of the 7th Environmental Action Programme</w:t>
      </w:r>
      <w:r>
        <w:rPr>
          <w:rFonts w:eastAsia="Calibri" w:cs="Times New Roman"/>
          <w:noProof/>
          <w:sz w:val="20"/>
          <w:vertAlign w:val="superscript"/>
        </w:rPr>
        <w:footnoteReference w:id="2"/>
      </w:r>
      <w:r>
        <w:rPr>
          <w:rFonts w:eastAsia="Calibri" w:cs="Times New Roman"/>
          <w:noProof/>
          <w:sz w:val="20"/>
        </w:rPr>
        <w:t xml:space="preserve"> </w:t>
      </w:r>
      <w:r>
        <w:rPr>
          <w:rFonts w:cs="Times New Roman"/>
          <w:noProof/>
          <w:sz w:val="20"/>
        </w:rPr>
        <w:t xml:space="preserve">and refer to the 2030 Agenda for Sustainable development and related </w:t>
      </w:r>
      <w:r>
        <w:rPr>
          <w:rFonts w:eastAsia="Calibri" w:cs="Times New Roman"/>
          <w:noProof/>
          <w:sz w:val="20"/>
        </w:rPr>
        <w:t>Sustainable Development Goals (SDGs)</w:t>
      </w:r>
      <w:r>
        <w:rPr>
          <w:rFonts w:eastAsia="Calibri" w:cs="Times New Roman"/>
          <w:noProof/>
          <w:sz w:val="20"/>
          <w:vertAlign w:val="superscript"/>
        </w:rPr>
        <w:footnoteReference w:id="3"/>
      </w:r>
      <w:r>
        <w:rPr>
          <w:rFonts w:eastAsia="Calibri" w:cs="Times New Roman"/>
          <w:noProof/>
          <w:sz w:val="20"/>
        </w:rPr>
        <w:t xml:space="preserve"> </w:t>
      </w:r>
      <w:r>
        <w:rPr>
          <w:rFonts w:cs="Times New Roman"/>
          <w:noProof/>
          <w:sz w:val="20"/>
        </w:rPr>
        <w:t xml:space="preserve">to the extent to which they </w:t>
      </w:r>
      <w:r>
        <w:rPr>
          <w:rFonts w:cs="Times New Roman"/>
          <w:noProof/>
          <w:sz w:val="20"/>
        </w:rPr>
        <w:t>reflect the existing obligations and policy objectives of EU environmental law</w:t>
      </w:r>
      <w:r>
        <w:rPr>
          <w:rFonts w:eastAsia="Calibri" w:cs="Times New Roman"/>
          <w:noProof/>
          <w:sz w:val="20"/>
          <w:vertAlign w:val="superscript"/>
        </w:rPr>
        <w:footnoteReference w:id="4"/>
      </w:r>
      <w:r>
        <w:rPr>
          <w:rFonts w:cs="Times New Roman"/>
          <w:noProof/>
          <w:sz w:val="20"/>
        </w:rPr>
        <w:t xml:space="preserve">. </w:t>
      </w:r>
    </w:p>
    <w:p w:rsidR="00C571F7" w:rsidRDefault="00884FC2">
      <w:pPr>
        <w:widowControl w:val="0"/>
        <w:spacing w:after="120" w:line="240" w:lineRule="auto"/>
        <w:jc w:val="both"/>
        <w:rPr>
          <w:rFonts w:cs="Times New Roman"/>
          <w:noProof/>
          <w:sz w:val="20"/>
        </w:rPr>
      </w:pPr>
      <w:r>
        <w:rPr>
          <w:noProof/>
          <w:sz w:val="20"/>
        </w:rPr>
        <w:t>The main challenges have been selected by taking into account factors such as the importance or the gravity of the environmental implementation issue in the light of the impa</w:t>
      </w:r>
      <w:r>
        <w:rPr>
          <w:noProof/>
          <w:sz w:val="20"/>
        </w:rPr>
        <w:t>ct on the quality of life of the citizens, the distance to target, and financial implications.</w:t>
      </w:r>
    </w:p>
    <w:p w:rsidR="00C571F7" w:rsidRDefault="00884FC2">
      <w:pPr>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w:t>
      </w:r>
      <w:r>
        <w:rPr>
          <w:noProof/>
          <w:sz w:val="20"/>
        </w:rPr>
        <w:t>, which identifies challenges that are common to several Member States, provides preliminary conclusions on possible root causes of implementation gaps and proposes joint actions to deliver better results. It also groups in its Annex the actions proposed i</w:t>
      </w:r>
      <w:r>
        <w:rPr>
          <w:noProof/>
          <w:sz w:val="20"/>
        </w:rPr>
        <w:t>n each country report to improve implementation at national level.</w:t>
      </w:r>
    </w:p>
    <w:p w:rsidR="00C571F7" w:rsidRDefault="00884FC2">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C571F7" w:rsidRDefault="00884FC2">
      <w:pPr>
        <w:widowControl w:val="0"/>
        <w:spacing w:after="120" w:line="240" w:lineRule="auto"/>
        <w:jc w:val="both"/>
        <w:rPr>
          <w:rFonts w:cs="Times New Roman"/>
          <w:noProof/>
          <w:sz w:val="20"/>
        </w:rPr>
      </w:pPr>
      <w:r>
        <w:rPr>
          <w:rFonts w:cs="Times New Roman"/>
          <w:noProof/>
          <w:sz w:val="20"/>
        </w:rPr>
        <w:t>Environmental implementation represents a challenge for Slovakia. Poor waste management performance, with low recycling rates and a strong dependence on landfilling is one o</w:t>
      </w:r>
      <w:r>
        <w:rPr>
          <w:rFonts w:cs="Times New Roman"/>
          <w:noProof/>
          <w:sz w:val="20"/>
        </w:rPr>
        <w:t>f the main concerns. Improving water management policy in the context of the EU water framework Directive is a major concern. Its rich natural environment and biodiversity - with one of the largest NATURA 2000 networks - is one of the country's strongest a</w:t>
      </w:r>
      <w:r>
        <w:rPr>
          <w:rFonts w:cs="Times New Roman"/>
          <w:noProof/>
          <w:sz w:val="20"/>
        </w:rPr>
        <w:t xml:space="preserve">ssets. On the other hand, an effort is needed to preserve this potential by balancing the different interests and needs through transparent and efficient development consent and SEA/EIA processes. </w:t>
      </w:r>
    </w:p>
    <w:p w:rsidR="00C571F7" w:rsidRDefault="00884FC2">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C571F7" w:rsidRDefault="00884FC2">
      <w:pPr>
        <w:widowControl w:val="0"/>
        <w:spacing w:after="120" w:line="240" w:lineRule="auto"/>
        <w:jc w:val="both"/>
        <w:rPr>
          <w:rFonts w:cs="Times New Roman"/>
          <w:noProof/>
          <w:sz w:val="20"/>
        </w:rPr>
      </w:pPr>
      <w:r>
        <w:rPr>
          <w:rFonts w:cs="Times New Roman"/>
          <w:noProof/>
          <w:sz w:val="20"/>
        </w:rPr>
        <w:t>The three main challenges with regard to i</w:t>
      </w:r>
      <w:r>
        <w:rPr>
          <w:rFonts w:cs="Times New Roman"/>
          <w:noProof/>
          <w:sz w:val="20"/>
        </w:rPr>
        <w:t>mplementation of EU environmental policy and law in Slovakia are:</w:t>
      </w:r>
    </w:p>
    <w:p w:rsidR="00C571F7" w:rsidRDefault="00884FC2">
      <w:pPr>
        <w:widowControl w:val="0"/>
        <w:numPr>
          <w:ilvl w:val="0"/>
          <w:numId w:val="34"/>
        </w:numPr>
        <w:spacing w:after="120" w:line="240" w:lineRule="auto"/>
        <w:contextualSpacing/>
        <w:jc w:val="both"/>
        <w:rPr>
          <w:rFonts w:cs="Times New Roman"/>
          <w:noProof/>
          <w:sz w:val="20"/>
          <w:szCs w:val="20"/>
        </w:rPr>
      </w:pPr>
      <w:r>
        <w:rPr>
          <w:rFonts w:cs="Times New Roman"/>
          <w:noProof/>
          <w:sz w:val="20"/>
        </w:rPr>
        <w:t>Improving waste management, particularly increasing recycling, rolling-out separate collection and reducing landfilling</w:t>
      </w:r>
    </w:p>
    <w:p w:rsidR="00C571F7" w:rsidRDefault="00884FC2">
      <w:pPr>
        <w:widowControl w:val="0"/>
        <w:numPr>
          <w:ilvl w:val="0"/>
          <w:numId w:val="34"/>
        </w:numPr>
        <w:spacing w:after="120" w:line="240" w:lineRule="auto"/>
        <w:contextualSpacing/>
        <w:jc w:val="both"/>
        <w:rPr>
          <w:rFonts w:cs="Times New Roman"/>
          <w:noProof/>
          <w:sz w:val="20"/>
          <w:szCs w:val="20"/>
        </w:rPr>
      </w:pPr>
      <w:r>
        <w:rPr>
          <w:rFonts w:cs="Times New Roman"/>
          <w:noProof/>
          <w:sz w:val="20"/>
        </w:rPr>
        <w:t>Improving air quality in critical regions of the country, notably in u</w:t>
      </w:r>
      <w:r>
        <w:rPr>
          <w:rFonts w:cs="Times New Roman"/>
          <w:noProof/>
          <w:sz w:val="20"/>
        </w:rPr>
        <w:t>rban areas, like Bratislava and Kosice. Phasing out environmentally harmful subsidies to brown coal.</w:t>
      </w:r>
    </w:p>
    <w:p w:rsidR="00C571F7" w:rsidRDefault="00884FC2">
      <w:pPr>
        <w:widowControl w:val="0"/>
        <w:numPr>
          <w:ilvl w:val="0"/>
          <w:numId w:val="34"/>
        </w:numPr>
        <w:spacing w:after="120" w:line="240" w:lineRule="auto"/>
        <w:contextualSpacing/>
        <w:jc w:val="both"/>
        <w:rPr>
          <w:rFonts w:cs="Times New Roman"/>
          <w:noProof/>
          <w:sz w:val="20"/>
          <w:szCs w:val="20"/>
        </w:rPr>
      </w:pPr>
      <w:r>
        <w:rPr>
          <w:rFonts w:cs="Times New Roman"/>
          <w:noProof/>
          <w:sz w:val="20"/>
        </w:rPr>
        <w:t>Improving water management, notably in terms of infrastructure projects, but also in approaches to agricultural use and landscape management (drainage syst</w:t>
      </w:r>
      <w:r>
        <w:rPr>
          <w:rFonts w:cs="Times New Roman"/>
          <w:noProof/>
          <w:sz w:val="20"/>
        </w:rPr>
        <w:t>ems and nitrates pollution as well as forest management) and more advanced treatment of urban waste water</w:t>
      </w:r>
    </w:p>
    <w:p w:rsidR="00C571F7" w:rsidRDefault="00884FC2">
      <w:pPr>
        <w:widowControl w:val="0"/>
        <w:spacing w:before="240" w:after="120" w:line="240" w:lineRule="auto"/>
        <w:jc w:val="both"/>
        <w:rPr>
          <w:rFonts w:cstheme="minorHAnsi"/>
          <w:b/>
          <w:noProof/>
          <w:color w:val="1F497D" w:themeColor="text2"/>
        </w:rPr>
      </w:pPr>
      <w:r>
        <w:rPr>
          <w:rFonts w:cstheme="minorHAnsi"/>
          <w:b/>
          <w:noProof/>
          <w:color w:val="1F497D" w:themeColor="text2"/>
        </w:rPr>
        <w:t>Main Opportunities</w:t>
      </w:r>
    </w:p>
    <w:p w:rsidR="00C571F7" w:rsidRDefault="00884FC2">
      <w:pPr>
        <w:widowControl w:val="0"/>
        <w:spacing w:after="120" w:line="240" w:lineRule="auto"/>
        <w:jc w:val="both"/>
        <w:rPr>
          <w:rFonts w:cs="Times New Roman"/>
          <w:noProof/>
          <w:sz w:val="20"/>
          <w:lang w:eastAsia="ja-JP"/>
        </w:rPr>
      </w:pPr>
      <w:r>
        <w:rPr>
          <w:rFonts w:cs="Times New Roman"/>
          <w:noProof/>
          <w:sz w:val="20"/>
          <w:lang w:eastAsia="ja-JP"/>
        </w:rPr>
        <w:t>Slovakia could perform better on topics where there is already a good knowledge base and good practices. This applies in particular</w:t>
      </w:r>
      <w:r>
        <w:rPr>
          <w:rFonts w:cs="Times New Roman"/>
          <w:noProof/>
          <w:sz w:val="20"/>
          <w:lang w:eastAsia="ja-JP"/>
        </w:rPr>
        <w:t xml:space="preserve"> to:</w:t>
      </w:r>
    </w:p>
    <w:p w:rsidR="00C571F7" w:rsidRDefault="00884FC2">
      <w:pPr>
        <w:widowControl w:val="0"/>
        <w:numPr>
          <w:ilvl w:val="0"/>
          <w:numId w:val="35"/>
        </w:numPr>
        <w:spacing w:after="120" w:line="240" w:lineRule="auto"/>
        <w:contextualSpacing/>
        <w:jc w:val="both"/>
        <w:rPr>
          <w:rFonts w:cs="Times New Roman"/>
          <w:noProof/>
          <w:sz w:val="20"/>
        </w:rPr>
      </w:pPr>
      <w:r>
        <w:rPr>
          <w:rFonts w:cs="Times New Roman"/>
          <w:noProof/>
          <w:sz w:val="20"/>
        </w:rPr>
        <w:t>Building on experiences in nature protection including the traditional landscape territorial system approach, working towards a complete and well managed Natura 2000 network</w:t>
      </w:r>
    </w:p>
    <w:p w:rsidR="00C571F7" w:rsidRDefault="00884FC2">
      <w:pPr>
        <w:widowControl w:val="0"/>
        <w:numPr>
          <w:ilvl w:val="0"/>
          <w:numId w:val="35"/>
        </w:numPr>
        <w:spacing w:after="120" w:line="240" w:lineRule="auto"/>
        <w:contextualSpacing/>
        <w:jc w:val="both"/>
        <w:rPr>
          <w:rFonts w:cs="Times New Roman"/>
          <w:noProof/>
          <w:sz w:val="20"/>
        </w:rPr>
      </w:pPr>
      <w:r>
        <w:rPr>
          <w:rFonts w:cs="Times New Roman"/>
          <w:noProof/>
          <w:sz w:val="20"/>
        </w:rPr>
        <w:t>Preserving important sources of drinking water by application of ecosystem ba</w:t>
      </w:r>
      <w:r>
        <w:rPr>
          <w:rFonts w:cs="Times New Roman"/>
          <w:noProof/>
          <w:sz w:val="20"/>
        </w:rPr>
        <w:t>sed approaches and preventing negative impacts</w:t>
      </w:r>
    </w:p>
    <w:p w:rsidR="00C571F7" w:rsidRDefault="00884FC2">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Excellence</w:t>
      </w:r>
    </w:p>
    <w:p w:rsidR="00C571F7" w:rsidRDefault="00884FC2">
      <w:pPr>
        <w:widowControl w:val="0"/>
        <w:spacing w:after="120" w:line="240" w:lineRule="auto"/>
        <w:jc w:val="both"/>
        <w:rPr>
          <w:rFonts w:cs="Times New Roman"/>
          <w:noProof/>
          <w:sz w:val="20"/>
        </w:rPr>
      </w:pPr>
      <w:r>
        <w:rPr>
          <w:rFonts w:cs="Times New Roman"/>
          <w:noProof/>
          <w:sz w:val="20"/>
        </w:rPr>
        <w:t>Where Slovakia is a leader on environmental implementation, innovative approaches could be shared more widely with other countries. Good examples are:</w:t>
      </w:r>
    </w:p>
    <w:p w:rsidR="00C571F7" w:rsidRDefault="00884FC2">
      <w:pPr>
        <w:widowControl w:val="0"/>
        <w:numPr>
          <w:ilvl w:val="0"/>
          <w:numId w:val="36"/>
        </w:numPr>
        <w:spacing w:after="120" w:line="240" w:lineRule="auto"/>
        <w:contextualSpacing/>
        <w:jc w:val="both"/>
        <w:rPr>
          <w:rFonts w:cs="Times New Roman"/>
          <w:noProof/>
          <w:sz w:val="20"/>
          <w:lang w:eastAsia="ja-JP"/>
        </w:rPr>
        <w:sectPr w:rsidR="00C571F7">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80" w:bottom="1440" w:left="1080" w:header="709" w:footer="709" w:gutter="0"/>
          <w:cols w:num="2" w:space="360"/>
          <w:docGrid w:linePitch="360"/>
        </w:sectPr>
      </w:pPr>
      <w:r>
        <w:rPr>
          <w:rFonts w:cs="Times New Roman"/>
          <w:noProof/>
          <w:sz w:val="20"/>
        </w:rPr>
        <w:t xml:space="preserve">Territorial System of Ecological Stability of the Landscape (TSES), a system of landscape and nature protection is a good practise developed already in late 1970s in the former Czechoslovakia. </w:t>
      </w:r>
    </w:p>
    <w:p w:rsidR="00C571F7" w:rsidRDefault="00C571F7">
      <w:pPr>
        <w:widowControl w:val="0"/>
        <w:spacing w:after="120" w:line="240" w:lineRule="auto"/>
        <w:jc w:val="both"/>
        <w:rPr>
          <w:rFonts w:cs="Times New Roman"/>
          <w:noProof/>
          <w:sz w:val="20"/>
        </w:rPr>
        <w:sectPr w:rsidR="00C571F7">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fmt="lowerRoman" w:start="1"/>
          <w:cols w:space="360"/>
          <w:docGrid w:linePitch="360"/>
        </w:sectPr>
      </w:pPr>
    </w:p>
    <w:p w:rsidR="00C571F7" w:rsidRDefault="00884FC2">
      <w:pPr>
        <w:pStyle w:val="Heading1"/>
        <w:numPr>
          <w:ilvl w:val="0"/>
          <w:numId w:val="0"/>
        </w:numPr>
        <w:ind w:left="360"/>
        <w:rPr>
          <w:noProof/>
        </w:rPr>
      </w:pPr>
      <w:bookmarkStart w:id="6" w:name="_Toc433296150"/>
      <w:bookmarkStart w:id="7" w:name="_Toc469478090"/>
      <w:r>
        <w:rPr>
          <w:noProof/>
        </w:rPr>
        <w:t>Part I: Thematic Areas</w:t>
      </w:r>
      <w:bookmarkEnd w:id="6"/>
      <w:bookmarkEnd w:id="7"/>
    </w:p>
    <w:p w:rsidR="00C571F7" w:rsidRDefault="00884FC2">
      <w:pPr>
        <w:pStyle w:val="Heading1"/>
        <w:rPr>
          <w:noProof/>
        </w:rPr>
      </w:pPr>
      <w:bookmarkStart w:id="8" w:name="_Toc433296151"/>
      <w:bookmarkStart w:id="9" w:name="_Toc469478091"/>
      <w:r>
        <w:rPr>
          <w:noProof/>
        </w:rPr>
        <w:t>Turning the EU into a circular, resource-efficient, green and competitive low-carbon economy</w:t>
      </w:r>
      <w:bookmarkEnd w:id="8"/>
      <w:bookmarkEnd w:id="9"/>
    </w:p>
    <w:p w:rsidR="00C571F7" w:rsidRDefault="00C571F7">
      <w:pPr>
        <w:widowControl w:val="0"/>
        <w:spacing w:after="120" w:line="240" w:lineRule="auto"/>
        <w:jc w:val="both"/>
        <w:rPr>
          <w:rFonts w:cs="Times New Roman"/>
          <w:noProof/>
          <w:sz w:val="20"/>
        </w:rPr>
        <w:sectPr w:rsidR="00C571F7">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080" w:bottom="1440" w:left="1080" w:header="708" w:footer="708" w:gutter="0"/>
          <w:pgNumType w:start="5"/>
          <w:cols w:space="708"/>
          <w:docGrid w:linePitch="360"/>
        </w:sectPr>
      </w:pPr>
    </w:p>
    <w:p w:rsidR="00C571F7" w:rsidRDefault="00884FC2">
      <w:pPr>
        <w:widowControl w:val="0"/>
        <w:spacing w:after="120" w:line="240" w:lineRule="auto"/>
        <w:outlineLvl w:val="1"/>
        <w:rPr>
          <w:rFonts w:cs="Times New Roman"/>
          <w:b/>
          <w:noProof/>
          <w:color w:val="1F497D" w:themeColor="text2"/>
          <w:sz w:val="24"/>
        </w:rPr>
      </w:pPr>
      <w:bookmarkStart w:id="10" w:name="_Toc433296152"/>
      <w:bookmarkStart w:id="11" w:name="_Toc454813106"/>
      <w:bookmarkStart w:id="12" w:name="_Toc469478092"/>
      <w:r>
        <w:rPr>
          <w:rFonts w:cs="Times New Roman"/>
          <w:b/>
          <w:noProof/>
          <w:color w:val="1F497D" w:themeColor="text2"/>
          <w:sz w:val="24"/>
        </w:rPr>
        <w:t>Developing a circular economy</w:t>
      </w:r>
      <w:bookmarkEnd w:id="10"/>
      <w:r>
        <w:rPr>
          <w:rFonts w:cs="Times New Roman"/>
          <w:b/>
          <w:noProof/>
          <w:color w:val="1F497D" w:themeColor="text2"/>
          <w:sz w:val="24"/>
        </w:rPr>
        <w:t xml:space="preserve"> and improving resource efficiency</w:t>
      </w:r>
      <w:bookmarkEnd w:id="11"/>
      <w:bookmarkEnd w:id="12"/>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2015 Circular Economy Package emphasizes the need to move towards a lifecycle-driven ‘circular’ economy, with a </w:t>
      </w:r>
      <w:r>
        <w:rPr>
          <w:rFonts w:cs="Times New Roman"/>
          <w:noProof/>
          <w:color w:val="FFFFFF" w:themeColor="background1"/>
          <w:sz w:val="20"/>
        </w:rPr>
        <w:t>cascading use of resources and residual waste that is close to zero. This can be facilitated by the development of, and access to, innovative financial instruments and funding for eco-innovation.</w:t>
      </w:r>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SDG 8 invites countries to promote sustained, inclusive and </w:t>
      </w:r>
      <w:r>
        <w:rPr>
          <w:rFonts w:cs="Times New Roman"/>
          <w:noProof/>
          <w:color w:val="FFFFFF" w:themeColor="background1"/>
          <w:sz w:val="20"/>
        </w:rPr>
        <w:t>sustainable economic growth, full and productive employment and decent work for all. SDG 9 highlights the need to build resilient infrastructure, promote inclusive and sustainable industrialization and foster innovation. SDG 12 encourages countries to achi</w:t>
      </w:r>
      <w:r>
        <w:rPr>
          <w:rFonts w:cs="Times New Roman"/>
          <w:noProof/>
          <w:color w:val="FFFFFF" w:themeColor="background1"/>
          <w:sz w:val="20"/>
        </w:rPr>
        <w:t>eve the sustainable management and efficient use of natural resources by 2030.</w:t>
      </w:r>
    </w:p>
    <w:p w:rsidR="00C571F7" w:rsidRDefault="00884FC2">
      <w:pPr>
        <w:widowControl w:val="0"/>
        <w:spacing w:after="120" w:line="240" w:lineRule="auto"/>
        <w:jc w:val="both"/>
        <w:outlineLvl w:val="2"/>
        <w:rPr>
          <w:rFonts w:cs="Times New Roman"/>
          <w:b/>
          <w:noProof/>
          <w:color w:val="1F497D" w:themeColor="text2"/>
        </w:rPr>
      </w:pPr>
      <w:r>
        <w:rPr>
          <w:rFonts w:cs="Times New Roman"/>
          <w:b/>
          <w:noProof/>
          <w:color w:val="1F497D" w:themeColor="text2"/>
        </w:rPr>
        <w:t>Measures towards a circular economy</w:t>
      </w:r>
    </w:p>
    <w:p w:rsidR="00C571F7" w:rsidRDefault="00884FC2">
      <w:pPr>
        <w:widowControl w:val="0"/>
        <w:spacing w:after="120" w:line="240" w:lineRule="auto"/>
        <w:jc w:val="both"/>
        <w:rPr>
          <w:rFonts w:cs="Times New Roman"/>
          <w:noProof/>
          <w:sz w:val="20"/>
        </w:rPr>
      </w:pPr>
      <w:r>
        <w:rPr>
          <w:rFonts w:cs="Times New Roman"/>
          <w:noProof/>
          <w:sz w:val="20"/>
        </w:rPr>
        <w:t>Transforming our economies from linear to circular offers an opportunity to reinvent them and make them more sustainable and competitive. Thi</w:t>
      </w:r>
      <w:r>
        <w:rPr>
          <w:rFonts w:cs="Times New Roman"/>
          <w:noProof/>
          <w:sz w:val="20"/>
        </w:rPr>
        <w:t>s will stimulate investments and bring both short and long-term benefits for the economy, environment and citizens alike.</w:t>
      </w:r>
      <w:r>
        <w:rPr>
          <w:rFonts w:cs="Times New Roman"/>
          <w:noProof/>
          <w:sz w:val="20"/>
          <w:vertAlign w:val="superscript"/>
        </w:rPr>
        <w:footnoteReference w:id="5"/>
      </w:r>
    </w:p>
    <w:p w:rsidR="00C571F7" w:rsidRDefault="00884FC2">
      <w:pPr>
        <w:widowControl w:val="0"/>
        <w:spacing w:after="120" w:line="240" w:lineRule="auto"/>
        <w:jc w:val="both"/>
        <w:rPr>
          <w:rFonts w:cs="Times New Roman"/>
          <w:noProof/>
          <w:sz w:val="20"/>
        </w:rPr>
      </w:pPr>
      <w:r>
        <w:rPr>
          <w:rFonts w:cs="Times New Roman"/>
          <w:noProof/>
          <w:sz w:val="20"/>
        </w:rPr>
        <w:t>With the upcoming Slovakian Presidency of the EU in July 2016, the circular economy in Slovakia should progress, from the policy pers</w:t>
      </w:r>
      <w:r>
        <w:rPr>
          <w:rFonts w:cs="Times New Roman"/>
          <w:noProof/>
          <w:sz w:val="20"/>
        </w:rPr>
        <w:t>pective as it has been listed as one of the priorities. Policy makers are focussed on trying to decrease the energy intensity of the Slovakian economy (as it is double the EU average) as well as improving waste management and decreasing the high landfill r</w:t>
      </w:r>
      <w:r>
        <w:rPr>
          <w:rFonts w:cs="Times New Roman"/>
          <w:noProof/>
          <w:sz w:val="20"/>
        </w:rPr>
        <w:t>ate. This will help with resource productivity where Slovakia is currently below the EU average.</w:t>
      </w:r>
    </w:p>
    <w:p w:rsidR="00C571F7" w:rsidRDefault="00884FC2">
      <w:pPr>
        <w:widowControl w:val="0"/>
        <w:spacing w:after="120" w:line="240" w:lineRule="auto"/>
        <w:jc w:val="both"/>
        <w:rPr>
          <w:rFonts w:cs="Times New Roman"/>
          <w:noProof/>
          <w:sz w:val="20"/>
        </w:rPr>
      </w:pPr>
      <w:r>
        <w:rPr>
          <w:rFonts w:cs="Times New Roman"/>
          <w:noProof/>
          <w:sz w:val="20"/>
        </w:rPr>
        <w:t>To date, there is no national policy outlining a coherent approach towards eco-innovation and the circular economy.  A national-level working group has been se</w:t>
      </w:r>
      <w:r>
        <w:rPr>
          <w:rFonts w:cs="Times New Roman"/>
          <w:noProof/>
          <w:sz w:val="20"/>
        </w:rPr>
        <w:t>t up to discuss the measures in the European Commission’s Circular Economy Package, however, no concrete strategies or action plans have yet been agreed upon.</w:t>
      </w:r>
      <w:r>
        <w:rPr>
          <w:rFonts w:cs="Times New Roman"/>
          <w:noProof/>
          <w:sz w:val="20"/>
          <w:vertAlign w:val="superscript"/>
        </w:rPr>
        <w:footnoteReference w:id="6"/>
      </w:r>
    </w:p>
    <w:p w:rsidR="00C571F7" w:rsidRDefault="00884FC2">
      <w:pPr>
        <w:widowControl w:val="0"/>
        <w:spacing w:after="120" w:line="240" w:lineRule="auto"/>
        <w:jc w:val="both"/>
        <w:rPr>
          <w:rFonts w:cs="Times New Roman"/>
          <w:noProof/>
          <w:sz w:val="20"/>
        </w:rPr>
      </w:pPr>
      <w:r>
        <w:rPr>
          <w:rFonts w:cs="Times New Roman"/>
          <w:bCs/>
          <w:noProof/>
          <w:sz w:val="20"/>
          <w:szCs w:val="24"/>
          <w:lang w:eastAsia="en-GB"/>
        </w:rPr>
        <w:t>The Government manifesto adopted by new Government in April 2016 includes as one of its main obj</w:t>
      </w:r>
      <w:r>
        <w:rPr>
          <w:rFonts w:cs="Times New Roman"/>
          <w:bCs/>
          <w:noProof/>
          <w:sz w:val="20"/>
          <w:szCs w:val="24"/>
          <w:lang w:eastAsia="en-GB"/>
        </w:rPr>
        <w:t>ectives in the environmental agenda to prepare the conditions for steady transition towards the competitive and resource efficient low-carbon economy. However, this is formulated without clear time-tables for implementation and/or with unclear financial ba</w:t>
      </w:r>
      <w:r>
        <w:rPr>
          <w:rFonts w:cs="Times New Roman"/>
          <w:bCs/>
          <w:noProof/>
          <w:sz w:val="20"/>
          <w:szCs w:val="24"/>
          <w:lang w:eastAsia="en-GB"/>
        </w:rPr>
        <w:t xml:space="preserve">cking apart from the priorities agreed also in the Slovak Partnership Agreement or Operational Programmes 2014-2020. This means a high degree of reliance on EU funds for public investments in general. </w:t>
      </w:r>
    </w:p>
    <w:p w:rsidR="00C571F7" w:rsidRDefault="00884FC2">
      <w:pPr>
        <w:widowControl w:val="0"/>
        <w:spacing w:after="120" w:line="240" w:lineRule="auto"/>
        <w:jc w:val="both"/>
        <w:rPr>
          <w:rFonts w:cs="Times New Roman"/>
          <w:noProof/>
          <w:sz w:val="20"/>
        </w:rPr>
      </w:pPr>
      <w:r>
        <w:rPr>
          <w:rFonts w:cs="Times New Roman"/>
          <w:noProof/>
          <w:sz w:val="20"/>
        </w:rPr>
        <w:t>As regards the instruments in Slovakia, the focus appe</w:t>
      </w:r>
      <w:r>
        <w:rPr>
          <w:rFonts w:cs="Times New Roman"/>
          <w:noProof/>
          <w:sz w:val="20"/>
        </w:rPr>
        <w:t>ars to remain on traditional environmental approaches, such as environmental management systems</w:t>
      </w:r>
      <w:r>
        <w:rPr>
          <w:rFonts w:cs="Times New Roman"/>
          <w:noProof/>
          <w:sz w:val="20"/>
          <w:vertAlign w:val="superscript"/>
        </w:rPr>
        <w:footnoteReference w:id="7"/>
      </w:r>
      <w:r>
        <w:rPr>
          <w:rFonts w:cs="Times New Roman"/>
          <w:noProof/>
          <w:sz w:val="20"/>
        </w:rPr>
        <w:t>, environmental labelling</w:t>
      </w:r>
      <w:r>
        <w:rPr>
          <w:rFonts w:cs="Times New Roman"/>
          <w:noProof/>
          <w:sz w:val="20"/>
          <w:vertAlign w:val="superscript"/>
        </w:rPr>
        <w:footnoteReference w:id="8"/>
      </w:r>
      <w:r>
        <w:rPr>
          <w:rFonts w:cs="Times New Roman"/>
          <w:noProof/>
          <w:sz w:val="20"/>
        </w:rPr>
        <w:t xml:space="preserve"> and green public procurement (GPP)</w:t>
      </w:r>
      <w:r>
        <w:rPr>
          <w:rFonts w:cs="Times New Roman"/>
          <w:noProof/>
          <w:sz w:val="20"/>
          <w:vertAlign w:val="superscript"/>
        </w:rPr>
        <w:footnoteReference w:id="9"/>
      </w:r>
      <w:r>
        <w:rPr>
          <w:rFonts w:cs="Times New Roman"/>
          <w:noProof/>
          <w:sz w:val="20"/>
        </w:rPr>
        <w:t>. However, even these voluntary instruments are implemented and promoted by the public administrat</w:t>
      </w:r>
      <w:r>
        <w:rPr>
          <w:rFonts w:cs="Times New Roman"/>
          <w:noProof/>
          <w:sz w:val="20"/>
        </w:rPr>
        <w:t>ion bodies mainly, and in particular by the Ministry of Environment</w:t>
      </w:r>
      <w:r>
        <w:rPr>
          <w:rFonts w:cs="Times New Roman"/>
          <w:noProof/>
          <w:color w:val="FF0000"/>
          <w:sz w:val="20"/>
        </w:rPr>
        <w:t xml:space="preserve">.  </w:t>
      </w:r>
      <w:r>
        <w:rPr>
          <w:rFonts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c>
          <w:tcPr>
            <w:tcW w:w="4909" w:type="dxa"/>
          </w:tcPr>
          <w:p w:rsidR="00C571F7" w:rsidRDefault="00884FC2">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10"/>
            </w:r>
          </w:p>
        </w:tc>
      </w:tr>
      <w:tr w:rsidR="00C571F7">
        <w:tc>
          <w:tcPr>
            <w:tcW w:w="4909" w:type="dxa"/>
          </w:tcPr>
          <w:p w:rsidR="00C571F7" w:rsidRDefault="00884FC2">
            <w:pPr>
              <w:widowControl w:val="0"/>
              <w:spacing w:after="120"/>
              <w:jc w:val="both"/>
              <w:rPr>
                <w:rFonts w:cs="Times New Roman"/>
                <w:noProof/>
                <w:sz w:val="20"/>
              </w:rPr>
            </w:pPr>
            <w:r>
              <w:rPr>
                <w:rFonts w:cs="Times New Roman"/>
                <w:noProof/>
                <w:sz w:val="20"/>
                <w:lang w:eastAsia="en-GB"/>
              </w:rPr>
              <w:drawing>
                <wp:inline distT="0" distB="0" distL="0" distR="0" wp14:anchorId="49ADB9A1" wp14:editId="28B73F11">
                  <wp:extent cx="3062177" cy="2032838"/>
                  <wp:effectExtent l="0" t="0" r="508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69938" cy="2037990"/>
                          </a:xfrm>
                          <a:prstGeom prst="rect">
                            <a:avLst/>
                          </a:prstGeom>
                          <a:noFill/>
                        </pic:spPr>
                      </pic:pic>
                    </a:graphicData>
                  </a:graphic>
                </wp:inline>
              </w:drawing>
            </w:r>
          </w:p>
        </w:tc>
      </w:tr>
    </w:tbl>
    <w:p w:rsidR="00C571F7" w:rsidRDefault="00884FC2">
      <w:pPr>
        <w:widowControl w:val="0"/>
        <w:spacing w:after="120" w:line="240" w:lineRule="auto"/>
        <w:jc w:val="both"/>
        <w:rPr>
          <w:rFonts w:cs="Times New Roman"/>
          <w:noProof/>
          <w:sz w:val="20"/>
        </w:rPr>
      </w:pPr>
      <w:r>
        <w:rPr>
          <w:rFonts w:cs="Times New Roman"/>
          <w:noProof/>
          <w:sz w:val="20"/>
        </w:rPr>
        <w:t xml:space="preserve">Figure 1 shows trends over time and indicates a modest but overall stable increase of resource productivity (how efficiently the economy </w:t>
      </w:r>
      <w:r>
        <w:rPr>
          <w:rFonts w:cs="Times New Roman"/>
          <w:noProof/>
          <w:sz w:val="20"/>
        </w:rPr>
        <w:t>uses material resources to produce wealth) since 2004 in Slovakia. However, since 2014 a slight decrease can be observed. In 2015, Slovakia performed below the EU average in terms of resource productivity, with 1.0 EUR/kg (EU average is 2.0).</w:t>
      </w:r>
      <w:r>
        <w:rPr>
          <w:rFonts w:cs="Times New Roman"/>
          <w:noProof/>
          <w:sz w:val="20"/>
          <w:vertAlign w:val="superscript"/>
        </w:rPr>
        <w:t xml:space="preserve"> </w:t>
      </w:r>
      <w:r>
        <w:rPr>
          <w:rFonts w:cs="Times New Roman"/>
          <w:noProof/>
          <w:sz w:val="20"/>
          <w:vertAlign w:val="superscript"/>
        </w:rPr>
        <w:footnoteReference w:id="11"/>
      </w:r>
    </w:p>
    <w:p w:rsidR="00C571F7" w:rsidRDefault="00C571F7">
      <w:pPr>
        <w:widowControl w:val="0"/>
        <w:spacing w:after="120" w:line="240" w:lineRule="auto"/>
        <w:jc w:val="both"/>
        <w:outlineLvl w:val="2"/>
        <w:rPr>
          <w:rFonts w:cs="Times New Roman"/>
          <w:b/>
          <w:noProof/>
          <w:color w:val="1F497D" w:themeColor="text2"/>
        </w:rPr>
      </w:pPr>
    </w:p>
    <w:p w:rsidR="00C571F7" w:rsidRDefault="00884FC2">
      <w:pPr>
        <w:widowControl w:val="0"/>
        <w:spacing w:after="120" w:line="240" w:lineRule="auto"/>
        <w:jc w:val="both"/>
        <w:outlineLvl w:val="2"/>
        <w:rPr>
          <w:rFonts w:cs="Times New Roman"/>
          <w:b/>
          <w:noProof/>
          <w:color w:val="1F497D" w:themeColor="text2"/>
        </w:rPr>
      </w:pPr>
      <w:r>
        <w:rPr>
          <w:rFonts w:cs="Times New Roman"/>
          <w:b/>
          <w:noProof/>
          <w:color w:val="1F497D" w:themeColor="text2"/>
        </w:rPr>
        <w:t>SMEs</w:t>
      </w:r>
      <w:r>
        <w:rPr>
          <w:rStyle w:val="FootnoteReference"/>
          <w:rFonts w:cs="Times New Roman"/>
          <w:b/>
          <w:noProof/>
          <w:color w:val="1F497D" w:themeColor="text2"/>
        </w:rPr>
        <w:footnoteReference w:id="12"/>
      </w:r>
      <w:r>
        <w:rPr>
          <w:rFonts w:cs="Times New Roman"/>
          <w:b/>
          <w:noProof/>
          <w:color w:val="1F497D" w:themeColor="text2"/>
        </w:rPr>
        <w:t xml:space="preserve"> and </w:t>
      </w:r>
      <w:r>
        <w:rPr>
          <w:rFonts w:cs="Times New Roman"/>
          <w:b/>
          <w:noProof/>
          <w:color w:val="1F497D" w:themeColor="text2"/>
        </w:rPr>
        <w:t>resource efficiency</w:t>
      </w:r>
    </w:p>
    <w:p w:rsidR="00C571F7" w:rsidRDefault="00884FC2">
      <w:pPr>
        <w:widowControl w:val="0"/>
        <w:spacing w:after="120" w:line="240" w:lineRule="auto"/>
        <w:jc w:val="both"/>
        <w:rPr>
          <w:rFonts w:cs="Times New Roman"/>
          <w:i/>
          <w:noProof/>
          <w:color w:val="FF0000"/>
          <w:sz w:val="20"/>
        </w:rPr>
      </w:pPr>
      <w:r>
        <w:rPr>
          <w:rFonts w:cs="Times New Roman"/>
          <w:noProof/>
          <w:sz w:val="20"/>
        </w:rPr>
        <w:t xml:space="preserve">In the Flash 426 Eurobarometer "SMEs, resource efficiency and green markets" it is shown that 36% of Slovakia's SMEs have invested  up to 5% of their annual turnover in their resource efficiency actions (EU28 average 50%), 34 % of them </w:t>
      </w:r>
      <w:r>
        <w:rPr>
          <w:rFonts w:cs="Times New Roman"/>
          <w:noProof/>
          <w:sz w:val="20"/>
        </w:rPr>
        <w:t>are currently offering green products and services, 62% took measures to save energy (EU28 average 59%), 57% to minimise waste (EU28 average 60%), 62% to save water (EU28 average 44%), and 56% to save materials (EU28 average 54%). From a circular economy p</w:t>
      </w:r>
      <w:r>
        <w:rPr>
          <w:rFonts w:cs="Times New Roman"/>
          <w:noProof/>
          <w:sz w:val="20"/>
        </w:rPr>
        <w:t xml:space="preserve">erspective, 30% took measures to recycle by reusing material or waste within the company, 21% to design products that are easier to maintain, repair or reuse and 20% were able to sell their scrap material to another company. </w:t>
      </w:r>
      <w:r>
        <w:rPr>
          <w:rFonts w:cs="Times New Roman"/>
          <w:noProof/>
          <w:color w:val="FF0000"/>
          <w:sz w:val="20"/>
        </w:rPr>
        <w:t xml:space="preserve"> </w:t>
      </w:r>
    </w:p>
    <w:p w:rsidR="00C571F7" w:rsidRDefault="00884FC2">
      <w:pPr>
        <w:widowControl w:val="0"/>
        <w:spacing w:after="120" w:line="240" w:lineRule="auto"/>
        <w:jc w:val="both"/>
        <w:rPr>
          <w:rFonts w:cs="Times New Roman"/>
          <w:i/>
          <w:noProof/>
          <w:sz w:val="20"/>
        </w:rPr>
      </w:pPr>
      <w:r>
        <w:rPr>
          <w:rFonts w:cs="Times New Roman"/>
          <w:noProof/>
          <w:sz w:val="20"/>
        </w:rPr>
        <w:t>According to the Flash 426 Eu</w:t>
      </w:r>
      <w:r>
        <w:rPr>
          <w:rFonts w:cs="Times New Roman"/>
          <w:noProof/>
          <w:sz w:val="20"/>
        </w:rPr>
        <w:t>robarometer, the resource efficiency actions undertaken allowed the reduction of production costs in a 37% of the Slovakia's SMEs.</w:t>
      </w:r>
    </w:p>
    <w:p w:rsidR="00C571F7" w:rsidRDefault="00884FC2">
      <w:pPr>
        <w:widowControl w:val="0"/>
        <w:spacing w:after="120" w:line="240" w:lineRule="auto"/>
        <w:jc w:val="both"/>
        <w:rPr>
          <w:rFonts w:cs="Times New Roman"/>
          <w:noProof/>
          <w:color w:val="FF0000"/>
          <w:sz w:val="20"/>
        </w:rPr>
      </w:pPr>
      <w:r>
        <w:rPr>
          <w:rFonts w:cs="Times New Roman"/>
          <w:noProof/>
          <w:sz w:val="20"/>
        </w:rPr>
        <w:t xml:space="preserve">The Flash 426 Eurobarometer "SMEs, resource efficiency and green markets" shows that 52% of the SMEs in Slovakia have one or </w:t>
      </w:r>
      <w:r>
        <w:rPr>
          <w:rFonts w:cs="Times New Roman"/>
          <w:noProof/>
          <w:sz w:val="20"/>
        </w:rPr>
        <w:t>more full time employee working in a green job</w:t>
      </w:r>
      <w:r>
        <w:rPr>
          <w:rFonts w:cs="Times New Roman"/>
          <w:noProof/>
          <w:sz w:val="20"/>
          <w:vertAlign w:val="superscript"/>
        </w:rPr>
        <w:footnoteReference w:id="13"/>
      </w:r>
      <w:r>
        <w:rPr>
          <w:rFonts w:cs="Times New Roman"/>
          <w:noProof/>
          <w:sz w:val="20"/>
        </w:rPr>
        <w:t xml:space="preserve"> at least some of the time. Slovakia has an average number of 2.4 full time green employees per SME. </w:t>
      </w:r>
    </w:p>
    <w:p w:rsidR="00C571F7" w:rsidRDefault="00884FC2">
      <w:pPr>
        <w:widowControl w:val="0"/>
        <w:spacing w:after="120" w:line="240" w:lineRule="auto"/>
        <w:jc w:val="both"/>
        <w:rPr>
          <w:rFonts w:cs="Times New Roman"/>
          <w:i/>
          <w:noProof/>
          <w:sz w:val="20"/>
        </w:rPr>
      </w:pPr>
      <w:r>
        <w:rPr>
          <w:rFonts w:cs="Times New Roman"/>
          <w:b/>
          <w:noProof/>
          <w:color w:val="1F497D" w:themeColor="text2"/>
        </w:rPr>
        <w:t>Eco-innovation</w:t>
      </w:r>
    </w:p>
    <w:p w:rsidR="00C571F7" w:rsidRDefault="00884FC2">
      <w:pPr>
        <w:widowControl w:val="0"/>
        <w:spacing w:after="120" w:line="240" w:lineRule="auto"/>
        <w:jc w:val="both"/>
        <w:rPr>
          <w:rFonts w:cs="Times New Roman"/>
          <w:noProof/>
          <w:sz w:val="20"/>
        </w:rPr>
      </w:pPr>
      <w:r>
        <w:rPr>
          <w:rFonts w:cs="Times New Roman"/>
          <w:noProof/>
          <w:sz w:val="20"/>
        </w:rPr>
        <w:t>The results of the scoreboard depicted in Figure 2 show that the overall eco-innovation perf</w:t>
      </w:r>
      <w:r>
        <w:rPr>
          <w:rFonts w:cs="Times New Roman"/>
          <w:noProof/>
          <w:sz w:val="20"/>
        </w:rPr>
        <w:t>ormance of Slovakia for the year 2015 has improved compared to 2013 and 2014, with an overall index score of 72 (compared to a score of 54 in 2013), ranking Slovakia 23rd among EU28. This reflects the challenges Slovakia faces in terms of a lack of a coher</w:t>
      </w:r>
      <w:r>
        <w:rPr>
          <w:rFonts w:cs="Times New Roman"/>
          <w:noProof/>
          <w:sz w:val="20"/>
        </w:rPr>
        <w:t xml:space="preserve">ent eco-innovation policy framework as well as low investment in R&amp;D. </w:t>
      </w:r>
    </w:p>
    <w:p w:rsidR="00C571F7" w:rsidRDefault="00884FC2">
      <w:pPr>
        <w:widowControl w:val="0"/>
        <w:spacing w:after="120" w:line="240" w:lineRule="auto"/>
        <w:jc w:val="both"/>
        <w:rPr>
          <w:rFonts w:cs="Times New Roman"/>
          <w:noProof/>
          <w:sz w:val="20"/>
        </w:rPr>
      </w:pPr>
      <w:r>
        <w:rPr>
          <w:rFonts w:cs="Times New Roman"/>
          <w:noProof/>
          <w:sz w:val="20"/>
        </w:rPr>
        <w:t xml:space="preserve">One of the main drivers to support eco-innovation and the circular economy could be the automotive industry, as it is one of the main industries in Slovakia. Another driver could be an </w:t>
      </w:r>
      <w:r>
        <w:rPr>
          <w:rFonts w:cs="Times New Roman"/>
          <w:noProof/>
          <w:sz w:val="20"/>
        </w:rPr>
        <w:t>incentive framework to promote innovation among companies and academics. A National technology transfer portal was established in the Centre of Scientific and Technical Information and will now work more intensively with offices located within universities</w:t>
      </w:r>
      <w:r>
        <w:rPr>
          <w:rFonts w:cs="Times New Roman"/>
          <w:noProof/>
          <w:sz w:val="20"/>
        </w:rPr>
        <w:t xml:space="preserve">. </w:t>
      </w:r>
      <w:r>
        <w:rPr>
          <w:rFonts w:cs="Times New Roman"/>
          <w:noProof/>
          <w:color w:val="FF0000"/>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rsidRPr="00884FC2">
        <w:tc>
          <w:tcPr>
            <w:tcW w:w="4909" w:type="dxa"/>
          </w:tcPr>
          <w:p w:rsidR="00C571F7" w:rsidRDefault="00884FC2">
            <w:pPr>
              <w:widowControl w:val="0"/>
              <w:spacing w:after="120"/>
              <w:jc w:val="both"/>
              <w:rPr>
                <w:rFonts w:cs="Times New Roman"/>
                <w:noProof/>
                <w:sz w:val="20"/>
              </w:rPr>
            </w:pPr>
            <w:r>
              <w:rPr>
                <w:rFonts w:cs="Times New Roman"/>
                <w:noProof/>
                <w:sz w:val="20"/>
              </w:rPr>
              <w:t xml:space="preserve">There are several barriers to circular economy and eco-innovation in Slovakia. </w:t>
            </w:r>
          </w:p>
          <w:p w:rsidR="00C571F7" w:rsidRDefault="00884FC2">
            <w:pPr>
              <w:widowControl w:val="0"/>
              <w:spacing w:after="120"/>
              <w:jc w:val="both"/>
              <w:rPr>
                <w:rFonts w:cs="Times New Roman"/>
                <w:noProof/>
                <w:sz w:val="20"/>
              </w:rPr>
            </w:pPr>
            <w:r>
              <w:rPr>
                <w:rFonts w:cs="Times New Roman"/>
                <w:noProof/>
                <w:sz w:val="20"/>
              </w:rPr>
              <w:t>On the one hand, there are economic and financial barriers, i.e. lack of financial resources and high costs of innovation (RIS3</w:t>
            </w:r>
            <w:r>
              <w:rPr>
                <w:rStyle w:val="FootnoteReference"/>
                <w:rFonts w:cs="Times New Roman"/>
                <w:noProof/>
                <w:sz w:val="20"/>
              </w:rPr>
              <w:footnoteReference w:id="14"/>
            </w:r>
            <w:r>
              <w:rPr>
                <w:rFonts w:cs="Times New Roman"/>
                <w:noProof/>
                <w:sz w:val="20"/>
              </w:rPr>
              <w:t xml:space="preserve">). In particular, there is still a </w:t>
            </w:r>
            <w:r>
              <w:rPr>
                <w:rFonts w:cs="Times New Roman"/>
                <w:noProof/>
                <w:sz w:val="20"/>
              </w:rPr>
              <w:t>significant lack of funding for research and innovation in Slovakia. Public sector and EU structural funds are the main sources of R&amp;D funding in Slovakia, rather than companies (RIS3). Certain regions, i.e. Slovakia's central and eastern regions, do not a</w:t>
            </w:r>
            <w:r>
              <w:rPr>
                <w:rFonts w:cs="Times New Roman"/>
                <w:noProof/>
                <w:sz w:val="20"/>
              </w:rPr>
              <w:t>ttract private investment at all, mainly due to infrastructure problems.</w:t>
            </w:r>
            <w:r>
              <w:rPr>
                <w:rFonts w:cs="Times New Roman"/>
                <w:noProof/>
                <w:sz w:val="20"/>
                <w:vertAlign w:val="superscript"/>
              </w:rPr>
              <w:footnoteReference w:id="15"/>
            </w:r>
          </w:p>
          <w:p w:rsidR="00C571F7" w:rsidRDefault="00884FC2">
            <w:pPr>
              <w:widowControl w:val="0"/>
              <w:spacing w:after="12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6"/>
            </w:r>
          </w:p>
        </w:tc>
      </w:tr>
      <w:tr w:rsidR="00C571F7">
        <w:tc>
          <w:tcPr>
            <w:tcW w:w="4909" w:type="dxa"/>
          </w:tcPr>
          <w:p w:rsidR="00C571F7" w:rsidRDefault="00884FC2">
            <w:pPr>
              <w:widowControl w:val="0"/>
              <w:spacing w:after="120"/>
              <w:jc w:val="both"/>
              <w:rPr>
                <w:rFonts w:cs="Times New Roman"/>
                <w:noProof/>
                <w:sz w:val="20"/>
                <w:lang w:val="it-IT"/>
              </w:rPr>
            </w:pPr>
            <w:r>
              <w:rPr>
                <w:rFonts w:cs="Times New Roman"/>
                <w:noProof/>
                <w:sz w:val="20"/>
                <w:lang w:eastAsia="en-GB"/>
              </w:rPr>
              <w:drawing>
                <wp:inline distT="0" distB="0" distL="0" distR="0" wp14:anchorId="18FB2B7F" wp14:editId="76C06314">
                  <wp:extent cx="2995661" cy="40829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9829" cy="4088583"/>
                          </a:xfrm>
                          <a:prstGeom prst="rect">
                            <a:avLst/>
                          </a:prstGeom>
                          <a:noFill/>
                        </pic:spPr>
                      </pic:pic>
                    </a:graphicData>
                  </a:graphic>
                </wp:inline>
              </w:drawing>
            </w:r>
          </w:p>
        </w:tc>
      </w:tr>
    </w:tbl>
    <w:p w:rsidR="00C571F7" w:rsidRDefault="00884FC2">
      <w:pPr>
        <w:widowControl w:val="0"/>
        <w:spacing w:after="120" w:line="240" w:lineRule="auto"/>
        <w:jc w:val="both"/>
        <w:rPr>
          <w:rFonts w:cs="Times New Roman"/>
          <w:noProof/>
          <w:sz w:val="20"/>
        </w:rPr>
      </w:pPr>
      <w:r>
        <w:rPr>
          <w:rFonts w:cs="Times New Roman"/>
          <w:noProof/>
          <w:sz w:val="20"/>
        </w:rPr>
        <w:t xml:space="preserve">The lack of market demand for innovation and low level of public awareness on this topic are also barriers. </w:t>
      </w:r>
    </w:p>
    <w:p w:rsidR="00C571F7" w:rsidRDefault="00884FC2">
      <w:pPr>
        <w:widowControl w:val="0"/>
        <w:spacing w:after="120" w:line="240" w:lineRule="auto"/>
        <w:jc w:val="both"/>
        <w:rPr>
          <w:rFonts w:cstheme="minorHAnsi"/>
          <w:noProof/>
          <w:color w:val="1F497D" w:themeColor="text2"/>
          <w:szCs w:val="26"/>
        </w:rPr>
      </w:pPr>
      <w:bookmarkStart w:id="13" w:name="_Toc433296157"/>
      <w:r>
        <w:rPr>
          <w:rFonts w:cstheme="minorHAnsi"/>
          <w:noProof/>
          <w:color w:val="1F497D" w:themeColor="text2"/>
          <w:szCs w:val="26"/>
        </w:rPr>
        <w:t>Suggested action</w:t>
      </w:r>
    </w:p>
    <w:p w:rsidR="00C571F7" w:rsidRDefault="00884FC2">
      <w:pPr>
        <w:pStyle w:val="NoSpacing"/>
        <w:rPr>
          <w:noProof/>
        </w:rPr>
      </w:pPr>
      <w:r>
        <w:rPr>
          <w:noProof/>
        </w:rPr>
        <w:t>Develop an overarching policy framework with respect to circular economy and eco-innovation.</w:t>
      </w:r>
    </w:p>
    <w:p w:rsidR="00C571F7" w:rsidRDefault="00884FC2">
      <w:pPr>
        <w:pStyle w:val="NoSpacing"/>
        <w:rPr>
          <w:noProof/>
        </w:rPr>
      </w:pPr>
      <w:r>
        <w:rPr>
          <w:noProof/>
        </w:rPr>
        <w:t>Establish a policy framework that would enable the uptake of circular economy measures.</w:t>
      </w:r>
    </w:p>
    <w:p w:rsidR="00C571F7" w:rsidRDefault="00884FC2">
      <w:pPr>
        <w:pStyle w:val="NoSpacing"/>
        <w:rPr>
          <w:noProof/>
        </w:rPr>
      </w:pPr>
      <w:r>
        <w:rPr>
          <w:noProof/>
        </w:rPr>
        <w:t>Increase the funding opportunities for SMEs in Slovakia. Foster the develop</w:t>
      </w:r>
      <w:r>
        <w:rPr>
          <w:noProof/>
        </w:rPr>
        <w:t>ment of a secondary raw materials market. Incentivise investments in green products and services.</w:t>
      </w:r>
    </w:p>
    <w:p w:rsidR="00C571F7" w:rsidRDefault="00884FC2">
      <w:pPr>
        <w:pStyle w:val="NoSpacing"/>
        <w:rPr>
          <w:noProof/>
        </w:rPr>
      </w:pPr>
      <w:r>
        <w:rPr>
          <w:noProof/>
        </w:rPr>
        <w:t xml:space="preserve">Raise awareness among the population of circular economy to increase the market demand. </w:t>
      </w:r>
    </w:p>
    <w:p w:rsidR="00C571F7" w:rsidRDefault="00884FC2">
      <w:pPr>
        <w:widowControl w:val="0"/>
        <w:spacing w:before="360" w:after="120" w:line="240" w:lineRule="auto"/>
        <w:outlineLvl w:val="1"/>
        <w:rPr>
          <w:rFonts w:cs="Times New Roman"/>
          <w:b/>
          <w:noProof/>
          <w:color w:val="1F497D" w:themeColor="text2"/>
          <w:sz w:val="24"/>
        </w:rPr>
      </w:pPr>
      <w:bookmarkStart w:id="14" w:name="_Toc469478093"/>
      <w:r>
        <w:rPr>
          <w:rFonts w:cs="Times New Roman"/>
          <w:b/>
          <w:noProof/>
          <w:color w:val="1F497D" w:themeColor="text2"/>
          <w:sz w:val="24"/>
        </w:rPr>
        <w:t>Waste management</w:t>
      </w:r>
      <w:bookmarkEnd w:id="13"/>
      <w:bookmarkEnd w:id="14"/>
      <w:r>
        <w:rPr>
          <w:rFonts w:cs="Times New Roman"/>
          <w:b/>
          <w:noProof/>
          <w:color w:val="1F497D" w:themeColor="text2"/>
          <w:sz w:val="24"/>
        </w:rPr>
        <w:t xml:space="preserve"> </w:t>
      </w:r>
    </w:p>
    <w:p w:rsidR="00C571F7" w:rsidRDefault="00884FC2">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C571F7" w:rsidRDefault="00884FC2">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w:t>
      </w:r>
      <w:r>
        <w:rPr>
          <w:noProof/>
          <w:color w:val="FFFFFF" w:themeColor="background1"/>
          <w:sz w:val="20"/>
        </w:rPr>
        <w:t>implementation of Union waste legislation, which includes the waste hierarchy; the need to ensure separate collection of waste; the landfill diversion targets etc.</w:t>
      </w:r>
    </w:p>
    <w:p w:rsidR="00C571F7" w:rsidRDefault="00884FC2">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C571F7" w:rsidRDefault="00884FC2">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w:t>
      </w:r>
      <w:r>
        <w:rPr>
          <w:noProof/>
          <w:color w:val="FFFFFF" w:themeColor="background1"/>
          <w:sz w:val="20"/>
        </w:rPr>
        <w:t xml:space="preserve"> recovery to non-recyclable materials and phasing out landfilling of recyclable or recoverable waste.</w:t>
      </w:r>
    </w:p>
    <w:p w:rsidR="00C571F7" w:rsidRDefault="00884FC2">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SDG 12 invites countries to substantially reduce waste generation through prevention, reduction, recycling and reuse, by 2030.</w:t>
      </w:r>
    </w:p>
    <w:p w:rsidR="00C571F7" w:rsidRDefault="00884FC2">
      <w:pPr>
        <w:widowControl w:val="0"/>
        <w:spacing w:before="240" w:after="120" w:line="240" w:lineRule="auto"/>
        <w:jc w:val="both"/>
        <w:rPr>
          <w:rFonts w:cs="Times New Roman"/>
          <w:noProof/>
          <w:sz w:val="20"/>
        </w:rPr>
      </w:pPr>
      <w:r>
        <w:rPr>
          <w:rFonts w:cs="Times New Roman"/>
          <w:noProof/>
          <w:sz w:val="20"/>
        </w:rPr>
        <w:t xml:space="preserve">The EU's approach to waste </w:t>
      </w:r>
      <w:r>
        <w:rPr>
          <w:rFonts w:cs="Times New Roman"/>
          <w:noProof/>
          <w:sz w:val="20"/>
        </w:rPr>
        <w:t>management is based on the "waste hierarchy" which sets out an order of priority when shaping waste policy and managing waste at the operational level: prevention, (preparing for) reuse, recycling, recovery and, as the least preferred option, disposal (whi</w:t>
      </w:r>
      <w:r>
        <w:rPr>
          <w:rFonts w:cs="Times New Roman"/>
          <w:noProof/>
          <w:sz w:val="20"/>
        </w:rPr>
        <w:t>ch includes landfilling and incineration without energy recovery). The progress towards reaching recycling targets and the adoption of adequate WMP/WPP</w:t>
      </w:r>
      <w:r>
        <w:rPr>
          <w:rFonts w:cs="Times New Roman"/>
          <w:noProof/>
          <w:sz w:val="20"/>
          <w:vertAlign w:val="superscript"/>
        </w:rPr>
        <w:footnoteReference w:id="17"/>
      </w:r>
      <w:r>
        <w:rPr>
          <w:rFonts w:cs="Times New Roman"/>
          <w:noProof/>
          <w:sz w:val="20"/>
        </w:rPr>
        <w:t xml:space="preserve"> should be the key items to measure the performance of Member States. This section focuses on management</w:t>
      </w:r>
      <w:r>
        <w:rPr>
          <w:rFonts w:cs="Times New Roman"/>
          <w:noProof/>
          <w:sz w:val="20"/>
        </w:rPr>
        <w:t xml:space="preserve"> of municipal waste for which EU law sets mandatory recycling targets.</w:t>
      </w:r>
    </w:p>
    <w:p w:rsidR="00C571F7" w:rsidRDefault="00884FC2">
      <w:pPr>
        <w:widowControl w:val="0"/>
        <w:spacing w:after="120" w:line="240" w:lineRule="auto"/>
        <w:jc w:val="both"/>
        <w:rPr>
          <w:rFonts w:eastAsia="Calibri" w:cs="Times New Roman"/>
          <w:noProof/>
          <w:sz w:val="20"/>
        </w:rPr>
      </w:pPr>
      <w:r>
        <w:rPr>
          <w:rFonts w:eastAsia="Calibri" w:cs="Times New Roman"/>
          <w:noProof/>
          <w:sz w:val="20"/>
        </w:rPr>
        <w:t>Municipal waste generation in Slovakia has increased in 2014 breaking the downward trend since 2010 and remaining considerably below the EU average (321 kg/y/inhabitant compared to arou</w:t>
      </w:r>
      <w:r>
        <w:rPr>
          <w:rFonts w:eastAsia="Calibri" w:cs="Times New Roman"/>
          <w:noProof/>
          <w:sz w:val="20"/>
        </w:rPr>
        <w:t>nd 475 kg/y/inhabitant) as shown in Figure 3.</w:t>
      </w:r>
      <w:r>
        <w:rPr>
          <w:rFonts w:cs="Times New Roman"/>
          <w:noProof/>
          <w:sz w:val="20"/>
        </w:rPr>
        <w:t xml:space="preserve"> There are still differences in national and Eurostat statistics.</w:t>
      </w:r>
    </w:p>
    <w:p w:rsidR="00C571F7" w:rsidRDefault="00884FC2">
      <w:pPr>
        <w:widowControl w:val="0"/>
        <w:spacing w:after="120" w:line="240" w:lineRule="auto"/>
        <w:jc w:val="both"/>
        <w:rPr>
          <w:rFonts w:cs="Times New Roman"/>
          <w:noProof/>
          <w:sz w:val="20"/>
        </w:rPr>
      </w:pPr>
      <w:r>
        <w:rPr>
          <w:rFonts w:cs="Times New Roman"/>
          <w:noProof/>
          <w:sz w:val="20"/>
        </w:rPr>
        <w:t>Figure 3 depicts the municipal waste by treatment in Slovakia in terms of kg per capita which shows a high landfilling of municipal waste and sti</w:t>
      </w:r>
      <w:r>
        <w:rPr>
          <w:rFonts w:cs="Times New Roman"/>
          <w:noProof/>
          <w:sz w:val="20"/>
        </w:rPr>
        <w:t>ll a very low recycling rate. Slovakia has one of the lowest landfill gate fees among the EU MSs.</w:t>
      </w:r>
      <w:r>
        <w:rPr>
          <w:rStyle w:val="FootnoteReference"/>
          <w:rFonts w:cs="Times New Roman"/>
          <w:noProof/>
          <w:sz w:val="20"/>
        </w:rPr>
        <w:footnoteReference w:id="18"/>
      </w:r>
      <w:r>
        <w:rPr>
          <w:rFonts w:cs="Times New Roman"/>
          <w:noProof/>
          <w:sz w:val="20"/>
        </w:rPr>
        <w:t xml:space="preserve"> The number of illegal dumpsites is also a huge problem, mainly in Bratislava region. </w:t>
      </w:r>
    </w:p>
    <w:p w:rsidR="00C571F7" w:rsidRDefault="00884FC2">
      <w:pPr>
        <w:widowControl w:val="0"/>
        <w:spacing w:after="120" w:line="240" w:lineRule="auto"/>
        <w:jc w:val="both"/>
        <w:rPr>
          <w:rFonts w:cs="Times New Roman"/>
          <w:noProof/>
          <w:sz w:val="20"/>
        </w:rPr>
      </w:pPr>
      <w:r>
        <w:rPr>
          <w:rFonts w:cs="Times New Roman"/>
          <w:noProof/>
          <w:sz w:val="20"/>
        </w:rPr>
        <w:t xml:space="preserve">Recycling of municipal waste (including composting) remains relatively </w:t>
      </w:r>
      <w:r>
        <w:rPr>
          <w:rFonts w:cs="Times New Roman"/>
          <w:noProof/>
          <w:sz w:val="20"/>
        </w:rPr>
        <w:t>low (12% compared to the EU average of 44%). Therefore, significant efforts will be needed to meet the 50% recycling target by 2020 as shown in Figure 4.</w:t>
      </w:r>
      <w:r>
        <w:rPr>
          <w:rFonts w:cs="Times New Roman"/>
          <w:noProof/>
          <w:sz w:val="20"/>
          <w:vertAlign w:val="superscript"/>
        </w:rPr>
        <w:footnoteReference w:id="19"/>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c>
          <w:tcPr>
            <w:tcW w:w="4909" w:type="dxa"/>
          </w:tcPr>
          <w:p w:rsidR="00C571F7" w:rsidRDefault="00C571F7">
            <w:pPr>
              <w:widowControl w:val="0"/>
              <w:spacing w:after="120"/>
              <w:jc w:val="both"/>
              <w:rPr>
                <w:rFonts w:cs="Times New Roman"/>
                <w:b/>
                <w:bCs/>
                <w:noProof/>
                <w:color w:val="1F497D" w:themeColor="text2"/>
                <w:sz w:val="20"/>
              </w:rPr>
            </w:pPr>
          </w:p>
          <w:p w:rsidR="00C571F7" w:rsidRDefault="00C571F7">
            <w:pPr>
              <w:widowControl w:val="0"/>
              <w:spacing w:after="120"/>
              <w:jc w:val="both"/>
              <w:rPr>
                <w:rFonts w:cs="Times New Roman"/>
                <w:b/>
                <w:bCs/>
                <w:noProof/>
                <w:color w:val="1F497D" w:themeColor="text2"/>
                <w:sz w:val="20"/>
              </w:rPr>
            </w:pPr>
          </w:p>
          <w:p w:rsidR="00C571F7" w:rsidRDefault="00884FC2">
            <w:pPr>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Slovakia 2007-14</w:t>
            </w:r>
            <w:r>
              <w:rPr>
                <w:b/>
                <w:bCs/>
                <w:noProof/>
                <w:color w:val="1F497D" w:themeColor="text2"/>
                <w:sz w:val="20"/>
                <w:vertAlign w:val="superscript"/>
              </w:rPr>
              <w:footnoteReference w:id="20"/>
            </w:r>
          </w:p>
        </w:tc>
      </w:tr>
      <w:tr w:rsidR="00C571F7">
        <w:tc>
          <w:tcPr>
            <w:tcW w:w="4909" w:type="dxa"/>
          </w:tcPr>
          <w:p w:rsidR="00C571F7" w:rsidRDefault="00884FC2">
            <w:pPr>
              <w:widowControl w:val="0"/>
              <w:spacing w:after="120"/>
              <w:jc w:val="both"/>
              <w:rPr>
                <w:rFonts w:cs="Times New Roman"/>
                <w:noProof/>
                <w:sz w:val="20"/>
              </w:rPr>
            </w:pPr>
            <w:r>
              <w:rPr>
                <w:rFonts w:cs="Times New Roman"/>
                <w:noProof/>
                <w:sz w:val="20"/>
                <w:lang w:eastAsia="en-GB"/>
              </w:rPr>
              <w:drawing>
                <wp:inline distT="0" distB="0" distL="0" distR="0" wp14:anchorId="4DA5DC18" wp14:editId="6EF958DC">
                  <wp:extent cx="2966484" cy="2530812"/>
                  <wp:effectExtent l="0" t="0" r="571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64501" cy="2529121"/>
                          </a:xfrm>
                          <a:prstGeom prst="rect">
                            <a:avLst/>
                          </a:prstGeom>
                        </pic:spPr>
                      </pic:pic>
                    </a:graphicData>
                  </a:graphic>
                </wp:inline>
              </w:drawing>
            </w:r>
          </w:p>
        </w:tc>
      </w:tr>
    </w:tbl>
    <w:p w:rsidR="00C571F7" w:rsidRDefault="00C571F7">
      <w:pPr>
        <w:widowControl w:val="0"/>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c>
          <w:tcPr>
            <w:tcW w:w="4909" w:type="dxa"/>
          </w:tcPr>
          <w:p w:rsidR="00C571F7" w:rsidRDefault="00884FC2">
            <w:pPr>
              <w:widowControl w:val="0"/>
              <w:spacing w:after="120"/>
              <w:jc w:val="both"/>
              <w:rPr>
                <w:rFonts w:cs="Times New Roman"/>
                <w:noProof/>
                <w:color w:val="1F497D" w:themeColor="text2"/>
                <w:sz w:val="20"/>
              </w:rPr>
            </w:pPr>
            <w:r>
              <w:rPr>
                <w:rFonts w:cs="Times New Roman"/>
                <w:b/>
                <w:bCs/>
                <w:noProof/>
                <w:color w:val="1F497D" w:themeColor="text2"/>
                <w:sz w:val="20"/>
              </w:rPr>
              <w:t xml:space="preserve">Figure 4: Recycling rate of </w:t>
            </w:r>
            <w:r>
              <w:rPr>
                <w:rFonts w:cs="Times New Roman"/>
                <w:b/>
                <w:bCs/>
                <w:noProof/>
                <w:color w:val="1F497D" w:themeColor="text2"/>
                <w:sz w:val="20"/>
              </w:rPr>
              <w:t>municipal waste 2007-14</w:t>
            </w:r>
            <w:r>
              <w:rPr>
                <w:b/>
                <w:bCs/>
                <w:noProof/>
                <w:color w:val="1F497D" w:themeColor="text2"/>
                <w:sz w:val="20"/>
                <w:vertAlign w:val="superscript"/>
              </w:rPr>
              <w:footnoteReference w:id="21"/>
            </w:r>
          </w:p>
        </w:tc>
      </w:tr>
      <w:tr w:rsidR="00C571F7">
        <w:tc>
          <w:tcPr>
            <w:tcW w:w="4909" w:type="dxa"/>
          </w:tcPr>
          <w:p w:rsidR="00C571F7" w:rsidRDefault="00884FC2">
            <w:pPr>
              <w:widowControl w:val="0"/>
              <w:spacing w:after="120"/>
              <w:jc w:val="both"/>
              <w:rPr>
                <w:rFonts w:cs="Times New Roman"/>
                <w:noProof/>
                <w:sz w:val="20"/>
              </w:rPr>
            </w:pPr>
            <w:r>
              <w:rPr>
                <w:rFonts w:cs="Times New Roman"/>
                <w:noProof/>
                <w:sz w:val="20"/>
                <w:lang w:eastAsia="en-GB"/>
              </w:rPr>
              <w:drawing>
                <wp:inline distT="0" distB="0" distL="0" distR="0" wp14:anchorId="6ED2EF73" wp14:editId="2D38EE76">
                  <wp:extent cx="3083442" cy="2558133"/>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6225" cy="2560441"/>
                          </a:xfrm>
                          <a:prstGeom prst="rect">
                            <a:avLst/>
                          </a:prstGeom>
                          <a:noFill/>
                        </pic:spPr>
                      </pic:pic>
                    </a:graphicData>
                  </a:graphic>
                </wp:inline>
              </w:drawing>
            </w:r>
          </w:p>
        </w:tc>
      </w:tr>
    </w:tbl>
    <w:p w:rsidR="00C571F7" w:rsidRDefault="00884FC2">
      <w:pPr>
        <w:widowControl w:val="0"/>
        <w:spacing w:after="120" w:line="240" w:lineRule="auto"/>
        <w:jc w:val="both"/>
        <w:rPr>
          <w:rFonts w:eastAsia="Calibri" w:cs="Times New Roman"/>
          <w:noProof/>
          <w:sz w:val="20"/>
        </w:rPr>
      </w:pPr>
      <w:r>
        <w:rPr>
          <w:rFonts w:cs="Times New Roman"/>
          <w:noProof/>
          <w:sz w:val="20"/>
        </w:rPr>
        <w:t xml:space="preserve">Slovakia still has high landfilling rate of municipal waste (76% in 2014). Incineration accounts for 12%. </w:t>
      </w:r>
      <w:r>
        <w:rPr>
          <w:rFonts w:eastAsia="Calibri" w:cs="Times New Roman"/>
          <w:noProof/>
          <w:sz w:val="20"/>
        </w:rPr>
        <w:t>In order to help bridging the implementation gap in Slovakia, the Commission has delivered a roadmap for compliance.</w:t>
      </w:r>
      <w:r>
        <w:rPr>
          <w:rFonts w:eastAsia="Calibri" w:cs="Times New Roman"/>
          <w:noProof/>
          <w:sz w:val="20"/>
          <w:vertAlign w:val="superscript"/>
        </w:rPr>
        <w:footnoteReference w:id="22"/>
      </w:r>
      <w:r>
        <w:rPr>
          <w:rFonts w:eastAsia="Calibri" w:cs="Times New Roman"/>
          <w:noProof/>
          <w:sz w:val="20"/>
        </w:rPr>
        <w:t xml:space="preserve"> The</w:t>
      </w:r>
      <w:r>
        <w:rPr>
          <w:rFonts w:eastAsia="Calibri" w:cs="Times New Roman"/>
          <w:noProof/>
          <w:sz w:val="20"/>
        </w:rPr>
        <w:t xml:space="preserve"> main recommendations included progressive increase of landfill tax and use of the revenues to the first steps of the waste hierarchy; improvement of the performance of the Extended Producer Responsibility schemes for the main waste streams to ensure the a</w:t>
      </w:r>
      <w:r>
        <w:rPr>
          <w:rFonts w:eastAsia="Calibri" w:cs="Times New Roman"/>
          <w:noProof/>
          <w:sz w:val="20"/>
        </w:rPr>
        <w:t xml:space="preserve">ppropriate and sustainable funding of separate collection, sorting and recycling. As soon as separate collections are in place, Pay-as-You-Throw (PAYT) schemes should be encouraged and harmonised at local level. The PAYT schemes introduced in some regions </w:t>
      </w:r>
      <w:r>
        <w:rPr>
          <w:rFonts w:eastAsia="Calibri" w:cs="Times New Roman"/>
          <w:noProof/>
          <w:sz w:val="20"/>
        </w:rPr>
        <w:t>in Slovakia impose a very low fee and thus do not incentivise separate collection. Incentives for municipalities to encourage separate collection and reuse/recycling should be harmonised.</w:t>
      </w:r>
    </w:p>
    <w:p w:rsidR="00C571F7" w:rsidRDefault="00884FC2">
      <w:pPr>
        <w:widowControl w:val="0"/>
        <w:spacing w:after="120" w:line="240" w:lineRule="auto"/>
        <w:jc w:val="both"/>
        <w:rPr>
          <w:rFonts w:cs="Times New Roman"/>
          <w:noProof/>
          <w:sz w:val="20"/>
        </w:rPr>
      </w:pPr>
      <w:r>
        <w:rPr>
          <w:rFonts w:cs="Times New Roman"/>
          <w:noProof/>
          <w:sz w:val="20"/>
        </w:rPr>
        <w:t>On 1 January 2016, a new legal act on waste entered into force, whic</w:t>
      </w:r>
      <w:r>
        <w:rPr>
          <w:rFonts w:cs="Times New Roman"/>
          <w:noProof/>
          <w:sz w:val="20"/>
        </w:rPr>
        <w:t>h governs several aspects of waste management, including waste prevention, extended producer responsibility, management of municipal waste, and the ceasing of the former Recycling Fund' operation. Parts of this act are relevant to improving circular econom</w:t>
      </w:r>
      <w:r>
        <w:rPr>
          <w:rFonts w:cs="Times New Roman"/>
          <w:noProof/>
          <w:sz w:val="20"/>
        </w:rPr>
        <w:t>y, in particular the extended producer responsibility scheme. It is not clear whether the act itself would allow Slovakia to achieve the 2020 objectives of Waste FD and more ambitious objectives of the Circular Economy package. The Waste management plan of</w:t>
      </w:r>
      <w:r>
        <w:rPr>
          <w:rFonts w:cs="Times New Roman"/>
          <w:noProof/>
          <w:sz w:val="20"/>
        </w:rPr>
        <w:t xml:space="preserve"> the Slovak Republic for 2016-2020 was also adopted in 2015. It evaluated performance between 2011 and 2015 up to 2013. The results showed that several objectives had not been reached, including the targets set for municipal waste – in particular recycling</w:t>
      </w:r>
      <w:r>
        <w:rPr>
          <w:rFonts w:cs="Times New Roman"/>
          <w:noProof/>
          <w:sz w:val="20"/>
        </w:rPr>
        <w:t xml:space="preserve"> targets. </w:t>
      </w:r>
    </w:p>
    <w:p w:rsidR="00C571F7" w:rsidRDefault="00884FC2">
      <w:pPr>
        <w:widowControl w:val="0"/>
        <w:spacing w:after="120" w:line="240" w:lineRule="auto"/>
        <w:jc w:val="both"/>
        <w:rPr>
          <w:rFonts w:cs="Times New Roman"/>
          <w:noProof/>
          <w:sz w:val="20"/>
        </w:rPr>
      </w:pPr>
      <w:r>
        <w:rPr>
          <w:rFonts w:cs="Times New Roman"/>
          <w:noProof/>
          <w:sz w:val="20"/>
        </w:rPr>
        <w:t>Full implementation of the existing waste legislation could create more than 5900 jobs in Slovakia and increase the annual turnover of the waste sector by over EUR 620 million. Moving toward the targets of the Roadmap resource efficiency could c</w:t>
      </w:r>
      <w:r>
        <w:rPr>
          <w:rFonts w:cs="Times New Roman"/>
          <w:noProof/>
          <w:sz w:val="20"/>
        </w:rPr>
        <w:t>reate over 7000 additional jobs and increase the annual turnover of the waste sector by over EUR 740 million.</w:t>
      </w:r>
      <w:r>
        <w:rPr>
          <w:rFonts w:cs="Times New Roman"/>
          <w:noProof/>
          <w:sz w:val="20"/>
          <w:vertAlign w:val="superscript"/>
        </w:rPr>
        <w:footnoteReference w:id="23"/>
      </w:r>
    </w:p>
    <w:p w:rsidR="00C571F7" w:rsidRDefault="00884FC2">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571F7" w:rsidRDefault="00884FC2">
      <w:pPr>
        <w:pStyle w:val="NoSpacing"/>
        <w:rPr>
          <w:noProof/>
        </w:rPr>
      </w:pPr>
      <w:r>
        <w:rPr>
          <w:noProof/>
        </w:rPr>
        <w:t xml:space="preserve">Gradually increase landfill taxes to phase-out landfilling of recyclable and recoverable waste. Use the revenues to support the </w:t>
      </w:r>
      <w:r>
        <w:rPr>
          <w:noProof/>
        </w:rPr>
        <w:t>separate collection and alternative infrastructure to support the first steps of waste hierarchy. Avoid building excessive infrastructure for the treatment of residual waste.</w:t>
      </w:r>
    </w:p>
    <w:p w:rsidR="00C571F7" w:rsidRDefault="00884FC2">
      <w:pPr>
        <w:pStyle w:val="NoSpacing"/>
        <w:rPr>
          <w:noProof/>
        </w:rPr>
      </w:pPr>
      <w:r>
        <w:rPr>
          <w:noProof/>
        </w:rPr>
        <w:t>Focus on implementation of the separate collection obligation to increase recycli</w:t>
      </w:r>
      <w:r>
        <w:rPr>
          <w:noProof/>
        </w:rPr>
        <w:t xml:space="preserve">ng rates. As soon as an efficient separate collection scheme is in place, PAYT schemes should be encouraged and harmonised at local level.  </w:t>
      </w:r>
    </w:p>
    <w:p w:rsidR="00C571F7" w:rsidRDefault="00884FC2">
      <w:pPr>
        <w:pStyle w:val="NoSpacing"/>
        <w:rPr>
          <w:bCs/>
          <w:noProof/>
          <w:szCs w:val="20"/>
        </w:rPr>
      </w:pPr>
      <w:r>
        <w:rPr>
          <w:bCs/>
          <w:noProof/>
          <w:szCs w:val="20"/>
        </w:rPr>
        <w:t>Extend and improve the cost-effectiveness, monitoring and transparency of existing EPR schemes.</w:t>
      </w:r>
    </w:p>
    <w:p w:rsidR="00C571F7" w:rsidRDefault="00C571F7">
      <w:pPr>
        <w:widowControl w:val="0"/>
        <w:spacing w:after="120" w:line="240" w:lineRule="auto"/>
        <w:jc w:val="both"/>
        <w:rPr>
          <w:rFonts w:cs="Times New Roman"/>
          <w:noProof/>
          <w:sz w:val="20"/>
        </w:rPr>
      </w:pPr>
    </w:p>
    <w:p w:rsidR="00C571F7" w:rsidRDefault="00884FC2">
      <w:pPr>
        <w:widowControl w:val="0"/>
        <w:spacing w:after="120" w:line="240" w:lineRule="auto"/>
        <w:contextualSpacing/>
        <w:jc w:val="both"/>
        <w:rPr>
          <w:rFonts w:cs="Times New Roman"/>
          <w:noProof/>
          <w:sz w:val="20"/>
        </w:rPr>
      </w:pPr>
      <w:r>
        <w:rPr>
          <w:rFonts w:cstheme="minorHAnsi"/>
          <w:noProof/>
          <w:color w:val="1F497D" w:themeColor="text2"/>
          <w:szCs w:val="26"/>
        </w:rPr>
        <w:t xml:space="preserve"> </w:t>
      </w:r>
    </w:p>
    <w:p w:rsidR="00C571F7" w:rsidRDefault="00884FC2">
      <w:pPr>
        <w:widowControl w:val="0"/>
        <w:spacing w:after="0"/>
        <w:outlineLvl w:val="0"/>
        <w:rPr>
          <w:rFonts w:cstheme="majorBidi"/>
          <w:b/>
          <w:bCs/>
          <w:noProof/>
          <w:color w:val="1F497D" w:themeColor="text2"/>
          <w:sz w:val="32"/>
          <w:szCs w:val="28"/>
        </w:rPr>
        <w:sectPr w:rsidR="00C571F7">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num="2" w:space="360"/>
          <w:docGrid w:linePitch="360"/>
        </w:sectPr>
      </w:pPr>
      <w:r>
        <w:rPr>
          <w:rFonts w:cstheme="majorBidi"/>
          <w:b/>
          <w:bCs/>
          <w:noProof/>
          <w:color w:val="1F497D" w:themeColor="text2"/>
          <w:sz w:val="32"/>
          <w:szCs w:val="28"/>
        </w:rPr>
        <w:t xml:space="preserve"> </w:t>
      </w:r>
    </w:p>
    <w:p w:rsidR="00C571F7" w:rsidRDefault="00884FC2">
      <w:pPr>
        <w:pStyle w:val="Heading1"/>
        <w:rPr>
          <w:rFonts w:eastAsiaTheme="minorHAnsi"/>
          <w:noProof/>
        </w:rPr>
      </w:pPr>
      <w:bookmarkStart w:id="15" w:name="_Toc433296159"/>
      <w:bookmarkStart w:id="16" w:name="_Toc469478094"/>
      <w:r>
        <w:rPr>
          <w:rFonts w:eastAsiaTheme="minorHAnsi"/>
          <w:noProof/>
        </w:rPr>
        <w:t>Protecting, conserving and enhancing natural capital</w:t>
      </w:r>
      <w:bookmarkStart w:id="17" w:name="_Toc432413878"/>
      <w:bookmarkEnd w:id="15"/>
      <w:bookmarkEnd w:id="16"/>
      <w:bookmarkEnd w:id="17"/>
    </w:p>
    <w:p w:rsidR="00C571F7" w:rsidRDefault="00C571F7">
      <w:pPr>
        <w:widowControl w:val="0"/>
        <w:spacing w:after="120" w:line="240" w:lineRule="auto"/>
        <w:jc w:val="both"/>
        <w:rPr>
          <w:rFonts w:cs="Times New Roman"/>
          <w:noProof/>
          <w:sz w:val="20"/>
        </w:rPr>
        <w:sectPr w:rsidR="00C571F7">
          <w:headerReference w:type="even" r:id="rId64"/>
          <w:headerReference w:type="default" r:id="rId65"/>
          <w:footerReference w:type="even" r:id="rId66"/>
          <w:footerReference w:type="default" r:id="rId67"/>
          <w:headerReference w:type="first" r:id="rId68"/>
          <w:footerReference w:type="first" r:id="rId69"/>
          <w:type w:val="continuous"/>
          <w:pgSz w:w="11906" w:h="16838"/>
          <w:pgMar w:top="1440" w:right="1080" w:bottom="1440" w:left="1080" w:header="708" w:footer="708" w:gutter="0"/>
          <w:cols w:space="566"/>
          <w:docGrid w:linePitch="360"/>
        </w:sectPr>
      </w:pPr>
    </w:p>
    <w:p w:rsidR="00C571F7" w:rsidRDefault="00884FC2">
      <w:pPr>
        <w:widowControl w:val="0"/>
        <w:spacing w:after="120" w:line="240" w:lineRule="auto"/>
        <w:outlineLvl w:val="1"/>
        <w:rPr>
          <w:rFonts w:cs="Times New Roman"/>
          <w:b/>
          <w:noProof/>
          <w:color w:val="1F497D" w:themeColor="text2"/>
          <w:sz w:val="24"/>
          <w:lang w:eastAsia="en-GB"/>
        </w:rPr>
      </w:pPr>
      <w:bookmarkStart w:id="18" w:name="_Toc454460677"/>
      <w:bookmarkStart w:id="19" w:name="_Toc469478095"/>
      <w:r>
        <w:rPr>
          <w:rFonts w:cs="Times New Roman"/>
          <w:b/>
          <w:noProof/>
          <w:color w:val="1F497D" w:themeColor="text2"/>
          <w:sz w:val="24"/>
          <w:lang w:eastAsia="en-GB"/>
        </w:rPr>
        <w:t>Nature and Biodiversity</w:t>
      </w:r>
      <w:bookmarkEnd w:id="18"/>
      <w:bookmarkEnd w:id="19"/>
      <w:r>
        <w:rPr>
          <w:rFonts w:cs="Times New Roman"/>
          <w:b/>
          <w:noProof/>
          <w:color w:val="1F497D" w:themeColor="text2"/>
          <w:sz w:val="24"/>
          <w:lang w:eastAsia="en-GB"/>
        </w:rPr>
        <w:t xml:space="preserve"> </w:t>
      </w:r>
    </w:p>
    <w:p w:rsidR="00C571F7" w:rsidRDefault="00884FC2">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C571F7" w:rsidRDefault="00884FC2">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C571F7" w:rsidRDefault="00884FC2">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w:t>
      </w:r>
      <w:r>
        <w:rPr>
          <w:rFonts w:cs="Times New Roman"/>
          <w:bCs/>
          <w:noProof/>
          <w:sz w:val="20"/>
          <w:lang w:val="en"/>
        </w:rPr>
        <w:t>rope's most valuable and threatened species and habitats</w:t>
      </w:r>
      <w:r>
        <w:rPr>
          <w:rFonts w:cs="Times New Roman"/>
          <w:bCs/>
          <w:noProof/>
          <w:sz w:val="20"/>
          <w:szCs w:val="20"/>
          <w:lang w:val="en"/>
        </w:rPr>
        <w:t xml:space="preserve"> and the ecosystems they underpin.</w:t>
      </w:r>
    </w:p>
    <w:p w:rsidR="00C571F7" w:rsidRDefault="00884FC2">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w:t>
      </w:r>
      <w:r>
        <w:rPr>
          <w:rFonts w:cs="Times New Roman"/>
          <w:noProof/>
          <w:sz w:val="20"/>
          <w:lang w:val="en"/>
        </w:rPr>
        <w:t xml:space="preserve">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4"/>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C571F7" w:rsidRDefault="00884FC2">
      <w:pPr>
        <w:widowControl w:val="0"/>
        <w:spacing w:after="120" w:line="240" w:lineRule="auto"/>
        <w:jc w:val="both"/>
        <w:rPr>
          <w:rFonts w:cs="Times New Roman"/>
          <w:noProof/>
          <w:sz w:val="20"/>
        </w:rPr>
      </w:pPr>
      <w:r>
        <w:rPr>
          <w:rFonts w:cs="Times New Roman"/>
          <w:noProof/>
          <w:sz w:val="20"/>
        </w:rPr>
        <w:t>By early 2016, 29.57% of the national land area of Slovakia is covered by Natura 2000 (EU average 18.1 %), with Birds Directive SPAs covering 26.83 % (EU averag</w:t>
      </w:r>
      <w:r>
        <w:rPr>
          <w:rFonts w:cs="Times New Roman"/>
          <w:noProof/>
          <w:sz w:val="20"/>
        </w:rPr>
        <w:t>e 12.3%) and Habitats Directive SCIs covering 11.95 % (EU average 13.8 %). There are 514 Natura 2000 sites in Slovakia - 41 SPAs and 473 SCIs.</w:t>
      </w:r>
    </w:p>
    <w:p w:rsidR="00C571F7" w:rsidRDefault="00884FC2">
      <w:pPr>
        <w:widowControl w:val="0"/>
        <w:spacing w:after="120" w:line="240" w:lineRule="auto"/>
        <w:jc w:val="both"/>
        <w:rPr>
          <w:rFonts w:cs="Times New Roman"/>
          <w:noProof/>
          <w:sz w:val="20"/>
        </w:rPr>
      </w:pPr>
      <w:r>
        <w:rPr>
          <w:rFonts w:cs="Times New Roman"/>
          <w:noProof/>
          <w:sz w:val="20"/>
        </w:rPr>
        <w:t>Natura 2000 is considered integrated into the national system of protected areas, which provides for conservation</w:t>
      </w:r>
      <w:r>
        <w:rPr>
          <w:rFonts w:cs="Times New Roman"/>
          <w:noProof/>
          <w:sz w:val="20"/>
        </w:rPr>
        <w:t xml:space="preserve"> measures for Natura 2000 sites because of a high overlap between Natura 2000 and nationally protected areas. The same Act on Nature and Landscape Protection, governs both networks (Act 543/2002 Coll as amended). </w:t>
      </w:r>
    </w:p>
    <w:p w:rsidR="00C571F7" w:rsidRDefault="00884FC2">
      <w:pPr>
        <w:widowControl w:val="0"/>
        <w:spacing w:after="120" w:line="240" w:lineRule="auto"/>
        <w:jc w:val="both"/>
        <w:rPr>
          <w:rFonts w:cs="Times New Roman"/>
          <w:noProof/>
          <w:sz w:val="20"/>
        </w:rPr>
      </w:pPr>
      <w:r>
        <w:rPr>
          <w:rFonts w:cs="Times New Roman"/>
          <w:noProof/>
          <w:sz w:val="20"/>
        </w:rPr>
        <w:t>While the designation of the SPAs was comp</w:t>
      </w:r>
      <w:r>
        <w:rPr>
          <w:rFonts w:cs="Times New Roman"/>
          <w:noProof/>
          <w:sz w:val="20"/>
        </w:rPr>
        <w:t>leted, the SCI network is still incomplete</w:t>
      </w:r>
      <w:r>
        <w:rPr>
          <w:rFonts w:cs="Times New Roman"/>
          <w:noProof/>
          <w:sz w:val="20"/>
          <w:szCs w:val="20"/>
          <w:vertAlign w:val="superscript"/>
          <w:lang w:val="en"/>
        </w:rPr>
        <w:footnoteReference w:id="25"/>
      </w:r>
      <w:r>
        <w:rPr>
          <w:rFonts w:cs="Times New Roman"/>
          <w:noProof/>
          <w:sz w:val="20"/>
        </w:rPr>
        <w:t xml:space="preserve"> as shown in Figure 5</w:t>
      </w:r>
      <w:r>
        <w:rPr>
          <w:rStyle w:val="FootnoteReference"/>
          <w:rFonts w:cs="Times New Roman"/>
          <w:noProof/>
          <w:sz w:val="20"/>
        </w:rPr>
        <w:footnoteReference w:id="26"/>
      </w:r>
      <w:r>
        <w:rPr>
          <w:rFonts w:cs="Times New Roman"/>
          <w:noProof/>
          <w:sz w:val="20"/>
        </w:rPr>
        <w:t>.</w:t>
      </w:r>
    </w:p>
    <w:tbl>
      <w:tblPr>
        <w:tblStyle w:val="TableGrid2"/>
        <w:tblpPr w:leftFromText="180" w:rightFromText="180" w:vertAnchor="text" w:horzAnchor="margin" w:tblpXSpec="right"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c>
          <w:tcPr>
            <w:tcW w:w="4909" w:type="dxa"/>
          </w:tcPr>
          <w:p w:rsidR="00C571F7" w:rsidRDefault="00884FC2">
            <w:pPr>
              <w:widowControl w:val="0"/>
              <w:spacing w:after="120"/>
              <w:jc w:val="both"/>
              <w:rPr>
                <w:rFonts w:cs="Times New Roman"/>
                <w:b/>
                <w:bCs/>
                <w:noProof/>
                <w:color w:val="1F497D" w:themeColor="text2"/>
                <w:sz w:val="20"/>
              </w:rPr>
            </w:pPr>
            <w:r>
              <w:rPr>
                <w:rFonts w:cs="Times New Roman"/>
                <w:b/>
                <w:bCs/>
                <w:noProof/>
                <w:color w:val="1F497D" w:themeColor="text2"/>
                <w:sz w:val="20"/>
              </w:rPr>
              <w:t>Figure 5: Sufficiency assessment of SCI network in Slovakia</w:t>
            </w:r>
            <w:r>
              <w:rPr>
                <w:rFonts w:cs="Times New Roman"/>
                <w:b/>
                <w:noProof/>
                <w:color w:val="1F497D" w:themeColor="text2"/>
                <w:sz w:val="20"/>
              </w:rPr>
              <w:t xml:space="preserve"> 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7"/>
            </w:r>
            <w:r>
              <w:rPr>
                <w:rFonts w:cs="Times New Roman"/>
                <w:b/>
                <w:bCs/>
                <w:noProof/>
                <w:color w:val="1F497D" w:themeColor="text2"/>
                <w:sz w:val="20"/>
              </w:rPr>
              <w:t xml:space="preserve"> </w:t>
            </w:r>
          </w:p>
        </w:tc>
      </w:tr>
      <w:tr w:rsidR="00C571F7">
        <w:tc>
          <w:tcPr>
            <w:tcW w:w="4909" w:type="dxa"/>
          </w:tcPr>
          <w:p w:rsidR="00C571F7" w:rsidRDefault="00884FC2">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61312" behindDoc="0" locked="0" layoutInCell="1" allowOverlap="1" wp14:anchorId="7C20FD0E" wp14:editId="1898FA46">
                  <wp:simplePos x="3895725" y="2867025"/>
                  <wp:positionH relativeFrom="margin">
                    <wp:align>center</wp:align>
                  </wp:positionH>
                  <wp:positionV relativeFrom="margin">
                    <wp:align>center</wp:align>
                  </wp:positionV>
                  <wp:extent cx="2628900" cy="2732405"/>
                  <wp:effectExtent l="0" t="0" r="0" b="0"/>
                  <wp:wrapSquare wrapText="bothSides"/>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8900" cy="2732405"/>
                          </a:xfrm>
                          <a:prstGeom prst="rect">
                            <a:avLst/>
                          </a:prstGeom>
                          <a:noFill/>
                        </pic:spPr>
                      </pic:pic>
                    </a:graphicData>
                  </a:graphic>
                </wp:anchor>
              </w:drawing>
            </w:r>
            <w:r>
              <w:rPr>
                <w:rFonts w:cs="Times New Roman"/>
                <w:noProof/>
                <w:sz w:val="20"/>
                <w:lang w:eastAsia="en-GB"/>
              </w:rPr>
              <w:drawing>
                <wp:anchor distT="0" distB="0" distL="114300" distR="114300" simplePos="0" relativeHeight="251660288" behindDoc="0" locked="0" layoutInCell="1" allowOverlap="1" wp14:anchorId="3FC61065" wp14:editId="2C6FB8AD">
                  <wp:simplePos x="3895725" y="2867025"/>
                  <wp:positionH relativeFrom="margin">
                    <wp:align>center</wp:align>
                  </wp:positionH>
                  <wp:positionV relativeFrom="margin">
                    <wp:align>center</wp:align>
                  </wp:positionV>
                  <wp:extent cx="2628900" cy="273240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8900" cy="2732405"/>
                          </a:xfrm>
                          <a:prstGeom prst="rect">
                            <a:avLst/>
                          </a:prstGeom>
                          <a:noFill/>
                        </pic:spPr>
                      </pic:pic>
                    </a:graphicData>
                  </a:graphic>
                </wp:anchor>
              </w:drawing>
            </w:r>
            <w:r>
              <w:rPr>
                <w:rFonts w:cs="Times New Roman"/>
                <w:noProof/>
                <w:sz w:val="20"/>
                <w:lang w:eastAsia="en-GB"/>
              </w:rPr>
              <w:drawing>
                <wp:anchor distT="0" distB="0" distL="114300" distR="114300" simplePos="0" relativeHeight="251659264" behindDoc="0" locked="0" layoutInCell="1" allowOverlap="1" wp14:anchorId="550C9159" wp14:editId="5E30EEA1">
                  <wp:simplePos x="3895725" y="2867025"/>
                  <wp:positionH relativeFrom="margin">
                    <wp:align>center</wp:align>
                  </wp:positionH>
                  <wp:positionV relativeFrom="margin">
                    <wp:align>center</wp:align>
                  </wp:positionV>
                  <wp:extent cx="2628900" cy="273240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8900" cy="2732405"/>
                          </a:xfrm>
                          <a:prstGeom prst="rect">
                            <a:avLst/>
                          </a:prstGeom>
                          <a:noFill/>
                        </pic:spPr>
                      </pic:pic>
                    </a:graphicData>
                  </a:graphic>
                </wp:anchor>
              </w:drawing>
            </w:r>
          </w:p>
        </w:tc>
      </w:tr>
    </w:tbl>
    <w:p w:rsidR="00C571F7" w:rsidRDefault="00884FC2">
      <w:pPr>
        <w:widowControl w:val="0"/>
        <w:spacing w:after="120" w:line="240" w:lineRule="auto"/>
        <w:jc w:val="both"/>
        <w:rPr>
          <w:rFonts w:cs="Times New Roman"/>
          <w:noProof/>
          <w:sz w:val="20"/>
        </w:rPr>
      </w:pPr>
      <w:r>
        <w:rPr>
          <w:rFonts w:cs="Times New Roman"/>
          <w:noProof/>
          <w:sz w:val="20"/>
        </w:rPr>
        <w:t xml:space="preserve">By February 2016, Slovakia had established 209 Special Areas of Conservation (SAC). </w:t>
      </w:r>
    </w:p>
    <w:p w:rsidR="00C571F7" w:rsidRDefault="00884FC2">
      <w:pPr>
        <w:widowControl w:val="0"/>
        <w:spacing w:after="120" w:line="240" w:lineRule="auto"/>
        <w:jc w:val="both"/>
        <w:rPr>
          <w:rFonts w:cs="Times New Roman"/>
          <w:noProof/>
          <w:sz w:val="20"/>
        </w:rPr>
      </w:pPr>
      <w:r>
        <w:rPr>
          <w:rFonts w:cs="Times New Roman"/>
          <w:noProof/>
          <w:sz w:val="20"/>
        </w:rPr>
        <w:t>Complaints usually address conflicts between nature protection and socio-economic developments, in particular constructions of motorways, new water reservoirs and hydropow</w:t>
      </w:r>
      <w:r>
        <w:rPr>
          <w:rFonts w:cs="Times New Roman"/>
          <w:noProof/>
          <w:sz w:val="20"/>
        </w:rPr>
        <w:t xml:space="preserve">er plants conflicting with Natura 2000. A significant part of complaints raises alleged mismanagement or lack of management of Natura 2000 sites or specific  protected features (species or habitats), in particular clearcutting of forest habitats in Natura </w:t>
      </w:r>
      <w:r>
        <w:rPr>
          <w:rFonts w:cs="Times New Roman"/>
          <w:noProof/>
          <w:sz w:val="20"/>
        </w:rPr>
        <w:t>2000, hunting of wolves</w:t>
      </w:r>
      <w:r>
        <w:rPr>
          <w:rFonts w:cs="Times New Roman"/>
          <w:noProof/>
          <w:sz w:val="20"/>
          <w:vertAlign w:val="superscript"/>
        </w:rPr>
        <w:footnoteReference w:id="28"/>
      </w:r>
      <w:r>
        <w:rPr>
          <w:rFonts w:cs="Times New Roman"/>
          <w:noProof/>
          <w:sz w:val="20"/>
        </w:rPr>
        <w:t xml:space="preserve">, lack of protection of particular bird species, etc.    </w:t>
      </w:r>
    </w:p>
    <w:p w:rsidR="00C571F7" w:rsidRDefault="00884FC2">
      <w:pPr>
        <w:widowControl w:val="0"/>
        <w:spacing w:after="120" w:line="240" w:lineRule="auto"/>
        <w:jc w:val="both"/>
        <w:rPr>
          <w:rFonts w:cs="Times New Roman"/>
          <w:noProof/>
          <w:sz w:val="20"/>
        </w:rPr>
      </w:pPr>
      <w:r>
        <w:rPr>
          <w:rFonts w:cs="Times New Roman"/>
          <w:noProof/>
          <w:sz w:val="20"/>
        </w:rPr>
        <w:t>Slovak Natura 2000 sites are managed by land owners and users, scientific/methodical support and in some sites also management is provided by the Slovak State Nature Conserva</w:t>
      </w:r>
      <w:r>
        <w:rPr>
          <w:rFonts w:cs="Times New Roman"/>
          <w:noProof/>
          <w:sz w:val="20"/>
        </w:rPr>
        <w:t>ncy. The Slovak Ministry of the Environment bears the overall responsibility for Natura 2000 in Slovakia. In addition to the sites designated by the state administration bodies there are also 2 private protected areas (designated by the Wolf Forest Conserv</w:t>
      </w:r>
      <w:r>
        <w:rPr>
          <w:rFonts w:cs="Times New Roman"/>
          <w:noProof/>
          <w:sz w:val="20"/>
        </w:rPr>
        <w:t xml:space="preserve">ation Association) and 2 municipal protected areas </w:t>
      </w:r>
    </w:p>
    <w:tbl>
      <w:tblPr>
        <w:tblStyle w:val="TableGrid2"/>
        <w:tblW w:w="4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C571F7">
        <w:trPr>
          <w:trHeight w:val="467"/>
        </w:trPr>
        <w:tc>
          <w:tcPr>
            <w:tcW w:w="4926" w:type="dxa"/>
          </w:tcPr>
          <w:p w:rsidR="00C571F7" w:rsidRDefault="00884FC2">
            <w:pPr>
              <w:widowControl w:val="0"/>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Slovakia in 2007/2013 (%)</w:t>
            </w:r>
            <w:r>
              <w:rPr>
                <w:rFonts w:cs="Times New Roman"/>
                <w:b/>
                <w:bCs/>
                <w:noProof/>
                <w:color w:val="1F497D" w:themeColor="text2"/>
                <w:sz w:val="20"/>
                <w:vertAlign w:val="superscript"/>
              </w:rPr>
              <w:footnoteReference w:id="29"/>
            </w:r>
          </w:p>
        </w:tc>
      </w:tr>
      <w:tr w:rsidR="00C571F7">
        <w:trPr>
          <w:trHeight w:val="3763"/>
        </w:trPr>
        <w:tc>
          <w:tcPr>
            <w:tcW w:w="4926" w:type="dxa"/>
          </w:tcPr>
          <w:p w:rsidR="00C571F7" w:rsidRDefault="00884FC2">
            <w:pPr>
              <w:widowControl w:val="0"/>
              <w:spacing w:after="120"/>
              <w:jc w:val="both"/>
              <w:rPr>
                <w:rFonts w:cs="Times New Roman"/>
                <w:noProof/>
                <w:sz w:val="20"/>
                <w:szCs w:val="20"/>
              </w:rPr>
            </w:pPr>
            <w:r>
              <w:rPr>
                <w:rFonts w:cs="Times New Roman"/>
                <w:noProof/>
                <w:sz w:val="20"/>
                <w:szCs w:val="20"/>
                <w:lang w:eastAsia="en-GB"/>
              </w:rPr>
              <w:drawing>
                <wp:anchor distT="0" distB="0" distL="114300" distR="114300" simplePos="0" relativeHeight="251662336" behindDoc="0" locked="0" layoutInCell="1" allowOverlap="1" wp14:anchorId="163F7487" wp14:editId="1B6610F3">
                  <wp:simplePos x="690880" y="2466340"/>
                  <wp:positionH relativeFrom="margin">
                    <wp:align>center</wp:align>
                  </wp:positionH>
                  <wp:positionV relativeFrom="margin">
                    <wp:align>center</wp:align>
                  </wp:positionV>
                  <wp:extent cx="2710815" cy="3024505"/>
                  <wp:effectExtent l="0" t="0" r="0" b="444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0815" cy="302450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C571F7" w:rsidRDefault="00884FC2">
      <w:pPr>
        <w:widowControl w:val="0"/>
        <w:spacing w:after="120" w:line="240" w:lineRule="auto"/>
        <w:jc w:val="both"/>
        <w:rPr>
          <w:rFonts w:cs="Times New Roman"/>
          <w:noProof/>
          <w:sz w:val="20"/>
        </w:rPr>
      </w:pPr>
      <w:r>
        <w:rPr>
          <w:rFonts w:eastAsia="Calibri" w:cs="Times New Roman"/>
          <w:noProof/>
          <w:sz w:val="20"/>
        </w:rPr>
        <w:t>According to the latest report on the conservation status of habitats and species covered by the Habitats Directive</w:t>
      </w:r>
      <w:r>
        <w:rPr>
          <w:rFonts w:eastAsia="Calibri" w:cs="Times New Roman"/>
          <w:noProof/>
          <w:sz w:val="20"/>
          <w:szCs w:val="20"/>
          <w:vertAlign w:val="superscript"/>
        </w:rPr>
        <w:footnoteReference w:id="30"/>
      </w:r>
      <w:r>
        <w:rPr>
          <w:rFonts w:eastAsia="Calibri" w:cs="Times New Roman"/>
          <w:noProof/>
          <w:sz w:val="20"/>
        </w:rPr>
        <w:t xml:space="preserve">, </w:t>
      </w:r>
      <w:r>
        <w:rPr>
          <w:rFonts w:cs="Times New Roman"/>
          <w:noProof/>
          <w:sz w:val="20"/>
          <w:szCs w:val="20"/>
        </w:rPr>
        <w:t xml:space="preserve">38.6 % of the habitats' biogeographic assessments were favourable in 2013 </w:t>
      </w:r>
      <w:r>
        <w:rPr>
          <w:rFonts w:cs="Times New Roman"/>
          <w:noProof/>
          <w:sz w:val="20"/>
        </w:rPr>
        <w:t>(EU27: 16 %).</w:t>
      </w:r>
      <w:r>
        <w:rPr>
          <w:rFonts w:cs="Times New Roman"/>
          <w:noProof/>
          <w:sz w:val="20"/>
          <w:szCs w:val="20"/>
        </w:rPr>
        <w:t xml:space="preserve"> </w:t>
      </w:r>
      <w:r>
        <w:rPr>
          <w:rFonts w:cs="Times New Roman"/>
          <w:noProof/>
          <w:sz w:val="20"/>
        </w:rPr>
        <w:t>Furthermore, 44 % are considered to be unfavourable–inadequate</w:t>
      </w:r>
      <w:r>
        <w:rPr>
          <w:rFonts w:cs="Times New Roman"/>
          <w:noProof/>
          <w:sz w:val="20"/>
          <w:szCs w:val="20"/>
          <w:vertAlign w:val="superscript"/>
        </w:rPr>
        <w:footnoteReference w:id="31"/>
      </w:r>
      <w:r>
        <w:rPr>
          <w:rFonts w:cs="Times New Roman"/>
          <w:noProof/>
          <w:sz w:val="20"/>
        </w:rPr>
        <w:t xml:space="preserve"> (EU27: 47 %) and 12 % are unfavourable – bad (EU27: 30 %). </w:t>
      </w:r>
      <w:r>
        <w:rPr>
          <w:rFonts w:cs="Times New Roman"/>
          <w:noProof/>
          <w:sz w:val="20"/>
          <w:szCs w:val="20"/>
        </w:rPr>
        <w:t>As for the species, 20 % of the assessments</w:t>
      </w:r>
      <w:r>
        <w:rPr>
          <w:rFonts w:cs="Times New Roman"/>
          <w:noProof/>
          <w:sz w:val="20"/>
          <w:szCs w:val="20"/>
        </w:rPr>
        <w:t xml:space="preserve"> were favourable in 2013 (EU27: 23 %) </w:t>
      </w:r>
      <w:r>
        <w:rPr>
          <w:rFonts w:cs="Times New Roman"/>
          <w:noProof/>
          <w:sz w:val="20"/>
        </w:rPr>
        <w:t>41 % at unfavourable-inadequate (EU27: 42 %) and 20 % unfavourable-bad status (EU27: 18 %). This is depicted in Figure 6</w:t>
      </w:r>
      <w:r>
        <w:rPr>
          <w:rFonts w:cs="Times New Roman"/>
          <w:noProof/>
          <w:sz w:val="20"/>
          <w:vertAlign w:val="superscript"/>
        </w:rPr>
        <w:footnoteReference w:id="32"/>
      </w:r>
      <w:r>
        <w:rPr>
          <w:rFonts w:cs="Times New Roman"/>
          <w:noProof/>
          <w:sz w:val="20"/>
        </w:rPr>
        <w:t xml:space="preserve">. </w:t>
      </w:r>
    </w:p>
    <w:p w:rsidR="00C571F7" w:rsidRDefault="00884FC2">
      <w:pPr>
        <w:widowControl w:val="0"/>
        <w:spacing w:after="120" w:line="240" w:lineRule="auto"/>
        <w:jc w:val="both"/>
        <w:rPr>
          <w:rFonts w:cs="Times New Roman"/>
          <w:noProof/>
          <w:sz w:val="20"/>
        </w:rPr>
      </w:pPr>
      <w:r>
        <w:rPr>
          <w:rFonts w:cs="Times New Roman"/>
          <w:noProof/>
          <w:sz w:val="20"/>
          <w:szCs w:val="20"/>
        </w:rPr>
        <w:t xml:space="preserve">Only 5 % and 1.7 % of the unfavourable assessments respectively for species and habitats were </w:t>
      </w:r>
      <w:r>
        <w:rPr>
          <w:rFonts w:cs="Times New Roman"/>
          <w:noProof/>
          <w:sz w:val="20"/>
          <w:szCs w:val="20"/>
        </w:rPr>
        <w:t>showing a positive trend in 2013.</w:t>
      </w:r>
    </w:p>
    <w:p w:rsidR="00C571F7" w:rsidRDefault="00884FC2">
      <w:pPr>
        <w:widowControl w:val="0"/>
        <w:spacing w:after="120" w:line="240" w:lineRule="auto"/>
        <w:jc w:val="both"/>
        <w:rPr>
          <w:rFonts w:cs="Times New Roman"/>
          <w:noProof/>
          <w:sz w:val="20"/>
        </w:rPr>
      </w:pPr>
      <w:r>
        <w:rPr>
          <w:rFonts w:cs="Times New Roman"/>
          <w:noProof/>
          <w:sz w:val="20"/>
        </w:rPr>
        <w:t xml:space="preserve">A comparison of the results of Article 17 reports shows an overall improvement as concerns knowledge of data and a considerable improvement as concerns the conservation status of habitats. While in the period of 2007-2012 </w:t>
      </w:r>
      <w:r>
        <w:rPr>
          <w:rFonts w:cs="Times New Roman"/>
          <w:noProof/>
          <w:sz w:val="20"/>
        </w:rPr>
        <w:t>the conservation status of 6 habitat types and 60 species was found unknown in 2001-2006 it was 11 habitat types and 103 species. According to the official report submitted under Article 12 of the Birds Directive</w:t>
      </w:r>
      <w:r>
        <w:rPr>
          <w:rFonts w:cs="Times New Roman"/>
          <w:noProof/>
          <w:sz w:val="20"/>
          <w:vertAlign w:val="superscript"/>
        </w:rPr>
        <w:footnoteReference w:id="33"/>
      </w:r>
      <w:r>
        <w:rPr>
          <w:rFonts w:cs="Times New Roman"/>
          <w:noProof/>
          <w:sz w:val="20"/>
        </w:rPr>
        <w:t>,</w:t>
      </w:r>
      <w:r>
        <w:rPr>
          <w:rFonts w:cs="Times New Roman"/>
          <w:b/>
          <w:noProof/>
          <w:sz w:val="20"/>
        </w:rPr>
        <w:t xml:space="preserve"> </w:t>
      </w:r>
      <w:r>
        <w:rPr>
          <w:rFonts w:cs="Times New Roman"/>
          <w:noProof/>
          <w:sz w:val="20"/>
        </w:rPr>
        <w:t>76 % of the breeding species showed short</w:t>
      </w:r>
      <w:r>
        <w:rPr>
          <w:rFonts w:cs="Times New Roman"/>
          <w:noProof/>
          <w:sz w:val="20"/>
        </w:rPr>
        <w:t>-term increasing or stable population trends (for wintering species this figure was 69 %) as shown in Figure 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c>
          <w:tcPr>
            <w:tcW w:w="4909" w:type="dxa"/>
          </w:tcPr>
          <w:p w:rsidR="00C571F7" w:rsidRDefault="00884FC2">
            <w:pPr>
              <w:widowControl w:val="0"/>
              <w:spacing w:after="120"/>
              <w:jc w:val="both"/>
              <w:rPr>
                <w:rFonts w:cs="Times New Roman"/>
                <w:noProof/>
                <w:color w:val="1F497D" w:themeColor="text2"/>
                <w:sz w:val="20"/>
              </w:rPr>
            </w:pPr>
            <w:r>
              <w:rPr>
                <w:rFonts w:cs="Times New Roman"/>
                <w:b/>
                <w:bCs/>
                <w:noProof/>
                <w:color w:val="1F497D" w:themeColor="text2"/>
                <w:sz w:val="20"/>
              </w:rPr>
              <w:t>Figure 7: Short-term population trend of breeding and wintering bird species in Slovakia in 2012 (%)</w:t>
            </w:r>
            <w:r>
              <w:rPr>
                <w:rFonts w:cs="Times New Roman"/>
                <w:b/>
                <w:bCs/>
                <w:noProof/>
                <w:color w:val="1F497D" w:themeColor="text2"/>
                <w:sz w:val="20"/>
                <w:vertAlign w:val="superscript"/>
              </w:rPr>
              <w:footnoteReference w:id="34"/>
            </w:r>
          </w:p>
        </w:tc>
      </w:tr>
      <w:tr w:rsidR="00C571F7">
        <w:tc>
          <w:tcPr>
            <w:tcW w:w="4909" w:type="dxa"/>
          </w:tcPr>
          <w:p w:rsidR="00C571F7" w:rsidRDefault="00884FC2">
            <w:pPr>
              <w:widowControl w:val="0"/>
              <w:spacing w:after="120"/>
              <w:jc w:val="both"/>
              <w:rPr>
                <w:rFonts w:cs="Times New Roman"/>
                <w:noProof/>
                <w:sz w:val="20"/>
              </w:rPr>
            </w:pPr>
            <w:r>
              <w:rPr>
                <w:rFonts w:cs="Times New Roman"/>
                <w:noProof/>
                <w:sz w:val="20"/>
                <w:lang w:eastAsia="en-GB"/>
              </w:rPr>
              <w:drawing>
                <wp:inline distT="0" distB="0" distL="0" distR="0" wp14:anchorId="35A4ECB4" wp14:editId="13199899">
                  <wp:extent cx="3019647" cy="2167918"/>
                  <wp:effectExtent l="0" t="0" r="952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8225" cy="2166897"/>
                          </a:xfrm>
                          <a:prstGeom prst="rect">
                            <a:avLst/>
                          </a:prstGeom>
                          <a:noFill/>
                        </pic:spPr>
                      </pic:pic>
                    </a:graphicData>
                  </a:graphic>
                </wp:inline>
              </w:drawing>
            </w:r>
          </w:p>
        </w:tc>
      </w:tr>
    </w:tbl>
    <w:p w:rsidR="00C571F7" w:rsidRDefault="00884FC2">
      <w:pPr>
        <w:widowControl w:val="0"/>
        <w:spacing w:after="120" w:line="240" w:lineRule="auto"/>
        <w:jc w:val="both"/>
        <w:rPr>
          <w:rFonts w:cs="Times New Roman"/>
          <w:noProof/>
          <w:sz w:val="20"/>
        </w:rPr>
      </w:pPr>
      <w:r>
        <w:rPr>
          <w:rFonts w:cs="Times New Roman"/>
          <w:noProof/>
          <w:sz w:val="20"/>
        </w:rPr>
        <w:t xml:space="preserve">As regards the management of forest </w:t>
      </w:r>
      <w:r>
        <w:rPr>
          <w:rFonts w:cs="Times New Roman"/>
          <w:noProof/>
          <w:sz w:val="20"/>
        </w:rPr>
        <w:t>and support from EU funds, Slovak NRDP 2014-2020 includes the measure on prevention of risk of forest fires which according to the ECA finding were misused in the period 2007-2013. To overcome the problem, new delineation of areas at medium and high risk o</w:t>
      </w:r>
      <w:r>
        <w:rPr>
          <w:rFonts w:cs="Times New Roman"/>
          <w:noProof/>
          <w:sz w:val="20"/>
        </w:rPr>
        <w:t>f forest fires was proposed</w:t>
      </w:r>
      <w:r>
        <w:rPr>
          <w:rFonts w:cs="Times New Roman"/>
          <w:noProof/>
          <w:sz w:val="20"/>
          <w:vertAlign w:val="superscript"/>
        </w:rPr>
        <w:footnoteReference w:id="35"/>
      </w:r>
      <w:r>
        <w:rPr>
          <w:rFonts w:cs="Times New Roman"/>
          <w:noProof/>
          <w:sz w:val="20"/>
        </w:rPr>
        <w:t xml:space="preserve">, however without any robust methodology behind this. </w:t>
      </w:r>
    </w:p>
    <w:p w:rsidR="00C571F7" w:rsidRDefault="00884FC2">
      <w:pPr>
        <w:widowControl w:val="0"/>
        <w:spacing w:after="120" w:line="240" w:lineRule="auto"/>
        <w:jc w:val="both"/>
        <w:rPr>
          <w:rFonts w:cs="Times New Roman"/>
          <w:noProof/>
          <w:sz w:val="20"/>
        </w:rPr>
      </w:pPr>
      <w:r>
        <w:rPr>
          <w:rFonts w:cs="Times New Roman"/>
          <w:noProof/>
          <w:sz w:val="20"/>
        </w:rPr>
        <w:t>Almost 41 % of the total area of Slovakia is afforested (the EU average is 42 %); while around 48% of the forest overlaps with Natura2000. This generates contradictions betw</w:t>
      </w:r>
      <w:r>
        <w:rPr>
          <w:rFonts w:cs="Times New Roman"/>
          <w:noProof/>
          <w:sz w:val="20"/>
        </w:rPr>
        <w:t>een different approaches in the forest management which was identified as one of the three most important challenges for the environment in Slovakia</w:t>
      </w:r>
      <w:r>
        <w:rPr>
          <w:rStyle w:val="FootnoteReference"/>
          <w:rFonts w:cs="Times New Roman"/>
          <w:noProof/>
          <w:sz w:val="20"/>
        </w:rPr>
        <w:footnoteReference w:id="36"/>
      </w:r>
      <w:r>
        <w:rPr>
          <w:rFonts w:cs="Times New Roman"/>
          <w:noProof/>
          <w:sz w:val="20"/>
        </w:rPr>
        <w:t>. The intensity of the forest exploitation according to certain indicators was growing during the last deca</w:t>
      </w:r>
      <w:r>
        <w:rPr>
          <w:rFonts w:cs="Times New Roman"/>
          <w:noProof/>
          <w:sz w:val="20"/>
        </w:rPr>
        <w:t>de and the clear cutting is heavily used. The majority of the forest belongs to the state but some parts are privately owned and managed e.g. by NGOs. The management of the state forest follows the Forest Management Plans focusing on the production functio</w:t>
      </w:r>
      <w:r>
        <w:rPr>
          <w:rFonts w:cs="Times New Roman"/>
          <w:noProof/>
          <w:sz w:val="20"/>
        </w:rPr>
        <w:t>n of the forest. As regards the health of forest, though the trend has stabilised since the 90s, the weakened ecosystems stability over decades caused that forest ecosystems have suffered from strong storms (such as Ticha and Koprova valleys in High Tatras</w:t>
      </w:r>
      <w:r>
        <w:rPr>
          <w:rFonts w:cs="Times New Roman"/>
          <w:noProof/>
          <w:sz w:val="20"/>
        </w:rPr>
        <w:t xml:space="preserve"> in 2004). </w:t>
      </w:r>
    </w:p>
    <w:p w:rsidR="00C571F7" w:rsidRDefault="00884FC2">
      <w:pPr>
        <w:widowControl w:val="0"/>
        <w:spacing w:after="120" w:line="240" w:lineRule="auto"/>
        <w:jc w:val="both"/>
        <w:rPr>
          <w:rFonts w:cs="Times New Roman"/>
          <w:noProof/>
          <w:sz w:val="20"/>
        </w:rPr>
      </w:pPr>
      <w:r>
        <w:rPr>
          <w:rFonts w:cs="Times New Roman"/>
          <w:noProof/>
          <w:sz w:val="20"/>
        </w:rPr>
        <w:t>Thanks to this relatively high share of forests, Slovakia is promoting the use of biomass through EU funds as the contribution to the renewable policy objectives. However, the sustainable use of (woody) biomass is of a concern in certain region</w:t>
      </w:r>
      <w:r>
        <w:rPr>
          <w:rFonts w:cs="Times New Roman"/>
          <w:noProof/>
          <w:sz w:val="20"/>
        </w:rPr>
        <w:t>s of Slovakia due to the cutting and burning high quality wood for energy purposes.</w:t>
      </w:r>
      <w:r>
        <w:rPr>
          <w:rStyle w:val="FootnoteReference"/>
          <w:rFonts w:cs="Times New Roman"/>
          <w:noProof/>
          <w:sz w:val="20"/>
        </w:rPr>
        <w:footnoteReference w:id="37"/>
      </w:r>
      <w:r>
        <w:rPr>
          <w:rFonts w:cs="Times New Roman"/>
          <w:noProof/>
          <w:sz w:val="20"/>
        </w:rPr>
        <w:t xml:space="preserve"> Trends already shows that the forest stock and landscape features in the urban areas and around rivers and roads are being depleted. In order to prevent further deterioration, Slovakia was asked to elaborate an analysis for sustainable use of biomass sour</w:t>
      </w:r>
      <w:r>
        <w:rPr>
          <w:rFonts w:cs="Times New Roman"/>
          <w:noProof/>
          <w:sz w:val="20"/>
        </w:rPr>
        <w:t>ces in the context of EU funding</w:t>
      </w:r>
      <w:r>
        <w:rPr>
          <w:rFonts w:cs="Times New Roman"/>
          <w:noProof/>
          <w:sz w:val="20"/>
          <w:vertAlign w:val="superscript"/>
        </w:rPr>
        <w:footnoteReference w:id="38"/>
      </w:r>
      <w:r>
        <w:rPr>
          <w:rFonts w:cs="Times New Roman"/>
          <w:noProof/>
          <w:sz w:val="20"/>
        </w:rPr>
        <w:t>. Unlawful use of quality wood for the purpose of biomass combustion was also reported.</w:t>
      </w:r>
    </w:p>
    <w:p w:rsidR="00C571F7" w:rsidRDefault="00884FC2">
      <w:pPr>
        <w:widowControl w:val="0"/>
        <w:spacing w:after="120" w:line="240" w:lineRule="auto"/>
        <w:jc w:val="both"/>
        <w:rPr>
          <w:rFonts w:cstheme="minorHAnsi"/>
          <w:noProof/>
          <w:color w:val="1F497D" w:themeColor="text2"/>
          <w:szCs w:val="26"/>
        </w:rPr>
      </w:pPr>
      <w:r>
        <w:rPr>
          <w:rFonts w:cs="Times New Roman"/>
          <w:noProof/>
          <w:sz w:val="20"/>
          <w:lang w:eastAsia="en-GB"/>
        </w:rPr>
        <w:drawing>
          <wp:inline distT="0" distB="0" distL="0" distR="0" wp14:anchorId="57FFEBF0" wp14:editId="100B4589">
            <wp:extent cx="2980055" cy="1820580"/>
            <wp:effectExtent l="0" t="0" r="0" b="8255"/>
            <wp:docPr id="55" name="Picture 55" descr="C:\Users\schwemi\AppData\Local\Microsoft\Windows\Temporary Internet Files\Content.Word\iStock_9622627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wemi\AppData\Local\Microsoft\Windows\Temporary Internet Files\Content.Word\iStock_96226277_LARG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0055" cy="1820580"/>
                    </a:xfrm>
                    <a:prstGeom prst="rect">
                      <a:avLst/>
                    </a:prstGeom>
                    <a:noFill/>
                    <a:ln>
                      <a:noFill/>
                    </a:ln>
                  </pic:spPr>
                </pic:pic>
              </a:graphicData>
            </a:graphic>
          </wp:inline>
        </w:drawing>
      </w:r>
      <w:r>
        <w:rPr>
          <w:rFonts w:cstheme="minorHAnsi"/>
          <w:noProof/>
          <w:color w:val="1F497D" w:themeColor="text2"/>
          <w:szCs w:val="26"/>
        </w:rPr>
        <w:t>Suggested action</w:t>
      </w:r>
    </w:p>
    <w:p w:rsidR="00C571F7" w:rsidRDefault="00884FC2">
      <w:pPr>
        <w:pStyle w:val="NoSpacing"/>
        <w:rPr>
          <w:noProof/>
        </w:rPr>
      </w:pPr>
      <w:r>
        <w:rPr>
          <w:noProof/>
        </w:rPr>
        <w:t>Complete the Natura 2000 designation process and put in place clearly defined conservation objectives and the necessa</w:t>
      </w:r>
      <w:r>
        <w:rPr>
          <w:noProof/>
        </w:rPr>
        <w:t>ry conservation measures for the sites and provide adequate resources for their implementation in order to maintain/restore species and habitats of community interest to a favourable conservation status across their natural range.</w:t>
      </w:r>
    </w:p>
    <w:p w:rsidR="00C571F7" w:rsidRDefault="00884FC2">
      <w:pPr>
        <w:pStyle w:val="NoSpacing"/>
        <w:rPr>
          <w:noProof/>
        </w:rPr>
      </w:pPr>
      <w:r>
        <w:rPr>
          <w:noProof/>
        </w:rPr>
        <w:t>Strengthen capacity build</w:t>
      </w:r>
      <w:r>
        <w:rPr>
          <w:noProof/>
        </w:rPr>
        <w:t>ing in order to improve management of Natura 2000 sites and species protection regimes and to ensure full integration with other policies and their associated funds. Strengthen communication with stakeholders.</w:t>
      </w:r>
    </w:p>
    <w:p w:rsidR="00C571F7" w:rsidRDefault="00884FC2">
      <w:pPr>
        <w:pStyle w:val="NoSpacing"/>
        <w:rPr>
          <w:noProof/>
        </w:rPr>
      </w:pPr>
      <w:r>
        <w:rPr>
          <w:noProof/>
        </w:rPr>
        <w:t>Ensure the sustainable forest management and p</w:t>
      </w:r>
      <w:r>
        <w:rPr>
          <w:noProof/>
        </w:rPr>
        <w:t>romote efficient use of biomass.</w:t>
      </w:r>
    </w:p>
    <w:p w:rsidR="00C571F7" w:rsidRDefault="00884FC2">
      <w:pPr>
        <w:widowControl w:val="0"/>
        <w:spacing w:before="240" w:after="120" w:line="240" w:lineRule="auto"/>
        <w:outlineLvl w:val="1"/>
        <w:rPr>
          <w:rFonts w:cs="Times New Roman"/>
          <w:b/>
          <w:noProof/>
          <w:color w:val="1F497D" w:themeColor="text2"/>
        </w:rPr>
      </w:pPr>
      <w:bookmarkStart w:id="20" w:name="_Toc469478096"/>
      <w:r>
        <w:rPr>
          <w:rFonts w:cs="Times New Roman"/>
          <w:b/>
          <w:noProof/>
          <w:color w:val="1F497D" w:themeColor="text2"/>
        </w:rPr>
        <w:t>Estimating Natural Capital</w:t>
      </w:r>
      <w:bookmarkEnd w:id="20"/>
      <w:r>
        <w:rPr>
          <w:rFonts w:cs="Times New Roman"/>
          <w:b/>
          <w:noProof/>
          <w:color w:val="1F497D" w:themeColor="text2"/>
        </w:rPr>
        <w:t xml:space="preserve"> </w:t>
      </w:r>
    </w:p>
    <w:p w:rsidR="00C571F7" w:rsidRDefault="00884FC2">
      <w:pPr>
        <w:widowControl w:val="0"/>
        <w:spacing w:after="120" w:line="240" w:lineRule="auto"/>
        <w:jc w:val="both"/>
        <w:rPr>
          <w:rFonts w:cs="Arial"/>
          <w:noProof/>
          <w:sz w:val="20"/>
        </w:rPr>
      </w:pPr>
      <w:r>
        <w:rPr>
          <w:rFonts w:cs="Arial"/>
          <w:noProof/>
          <w:sz w:val="20"/>
        </w:rPr>
        <w:t xml:space="preserve">The EU Biodiversity Strategy to 2020 calls on the Member States to map and asses the state of ecosystems and their services in their national territory by 2014, assess the economic value of such </w:t>
      </w:r>
      <w:r>
        <w:rPr>
          <w:rFonts w:cs="Arial"/>
          <w:noProof/>
          <w:sz w:val="20"/>
        </w:rPr>
        <w:t>services, and promote the integration of these values into accounting and reporting systems at EU and national level by 2020.</w:t>
      </w:r>
    </w:p>
    <w:p w:rsidR="00C571F7" w:rsidRDefault="00884FC2">
      <w:pPr>
        <w:widowControl w:val="0"/>
        <w:spacing w:after="120" w:line="240" w:lineRule="auto"/>
        <w:jc w:val="both"/>
        <w:rPr>
          <w:rFonts w:cs="Times New Roman"/>
          <w:noProof/>
          <w:sz w:val="20"/>
        </w:rPr>
      </w:pPr>
      <w:r>
        <w:rPr>
          <w:rFonts w:eastAsia="Times New Roman" w:cs="Arial"/>
          <w:noProof/>
          <w:sz w:val="20"/>
          <w:szCs w:val="20"/>
          <w:lang w:eastAsia="en-GB"/>
        </w:rPr>
        <w:t>A</w:t>
      </w:r>
      <w:r>
        <w:rPr>
          <w:rFonts w:eastAsia="Times New Roman" w:cs="Arial"/>
          <w:noProof/>
          <w:sz w:val="20"/>
          <w:szCs w:val="20"/>
          <w:lang w:val="en" w:eastAsia="en-GB"/>
        </w:rPr>
        <w:t>ctivities are ongoing on mapping and assessment of ecosystems and their services</w:t>
      </w:r>
      <w:r>
        <w:rPr>
          <w:rFonts w:eastAsia="Times New Roman" w:cs="Arial"/>
          <w:noProof/>
          <w:sz w:val="20"/>
          <w:szCs w:val="20"/>
          <w:vertAlign w:val="superscript"/>
          <w:lang w:val="en" w:eastAsia="en-GB"/>
        </w:rPr>
        <w:footnoteReference w:id="39"/>
      </w:r>
      <w:r>
        <w:rPr>
          <w:rFonts w:eastAsia="Times New Roman" w:cs="Arial"/>
          <w:noProof/>
          <w:sz w:val="20"/>
          <w:szCs w:val="20"/>
          <w:lang w:val="en" w:eastAsia="en-GB"/>
        </w:rPr>
        <w:t xml:space="preserve"> at local/regional levels (a</w:t>
      </w:r>
      <w:r>
        <w:rPr>
          <w:rFonts w:cs="Times New Roman"/>
          <w:noProof/>
          <w:sz w:val="20"/>
        </w:rPr>
        <w:t>ssessment of ecosyst</w:t>
      </w:r>
      <w:r>
        <w:rPr>
          <w:rFonts w:cs="Times New Roman"/>
          <w:noProof/>
          <w:sz w:val="20"/>
        </w:rPr>
        <w:t xml:space="preserve">em services for selected ecosystems have been performed in four national parks – Slovenský raj, Tatra, Veľká Fatra and Muránska planina). </w:t>
      </w:r>
      <w:r>
        <w:rPr>
          <w:rFonts w:eastAsia="Times New Roman" w:cs="Arial"/>
          <w:noProof/>
          <w:sz w:val="20"/>
          <w:szCs w:val="20"/>
          <w:lang w:val="en" w:eastAsia="en-GB"/>
        </w:rPr>
        <w:t xml:space="preserve"> </w:t>
      </w:r>
      <w:r>
        <w:rPr>
          <w:rFonts w:cs="Times New Roman"/>
          <w:noProof/>
          <w:sz w:val="20"/>
        </w:rPr>
        <w:t>According to the Action Plan for the implementation of the updated National Biodiversity Strategy to 2020, Slovakia i</w:t>
      </w:r>
      <w:r>
        <w:rPr>
          <w:rFonts w:cs="Times New Roman"/>
          <w:noProof/>
          <w:sz w:val="20"/>
        </w:rPr>
        <w:t xml:space="preserve">s to develop a methodology for the assessment of ecosystem services and implement it in model areas in 2016, with a view to a national assessment in 2018 and a national report with related communication events in 2019. </w:t>
      </w:r>
    </w:p>
    <w:p w:rsidR="00C571F7" w:rsidRDefault="00884FC2">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C571F7" w:rsidRDefault="00884FC2">
      <w:pPr>
        <w:pStyle w:val="NoSpacing"/>
        <w:rPr>
          <w:noProof/>
        </w:rPr>
      </w:pPr>
      <w:r>
        <w:rPr>
          <w:noProof/>
        </w:rPr>
        <w:t xml:space="preserve">Continue working </w:t>
      </w:r>
      <w:r>
        <w:rPr>
          <w:noProof/>
        </w:rPr>
        <w:t>and provide government support to the mapping and assessment of ecosystems and their services, valuation and development of natural capital accounting systems.</w:t>
      </w:r>
    </w:p>
    <w:p w:rsidR="00C571F7" w:rsidRDefault="00884FC2">
      <w:pPr>
        <w:widowControl w:val="0"/>
        <w:spacing w:before="240" w:after="120" w:line="240" w:lineRule="auto"/>
        <w:outlineLvl w:val="1"/>
        <w:rPr>
          <w:rFonts w:cs="Times New Roman"/>
          <w:b/>
          <w:noProof/>
          <w:color w:val="1F497D" w:themeColor="text2"/>
          <w:sz w:val="24"/>
        </w:rPr>
      </w:pPr>
      <w:bookmarkStart w:id="21" w:name="_Toc469478097"/>
      <w:r>
        <w:rPr>
          <w:rFonts w:cs="Times New Roman"/>
          <w:b/>
          <w:noProof/>
          <w:color w:val="1F497D" w:themeColor="text2"/>
          <w:sz w:val="24"/>
        </w:rPr>
        <w:t>Green Infrastructure</w:t>
      </w:r>
      <w:bookmarkEnd w:id="21"/>
      <w:r>
        <w:rPr>
          <w:rFonts w:cs="Times New Roman"/>
          <w:b/>
          <w:noProof/>
          <w:color w:val="1F497D" w:themeColor="text2"/>
          <w:sz w:val="24"/>
        </w:rPr>
        <w:t xml:space="preserve"> </w:t>
      </w:r>
    </w:p>
    <w:p w:rsidR="00C571F7" w:rsidRDefault="00884FC2">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40"/>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w:t>
      </w:r>
      <w:r>
        <w:rPr>
          <w:rFonts w:ascii="Calibri" w:eastAsia="Calibri" w:hAnsi="Calibri" w:cs="Times New Roman"/>
          <w:noProof/>
          <w:color w:val="FFFFFF" w:themeColor="background1"/>
          <w:sz w:val="20"/>
          <w:lang w:eastAsia="ar-SA"/>
        </w:rPr>
        <w:t>green infrastructure into related plans and programmes to help overcome fragmentation of habitats and preserve or restore ecological connectivity, enhance ecosystem resilience and thereby ensure the continued provision of ecosystem services.</w:t>
      </w:r>
    </w:p>
    <w:p w:rsidR="00C571F7" w:rsidRDefault="00884FC2">
      <w:pPr>
        <w:widowControl w:val="0"/>
        <w:spacing w:after="120" w:line="240" w:lineRule="auto"/>
        <w:jc w:val="both"/>
        <w:rPr>
          <w:rFonts w:cs="Times New Roman"/>
          <w:noProof/>
          <w:sz w:val="20"/>
        </w:rPr>
      </w:pPr>
      <w:r>
        <w:rPr>
          <w:rFonts w:cs="Times New Roman"/>
          <w:noProof/>
          <w:sz w:val="20"/>
        </w:rPr>
        <w:t>Green Infrastr</w:t>
      </w:r>
      <w:r>
        <w:rPr>
          <w:rFonts w:cs="Times New Roman"/>
          <w:noProof/>
          <w:sz w:val="20"/>
        </w:rPr>
        <w:t>ucture provides ecological, economic and social benefits through natural solutions. It helps to understand the value of the benefits that nature provides to human society and to mobilise investments to sustain and enhance them.</w:t>
      </w:r>
    </w:p>
    <w:p w:rsidR="00C571F7" w:rsidRDefault="00884FC2">
      <w:pPr>
        <w:widowControl w:val="0"/>
        <w:spacing w:after="120" w:line="240" w:lineRule="auto"/>
        <w:jc w:val="both"/>
        <w:rPr>
          <w:rFonts w:cs="Times New Roman"/>
          <w:noProof/>
          <w:color w:val="000000" w:themeColor="text1"/>
          <w:sz w:val="20"/>
        </w:rPr>
      </w:pPr>
      <w:r>
        <w:rPr>
          <w:rFonts w:cs="Times New Roman"/>
          <w:noProof/>
          <w:color w:val="000000" w:themeColor="text1"/>
          <w:sz w:val="20"/>
        </w:rPr>
        <w:t>A number of projects have be</w:t>
      </w:r>
      <w:r>
        <w:rPr>
          <w:rFonts w:cs="Times New Roman"/>
          <w:noProof/>
          <w:color w:val="000000" w:themeColor="text1"/>
          <w:sz w:val="20"/>
        </w:rPr>
        <w:t>en designed to restore ecosystems - for example, grasslands, saltmarshes and wetlands. However, these are rather individual actions, and a strategic policy framework still needs to be developed.</w:t>
      </w:r>
    </w:p>
    <w:p w:rsidR="00C571F7" w:rsidRDefault="00884FC2">
      <w:pPr>
        <w:widowControl w:val="0"/>
        <w:spacing w:after="120" w:line="240" w:lineRule="auto"/>
        <w:jc w:val="both"/>
        <w:rPr>
          <w:rFonts w:cs="Times New Roman"/>
          <w:noProof/>
          <w:sz w:val="20"/>
        </w:rPr>
      </w:pPr>
      <w:r>
        <w:rPr>
          <w:rFonts w:cs="Times New Roman"/>
          <w:noProof/>
          <w:sz w:val="20"/>
        </w:rPr>
        <w:t xml:space="preserve">A National programme for small scale projects </w:t>
      </w:r>
      <w:r>
        <w:rPr>
          <w:rFonts w:cs="Times New Roman"/>
          <w:i/>
          <w:noProof/>
          <w:sz w:val="20"/>
        </w:rPr>
        <w:t>Land Revitalisa</w:t>
      </w:r>
      <w:r>
        <w:rPr>
          <w:rFonts w:cs="Times New Roman"/>
          <w:i/>
          <w:noProof/>
          <w:sz w:val="20"/>
        </w:rPr>
        <w:t>tion and Integrated River Basin Management</w:t>
      </w:r>
      <w:r>
        <w:rPr>
          <w:rFonts w:cs="Times New Roman"/>
          <w:noProof/>
          <w:sz w:val="20"/>
        </w:rPr>
        <w:t xml:space="preserve"> was implemented in 2010-2012. However, the programme was cancelled by the subsequent Government without robust evaluation of its impact.  </w:t>
      </w:r>
    </w:p>
    <w:p w:rsidR="00C571F7" w:rsidRDefault="00884FC2">
      <w:pPr>
        <w:widowControl w:val="0"/>
        <w:spacing w:after="120" w:line="240" w:lineRule="auto"/>
        <w:jc w:val="both"/>
        <w:rPr>
          <w:rFonts w:cs="Times New Roman"/>
          <w:noProof/>
          <w:sz w:val="20"/>
        </w:rPr>
      </w:pPr>
      <w:r>
        <w:rPr>
          <w:rFonts w:cs="Times New Roman"/>
          <w:noProof/>
          <w:sz w:val="20"/>
        </w:rPr>
        <w:t>Support of green infrastructure type of projects from EU funds was inadequ</w:t>
      </w:r>
      <w:r>
        <w:rPr>
          <w:rFonts w:cs="Times New Roman"/>
          <w:noProof/>
          <w:sz w:val="20"/>
        </w:rPr>
        <w:t xml:space="preserve">ate so far. Despite that these were eligible in PP 2007-2013, no project was co-financed over the whole period and funds were reallocated towards the end of programming period to flood </w:t>
      </w:r>
      <w:r>
        <w:rPr>
          <w:rFonts w:cs="Times New Roman"/>
          <w:noProof/>
          <w:sz w:val="20"/>
          <w:szCs w:val="21"/>
        </w:rPr>
        <w:t>risk management and the response capacity</w:t>
      </w:r>
      <w:r>
        <w:rPr>
          <w:rFonts w:cs="Times New Roman"/>
          <w:noProof/>
          <w:sz w:val="20"/>
        </w:rPr>
        <w:t xml:space="preserve">. </w:t>
      </w:r>
      <w:r>
        <w:rPr>
          <w:rFonts w:cs="Times New Roman"/>
          <w:noProof/>
          <w:sz w:val="20"/>
          <w:szCs w:val="21"/>
        </w:rPr>
        <w:t xml:space="preserve">PP 2014-2020 provides for </w:t>
      </w:r>
      <w:r>
        <w:rPr>
          <w:rFonts w:cs="Times New Roman"/>
          <w:noProof/>
          <w:sz w:val="20"/>
          <w:szCs w:val="21"/>
        </w:rPr>
        <w:t>support to green measures again.</w:t>
      </w:r>
    </w:p>
    <w:p w:rsidR="00C571F7" w:rsidRDefault="00884FC2">
      <w:pPr>
        <w:spacing w:after="120" w:line="240" w:lineRule="auto"/>
        <w:jc w:val="both"/>
        <w:rPr>
          <w:rFonts w:cs="Times New Roman"/>
          <w:noProof/>
          <w:sz w:val="20"/>
        </w:rPr>
      </w:pPr>
      <w:r>
        <w:rPr>
          <w:rFonts w:cs="Times New Roman"/>
          <w:noProof/>
          <w:sz w:val="20"/>
        </w:rPr>
        <w:t>Barriers to the effective integration of green infrastructure include limited understanding of ecosystems, lack of data and information on benefits, planning weaknesses, poor use of integrated spatial planning processes and</w:t>
      </w:r>
      <w:r>
        <w:rPr>
          <w:rFonts w:cs="Times New Roman"/>
          <w:noProof/>
          <w:sz w:val="20"/>
        </w:rPr>
        <w:t xml:space="preserve"> conflicts with economic and development interests.</w:t>
      </w:r>
    </w:p>
    <w:p w:rsidR="00C571F7" w:rsidRDefault="00884FC2">
      <w:pPr>
        <w:widowControl w:val="0"/>
        <w:spacing w:before="240" w:after="120" w:line="240" w:lineRule="auto"/>
        <w:outlineLvl w:val="1"/>
        <w:rPr>
          <w:rFonts w:cs="Times New Roman"/>
          <w:b/>
          <w:noProof/>
          <w:color w:val="1F497D" w:themeColor="text2"/>
          <w:sz w:val="24"/>
        </w:rPr>
      </w:pPr>
      <w:bookmarkStart w:id="22" w:name="_Toc433296162"/>
      <w:bookmarkStart w:id="23" w:name="_Toc469478098"/>
      <w:r>
        <w:rPr>
          <w:rFonts w:cs="Times New Roman"/>
          <w:b/>
          <w:noProof/>
          <w:color w:val="1F497D" w:themeColor="text2"/>
          <w:sz w:val="24"/>
        </w:rPr>
        <w:t>Soil protection</w:t>
      </w:r>
      <w:bookmarkEnd w:id="22"/>
      <w:bookmarkEnd w:id="23"/>
      <w:r>
        <w:rPr>
          <w:rFonts w:cs="Times New Roman"/>
          <w:b/>
          <w:noProof/>
          <w:color w:val="1F497D" w:themeColor="text2"/>
          <w:sz w:val="24"/>
        </w:rPr>
        <w:t xml:space="preserve"> </w:t>
      </w:r>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Soil Thematic Strategy highlights the need to ensure a sustainable use of soils. This requires the prevention of further soil degradation and the preservation of its functions, as </w:t>
      </w:r>
      <w:r>
        <w:rPr>
          <w:rFonts w:cs="Times New Roman"/>
          <w:noProof/>
          <w:color w:val="FFFFFF" w:themeColor="background1"/>
          <w:sz w:val="20"/>
        </w:rPr>
        <w:t xml:space="preserve">well as the restoration of degraded soils. The 2011 Road Map for Resource-Efficient Europe, part of Europe 2020 Strategy provides that by 2020, EU policies take into account their direct and indirect impact on land use in the EU and globally, and the rate </w:t>
      </w:r>
      <w:r>
        <w:rPr>
          <w:rFonts w:cs="Times New Roman"/>
          <w:noProof/>
          <w:color w:val="FFFFFF" w:themeColor="background1"/>
          <w:sz w:val="20"/>
        </w:rPr>
        <w:t>of land take is on track with an aim to achieve no net land take by 2050.</w:t>
      </w:r>
    </w:p>
    <w:p w:rsidR="00C571F7" w:rsidRDefault="00884FC2">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w:t>
      </w:r>
      <w:r>
        <w:rPr>
          <w:rFonts w:ascii="Calibri" w:eastAsia="Calibri" w:hAnsi="Calibri" w:cs="Times New Roman"/>
          <w:noProof/>
          <w:color w:val="FFFFFF"/>
          <w:sz w:val="20"/>
          <w:lang w:eastAsia="ar-SA"/>
        </w:rPr>
        <w:t>adation-neutral world by 2030.</w:t>
      </w:r>
    </w:p>
    <w:p w:rsidR="00C571F7" w:rsidRDefault="00884FC2">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sequestration, water purification and flood regulation</w:t>
      </w:r>
      <w:r>
        <w:rPr>
          <w:noProof/>
          <w:sz w:val="20"/>
          <w:lang w:eastAsia="en-GB"/>
        </w:rPr>
        <w:t>, the provision of raw and building material. Soil is a finite and extremely fragile resource and increasingly degrading in the EU. Land taken by urban development and infrastructure is highly unlikely to be reverted to its natural state; it consumes mostl</w:t>
      </w:r>
      <w:r>
        <w:rPr>
          <w:noProof/>
          <w:sz w:val="20"/>
          <w:lang w:eastAsia="en-GB"/>
        </w:rPr>
        <w:t>y agricultural land and increases fragmentation of habitats. Soil protection is indirectly addressed in existing EU policies in areas such as agriculture, water, waste, chemicals, and prevention of industrial pollution.</w:t>
      </w:r>
    </w:p>
    <w:p w:rsidR="00C571F7" w:rsidRDefault="00884FC2">
      <w:pPr>
        <w:widowControl w:val="0"/>
        <w:spacing w:after="120" w:line="240" w:lineRule="auto"/>
        <w:jc w:val="both"/>
        <w:rPr>
          <w:rFonts w:cs="Times New Roman"/>
          <w:noProof/>
          <w:sz w:val="20"/>
          <w:szCs w:val="20"/>
        </w:rPr>
      </w:pPr>
      <w:r>
        <w:rPr>
          <w:rFonts w:cs="Times New Roman"/>
          <w:noProof/>
          <w:sz w:val="20"/>
        </w:rPr>
        <w:t>Artificial land cover is used for se</w:t>
      </w:r>
      <w:r>
        <w:rPr>
          <w:rFonts w:cs="Times New Roman"/>
          <w:noProof/>
          <w:sz w:val="20"/>
        </w:rPr>
        <w:t>ttlements, production systems and infrastructure. It may itself be split between built-up areas (buildings) and non-built-up areas (such as linear transport networks and associated areas).</w:t>
      </w:r>
    </w:p>
    <w:p w:rsidR="00C571F7" w:rsidRDefault="00884FC2">
      <w:pPr>
        <w:widowControl w:val="0"/>
        <w:spacing w:after="120" w:line="240" w:lineRule="auto"/>
        <w:jc w:val="both"/>
        <w:rPr>
          <w:rFonts w:cs="Times New Roman"/>
          <w:noProof/>
          <w:sz w:val="20"/>
        </w:rPr>
      </w:pPr>
      <w:r>
        <w:rPr>
          <w:rFonts w:cs="Times New Roman"/>
          <w:noProof/>
          <w:sz w:val="20"/>
        </w:rPr>
        <w:t xml:space="preserve">The annual land take rate (growth of artificial areas) as provided </w:t>
      </w:r>
      <w:r>
        <w:rPr>
          <w:rFonts w:cs="Times New Roman"/>
          <w:noProof/>
          <w:sz w:val="20"/>
        </w:rPr>
        <w:t>by CORINE Land Cover was 0.40% in Slovakia over the period 2006-12, around the EU average (0.41%). It represented 1147 hectares per year (in the period 2000 – 2006 it was 486 hectares) mainly driven by industrial and commercial sites, as well as housing, s</w:t>
      </w:r>
      <w:r>
        <w:rPr>
          <w:rFonts w:cs="Times New Roman"/>
          <w:noProof/>
          <w:sz w:val="20"/>
        </w:rPr>
        <w:t>ervices and recreation</w:t>
      </w:r>
      <w:r>
        <w:rPr>
          <w:rFonts w:cs="Times New Roman"/>
          <w:noProof/>
          <w:sz w:val="20"/>
          <w:vertAlign w:val="superscript"/>
        </w:rPr>
        <w:footnoteReference w:id="41"/>
      </w:r>
      <w:r>
        <w:rPr>
          <w:rFonts w:cs="Times New Roman"/>
          <w:noProof/>
          <w:sz w:val="20"/>
        </w:rPr>
        <w:t xml:space="preserve">. </w:t>
      </w:r>
    </w:p>
    <w:p w:rsidR="00C571F7" w:rsidRDefault="00884FC2">
      <w:pPr>
        <w:widowControl w:val="0"/>
        <w:spacing w:after="120" w:line="240" w:lineRule="auto"/>
        <w:jc w:val="both"/>
        <w:rPr>
          <w:rFonts w:cs="Times New Roman"/>
          <w:i/>
          <w:noProof/>
          <w:sz w:val="20"/>
        </w:rPr>
      </w:pPr>
      <w:r>
        <w:rPr>
          <w:rFonts w:cs="Times New Roman"/>
          <w:noProof/>
          <w:sz w:val="20"/>
        </w:rPr>
        <w:t>The percentage of built up land in 2009 was 2.54 %, below the EU average (3.23 %)</w:t>
      </w:r>
      <w:r>
        <w:rPr>
          <w:rFonts w:cs="Times New Roman"/>
          <w:noProof/>
          <w:sz w:val="20"/>
          <w:szCs w:val="20"/>
          <w:vertAlign w:val="superscript"/>
        </w:rPr>
        <w:footnoteReference w:id="42"/>
      </w:r>
      <w:r>
        <w:rPr>
          <w:rFonts w:cs="Times New Roman"/>
          <w:noProof/>
          <w:sz w:val="20"/>
          <w:szCs w:val="20"/>
        </w:rPr>
        <w:t xml:space="preserve">. </w:t>
      </w:r>
      <w:r>
        <w:rPr>
          <w:rFonts w:cs="Times New Roman"/>
          <w:noProof/>
          <w:sz w:val="20"/>
        </w:rPr>
        <w:t>The soil water erosion rate in 2010 was 2.18 tonnes per ha per year, close to EU28 average (2.46 tonnes)</w:t>
      </w:r>
      <w:r>
        <w:rPr>
          <w:rFonts w:cs="Times New Roman"/>
          <w:noProof/>
          <w:sz w:val="20"/>
          <w:szCs w:val="20"/>
        </w:rPr>
        <w:t>.</w:t>
      </w:r>
      <w:r>
        <w:rPr>
          <w:rFonts w:cs="Times New Roman"/>
          <w:noProof/>
          <w:sz w:val="20"/>
          <w:szCs w:val="20"/>
          <w:vertAlign w:val="superscript"/>
        </w:rPr>
        <w:t xml:space="preserve"> </w:t>
      </w:r>
      <w:r>
        <w:rPr>
          <w:rFonts w:cs="Times New Roman"/>
          <w:noProof/>
          <w:sz w:val="20"/>
          <w:szCs w:val="20"/>
          <w:vertAlign w:val="superscript"/>
        </w:rPr>
        <w:footnoteReference w:id="43"/>
      </w:r>
    </w:p>
    <w:p w:rsidR="00C571F7" w:rsidRDefault="00884FC2">
      <w:pPr>
        <w:spacing w:after="120" w:line="240" w:lineRule="auto"/>
        <w:jc w:val="both"/>
        <w:rPr>
          <w:rFonts w:cs="Times New Roman"/>
          <w:noProof/>
          <w:sz w:val="20"/>
        </w:rPr>
      </w:pPr>
      <w:r>
        <w:rPr>
          <w:rFonts w:cs="Times New Roman"/>
          <w:noProof/>
          <w:sz w:val="20"/>
          <w:lang w:eastAsia="en-GB"/>
        </w:rPr>
        <w:t xml:space="preserve">There are still no EU-wide datasets enabling the provision of benchmark indicators for soil organic matter decline, contaminated sites, pressures on soil biology and diffuse pollution. </w:t>
      </w:r>
      <w:r>
        <w:rPr>
          <w:rFonts w:cs="Times New Roman"/>
          <w:noProof/>
          <w:sz w:val="20"/>
        </w:rPr>
        <w:t>An updated inventory and assessment of soil protection policy instrumen</w:t>
      </w:r>
      <w:r>
        <w:rPr>
          <w:rFonts w:cs="Times New Roman"/>
          <w:noProof/>
          <w:sz w:val="20"/>
        </w:rPr>
        <w:t>ts in Slovakia and other EU Member States is being performed by the EU Expert Group on Soil Protection. Figure 8 shows the concise characterization of land cover changes in Slovakia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rPr>
          <w:trHeight w:val="364"/>
        </w:trPr>
        <w:tc>
          <w:tcPr>
            <w:tcW w:w="2288" w:type="dxa"/>
          </w:tcPr>
          <w:p w:rsidR="00C571F7" w:rsidRDefault="00884FC2">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Slovakia in 2012</w:t>
            </w:r>
            <w:r>
              <w:rPr>
                <w:rFonts w:cs="Times New Roman"/>
                <w:b/>
                <w:bCs/>
                <w:noProof/>
                <w:color w:val="1F497D" w:themeColor="text2"/>
                <w:sz w:val="20"/>
                <w:vertAlign w:val="superscript"/>
              </w:rPr>
              <w:footnoteReference w:id="44"/>
            </w:r>
          </w:p>
        </w:tc>
      </w:tr>
      <w:tr w:rsidR="00C571F7">
        <w:trPr>
          <w:trHeight w:val="5655"/>
        </w:trPr>
        <w:tc>
          <w:tcPr>
            <w:tcW w:w="2288" w:type="dxa"/>
          </w:tcPr>
          <w:p w:rsidR="00C571F7" w:rsidRDefault="00884FC2">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1B77491A" wp14:editId="4A3C23FD">
                  <wp:extent cx="3034748" cy="3614382"/>
                  <wp:effectExtent l="0" t="0" r="0" b="5715"/>
                  <wp:docPr id="56" name="Picture 56" descr="SK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_CS_CLC_typ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37548" cy="3617717"/>
                          </a:xfrm>
                          <a:prstGeom prst="rect">
                            <a:avLst/>
                          </a:prstGeom>
                          <a:noFill/>
                          <a:ln>
                            <a:noFill/>
                          </a:ln>
                        </pic:spPr>
                      </pic:pic>
                    </a:graphicData>
                  </a:graphic>
                </wp:inline>
              </w:drawing>
            </w:r>
          </w:p>
        </w:tc>
      </w:tr>
    </w:tbl>
    <w:p w:rsidR="00C571F7" w:rsidRDefault="00C571F7">
      <w:pPr>
        <w:widowControl w:val="0"/>
        <w:spacing w:line="240" w:lineRule="auto"/>
        <w:jc w:val="both"/>
        <w:rPr>
          <w:rFonts w:cs="Times New Roman"/>
          <w:noProof/>
          <w:sz w:val="20"/>
        </w:rPr>
        <w:sectPr w:rsidR="00C571F7">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40" w:right="1080" w:bottom="1440" w:left="1080" w:header="708" w:footer="708" w:gutter="0"/>
          <w:cols w:num="2" w:space="360"/>
          <w:docGrid w:linePitch="360"/>
        </w:sectPr>
      </w:pPr>
    </w:p>
    <w:p w:rsidR="00C571F7" w:rsidRDefault="00884FC2">
      <w:pPr>
        <w:pStyle w:val="Heading1"/>
        <w:rPr>
          <w:noProof/>
        </w:rPr>
      </w:pPr>
      <w:bookmarkStart w:id="24" w:name="_Toc469478099"/>
      <w:r>
        <w:rPr>
          <w:noProof/>
        </w:rPr>
        <w:t>Ensuring citizens' health and quality of life</w:t>
      </w:r>
      <w:bookmarkEnd w:id="24"/>
    </w:p>
    <w:p w:rsidR="00C571F7" w:rsidRDefault="00C571F7">
      <w:pPr>
        <w:widowControl w:val="0"/>
        <w:spacing w:after="120" w:line="240" w:lineRule="auto"/>
        <w:jc w:val="both"/>
        <w:rPr>
          <w:rFonts w:cs="Times New Roman"/>
          <w:noProof/>
          <w:sz w:val="20"/>
        </w:rPr>
      </w:pPr>
    </w:p>
    <w:p w:rsidR="00C571F7" w:rsidRDefault="00C571F7">
      <w:pPr>
        <w:widowControl w:val="0"/>
        <w:spacing w:after="120" w:line="240" w:lineRule="auto"/>
        <w:jc w:val="both"/>
        <w:rPr>
          <w:rFonts w:cs="Times New Roman"/>
          <w:noProof/>
          <w:sz w:val="20"/>
        </w:rPr>
        <w:sectPr w:rsidR="00C571F7">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40" w:right="1080" w:bottom="1440" w:left="1080" w:header="708" w:footer="708" w:gutter="0"/>
          <w:cols w:space="566"/>
          <w:docGrid w:linePitch="360"/>
        </w:sectPr>
      </w:pPr>
    </w:p>
    <w:p w:rsidR="00C571F7" w:rsidRDefault="00884FC2">
      <w:pPr>
        <w:widowControl w:val="0"/>
        <w:spacing w:after="120" w:line="240" w:lineRule="auto"/>
        <w:outlineLvl w:val="1"/>
        <w:rPr>
          <w:rFonts w:cs="Times New Roman"/>
          <w:b/>
          <w:noProof/>
          <w:color w:val="1F497D" w:themeColor="text2"/>
          <w:sz w:val="24"/>
        </w:rPr>
      </w:pPr>
      <w:bookmarkStart w:id="25" w:name="_Toc433296166"/>
      <w:bookmarkStart w:id="26" w:name="_Toc454813115"/>
      <w:bookmarkStart w:id="27" w:name="_Toc469478100"/>
      <w:r>
        <w:rPr>
          <w:rFonts w:cs="Times New Roman"/>
          <w:b/>
          <w:noProof/>
          <w:color w:val="1F497D" w:themeColor="text2"/>
          <w:sz w:val="24"/>
        </w:rPr>
        <w:t>Air quality</w:t>
      </w:r>
      <w:bookmarkEnd w:id="25"/>
      <w:bookmarkEnd w:id="26"/>
      <w:bookmarkEnd w:id="27"/>
      <w:r>
        <w:rPr>
          <w:rFonts w:cs="Times New Roman"/>
          <w:b/>
          <w:noProof/>
          <w:color w:val="1F497D" w:themeColor="text2"/>
          <w:sz w:val="24"/>
        </w:rPr>
        <w:t xml:space="preserve"> </w:t>
      </w:r>
    </w:p>
    <w:tbl>
      <w:tblPr>
        <w:tblStyle w:val="TableGrid11"/>
        <w:tblpPr w:leftFromText="180" w:rightFromText="180" w:vertAnchor="text" w:horzAnchor="margin" w:tblpY="3501"/>
        <w:tblW w:w="100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C571F7">
        <w:trPr>
          <w:trHeight w:val="328"/>
        </w:trPr>
        <w:tc>
          <w:tcPr>
            <w:tcW w:w="10086" w:type="dxa"/>
          </w:tcPr>
          <w:p w:rsidR="00C571F7" w:rsidRDefault="00884FC2">
            <w:pPr>
              <w:spacing w:after="120"/>
              <w:rPr>
                <w:b/>
                <w:noProof/>
                <w:color w:val="1F497D" w:themeColor="text2"/>
                <w:sz w:val="20"/>
              </w:rPr>
            </w:pPr>
            <w:r>
              <w:rPr>
                <w:b/>
                <w:noProof/>
                <w:color w:val="1F497D" w:themeColor="text2"/>
                <w:sz w:val="20"/>
              </w:rPr>
              <w:t>Figure 9: Attainment situation for PM10, NO2 and O3 in 2014</w:t>
            </w:r>
          </w:p>
        </w:tc>
      </w:tr>
      <w:tr w:rsidR="00C571F7">
        <w:trPr>
          <w:trHeight w:val="4030"/>
        </w:trPr>
        <w:tc>
          <w:tcPr>
            <w:tcW w:w="10086" w:type="dxa"/>
          </w:tcPr>
          <w:p w:rsidR="00C571F7" w:rsidRDefault="00884FC2">
            <w:pPr>
              <w:spacing w:after="120"/>
              <w:rPr>
                <w:noProof/>
                <w:sz w:val="20"/>
              </w:rPr>
            </w:pPr>
            <w:r>
              <w:rPr>
                <w:noProof/>
                <w:sz w:val="20"/>
                <w:lang w:eastAsia="en-GB"/>
              </w:rPr>
              <w:drawing>
                <wp:inline distT="0" distB="0" distL="0" distR="0" wp14:anchorId="003D8DEF" wp14:editId="547AC850">
                  <wp:extent cx="6260648" cy="3094074"/>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61983" cy="3094734"/>
                          </a:xfrm>
                          <a:prstGeom prst="rect">
                            <a:avLst/>
                          </a:prstGeom>
                          <a:noFill/>
                        </pic:spPr>
                      </pic:pic>
                    </a:graphicData>
                  </a:graphic>
                </wp:inline>
              </w:drawing>
            </w:r>
          </w:p>
        </w:tc>
      </w:tr>
    </w:tbl>
    <w:p w:rsidR="00C571F7" w:rsidRDefault="00884FC2">
      <w:pPr>
        <w:widowControl w:val="0"/>
        <w:shd w:val="clear" w:color="auto" w:fill="4F81BD" w:themeFill="accent1"/>
        <w:spacing w:after="120" w:line="240" w:lineRule="auto"/>
        <w:jc w:val="both"/>
        <w:rPr>
          <w:rFonts w:cs="Times New Roman"/>
          <w:noProof/>
          <w:color w:val="FFFFFF" w:themeColor="background1"/>
          <w:sz w:val="20"/>
          <w:szCs w:val="20"/>
        </w:rPr>
      </w:pPr>
      <w:r>
        <w:rPr>
          <w:rFonts w:cs="Times New Roman"/>
          <w:noProof/>
          <w:color w:val="FFFFFF" w:themeColor="background1"/>
          <w:sz w:val="20"/>
          <w:szCs w:val="20"/>
        </w:rPr>
        <w:t xml:space="preserve">The EU Clean Air Policy and legislation require that air quality in the Union is significantly improved, moving closer to the WHO recommended levels. Air </w:t>
      </w:r>
      <w:r>
        <w:rPr>
          <w:rFonts w:cs="Times New Roman"/>
          <w:noProof/>
          <w:color w:val="FFFFFF" w:themeColor="background1"/>
          <w:sz w:val="20"/>
          <w:szCs w:val="20"/>
        </w:rPr>
        <w:t>pollution and its impacts on ecosystems and biodiversity should be further reduced with the long-term aim of not exceeding critical loads and levels. This requires strengthening efforts to reach full compliance with Union air quality legislation and defini</w:t>
      </w:r>
      <w:r>
        <w:rPr>
          <w:rFonts w:cs="Times New Roman"/>
          <w:noProof/>
          <w:color w:val="FFFFFF" w:themeColor="background1"/>
          <w:sz w:val="20"/>
          <w:szCs w:val="20"/>
        </w:rPr>
        <w:t>ng strategic targets and actions beyond 2020.</w:t>
      </w:r>
    </w:p>
    <w:p w:rsidR="00C571F7" w:rsidRDefault="00884FC2">
      <w:pPr>
        <w:widowControl w:val="0"/>
        <w:spacing w:after="120" w:line="240" w:lineRule="auto"/>
        <w:jc w:val="both"/>
        <w:rPr>
          <w:rFonts w:cs="Times New Roman"/>
          <w:noProof/>
          <w:sz w:val="20"/>
          <w:szCs w:val="20"/>
        </w:rPr>
      </w:pPr>
      <w:r>
        <w:rPr>
          <w:rFonts w:cs="Times New Roman"/>
          <w:noProof/>
          <w:sz w:val="20"/>
          <w:szCs w:val="20"/>
        </w:rPr>
        <w:t>The EU has developed a comprehensive suite of air quality legislation</w:t>
      </w:r>
      <w:r>
        <w:rPr>
          <w:rFonts w:cs="Times New Roman"/>
          <w:noProof/>
          <w:sz w:val="20"/>
          <w:szCs w:val="20"/>
          <w:vertAlign w:val="superscript"/>
        </w:rPr>
        <w:footnoteReference w:id="45"/>
      </w:r>
      <w:r>
        <w:rPr>
          <w:rFonts w:cs="Times New Roman"/>
          <w:noProof/>
          <w:sz w:val="20"/>
          <w:szCs w:val="20"/>
        </w:rPr>
        <w:t>,</w:t>
      </w:r>
      <w:r>
        <w:rPr>
          <w:rFonts w:cs="Times New Roman"/>
          <w:noProof/>
          <w:sz w:val="20"/>
          <w:szCs w:val="20"/>
          <w:lang w:val="en"/>
        </w:rPr>
        <w:t xml:space="preserve"> </w:t>
      </w:r>
      <w:r>
        <w:rPr>
          <w:rFonts w:cs="Times New Roman"/>
          <w:noProof/>
          <w:sz w:val="20"/>
          <w:szCs w:val="20"/>
        </w:rPr>
        <w:t>which establishes health-based standards and objectives for a number of air pollutants. As part of this, Member States are also required t</w:t>
      </w:r>
      <w:r>
        <w:rPr>
          <w:rFonts w:cs="Times New Roman"/>
          <w:noProof/>
          <w:sz w:val="20"/>
          <w:szCs w:val="20"/>
        </w:rPr>
        <w:t>o ensure that up-to-date information on ambient concentrations of different air pollutants is routinely made available to the public. In addition, the National Emission Ceilings Directive provides for emission reductions at national level that should be ac</w:t>
      </w:r>
      <w:r>
        <w:rPr>
          <w:rFonts w:cs="Times New Roman"/>
          <w:noProof/>
          <w:sz w:val="20"/>
          <w:szCs w:val="20"/>
        </w:rPr>
        <w:t>hieved for main pollutants.</w:t>
      </w:r>
    </w:p>
    <w:p w:rsidR="00C571F7" w:rsidRDefault="00884FC2">
      <w:pPr>
        <w:spacing w:after="120" w:line="240" w:lineRule="auto"/>
        <w:jc w:val="both"/>
        <w:rPr>
          <w:rFonts w:ascii="Times New Roman" w:hAnsi="Times New Roman" w:cs="Times New Roman"/>
          <w:noProof/>
          <w:sz w:val="20"/>
          <w:szCs w:val="20"/>
          <w:lang w:eastAsia="en-GB"/>
        </w:rPr>
      </w:pPr>
      <w:r>
        <w:rPr>
          <w:rFonts w:cs="Times New Roman"/>
          <w:noProof/>
          <w:sz w:val="20"/>
          <w:szCs w:val="20"/>
        </w:rPr>
        <w:t>The emission of several air pollutants has decreased significantly in Slovakia</w:t>
      </w:r>
      <w:r>
        <w:rPr>
          <w:rFonts w:cs="Times New Roman"/>
          <w:noProof/>
          <w:sz w:val="20"/>
          <w:szCs w:val="20"/>
          <w:vertAlign w:val="superscript"/>
        </w:rPr>
        <w:footnoteReference w:id="46"/>
      </w:r>
      <w:r>
        <w:rPr>
          <w:rFonts w:cs="Times New Roman"/>
          <w:noProof/>
          <w:sz w:val="20"/>
          <w:szCs w:val="20"/>
        </w:rPr>
        <w:t>. Reductions between 1990 and 2014</w:t>
      </w:r>
      <w:r>
        <w:rPr>
          <w:rFonts w:ascii="Calibri" w:hAnsi="Calibri" w:cs="Times New Roman"/>
          <w:noProof/>
          <w:sz w:val="20"/>
          <w:szCs w:val="20"/>
          <w:vertAlign w:val="superscript"/>
        </w:rPr>
        <w:footnoteReference w:id="47"/>
      </w:r>
      <w:r>
        <w:rPr>
          <w:rFonts w:cs="Times New Roman"/>
          <w:noProof/>
          <w:sz w:val="20"/>
          <w:szCs w:val="20"/>
        </w:rPr>
        <w:t xml:space="preserve"> for sulphur oxides (-91%), ammonia (</w:t>
      </w:r>
      <w:r>
        <w:rPr>
          <w:rFonts w:cs="Times New Roman"/>
          <w:noProof/>
          <w:sz w:val="20"/>
          <w:szCs w:val="20"/>
        </w:rPr>
        <w:noBreakHyphen/>
        <w:t>43%), non-methane volatile organic compounds (-15%) as well as nitrogen oxid</w:t>
      </w:r>
      <w:r>
        <w:rPr>
          <w:rFonts w:cs="Times New Roman"/>
          <w:noProof/>
          <w:sz w:val="20"/>
          <w:szCs w:val="20"/>
        </w:rPr>
        <w:t>es (-63%) ensure air emissions for these pollutants are within the currently applicable national emission ceiling</w:t>
      </w:r>
      <w:r>
        <w:rPr>
          <w:rFonts w:cs="Times New Roman"/>
          <w:noProof/>
          <w:sz w:val="20"/>
          <w:szCs w:val="20"/>
          <w:vertAlign w:val="superscript"/>
        </w:rPr>
        <w:footnoteReference w:id="48"/>
      </w:r>
      <w:r>
        <w:rPr>
          <w:rFonts w:cs="Times New Roman"/>
          <w:noProof/>
          <w:sz w:val="20"/>
          <w:szCs w:val="20"/>
        </w:rPr>
        <w:t xml:space="preserve">. </w:t>
      </w:r>
    </w:p>
    <w:p w:rsidR="00C571F7" w:rsidRDefault="00884FC2">
      <w:pPr>
        <w:widowControl w:val="0"/>
        <w:spacing w:after="120" w:line="240" w:lineRule="auto"/>
        <w:jc w:val="both"/>
        <w:rPr>
          <w:rFonts w:cs="Times New Roman"/>
          <w:noProof/>
          <w:sz w:val="20"/>
          <w:szCs w:val="20"/>
          <w:lang w:eastAsia="en-GB"/>
        </w:rPr>
      </w:pPr>
      <w:r>
        <w:rPr>
          <w:rFonts w:cs="Times New Roman"/>
          <w:noProof/>
          <w:sz w:val="20"/>
          <w:szCs w:val="20"/>
          <w:lang w:eastAsia="en-GB"/>
        </w:rPr>
        <w:t>At the same time, air quality in Slovakia continues to give cause for concern. For the year 2013, the European Environment Agency estimated</w:t>
      </w:r>
      <w:r>
        <w:rPr>
          <w:rFonts w:cs="Times New Roman"/>
          <w:noProof/>
          <w:sz w:val="20"/>
          <w:szCs w:val="20"/>
          <w:lang w:eastAsia="en-GB"/>
        </w:rPr>
        <w:t xml:space="preserve"> that about 5 620 premature deaths were attributable to fine particulate matter</w:t>
      </w:r>
      <w:r>
        <w:rPr>
          <w:rFonts w:cs="Times New Roman"/>
          <w:noProof/>
          <w:sz w:val="20"/>
          <w:szCs w:val="20"/>
          <w:vertAlign w:val="superscript"/>
          <w:lang w:eastAsia="en-GB"/>
        </w:rPr>
        <w:footnoteReference w:id="49"/>
      </w:r>
      <w:r>
        <w:rPr>
          <w:rFonts w:cs="Times New Roman"/>
          <w:noProof/>
          <w:sz w:val="20"/>
          <w:szCs w:val="20"/>
          <w:lang w:eastAsia="en-GB"/>
        </w:rPr>
        <w:t xml:space="preserve"> concentrations, and 200 to ozone concentration</w:t>
      </w:r>
      <w:r>
        <w:rPr>
          <w:rFonts w:cs="Times New Roman"/>
          <w:noProof/>
          <w:sz w:val="20"/>
          <w:szCs w:val="20"/>
          <w:vertAlign w:val="superscript"/>
          <w:lang w:eastAsia="en-GB"/>
        </w:rPr>
        <w:footnoteReference w:id="50"/>
      </w:r>
      <w:r>
        <w:rPr>
          <w:rFonts w:cs="Times New Roman"/>
          <w:noProof/>
          <w:sz w:val="20"/>
          <w:szCs w:val="20"/>
          <w:lang w:eastAsia="en-GB"/>
        </w:rPr>
        <w:t>.</w:t>
      </w:r>
      <w:r>
        <w:rPr>
          <w:rFonts w:cs="Times New Roman"/>
          <w:noProof/>
          <w:sz w:val="20"/>
          <w:szCs w:val="20"/>
          <w:vertAlign w:val="superscript"/>
          <w:lang w:eastAsia="en-GB"/>
        </w:rPr>
        <w:footnoteReference w:id="51"/>
      </w:r>
      <w:r>
        <w:rPr>
          <w:rFonts w:cs="Times New Roman"/>
          <w:noProof/>
          <w:sz w:val="20"/>
          <w:szCs w:val="20"/>
          <w:lang w:eastAsia="en-GB"/>
        </w:rPr>
        <w:t xml:space="preserve"> This is due also to exceedances above the EU air quality standards such as shown in Figure 9</w:t>
      </w:r>
      <w:r>
        <w:rPr>
          <w:rFonts w:cs="Times New Roman"/>
          <w:noProof/>
          <w:sz w:val="20"/>
          <w:szCs w:val="20"/>
          <w:vertAlign w:val="superscript"/>
          <w:lang w:eastAsia="en-GB"/>
        </w:rPr>
        <w:footnoteReference w:id="52"/>
      </w:r>
      <w:r>
        <w:rPr>
          <w:rFonts w:cs="Times New Roman"/>
          <w:noProof/>
          <w:sz w:val="20"/>
          <w:szCs w:val="20"/>
          <w:lang w:eastAsia="en-GB"/>
        </w:rPr>
        <w:t xml:space="preserve">. </w:t>
      </w:r>
    </w:p>
    <w:p w:rsidR="00C571F7" w:rsidRDefault="00884FC2">
      <w:pPr>
        <w:spacing w:after="120" w:line="240" w:lineRule="auto"/>
        <w:jc w:val="both"/>
        <w:rPr>
          <w:rFonts w:cs="Times New Roman"/>
          <w:noProof/>
          <w:sz w:val="20"/>
          <w:szCs w:val="20"/>
          <w:lang w:eastAsia="en-GB"/>
        </w:rPr>
      </w:pPr>
      <w:r>
        <w:rPr>
          <w:rFonts w:cs="Times New Roman"/>
          <w:noProof/>
          <w:sz w:val="20"/>
          <w:szCs w:val="20"/>
          <w:lang w:eastAsia="en-GB"/>
        </w:rPr>
        <w:t>For 2014, the Slovak authorit</w:t>
      </w:r>
      <w:r>
        <w:rPr>
          <w:rFonts w:cs="Times New Roman"/>
          <w:noProof/>
          <w:sz w:val="20"/>
          <w:szCs w:val="20"/>
          <w:lang w:eastAsia="en-GB"/>
        </w:rPr>
        <w:t>ies have communicated exceedances above EU air quality standards that have been registered for nitrogen dioxide (NO</w:t>
      </w:r>
      <w:r>
        <w:rPr>
          <w:rFonts w:cs="Times New Roman"/>
          <w:noProof/>
          <w:sz w:val="20"/>
          <w:szCs w:val="20"/>
          <w:vertAlign w:val="subscript"/>
          <w:lang w:eastAsia="en-GB"/>
        </w:rPr>
        <w:t>2</w:t>
      </w:r>
      <w:r>
        <w:rPr>
          <w:rFonts w:cs="Times New Roman"/>
          <w:noProof/>
          <w:sz w:val="20"/>
          <w:szCs w:val="20"/>
          <w:lang w:eastAsia="en-GB"/>
        </w:rPr>
        <w:t>) and particulate matter (PM</w:t>
      </w:r>
      <w:r>
        <w:rPr>
          <w:rFonts w:cs="Times New Roman"/>
          <w:noProof/>
          <w:sz w:val="20"/>
          <w:szCs w:val="20"/>
          <w:vertAlign w:val="subscript"/>
          <w:lang w:eastAsia="en-GB"/>
        </w:rPr>
        <w:t>10</w:t>
      </w:r>
      <w:r>
        <w:rPr>
          <w:rFonts w:cs="Times New Roman"/>
          <w:noProof/>
          <w:sz w:val="20"/>
          <w:szCs w:val="20"/>
          <w:lang w:eastAsia="en-GB"/>
        </w:rPr>
        <w:t xml:space="preserve">) in several air quality zones. Furthermore, the target values and long-term objectives regarding ozone </w:t>
      </w:r>
      <w:r>
        <w:rPr>
          <w:rFonts w:cs="Times New Roman"/>
          <w:noProof/>
          <w:sz w:val="20"/>
          <w:szCs w:val="20"/>
          <w:lang w:eastAsia="en-GB"/>
        </w:rPr>
        <w:t>concentrations are exceeded in two air quality zones.</w:t>
      </w:r>
      <w:r>
        <w:rPr>
          <w:rStyle w:val="FootnoteReference"/>
          <w:rFonts w:cs="Times New Roman"/>
          <w:noProof/>
          <w:sz w:val="20"/>
          <w:szCs w:val="20"/>
          <w:lang w:eastAsia="en-GB"/>
        </w:rPr>
        <w:footnoteReference w:id="53"/>
      </w:r>
      <w:r>
        <w:rPr>
          <w:rFonts w:ascii="Times New Roman" w:hAnsi="Times New Roman" w:cs="Times New Roman"/>
          <w:noProof/>
          <w:sz w:val="20"/>
          <w:szCs w:val="20"/>
          <w:lang w:eastAsia="en-GB"/>
        </w:rPr>
        <w:t xml:space="preserve"> </w:t>
      </w:r>
    </w:p>
    <w:p w:rsidR="00C571F7" w:rsidRDefault="00884FC2">
      <w:pPr>
        <w:widowControl w:val="0"/>
        <w:spacing w:after="120" w:line="240" w:lineRule="auto"/>
        <w:jc w:val="both"/>
        <w:rPr>
          <w:rFonts w:cs="Times New Roman"/>
          <w:noProof/>
          <w:sz w:val="20"/>
          <w:szCs w:val="20"/>
          <w:lang w:eastAsia="en-GB"/>
        </w:rPr>
      </w:pPr>
      <w:r>
        <w:rPr>
          <w:rFonts w:cs="Times New Roman"/>
          <w:noProof/>
          <w:sz w:val="20"/>
          <w:szCs w:val="20"/>
          <w:lang w:eastAsia="en-GB"/>
        </w:rPr>
        <w:t>The persistent breaches of air quality requirements (for PM</w:t>
      </w:r>
      <w:r>
        <w:rPr>
          <w:rFonts w:cs="Times New Roman"/>
          <w:noProof/>
          <w:sz w:val="20"/>
          <w:szCs w:val="20"/>
          <w:vertAlign w:val="subscript"/>
          <w:lang w:eastAsia="en-GB"/>
        </w:rPr>
        <w:t>10</w:t>
      </w:r>
      <w:r>
        <w:rPr>
          <w:rFonts w:cs="Times New Roman"/>
          <w:noProof/>
          <w:sz w:val="20"/>
          <w:szCs w:val="20"/>
          <w:lang w:eastAsia="en-GB"/>
        </w:rPr>
        <w:t xml:space="preserve"> and NO</w:t>
      </w:r>
      <w:r>
        <w:rPr>
          <w:rFonts w:cs="Times New Roman"/>
          <w:noProof/>
          <w:sz w:val="20"/>
          <w:szCs w:val="20"/>
          <w:vertAlign w:val="subscript"/>
          <w:lang w:eastAsia="en-GB"/>
        </w:rPr>
        <w:t>2</w:t>
      </w:r>
      <w:r>
        <w:rPr>
          <w:rFonts w:cs="Times New Roman"/>
          <w:noProof/>
          <w:sz w:val="20"/>
          <w:szCs w:val="20"/>
          <w:lang w:eastAsia="en-GB"/>
        </w:rPr>
        <w:t>), which have severe negative effects on health and environment, are being followed up by the European Commission through infringem</w:t>
      </w:r>
      <w:r>
        <w:rPr>
          <w:rFonts w:cs="Times New Roman"/>
          <w:noProof/>
          <w:sz w:val="20"/>
          <w:szCs w:val="20"/>
          <w:lang w:eastAsia="en-GB"/>
        </w:rPr>
        <w:t>ent procedures covering all the Member States concerned, including Slovakia. The aim is that adequate measures are put in place to bring all zones into compliance.</w:t>
      </w:r>
    </w:p>
    <w:p w:rsidR="00C571F7" w:rsidRDefault="00884FC2">
      <w:pPr>
        <w:widowControl w:val="0"/>
        <w:spacing w:after="120" w:line="240" w:lineRule="auto"/>
        <w:jc w:val="both"/>
        <w:rPr>
          <w:rFonts w:cs="Times New Roman"/>
          <w:noProof/>
          <w:sz w:val="20"/>
          <w:szCs w:val="20"/>
          <w:lang w:eastAsia="en-GB"/>
        </w:rPr>
      </w:pPr>
      <w:r>
        <w:rPr>
          <w:rFonts w:cs="Times New Roman"/>
          <w:noProof/>
          <w:sz w:val="20"/>
          <w:szCs w:val="20"/>
          <w:lang w:eastAsia="en-GB"/>
        </w:rPr>
        <w:t xml:space="preserve">It has been estimated that the health-related external costs from air pollution in Slovakia </w:t>
      </w:r>
      <w:r>
        <w:rPr>
          <w:rFonts w:cs="Times New Roman"/>
          <w:noProof/>
          <w:sz w:val="20"/>
          <w:szCs w:val="20"/>
          <w:lang w:eastAsia="en-GB"/>
        </w:rPr>
        <w:t>are above EUR 3 billion/year (income adjusted, 2010), which include not only the intrinsic value of living a full health life but also direct costs to the economy. These direct economic costs relate to 1.3 million workdays lost each year due to sickness re</w:t>
      </w:r>
      <w:r>
        <w:rPr>
          <w:rFonts w:cs="Times New Roman"/>
          <w:noProof/>
          <w:sz w:val="20"/>
          <w:szCs w:val="20"/>
          <w:lang w:eastAsia="en-GB"/>
        </w:rPr>
        <w:t>lated to air pollution, with associated costs for employers of EUR 123 million/year (income adjusted, 2010), for healthcare of above EUR 10 million/year (income adjusted, 2010), and for agriculture (crop losses) of EUR 35 million/year (2010).</w:t>
      </w:r>
      <w:r>
        <w:rPr>
          <w:rFonts w:cs="Times New Roman"/>
          <w:noProof/>
          <w:sz w:val="20"/>
          <w:szCs w:val="20"/>
          <w:vertAlign w:val="superscript"/>
          <w:lang w:eastAsia="en-GB"/>
        </w:rPr>
        <w:footnoteReference w:id="54"/>
      </w:r>
    </w:p>
    <w:p w:rsidR="00C571F7" w:rsidRDefault="00884FC2">
      <w:pPr>
        <w:widowControl w:val="0"/>
        <w:spacing w:after="120" w:line="240" w:lineRule="auto"/>
        <w:jc w:val="both"/>
        <w:rPr>
          <w:rFonts w:cs="Times New Roman"/>
          <w:noProof/>
          <w:color w:val="1F497D" w:themeColor="text2"/>
          <w:szCs w:val="20"/>
        </w:rPr>
      </w:pPr>
      <w:r>
        <w:rPr>
          <w:rFonts w:cs="Times New Roman"/>
          <w:noProof/>
          <w:color w:val="1F497D" w:themeColor="text2"/>
          <w:szCs w:val="20"/>
        </w:rPr>
        <w:t>Suggested ac</w:t>
      </w:r>
      <w:r>
        <w:rPr>
          <w:rFonts w:cs="Times New Roman"/>
          <w:noProof/>
          <w:color w:val="1F497D" w:themeColor="text2"/>
          <w:szCs w:val="20"/>
        </w:rPr>
        <w:t>tion</w:t>
      </w:r>
    </w:p>
    <w:p w:rsidR="00C571F7" w:rsidRDefault="00884FC2">
      <w:pPr>
        <w:pStyle w:val="NoSpacing"/>
        <w:rPr>
          <w:noProof/>
        </w:rPr>
      </w:pPr>
      <w:r>
        <w:rPr>
          <w:noProof/>
        </w:rPr>
        <w:t>Maintain downward emissions trends of air pollutants in order to achieve full compliance with air quality limit values - and reduce adverse air pollution impacts on health, environment and economy.</w:t>
      </w:r>
    </w:p>
    <w:p w:rsidR="00C571F7" w:rsidRDefault="00884FC2">
      <w:pPr>
        <w:pStyle w:val="NoSpacing"/>
        <w:rPr>
          <w:noProof/>
        </w:rPr>
      </w:pPr>
      <w:r>
        <w:rPr>
          <w:noProof/>
        </w:rPr>
        <w:t>Reduce nitrogen oxide (NO</w:t>
      </w:r>
      <w:r>
        <w:rPr>
          <w:noProof/>
          <w:vertAlign w:val="subscript"/>
        </w:rPr>
        <w:t>x</w:t>
      </w:r>
      <w:r>
        <w:rPr>
          <w:noProof/>
        </w:rPr>
        <w:t xml:space="preserve">) emissions to comply with </w:t>
      </w:r>
      <w:r>
        <w:rPr>
          <w:noProof/>
        </w:rPr>
        <w:t>currently applicable national emission ceilings</w:t>
      </w:r>
      <w:r>
        <w:rPr>
          <w:rStyle w:val="FootnoteReference"/>
          <w:noProof/>
          <w:szCs w:val="20"/>
        </w:rPr>
        <w:footnoteReference w:id="55"/>
      </w:r>
      <w:r>
        <w:rPr>
          <w:noProof/>
        </w:rPr>
        <w:t xml:space="preserve"> and/or to reduce nitrogen dioxide (NO</w:t>
      </w:r>
      <w:r>
        <w:rPr>
          <w:noProof/>
          <w:vertAlign w:val="subscript"/>
        </w:rPr>
        <w:t>2</w:t>
      </w:r>
      <w:r>
        <w:rPr>
          <w:noProof/>
        </w:rPr>
        <w:t>) (and ozone concentrations), inter alia, by reducing transport related emissions - in particular in urban areas.</w:t>
      </w:r>
    </w:p>
    <w:p w:rsidR="00C571F7" w:rsidRDefault="00884FC2">
      <w:pPr>
        <w:pStyle w:val="NoSpacing"/>
        <w:rPr>
          <w:noProof/>
        </w:rPr>
      </w:pPr>
      <w:r>
        <w:rPr>
          <w:noProof/>
        </w:rPr>
        <w:t>Reduce PM</w:t>
      </w:r>
      <w:r>
        <w:rPr>
          <w:noProof/>
          <w:vertAlign w:val="subscript"/>
        </w:rPr>
        <w:t>10</w:t>
      </w:r>
      <w:r>
        <w:rPr>
          <w:noProof/>
        </w:rPr>
        <w:t xml:space="preserve"> emission and concentration, inter alia, by </w:t>
      </w:r>
      <w:r>
        <w:rPr>
          <w:noProof/>
        </w:rPr>
        <w:t>reducing emissions related to energy and heat generation using solid fuels, to transport and to agriculture.</w:t>
      </w:r>
    </w:p>
    <w:p w:rsidR="00C571F7" w:rsidRDefault="00884FC2">
      <w:pPr>
        <w:widowControl w:val="0"/>
        <w:spacing w:before="360" w:after="120" w:line="240" w:lineRule="auto"/>
        <w:outlineLvl w:val="1"/>
        <w:rPr>
          <w:rFonts w:ascii="Times New Roman" w:hAnsi="Times New Roman" w:cs="Times New Roman"/>
          <w:b/>
          <w:i/>
          <w:noProof/>
          <w:color w:val="1F497D" w:themeColor="text2"/>
          <w:sz w:val="24"/>
        </w:rPr>
      </w:pPr>
      <w:bookmarkStart w:id="28" w:name="_Toc469478101"/>
      <w:r>
        <w:rPr>
          <w:rFonts w:cs="Times New Roman"/>
          <w:b/>
          <w:noProof/>
          <w:color w:val="1F497D" w:themeColor="text2"/>
          <w:sz w:val="24"/>
        </w:rPr>
        <w:t>Noise</w:t>
      </w:r>
      <w:bookmarkEnd w:id="28"/>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Environmental Noise Directive provides for a common approach for the avoidance, prevention and reduction of harmful effects due to </w:t>
      </w:r>
      <w:r>
        <w:rPr>
          <w:rFonts w:cs="Times New Roman"/>
          <w:noProof/>
          <w:color w:val="FFFFFF" w:themeColor="background1"/>
          <w:sz w:val="20"/>
        </w:rPr>
        <w:t>exposure to environmental noise.</w:t>
      </w:r>
    </w:p>
    <w:p w:rsidR="00C571F7" w:rsidRDefault="00884FC2">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6"/>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w:t>
      </w:r>
      <w:r>
        <w:rPr>
          <w:rFonts w:cs="Times New Roman"/>
          <w:noProof/>
          <w:sz w:val="20"/>
        </w:rPr>
        <w:t>mation on environmental noise and its effects is made available to the public, and adopting action plans with a view to preventing and reducing environmental noise where necessary and to preserving the acoustic environment quality where it is good.</w:t>
      </w:r>
    </w:p>
    <w:p w:rsidR="00C571F7" w:rsidRDefault="00884FC2">
      <w:pPr>
        <w:widowControl w:val="0"/>
        <w:spacing w:after="120" w:line="240" w:lineRule="auto"/>
        <w:jc w:val="both"/>
        <w:rPr>
          <w:rFonts w:cs="Times New Roman"/>
          <w:noProof/>
          <w:sz w:val="20"/>
        </w:rPr>
      </w:pPr>
      <w:r>
        <w:rPr>
          <w:rFonts w:cs="Times New Roman"/>
          <w:noProof/>
          <w:sz w:val="20"/>
        </w:rPr>
        <w:t>Slovakia's implementation of the Environmental Noise Directive</w:t>
      </w:r>
      <w:r>
        <w:rPr>
          <w:rFonts w:cs="Times New Roman"/>
          <w:noProof/>
          <w:sz w:val="20"/>
          <w:vertAlign w:val="superscript"/>
        </w:rPr>
        <w:footnoteReference w:id="57"/>
      </w:r>
      <w:r>
        <w:rPr>
          <w:rFonts w:cs="Times New Roman"/>
          <w:noProof/>
          <w:sz w:val="20"/>
        </w:rPr>
        <w:t xml:space="preserve"> is significantly delayed. The noise mapping for the most recent reporting round, for the reference year 2011, is only 50% complete for agglomerations and 28% for major roads. The noise mapping</w:t>
      </w:r>
      <w:r>
        <w:rPr>
          <w:rFonts w:cs="Times New Roman"/>
          <w:noProof/>
          <w:sz w:val="20"/>
        </w:rPr>
        <w:t xml:space="preserve"> for major railways is complete. Action plans for noise management in the current period have been adopted for only 25% of major roads. Action plans for agglomerations and major railways have not been completed. The Commission contacted the Slovakian autho</w:t>
      </w:r>
      <w:r>
        <w:rPr>
          <w:rFonts w:cs="Times New Roman"/>
          <w:noProof/>
          <w:sz w:val="20"/>
        </w:rPr>
        <w:t>rities with regard to the missing noise maps and action plans, and continues to follow up on the situation.</w:t>
      </w:r>
    </w:p>
    <w:p w:rsidR="00C571F7" w:rsidRDefault="00884FC2">
      <w:pPr>
        <w:widowControl w:val="0"/>
        <w:spacing w:after="120" w:line="240" w:lineRule="auto"/>
        <w:jc w:val="both"/>
        <w:rPr>
          <w:rFonts w:cs="Times New Roman"/>
          <w:noProof/>
          <w:color w:val="1F497D" w:themeColor="text2"/>
        </w:rPr>
      </w:pPr>
      <w:r>
        <w:rPr>
          <w:rFonts w:cs="Times New Roman"/>
          <w:noProof/>
          <w:color w:val="1F497D" w:themeColor="text2"/>
        </w:rPr>
        <w:t>Suggested action</w:t>
      </w:r>
    </w:p>
    <w:p w:rsidR="00C571F7" w:rsidRDefault="00884FC2">
      <w:pPr>
        <w:pStyle w:val="NoSpacing"/>
        <w:rPr>
          <w:noProof/>
        </w:rPr>
      </w:pPr>
      <w:r>
        <w:rPr>
          <w:noProof/>
        </w:rPr>
        <w:t>Complete noise mapping and action plans for noise management and use them in planning praxis</w:t>
      </w:r>
    </w:p>
    <w:p w:rsidR="00C571F7" w:rsidRDefault="00884FC2">
      <w:pPr>
        <w:widowControl w:val="0"/>
        <w:spacing w:before="360" w:after="120" w:line="240" w:lineRule="auto"/>
        <w:outlineLvl w:val="1"/>
        <w:rPr>
          <w:rFonts w:cs="Times New Roman"/>
          <w:b/>
          <w:noProof/>
          <w:color w:val="1F497D" w:themeColor="text2"/>
          <w:sz w:val="24"/>
        </w:rPr>
      </w:pPr>
      <w:bookmarkStart w:id="29" w:name="_Toc433296167"/>
      <w:bookmarkStart w:id="30" w:name="_Toc469478102"/>
      <w:r>
        <w:rPr>
          <w:rFonts w:cs="Times New Roman"/>
          <w:b/>
          <w:noProof/>
          <w:color w:val="1F497D" w:themeColor="text2"/>
          <w:sz w:val="24"/>
        </w:rPr>
        <w:t>Water quality</w:t>
      </w:r>
      <w:bookmarkEnd w:id="29"/>
      <w:r>
        <w:rPr>
          <w:rFonts w:cs="Times New Roman"/>
          <w:b/>
          <w:noProof/>
          <w:color w:val="1F497D" w:themeColor="text2"/>
          <w:sz w:val="24"/>
        </w:rPr>
        <w:t xml:space="preserve"> and management</w:t>
      </w:r>
      <w:bookmarkEnd w:id="30"/>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wa</w:t>
      </w:r>
      <w:r>
        <w:rPr>
          <w:rFonts w:cs="Times New Roman"/>
          <w:noProof/>
          <w:color w:val="FFFFFF" w:themeColor="background1"/>
          <w:sz w:val="20"/>
        </w:rPr>
        <w:t>ter policy and legislation require that the impact of pressures on transitional, coastal and fresh waters (including surface and ground waters) is significantly reduced to achieve, maintain or enhance good status of water bodies, as defined by the Water Fr</w:t>
      </w:r>
      <w:r>
        <w:rPr>
          <w:rFonts w:cs="Times New Roman"/>
          <w:noProof/>
          <w:color w:val="FFFFFF" w:themeColor="background1"/>
          <w:sz w:val="20"/>
        </w:rPr>
        <w:t>amework Directive; that citizens throughout the Union benefit from high standards for safe drinking and bathing water; and that the nutrient cycle (nitrogen and phosphorus) is managed in a more sustainable and resource-efficient way.</w:t>
      </w:r>
    </w:p>
    <w:p w:rsidR="00C571F7" w:rsidRDefault="00884FC2">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w:t>
      </w:r>
      <w:r>
        <w:rPr>
          <w:rFonts w:cs="Times New Roman"/>
          <w:noProof/>
          <w:color w:val="FFFFFF" w:themeColor="background1"/>
          <w:sz w:val="20"/>
        </w:rPr>
        <w:t>ries to ensure availability and sustainable management of water and sanitation for all.</w:t>
      </w:r>
    </w:p>
    <w:p w:rsidR="00C571F7" w:rsidRDefault="00884FC2">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58"/>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C571F7" w:rsidRDefault="00884FC2">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cs="Times New Roman"/>
          <w:noProof/>
          <w:sz w:val="20"/>
        </w:rPr>
        <w:t>ivers, groundwater, estuaries and coastal waters up to one nautical mile.</w:t>
      </w:r>
    </w:p>
    <w:p w:rsidR="00C571F7" w:rsidRDefault="00884FC2">
      <w:pPr>
        <w:widowControl w:val="0"/>
        <w:autoSpaceDE w:val="0"/>
        <w:spacing w:after="120" w:line="240" w:lineRule="auto"/>
        <w:jc w:val="both"/>
        <w:rPr>
          <w:rFonts w:cs="Times New Roman"/>
          <w:noProof/>
          <w:sz w:val="20"/>
        </w:rPr>
      </w:pPr>
      <w:r>
        <w:rPr>
          <w:rFonts w:cs="Times New Roman"/>
          <w:noProof/>
          <w:sz w:val="20"/>
        </w:rPr>
        <w:t xml:space="preserve">Slovakia has provided information to the Commission from its second generation of RBMPs. However, as the Commission has not yet been able to validate this information for all Member </w:t>
      </w:r>
      <w:r>
        <w:rPr>
          <w:rFonts w:cs="Times New Roman"/>
          <w:noProof/>
          <w:sz w:val="20"/>
        </w:rPr>
        <w:t>States, it is not reported here.</w:t>
      </w:r>
    </w:p>
    <w:p w:rsidR="00C571F7" w:rsidRDefault="00884FC2">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first generation of RBMPs</w:t>
      </w:r>
      <w:r>
        <w:rPr>
          <w:rFonts w:eastAsia="Times New Roman" w:cs="Times New Roman"/>
          <w:noProof/>
          <w:color w:val="000000"/>
          <w:sz w:val="20"/>
          <w:szCs w:val="20"/>
          <w:vertAlign w:val="superscript"/>
        </w:rPr>
        <w:footnoteReference w:id="59"/>
      </w:r>
      <w:r>
        <w:rPr>
          <w:rFonts w:eastAsia="Times New Roman" w:cs="Times New Roman"/>
          <w:noProof/>
          <w:color w:val="000000"/>
          <w:sz w:val="20"/>
          <w:szCs w:val="20"/>
        </w:rPr>
        <w:t xml:space="preserve"> under the WFD the Slovak Republic reported the status of 1760 surface water bodies</w:t>
      </w:r>
      <w:r>
        <w:rPr>
          <w:rFonts w:eastAsia="Times New Roman" w:cs="Times New Roman"/>
          <w:noProof/>
          <w:color w:val="000000"/>
          <w:sz w:val="20"/>
          <w:szCs w:val="20"/>
          <w:vertAlign w:val="superscript"/>
        </w:rPr>
        <w:footnoteReference w:id="60"/>
      </w:r>
      <w:r>
        <w:rPr>
          <w:rFonts w:eastAsia="Times New Roman" w:cs="Times New Roman"/>
          <w:noProof/>
          <w:color w:val="000000"/>
          <w:sz w:val="20"/>
          <w:szCs w:val="20"/>
        </w:rPr>
        <w:t xml:space="preserve"> and 101 groundwater bodies. 65% of natural surface water bodies achieve a good or high ecological status</w:t>
      </w:r>
      <w:r>
        <w:rPr>
          <w:rFonts w:eastAsia="Times New Roman" w:cs="Times New Roman"/>
          <w:noProof/>
          <w:color w:val="000000"/>
          <w:sz w:val="20"/>
          <w:szCs w:val="20"/>
          <w:vertAlign w:val="superscript"/>
        </w:rPr>
        <w:footnoteReference w:id="61"/>
      </w:r>
      <w:r>
        <w:rPr>
          <w:rFonts w:eastAsia="Times New Roman" w:cs="Times New Roman"/>
          <w:noProof/>
          <w:color w:val="000000"/>
          <w:sz w:val="20"/>
          <w:szCs w:val="20"/>
        </w:rPr>
        <w:t xml:space="preserve"> and only 42% of heavily modified or artificial water bodies achieve a high or ecological potential. 96% of surface water bodies, 72% of heavily modified and artificial water bodies and </w:t>
      </w:r>
      <w:r>
        <w:rPr>
          <w:rFonts w:cs="Times New Roman"/>
          <w:noProof/>
          <w:color w:val="000000"/>
          <w:sz w:val="20"/>
        </w:rPr>
        <w:t>61%</w:t>
      </w:r>
      <w:r>
        <w:rPr>
          <w:rFonts w:eastAsia="Times New Roman" w:cs="Times New Roman"/>
          <w:noProof/>
          <w:color w:val="000000"/>
          <w:sz w:val="20"/>
          <w:szCs w:val="20"/>
        </w:rPr>
        <w:t xml:space="preserve"> of groundwater bodies achieve good chemical status</w:t>
      </w:r>
      <w:r>
        <w:rPr>
          <w:rFonts w:eastAsia="Times New Roman" w:cs="Times New Roman"/>
          <w:noProof/>
          <w:color w:val="000000"/>
          <w:sz w:val="20"/>
          <w:szCs w:val="20"/>
          <w:vertAlign w:val="superscript"/>
        </w:rPr>
        <w:footnoteReference w:id="62"/>
      </w:r>
      <w:r>
        <w:rPr>
          <w:rFonts w:eastAsia="Times New Roman" w:cs="Times New Roman"/>
          <w:noProof/>
          <w:color w:val="000000"/>
          <w:sz w:val="20"/>
          <w:szCs w:val="20"/>
        </w:rPr>
        <w:t xml:space="preserve"> (while the sta</w:t>
      </w:r>
      <w:r>
        <w:rPr>
          <w:rFonts w:eastAsia="Times New Roman" w:cs="Times New Roman"/>
          <w:noProof/>
          <w:color w:val="000000"/>
          <w:sz w:val="20"/>
          <w:szCs w:val="20"/>
        </w:rPr>
        <w:t>tus of 26% is unknown</w:t>
      </w:r>
      <w:r>
        <w:rPr>
          <w:rFonts w:eastAsia="Times New Roman" w:cs="Times New Roman"/>
          <w:noProof/>
          <w:color w:val="000000"/>
          <w:sz w:val="20"/>
          <w:szCs w:val="20"/>
          <w:vertAlign w:val="superscript"/>
        </w:rPr>
        <w:footnoteReference w:id="63"/>
      </w:r>
      <w:r>
        <w:rPr>
          <w:rFonts w:eastAsia="Times New Roman" w:cs="Times New Roman"/>
          <w:noProof/>
          <w:color w:val="000000"/>
          <w:sz w:val="20"/>
          <w:szCs w:val="20"/>
        </w:rPr>
        <w:t xml:space="preserve">). </w:t>
      </w:r>
      <w:r>
        <w:rPr>
          <w:rFonts w:cs="Times New Roman"/>
          <w:noProof/>
          <w:color w:val="000000"/>
          <w:sz w:val="20"/>
        </w:rPr>
        <w:t>69%</w:t>
      </w:r>
      <w:r>
        <w:rPr>
          <w:rFonts w:eastAsia="Times New Roman" w:cs="Times New Roman"/>
          <w:noProof/>
          <w:color w:val="FF0000"/>
          <w:sz w:val="20"/>
          <w:szCs w:val="20"/>
        </w:rPr>
        <w:t xml:space="preserve"> </w:t>
      </w:r>
      <w:r>
        <w:rPr>
          <w:rFonts w:eastAsia="Times New Roman" w:cs="Times New Roman"/>
          <w:noProof/>
          <w:color w:val="000000"/>
          <w:sz w:val="20"/>
          <w:szCs w:val="20"/>
        </w:rPr>
        <w:t>of groundwater bodies (26% unknown) are in good quantitative status</w:t>
      </w:r>
      <w:r>
        <w:rPr>
          <w:rFonts w:eastAsia="Times New Roman" w:cs="Times New Roman"/>
          <w:noProof/>
          <w:color w:val="000000"/>
          <w:sz w:val="20"/>
          <w:szCs w:val="20"/>
          <w:vertAlign w:val="superscript"/>
        </w:rPr>
        <w:footnoteReference w:id="64"/>
      </w:r>
      <w:r>
        <w:rPr>
          <w:rFonts w:eastAsia="Times New Roman" w:cs="Times New Roman"/>
          <w:noProof/>
          <w:color w:val="000000"/>
          <w:sz w:val="20"/>
          <w:szCs w:val="20"/>
        </w:rPr>
        <w:t>.</w:t>
      </w:r>
    </w:p>
    <w:p w:rsidR="00C571F7" w:rsidRDefault="00884FC2">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Slovakia identified that organic pollution, nutrients pollution, pollution by hazardous substances from both diffuse</w:t>
      </w:r>
      <w:r>
        <w:rPr>
          <w:rFonts w:eastAsia="Times New Roman" w:cs="Times New Roman"/>
          <w:noProof/>
          <w:color w:val="000000"/>
          <w:sz w:val="20"/>
          <w:szCs w:val="20"/>
          <w:vertAlign w:val="superscript"/>
        </w:rPr>
        <w:footnoteReference w:id="65"/>
      </w:r>
      <w:r>
        <w:rPr>
          <w:rFonts w:eastAsia="Times New Roman" w:cs="Times New Roman"/>
          <w:noProof/>
          <w:color w:val="000000"/>
          <w:sz w:val="20"/>
          <w:szCs w:val="20"/>
        </w:rPr>
        <w:t xml:space="preserve"> and point sources, and hydromorphologic</w:t>
      </w:r>
      <w:r>
        <w:rPr>
          <w:rFonts w:eastAsia="Times New Roman" w:cs="Times New Roman"/>
          <w:noProof/>
          <w:color w:val="000000"/>
          <w:sz w:val="20"/>
          <w:szCs w:val="20"/>
        </w:rPr>
        <w:t xml:space="preserve">al alterations are the main causes of non-attainment of good status. </w:t>
      </w:r>
    </w:p>
    <w:p w:rsidR="00C571F7" w:rsidRDefault="00884FC2">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Slovak RBMPs have some deficiencies that result in uncertainties about the status and effectiveness of Programmes of Measures. In particular there are weaknesses in monitoring, metho</w:t>
      </w:r>
      <w:r>
        <w:rPr>
          <w:rFonts w:eastAsia="Times New Roman" w:cs="Times New Roman"/>
          <w:noProof/>
          <w:color w:val="000000"/>
          <w:sz w:val="20"/>
          <w:szCs w:val="20"/>
        </w:rPr>
        <w:t>dologies for status assessment and the link between pressures and Programmes of Measures.</w:t>
      </w:r>
      <w:r>
        <w:rPr>
          <w:rFonts w:eastAsia="Times New Roman" w:cs="Times New Roman"/>
          <w:noProof/>
          <w:color w:val="000000"/>
          <w:sz w:val="20"/>
          <w:szCs w:val="20"/>
          <w:vertAlign w:val="superscript"/>
        </w:rPr>
        <w:footnoteReference w:id="66"/>
      </w:r>
      <w:r>
        <w:rPr>
          <w:rFonts w:eastAsia="Times New Roman" w:cs="Times New Roman"/>
          <w:noProof/>
          <w:color w:val="000000"/>
          <w:sz w:val="20"/>
          <w:szCs w:val="20"/>
        </w:rPr>
        <w:t xml:space="preserve"> A number of exemptions were applied. The planned measures are expected to result in improvement of chemical status of surface water bodies by 4%. The measures should</w:t>
      </w:r>
      <w:r>
        <w:rPr>
          <w:rFonts w:eastAsia="Times New Roman" w:cs="Times New Roman"/>
          <w:noProof/>
          <w:color w:val="000000"/>
          <w:sz w:val="20"/>
          <w:szCs w:val="20"/>
        </w:rPr>
        <w:t xml:space="preserve"> also bring improvement of ecological potential of artificial and heavily modified water bodies</w:t>
      </w:r>
      <w:r>
        <w:rPr>
          <w:rFonts w:eastAsia="Times New Roman" w:cs="Times New Roman"/>
          <w:noProof/>
          <w:color w:val="000000"/>
          <w:sz w:val="20"/>
          <w:szCs w:val="20"/>
          <w:vertAlign w:val="superscript"/>
        </w:rPr>
        <w:footnoteReference w:id="67"/>
      </w:r>
      <w:r>
        <w:rPr>
          <w:rFonts w:eastAsia="Times New Roman" w:cs="Times New Roman"/>
          <w:noProof/>
          <w:color w:val="000000"/>
          <w:sz w:val="20"/>
          <w:szCs w:val="20"/>
        </w:rPr>
        <w:t xml:space="preserve"> by 2% and chemical status by 28%. The quantitative status of groundwater is expected to improve by 5%.</w:t>
      </w:r>
    </w:p>
    <w:p w:rsidR="00C571F7" w:rsidRDefault="00884FC2">
      <w:pPr>
        <w:widowControl w:val="0"/>
        <w:spacing w:after="120" w:line="240" w:lineRule="auto"/>
        <w:jc w:val="both"/>
        <w:rPr>
          <w:rFonts w:cs="Times New Roman"/>
          <w:noProof/>
          <w:sz w:val="20"/>
        </w:rPr>
      </w:pPr>
      <w:r>
        <w:rPr>
          <w:rFonts w:cs="Times New Roman"/>
          <w:noProof/>
          <w:sz w:val="20"/>
        </w:rPr>
        <w:t>Slovakia has designated around 30% of the territory as N</w:t>
      </w:r>
      <w:r>
        <w:rPr>
          <w:rFonts w:cs="Times New Roman"/>
          <w:noProof/>
          <w:sz w:val="20"/>
        </w:rPr>
        <w:t>itrate Vulnerable Zone. The action programme has differentiated measures per areas depending of farming restrictions that apply. Discussions on the implementation of the Directive are on-going between the Commission and Slovakia in the context of an infrin</w:t>
      </w:r>
      <w:r>
        <w:rPr>
          <w:rFonts w:cs="Times New Roman"/>
          <w:noProof/>
          <w:sz w:val="20"/>
        </w:rPr>
        <w:t>gement procedure launched in 2012. A recent Court of Auditors report "Danube river basin II: Quality of water"</w:t>
      </w:r>
      <w:r>
        <w:rPr>
          <w:rFonts w:cs="Times New Roman"/>
          <w:noProof/>
          <w:sz w:val="20"/>
          <w:vertAlign w:val="superscript"/>
        </w:rPr>
        <w:footnoteReference w:id="68"/>
      </w:r>
      <w:r>
        <w:rPr>
          <w:rFonts w:cs="Times New Roman"/>
          <w:noProof/>
          <w:sz w:val="20"/>
        </w:rPr>
        <w:t xml:space="preserve"> stated there is a lack of ambition in the Member States concerned including Slovakia to address causes of pollution. It stated that Member State</w:t>
      </w:r>
      <w:r>
        <w:rPr>
          <w:rFonts w:cs="Times New Roman"/>
          <w:noProof/>
          <w:sz w:val="20"/>
        </w:rPr>
        <w:t>s are not using all the possibilities offered by the Nitrates Directive</w:t>
      </w:r>
    </w:p>
    <w:p w:rsidR="00C571F7" w:rsidRDefault="00884FC2">
      <w:pPr>
        <w:widowControl w:val="0"/>
        <w:spacing w:after="120" w:line="240" w:lineRule="auto"/>
        <w:jc w:val="both"/>
        <w:rPr>
          <w:rFonts w:cs="Times New Roman"/>
          <w:noProof/>
          <w:sz w:val="20"/>
          <w:szCs w:val="20"/>
          <w:lang w:val="en-US"/>
        </w:rPr>
      </w:pPr>
      <w:r>
        <w:rPr>
          <w:rFonts w:cs="Times New Roman"/>
          <w:noProof/>
          <w:sz w:val="20"/>
          <w:szCs w:val="20"/>
          <w:lang w:val="en-US"/>
        </w:rPr>
        <w:t>As regards drinking water, Slovakia reaches very high compliance rates of 99.52% % for microbiological, 100 % for chemical, and 99.4% for indicator parameters laid down in the Drinking</w:t>
      </w:r>
      <w:r>
        <w:rPr>
          <w:rFonts w:cs="Times New Roman"/>
          <w:noProof/>
          <w:sz w:val="20"/>
          <w:szCs w:val="20"/>
          <w:lang w:val="en-US"/>
        </w:rPr>
        <w:t xml:space="preserve"> Water Directive</w:t>
      </w:r>
      <w:r>
        <w:rPr>
          <w:rFonts w:cs="Times New Roman"/>
          <w:noProof/>
          <w:sz w:val="20"/>
          <w:vertAlign w:val="superscript"/>
          <w:lang w:val="en-US"/>
        </w:rPr>
        <w:footnoteReference w:id="69"/>
      </w:r>
      <w:r>
        <w:rPr>
          <w:rFonts w:cs="Times New Roman"/>
          <w:noProof/>
          <w:sz w:val="20"/>
        </w:rPr>
        <w:t xml:space="preserve">. </w:t>
      </w:r>
      <w:r>
        <w:rPr>
          <w:rFonts w:cs="Times New Roman"/>
          <w:noProof/>
          <w:sz w:val="20"/>
          <w:szCs w:val="20"/>
          <w:lang w:val="en-US"/>
        </w:rPr>
        <w:t>More than 80% of drinking water sources in Slovakia are underground, and are concentrated in the south- western part of Slovakia (Zitny ostrov belongs to the biggest sources of drinking water in Central Europe).</w:t>
      </w:r>
      <w:r>
        <w:rPr>
          <w:rFonts w:cs="Times New Roman"/>
          <w:noProof/>
          <w:sz w:val="20"/>
          <w:szCs w:val="20"/>
          <w:vertAlign w:val="superscript"/>
          <w:lang w:val="en-US"/>
        </w:rPr>
        <w:footnoteReference w:id="70"/>
      </w:r>
      <w:r>
        <w:rPr>
          <w:rFonts w:cs="Times New Roman"/>
          <w:noProof/>
          <w:sz w:val="20"/>
          <w:szCs w:val="20"/>
          <w:lang w:val="en-US"/>
        </w:rPr>
        <w:t xml:space="preserve"> There are several pressures.  </w:t>
      </w:r>
    </w:p>
    <w:p w:rsidR="00C571F7" w:rsidRDefault="00884FC2">
      <w:pPr>
        <w:widowControl w:val="0"/>
        <w:spacing w:after="120" w:line="240" w:lineRule="auto"/>
        <w:jc w:val="both"/>
        <w:rPr>
          <w:rFonts w:cs="Times New Roman"/>
          <w:noProof/>
          <w:sz w:val="20"/>
          <w:lang w:val="en-US"/>
        </w:rPr>
      </w:pPr>
      <w:r>
        <w:rPr>
          <w:rFonts w:cs="Times New Roman"/>
          <w:noProof/>
          <w:sz w:val="20"/>
        </w:rPr>
        <w:t>As shown in Figure 10, in 20</w:t>
      </w:r>
      <w:r>
        <w:rPr>
          <w:rFonts w:cs="Times New Roman"/>
          <w:noProof/>
          <w:sz w:val="20"/>
          <w:lang w:val="en-US"/>
        </w:rPr>
        <w:t>15 in Slovakia, out of 33 bathing waters, 48.5 % were of excellent quality, 30.3% of good quality, 3.0% of sufficient quality. 1 bathing waters was of poor quality or non- compliant while it was n</w:t>
      </w:r>
      <w:r>
        <w:rPr>
          <w:rFonts w:cs="Times New Roman"/>
          <w:noProof/>
          <w:sz w:val="20"/>
          <w:lang w:val="en-US"/>
        </w:rPr>
        <w:t>ot possible to assess the remaining 5 bathing waters because of their reconstruction.</w:t>
      </w:r>
      <w:r>
        <w:rPr>
          <w:rFonts w:cs="Times New Roman"/>
          <w:noProof/>
          <w:sz w:val="20"/>
          <w:vertAlign w:val="superscript"/>
          <w:lang w:val="en-US"/>
        </w:rPr>
        <w:footnoteReference w:id="71"/>
      </w:r>
      <w:r>
        <w:rPr>
          <w:rFonts w:cs="Times New Roman"/>
          <w:noProof/>
          <w:sz w:val="20"/>
          <w:lang w:val="en-US"/>
        </w:rPr>
        <w:t xml:space="preserve"> The figure shows a decrease of bathing waters having excellent quality.</w:t>
      </w:r>
    </w:p>
    <w:p w:rsidR="00C571F7" w:rsidRDefault="00C571F7">
      <w:pPr>
        <w:widowControl w:val="0"/>
        <w:spacing w:after="120" w:line="240" w:lineRule="auto"/>
        <w:jc w:val="both"/>
        <w:rPr>
          <w:rFonts w:cs="Times New Roman"/>
          <w:noProof/>
          <w:sz w:val="20"/>
          <w:szCs w:val="20"/>
          <w:lang w:val="en-US"/>
        </w:rPr>
      </w:pPr>
    </w:p>
    <w:p w:rsidR="00C571F7" w:rsidRDefault="00C571F7">
      <w:pPr>
        <w:widowControl w:val="0"/>
        <w:spacing w:after="120" w:line="240" w:lineRule="auto"/>
        <w:jc w:val="both"/>
        <w:rPr>
          <w:rFonts w:cs="Times New Roman"/>
          <w:noProof/>
          <w:sz w:val="20"/>
          <w:szCs w:val="20"/>
          <w:lang w:val="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c>
          <w:tcPr>
            <w:tcW w:w="4909" w:type="dxa"/>
          </w:tcPr>
          <w:p w:rsidR="00C571F7" w:rsidRDefault="00884FC2">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72"/>
            </w:r>
          </w:p>
        </w:tc>
      </w:tr>
      <w:tr w:rsidR="00C571F7">
        <w:tc>
          <w:tcPr>
            <w:tcW w:w="4909" w:type="dxa"/>
          </w:tcPr>
          <w:p w:rsidR="00C571F7" w:rsidRDefault="00884FC2">
            <w:pPr>
              <w:widowControl w:val="0"/>
              <w:spacing w:after="120"/>
              <w:jc w:val="both"/>
              <w:rPr>
                <w:rFonts w:cs="Times New Roman"/>
                <w:noProof/>
                <w:sz w:val="20"/>
              </w:rPr>
            </w:pPr>
            <w:r>
              <w:rPr>
                <w:rFonts w:cs="Times New Roman"/>
                <w:noProof/>
                <w:sz w:val="20"/>
                <w:lang w:eastAsia="en-GB"/>
              </w:rPr>
              <w:drawing>
                <wp:inline distT="0" distB="0" distL="0" distR="0" wp14:anchorId="056391A4" wp14:editId="57D6E3A5">
                  <wp:extent cx="2895600" cy="2427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96334" cy="2427679"/>
                          </a:xfrm>
                          <a:prstGeom prst="rect">
                            <a:avLst/>
                          </a:prstGeom>
                          <a:noFill/>
                        </pic:spPr>
                      </pic:pic>
                    </a:graphicData>
                  </a:graphic>
                </wp:inline>
              </w:drawing>
            </w:r>
          </w:p>
        </w:tc>
      </w:tr>
    </w:tbl>
    <w:p w:rsidR="00C571F7" w:rsidRDefault="00884FC2">
      <w:pPr>
        <w:widowControl w:val="0"/>
        <w:spacing w:after="120" w:line="240" w:lineRule="auto"/>
        <w:jc w:val="both"/>
        <w:rPr>
          <w:rFonts w:cs="Times New Roman"/>
          <w:noProof/>
          <w:sz w:val="20"/>
        </w:rPr>
      </w:pPr>
      <w:r>
        <w:rPr>
          <w:rFonts w:cs="Times New Roman"/>
          <w:noProof/>
          <w:sz w:val="20"/>
          <w:lang w:val="en-US"/>
        </w:rPr>
        <w:t xml:space="preserve">With regard to the implementation of the Urban Waste Water Treatment Directive, in accordance with its Accession treaty, Slovakia had until 31 December 2015 to comply, with a number of transitional deadlines in 2004, 2008 and 2010. In 2012, </w:t>
      </w:r>
      <w:r>
        <w:rPr>
          <w:rFonts w:cs="Arial"/>
          <w:noProof/>
          <w:sz w:val="20"/>
          <w:lang w:eastAsia="zh-CN"/>
        </w:rPr>
        <w:t>all</w:t>
      </w:r>
      <w:r>
        <w:rPr>
          <w:rFonts w:cs="Times New Roman"/>
          <w:noProof/>
          <w:sz w:val="20"/>
        </w:rPr>
        <w:t xml:space="preserve"> agglomerati</w:t>
      </w:r>
      <w:r>
        <w:rPr>
          <w:rFonts w:cs="Times New Roman"/>
          <w:noProof/>
          <w:sz w:val="20"/>
        </w:rPr>
        <w:t>ons</w:t>
      </w:r>
      <w:r>
        <w:rPr>
          <w:rFonts w:cs="Arial"/>
          <w:noProof/>
          <w:sz w:val="20"/>
          <w:lang w:eastAsia="zh-CN"/>
        </w:rPr>
        <w:t xml:space="preserve"> due to comply</w:t>
      </w:r>
      <w:r>
        <w:rPr>
          <w:rFonts w:cs="Times New Roman"/>
          <w:noProof/>
          <w:sz w:val="20"/>
        </w:rPr>
        <w:t xml:space="preserve"> with Article 3</w:t>
      </w:r>
      <w:r>
        <w:rPr>
          <w:rFonts w:cs="Arial"/>
          <w:noProof/>
          <w:sz w:val="20"/>
          <w:lang w:eastAsia="zh-CN"/>
        </w:rPr>
        <w:t xml:space="preserve"> (collection of waste water)</w:t>
      </w:r>
      <w:r>
        <w:rPr>
          <w:rFonts w:cs="Times New Roman"/>
          <w:noProof/>
          <w:sz w:val="20"/>
        </w:rPr>
        <w:t xml:space="preserve"> met the requirements of the Directive. </w:t>
      </w:r>
      <w:r>
        <w:rPr>
          <w:rFonts w:cs="Arial"/>
          <w:noProof/>
          <w:sz w:val="20"/>
          <w:lang w:eastAsia="zh-CN"/>
        </w:rPr>
        <w:t>97.9% of the waste water load collected was subject to secondary treatment in accordance with Article 4 of the Directive. However, a</w:t>
      </w:r>
      <w:r>
        <w:rPr>
          <w:rFonts w:cs="Times New Roman"/>
          <w:noProof/>
          <w:sz w:val="20"/>
        </w:rPr>
        <w:t xml:space="preserve">s regards </w:t>
      </w:r>
      <w:r>
        <w:rPr>
          <w:rFonts w:cs="Arial"/>
          <w:noProof/>
          <w:sz w:val="20"/>
          <w:lang w:eastAsia="zh-CN"/>
        </w:rPr>
        <w:t>A</w:t>
      </w:r>
      <w:r>
        <w:rPr>
          <w:rFonts w:cs="Times New Roman"/>
          <w:noProof/>
          <w:sz w:val="20"/>
        </w:rPr>
        <w:t>rticle 5</w:t>
      </w:r>
      <w:r>
        <w:rPr>
          <w:rFonts w:cs="Arial"/>
          <w:noProof/>
          <w:sz w:val="20"/>
          <w:lang w:eastAsia="zh-CN"/>
        </w:rPr>
        <w:t>,</w:t>
      </w:r>
      <w:r>
        <w:rPr>
          <w:rFonts w:cs="Times New Roman"/>
          <w:noProof/>
          <w:sz w:val="20"/>
        </w:rPr>
        <w:t xml:space="preserve"> only 43.3 % of the waste water load collected was subject to more stringent treatment.</w:t>
      </w:r>
      <w:r>
        <w:rPr>
          <w:rFonts w:cs="Times New Roman"/>
          <w:noProof/>
          <w:sz w:val="20"/>
          <w:vertAlign w:val="superscript"/>
        </w:rPr>
        <w:footnoteReference w:id="73"/>
      </w:r>
      <w:r>
        <w:rPr>
          <w:rFonts w:cs="Times New Roman"/>
          <w:noProof/>
          <w:color w:val="FF0000"/>
          <w:sz w:val="20"/>
        </w:rPr>
        <w:t xml:space="preserve"> </w:t>
      </w:r>
      <w:r>
        <w:rPr>
          <w:rFonts w:cs="Times New Roman"/>
          <w:noProof/>
          <w:sz w:val="20"/>
        </w:rPr>
        <w:t xml:space="preserve">The Commission is following-up on the above-mentioned non-compliance by means of a pilot exchange. </w:t>
      </w:r>
    </w:p>
    <w:p w:rsidR="00C571F7" w:rsidRDefault="00884FC2">
      <w:pPr>
        <w:widowControl w:val="0"/>
        <w:spacing w:after="120" w:line="240" w:lineRule="auto"/>
        <w:jc w:val="both"/>
        <w:rPr>
          <w:rFonts w:cs="Times New Roman"/>
          <w:noProof/>
          <w:sz w:val="20"/>
        </w:rPr>
      </w:pPr>
      <w:r>
        <w:rPr>
          <w:rFonts w:cs="Times New Roman"/>
          <w:noProof/>
          <w:sz w:val="20"/>
        </w:rPr>
        <w:t xml:space="preserve">Figure 11 shows the total generated load at Member State level (in </w:t>
      </w:r>
      <w:r>
        <w:rPr>
          <w:rFonts w:cs="Times New Roman"/>
          <w:noProof/>
          <w:sz w:val="20"/>
        </w:rPr>
        <w:t xml:space="preserve">population equivalent and regardless of agglomerations) and the load that remains to be addressed by Slovakia. </w:t>
      </w:r>
    </w:p>
    <w:p w:rsidR="00C571F7" w:rsidRDefault="00884FC2">
      <w:pPr>
        <w:widowControl w:val="0"/>
        <w:spacing w:after="120" w:line="240" w:lineRule="auto"/>
        <w:jc w:val="both"/>
        <w:rPr>
          <w:rFonts w:cs="Times New Roman"/>
          <w:noProof/>
          <w:sz w:val="20"/>
        </w:rPr>
      </w:pPr>
      <w:r>
        <w:rPr>
          <w:rFonts w:cs="Times New Roman"/>
          <w:noProof/>
          <w:sz w:val="20"/>
        </w:rPr>
        <w:t>The estimated investment needs (reported by Slovakia under Article 17 of the Urban Waste Water Treatment Directive) to reach full compliance wit</w:t>
      </w:r>
      <w:r>
        <w:rPr>
          <w:rFonts w:cs="Times New Roman"/>
          <w:noProof/>
          <w:sz w:val="20"/>
        </w:rPr>
        <w:t>h the Directive in are of 807 MEUR</w:t>
      </w:r>
      <w:r>
        <w:rPr>
          <w:rFonts w:cs="Times New Roman"/>
          <w:noProof/>
          <w:sz w:val="20"/>
          <w:vertAlign w:val="superscript"/>
        </w:rPr>
        <w:footnoteReference w:id="74"/>
      </w:r>
      <w:r>
        <w:rPr>
          <w:rFonts w:cs="Times New Roman"/>
          <w:noProof/>
          <w:sz w:val="20"/>
        </w:rPr>
        <w:t xml:space="preserve">. The Majority of investments are supported by EU funds due to the limited availability of sources at the national level. This has been reported as distorting element in setting the balanced water pricing policy.    </w:t>
      </w:r>
    </w:p>
    <w:p w:rsidR="00C571F7" w:rsidRDefault="00C571F7">
      <w:pPr>
        <w:widowControl w:val="0"/>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rPr>
          <w:trHeight w:val="273"/>
        </w:trPr>
        <w:tc>
          <w:tcPr>
            <w:tcW w:w="5109" w:type="dxa"/>
            <w:shd w:val="clear" w:color="auto" w:fill="auto"/>
          </w:tcPr>
          <w:p w:rsidR="00C571F7" w:rsidRDefault="00884FC2">
            <w:pPr>
              <w:widowControl w:val="0"/>
              <w:spacing w:after="120"/>
              <w:jc w:val="both"/>
              <w:rPr>
                <w:rFonts w:cs="Times New Roman"/>
                <w:noProof/>
                <w:sz w:val="20"/>
              </w:rPr>
            </w:pPr>
            <w:r>
              <w:rPr>
                <w:rFonts w:cs="Times New Roman"/>
                <w:b/>
                <w:noProof/>
                <w:color w:val="1F497D" w:themeColor="text2"/>
                <w:sz w:val="20"/>
              </w:rPr>
              <w:t>Fig</w:t>
            </w:r>
            <w:r>
              <w:rPr>
                <w:rFonts w:cs="Times New Roman"/>
                <w:b/>
                <w:noProof/>
                <w:color w:val="1F497D" w:themeColor="text2"/>
                <w:sz w:val="20"/>
              </w:rPr>
              <w:t xml:space="preserve">ure 11: Urban waste water </w:t>
            </w:r>
            <w:r>
              <w:rPr>
                <w:rFonts w:cs="Times New Roman"/>
                <w:b/>
                <w:bCs/>
                <w:noProof/>
                <w:color w:val="1F497D" w:themeColor="text2"/>
                <w:sz w:val="20"/>
              </w:rPr>
              <w:t>Slovakian situation</w:t>
            </w:r>
            <w:r>
              <w:rPr>
                <w:rFonts w:cs="Times New Roman"/>
                <w:b/>
                <w:noProof/>
                <w:color w:val="1F497D" w:themeColor="text2"/>
                <w:sz w:val="20"/>
              </w:rPr>
              <w:t xml:space="preserve"> 2012</w:t>
            </w:r>
            <w:r>
              <w:rPr>
                <w:rFonts w:cs="Times New Roman"/>
                <w:b/>
                <w:bCs/>
                <w:noProof/>
                <w:color w:val="1F497D" w:themeColor="text2"/>
                <w:sz w:val="20"/>
              </w:rPr>
              <w:t xml:space="preserve"> – Final deadline 2015</w:t>
            </w:r>
            <w:r>
              <w:rPr>
                <w:rFonts w:cs="Times New Roman"/>
                <w:b/>
                <w:bCs/>
                <w:noProof/>
                <w:color w:val="1F497D" w:themeColor="text2"/>
                <w:sz w:val="20"/>
                <w:vertAlign w:val="superscript"/>
              </w:rPr>
              <w:footnoteReference w:id="75"/>
            </w:r>
          </w:p>
        </w:tc>
      </w:tr>
      <w:tr w:rsidR="00C571F7">
        <w:trPr>
          <w:trHeight w:val="261"/>
        </w:trPr>
        <w:tc>
          <w:tcPr>
            <w:tcW w:w="5109" w:type="dxa"/>
            <w:shd w:val="clear" w:color="auto" w:fill="auto"/>
          </w:tcPr>
          <w:p w:rsidR="00C571F7" w:rsidRDefault="00884FC2">
            <w:pPr>
              <w:widowControl w:val="0"/>
              <w:spacing w:after="120"/>
              <w:jc w:val="both"/>
              <w:rPr>
                <w:rFonts w:cs="Times New Roman"/>
                <w:b/>
                <w:bCs/>
                <w:noProof/>
                <w:color w:val="1F497D" w:themeColor="text2"/>
                <w:sz w:val="20"/>
              </w:rPr>
            </w:pPr>
            <w:r>
              <w:rPr>
                <w:rFonts w:cs="Times New Roman"/>
                <w:b/>
                <w:noProof/>
                <w:color w:val="1F497D" w:themeColor="text2"/>
                <w:sz w:val="20"/>
                <w:highlight w:val="yellow"/>
                <w:lang w:eastAsia="en-GB"/>
              </w:rPr>
              <w:drawing>
                <wp:anchor distT="0" distB="0" distL="114300" distR="114300" simplePos="0" relativeHeight="251663360" behindDoc="0" locked="0" layoutInCell="1" allowOverlap="1" wp14:anchorId="69E80B14" wp14:editId="05FDEBD1">
                  <wp:simplePos x="688975" y="5247640"/>
                  <wp:positionH relativeFrom="margin">
                    <wp:align>center</wp:align>
                  </wp:positionH>
                  <wp:positionV relativeFrom="margin">
                    <wp:align>center</wp:align>
                  </wp:positionV>
                  <wp:extent cx="2570480" cy="2647315"/>
                  <wp:effectExtent l="0" t="0" r="127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70480" cy="2647315"/>
                          </a:xfrm>
                          <a:prstGeom prst="rect">
                            <a:avLst/>
                          </a:prstGeom>
                          <a:noFill/>
                        </pic:spPr>
                      </pic:pic>
                    </a:graphicData>
                  </a:graphic>
                </wp:anchor>
              </w:drawing>
            </w:r>
          </w:p>
        </w:tc>
      </w:tr>
    </w:tbl>
    <w:p w:rsidR="00C571F7" w:rsidRDefault="00884FC2">
      <w:pPr>
        <w:widowControl w:val="0"/>
        <w:spacing w:after="120" w:line="240" w:lineRule="auto"/>
        <w:jc w:val="both"/>
        <w:rPr>
          <w:rFonts w:cs="Times New Roman"/>
          <w:noProof/>
          <w:sz w:val="20"/>
        </w:rPr>
      </w:pPr>
      <w:r>
        <w:rPr>
          <w:rFonts w:cs="Times New Roman"/>
          <w:noProof/>
          <w:sz w:val="20"/>
        </w:rPr>
        <w:t>Flood risk areas have started to been identified and mapped in the Slovak Republic in the context of Flood Risk Management</w:t>
      </w:r>
      <w:r>
        <w:rPr>
          <w:rFonts w:eastAsia="Calibri" w:cs="Times New Roman"/>
          <w:noProof/>
          <w:sz w:val="20"/>
          <w:vertAlign w:val="superscript"/>
        </w:rPr>
        <w:t xml:space="preserve"> </w:t>
      </w:r>
      <w:r>
        <w:rPr>
          <w:rFonts w:cs="Times New Roman"/>
          <w:noProof/>
          <w:sz w:val="20"/>
        </w:rPr>
        <w:t>and the Plans were prepared together with 2</w:t>
      </w:r>
      <w:r>
        <w:rPr>
          <w:rFonts w:cs="Times New Roman"/>
          <w:noProof/>
          <w:sz w:val="20"/>
          <w:vertAlign w:val="superscript"/>
        </w:rPr>
        <w:t>nd</w:t>
      </w:r>
      <w:r>
        <w:rPr>
          <w:rFonts w:cs="Times New Roman"/>
          <w:noProof/>
          <w:sz w:val="20"/>
        </w:rPr>
        <w:t xml:space="preserve"> RBMPs. Slovak Republic was hit by flooding incidents with serious economic damage costs for last time in 2013 (total direct costs estimated for 24 floods recorded between 2002 and 2013 is EURO 790 mill.) </w:t>
      </w:r>
    </w:p>
    <w:p w:rsidR="00C571F7" w:rsidRDefault="00884FC2">
      <w:pPr>
        <w:widowControl w:val="0"/>
        <w:spacing w:after="120" w:line="240" w:lineRule="auto"/>
        <w:jc w:val="both"/>
        <w:rPr>
          <w:rFonts w:eastAsia="Calibri" w:cs="Times New Roman"/>
          <w:noProof/>
          <w:sz w:val="20"/>
        </w:rPr>
      </w:pPr>
      <w:r>
        <w:rPr>
          <w:rFonts w:cs="Times New Roman"/>
          <w:noProof/>
          <w:sz w:val="20"/>
        </w:rPr>
        <w:t>Management and prevention of floods is an area whe</w:t>
      </w:r>
      <w:r>
        <w:rPr>
          <w:rFonts w:cs="Times New Roman"/>
          <w:noProof/>
          <w:sz w:val="20"/>
        </w:rPr>
        <w:t xml:space="preserve">re potentially more economical nature-based solutions could improve resource efficiency through reducing costs and delivering multiple benefits.  In its 2014-20 </w:t>
      </w:r>
      <w:r>
        <w:rPr>
          <w:rFonts w:eastAsia="Calibri" w:cs="Times New Roman"/>
          <w:noProof/>
          <w:sz w:val="20"/>
        </w:rPr>
        <w:t>operational programmes the Slovak Republic</w:t>
      </w:r>
      <w:r>
        <w:rPr>
          <w:rFonts w:cs="Times New Roman"/>
          <w:noProof/>
          <w:sz w:val="20"/>
        </w:rPr>
        <w:t xml:space="preserve"> is planning to invest </w:t>
      </w:r>
      <w:r>
        <w:rPr>
          <w:rFonts w:eastAsia="Calibri" w:cs="Times New Roman"/>
          <w:noProof/>
          <w:sz w:val="20"/>
        </w:rPr>
        <w:t xml:space="preserve">also </w:t>
      </w:r>
      <w:r>
        <w:rPr>
          <w:rFonts w:cs="Times New Roman"/>
          <w:noProof/>
          <w:sz w:val="20"/>
        </w:rPr>
        <w:t>in nature-based solutions</w:t>
      </w:r>
      <w:r>
        <w:rPr>
          <w:rFonts w:eastAsia="Calibri" w:cs="Times New Roman"/>
          <w:noProof/>
          <w:sz w:val="20"/>
        </w:rPr>
        <w:t>. However, their effectiveness can be contradicted by the recent plans to invest in grey infrastructure projects in the context of national Strategy to fight with climate change</w:t>
      </w:r>
      <w:r>
        <w:rPr>
          <w:rFonts w:cs="Times New Roman"/>
          <w:noProof/>
          <w:sz w:val="20"/>
        </w:rPr>
        <w:t>.</w:t>
      </w:r>
    </w:p>
    <w:p w:rsidR="00C571F7" w:rsidRDefault="00884FC2">
      <w:pPr>
        <w:widowControl w:val="0"/>
        <w:spacing w:after="120" w:line="240" w:lineRule="auto"/>
        <w:jc w:val="both"/>
        <w:rPr>
          <w:rFonts w:cs="Times New Roman"/>
          <w:noProof/>
          <w:color w:val="1F497D" w:themeColor="text2"/>
        </w:rPr>
      </w:pPr>
      <w:r>
        <w:rPr>
          <w:rFonts w:cs="Times New Roman"/>
          <w:noProof/>
          <w:color w:val="1F497D" w:themeColor="text2"/>
        </w:rPr>
        <w:t>Suggested action</w:t>
      </w:r>
      <w:r>
        <w:rPr>
          <w:rFonts w:cs="Times New Roman"/>
          <w:noProof/>
          <w:color w:val="1F497D" w:themeColor="text2"/>
          <w:vertAlign w:val="superscript"/>
        </w:rPr>
        <w:footnoteReference w:id="76"/>
      </w:r>
    </w:p>
    <w:p w:rsidR="00C571F7" w:rsidRDefault="00884FC2">
      <w:pPr>
        <w:pStyle w:val="NoSpacing"/>
        <w:rPr>
          <w:noProof/>
        </w:rPr>
      </w:pPr>
      <w:r>
        <w:rPr>
          <w:noProof/>
        </w:rPr>
        <w:t xml:space="preserve">Slovakia should do a more detailed assessment of pressures </w:t>
      </w:r>
      <w:r>
        <w:rPr>
          <w:noProof/>
        </w:rPr>
        <w:t xml:space="preserve">and improve monitoring in order to know the status of water bodies and design effective Programmes of Measures. </w:t>
      </w:r>
    </w:p>
    <w:p w:rsidR="00C571F7" w:rsidRDefault="00884FC2">
      <w:pPr>
        <w:pStyle w:val="NoSpacing"/>
        <w:rPr>
          <w:noProof/>
        </w:rPr>
      </w:pPr>
      <w:r>
        <w:rPr>
          <w:noProof/>
        </w:rPr>
        <w:t>The assessment methods should improve to provide more certainty about the water status. Programmes of Measures should cover all identified pres</w:t>
      </w:r>
      <w:r>
        <w:rPr>
          <w:noProof/>
        </w:rPr>
        <w:t>sures and implementation gaps and should be adequately funded and should take into account the conclusions of the Court of Auditors report</w:t>
      </w:r>
      <w:r>
        <w:rPr>
          <w:noProof/>
          <w:vertAlign w:val="superscript"/>
        </w:rPr>
        <w:footnoteReference w:id="77"/>
      </w:r>
      <w:r>
        <w:rPr>
          <w:noProof/>
        </w:rPr>
        <w:t xml:space="preserve">. </w:t>
      </w:r>
    </w:p>
    <w:p w:rsidR="00C571F7" w:rsidRDefault="00884FC2">
      <w:pPr>
        <w:pStyle w:val="NoSpacing"/>
        <w:rPr>
          <w:noProof/>
        </w:rPr>
      </w:pPr>
      <w:r>
        <w:rPr>
          <w:noProof/>
        </w:rPr>
        <w:t>New physical modifications of water bodies (including anti-flood measures) should be assessed in line with article</w:t>
      </w:r>
      <w:r>
        <w:rPr>
          <w:noProof/>
        </w:rPr>
        <w:t xml:space="preserve"> 4(7). In these assessments alternative options and adequate mitigation measures have to be considered. This is particularly relevant for new dams (like Slatinka, Tichy potok, Sered-Hlohovec) planned outside the intervention logic of Water Framework Direct</w:t>
      </w:r>
      <w:r>
        <w:rPr>
          <w:noProof/>
        </w:rPr>
        <w:t xml:space="preserve">ive decades ago or small hydropower stations (like on river Hron). Similar concerns apply to drainage channels maintenance and development.   </w:t>
      </w:r>
    </w:p>
    <w:p w:rsidR="00C571F7" w:rsidRDefault="00884FC2">
      <w:pPr>
        <w:pStyle w:val="NoSpacing"/>
        <w:rPr>
          <w:noProof/>
        </w:rPr>
      </w:pPr>
      <w:r>
        <w:rPr>
          <w:noProof/>
        </w:rPr>
        <w:t>Slovakia should improve its water pricing policy based on an analysis of environmental and resource costs and cov</w:t>
      </w:r>
      <w:r>
        <w:rPr>
          <w:noProof/>
        </w:rPr>
        <w:t xml:space="preserve">ering a broad range of water services.  </w:t>
      </w:r>
    </w:p>
    <w:p w:rsidR="00C571F7" w:rsidRDefault="00884FC2">
      <w:pPr>
        <w:widowControl w:val="0"/>
        <w:spacing w:before="360" w:after="120" w:line="240" w:lineRule="auto"/>
        <w:outlineLvl w:val="1"/>
        <w:rPr>
          <w:rFonts w:cs="Times New Roman"/>
          <w:b/>
          <w:noProof/>
          <w:color w:val="FF0000"/>
          <w:sz w:val="24"/>
        </w:rPr>
      </w:pPr>
      <w:bookmarkStart w:id="31" w:name="_Toc436815691"/>
      <w:bookmarkStart w:id="32" w:name="_Toc469478103"/>
      <w:r>
        <w:rPr>
          <w:rFonts w:cs="Times New Roman"/>
          <w:b/>
          <w:noProof/>
          <w:color w:val="1F497D" w:themeColor="text2"/>
          <w:sz w:val="24"/>
        </w:rPr>
        <w:t>Enhancing the sustainability of cities</w:t>
      </w:r>
      <w:bookmarkEnd w:id="31"/>
      <w:bookmarkEnd w:id="32"/>
      <w:r>
        <w:rPr>
          <w:rFonts w:cs="Times New Roman"/>
          <w:b/>
          <w:noProof/>
          <w:color w:val="1F497D" w:themeColor="text2"/>
          <w:sz w:val="24"/>
        </w:rPr>
        <w:t xml:space="preserve"> </w:t>
      </w:r>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w:t>
      </w:r>
      <w:r>
        <w:rPr>
          <w:rFonts w:cs="Times New Roman"/>
          <w:noProof/>
          <w:color w:val="FFFFFF" w:themeColor="background1"/>
          <w:sz w:val="20"/>
        </w:rPr>
        <w:t xml:space="preserve">sport and mobility, sustainable buildings, energy efficiency and urban biodiversity conservation. </w:t>
      </w:r>
    </w:p>
    <w:p w:rsidR="00C571F7" w:rsidRDefault="00884FC2">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C571F7" w:rsidRDefault="00884FC2">
      <w:pPr>
        <w:widowControl w:val="0"/>
        <w:spacing w:after="120" w:line="240" w:lineRule="auto"/>
        <w:jc w:val="both"/>
        <w:rPr>
          <w:rFonts w:cs="Times New Roman"/>
          <w:noProof/>
          <w:sz w:val="20"/>
        </w:rPr>
      </w:pPr>
      <w:r>
        <w:rPr>
          <w:rFonts w:cs="Times New Roman"/>
          <w:noProof/>
          <w:sz w:val="20"/>
        </w:rPr>
        <w:t>Europe is a Union of cities and towns; around 75% of the EU pop</w:t>
      </w:r>
      <w:r>
        <w:rPr>
          <w:rFonts w:cs="Times New Roman"/>
          <w:noProof/>
          <w:sz w:val="20"/>
        </w:rPr>
        <w:t>ulation are living in urban areas.</w:t>
      </w:r>
      <w:r>
        <w:rPr>
          <w:rFonts w:cs="Times New Roman"/>
          <w:noProof/>
          <w:sz w:val="20"/>
          <w:vertAlign w:val="superscript"/>
        </w:rPr>
        <w:footnoteReference w:id="78"/>
      </w:r>
      <w:r>
        <w:rPr>
          <w:rFonts w:cs="Times New Roman"/>
          <w:noProof/>
          <w:sz w:val="20"/>
        </w:rPr>
        <w:t xml:space="preserve"> The urban environment poses particular challenges for the environment and human health, whilst also providing opportunities and efficiency gains in the use of resources. </w:t>
      </w:r>
    </w:p>
    <w:p w:rsidR="00C571F7" w:rsidRDefault="00884FC2">
      <w:pPr>
        <w:widowControl w:val="0"/>
        <w:spacing w:after="120" w:line="240" w:lineRule="auto"/>
        <w:jc w:val="both"/>
        <w:rPr>
          <w:rFonts w:cs="Times New Roman"/>
          <w:noProof/>
          <w:sz w:val="20"/>
        </w:rPr>
      </w:pPr>
      <w:r>
        <w:rPr>
          <w:rFonts w:cs="Times New Roman"/>
          <w:noProof/>
          <w:sz w:val="20"/>
        </w:rPr>
        <w:t xml:space="preserve">The Member States, European institutions, cities </w:t>
      </w:r>
      <w:r>
        <w:rPr>
          <w:rFonts w:cs="Times New Roman"/>
          <w:noProof/>
          <w:sz w:val="20"/>
        </w:rPr>
        <w:t xml:space="preserve">and stakeholders have prepared a new Urban Agenda for the EU (incorporating the Smart Cities initiative) to tackle these issues in a comprehensive way, including their connections with social and economic challenges. At the heart of this Urban Agenda will </w:t>
      </w:r>
      <w:r>
        <w:rPr>
          <w:rFonts w:cs="Times New Roman"/>
          <w:noProof/>
          <w:sz w:val="20"/>
        </w:rPr>
        <w:t>be the development of twelve partnerships on the identified urban challenges, including air quality and housing</w:t>
      </w:r>
      <w:r>
        <w:rPr>
          <w:rFonts w:cs="Times New Roman"/>
          <w:noProof/>
          <w:sz w:val="20"/>
          <w:vertAlign w:val="superscript"/>
        </w:rPr>
        <w:footnoteReference w:id="79"/>
      </w:r>
      <w:r>
        <w:rPr>
          <w:rFonts w:cs="Times New Roman"/>
          <w:noProof/>
          <w:sz w:val="20"/>
        </w:rPr>
        <w:t xml:space="preserve">. </w:t>
      </w:r>
    </w:p>
    <w:p w:rsidR="00C571F7" w:rsidRDefault="00884FC2">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80"/>
      </w:r>
      <w:r>
        <w:rPr>
          <w:rFonts w:cs="Times New Roman"/>
          <w:noProof/>
          <w:sz w:val="20"/>
        </w:rPr>
        <w:t>.</w:t>
      </w:r>
    </w:p>
    <w:p w:rsidR="00C571F7" w:rsidRDefault="00884FC2">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794C5377" wp14:editId="002AF252">
            <wp:extent cx="2980055" cy="4489380"/>
            <wp:effectExtent l="0" t="0" r="0" b="6985"/>
            <wp:docPr id="2" name="Picture 2" descr="C:\Users\schwemi\AppData\Local\Microsoft\Windows\Temporary Internet Files\Content.Word\iStock_9715297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wemi\AppData\Local\Microsoft\Windows\Temporary Internet Files\Content.Word\iStock_97152973_LARG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0055" cy="4489380"/>
                    </a:xfrm>
                    <a:prstGeom prst="rect">
                      <a:avLst/>
                    </a:prstGeom>
                    <a:noFill/>
                    <a:ln>
                      <a:noFill/>
                    </a:ln>
                  </pic:spPr>
                </pic:pic>
              </a:graphicData>
            </a:graphic>
          </wp:inline>
        </w:drawing>
      </w:r>
      <w:r>
        <w:rPr>
          <w:rFonts w:cs="Times New Roman"/>
          <w:noProof/>
          <w:sz w:val="20"/>
        </w:rPr>
        <w:t xml:space="preserve">The EU stimulates green cities through awards and funding, such as </w:t>
      </w:r>
      <w:r>
        <w:rPr>
          <w:rFonts w:cs="Times New Roman"/>
          <w:noProof/>
          <w:sz w:val="20"/>
        </w:rPr>
        <w:t>the EU Green Capital Award aimed at cities with more than 100,000 inhabitants and the EU Green Leaf initiative aimed at cities and towns, with between 20,000 and 100,000 inhabitants.</w:t>
      </w:r>
    </w:p>
    <w:p w:rsidR="00C571F7" w:rsidRDefault="00884FC2">
      <w:pPr>
        <w:widowControl w:val="0"/>
        <w:spacing w:after="120" w:line="240" w:lineRule="auto"/>
        <w:jc w:val="both"/>
        <w:rPr>
          <w:rFonts w:cs="Times New Roman"/>
          <w:noProof/>
          <w:sz w:val="20"/>
          <w:lang w:eastAsia="en-GB"/>
        </w:rPr>
      </w:pPr>
      <w:r>
        <w:rPr>
          <w:rFonts w:cs="Times New Roman"/>
          <w:noProof/>
          <w:sz w:val="20"/>
        </w:rPr>
        <w:t>Some local initiatives such as Agenda 21 were established in the past; ho</w:t>
      </w:r>
      <w:r>
        <w:rPr>
          <w:rFonts w:cs="Times New Roman"/>
          <w:noProof/>
          <w:sz w:val="20"/>
        </w:rPr>
        <w:t>wever the institutional support is very weak.</w:t>
      </w:r>
      <w:r>
        <w:rPr>
          <w:rFonts w:cs="Times New Roman"/>
          <w:noProof/>
          <w:sz w:val="20"/>
          <w:lang w:eastAsia="en-GB"/>
        </w:rPr>
        <w:t xml:space="preserve"> </w:t>
      </w:r>
    </w:p>
    <w:p w:rsidR="00C571F7" w:rsidRDefault="00884FC2">
      <w:pPr>
        <w:widowControl w:val="0"/>
        <w:spacing w:before="360" w:after="120" w:line="240" w:lineRule="auto"/>
        <w:outlineLvl w:val="1"/>
        <w:rPr>
          <w:rFonts w:cs="Times New Roman"/>
          <w:b/>
          <w:noProof/>
          <w:color w:val="1F497D" w:themeColor="text2"/>
          <w:sz w:val="24"/>
        </w:rPr>
      </w:pPr>
      <w:bookmarkStart w:id="33" w:name="_Toc453686116"/>
      <w:bookmarkStart w:id="34" w:name="_Toc469478104"/>
      <w:r>
        <w:rPr>
          <w:rFonts w:cs="Times New Roman"/>
          <w:b/>
          <w:noProof/>
          <w:color w:val="1F497D" w:themeColor="text2"/>
          <w:sz w:val="24"/>
        </w:rPr>
        <w:t>International agreements</w:t>
      </w:r>
      <w:bookmarkEnd w:id="33"/>
      <w:bookmarkEnd w:id="34"/>
      <w:r>
        <w:rPr>
          <w:rFonts w:cs="Times New Roman"/>
          <w:b/>
          <w:noProof/>
          <w:color w:val="1F497D" w:themeColor="text2"/>
          <w:sz w:val="24"/>
        </w:rPr>
        <w:t xml:space="preserve"> </w:t>
      </w:r>
    </w:p>
    <w:p w:rsidR="00C571F7" w:rsidRDefault="00884FC2">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problems.</w:t>
      </w:r>
    </w:p>
    <w:p w:rsidR="00C571F7" w:rsidRDefault="00884FC2">
      <w:pPr>
        <w:spacing w:after="120" w:line="240" w:lineRule="auto"/>
        <w:jc w:val="both"/>
        <w:rPr>
          <w:rFonts w:ascii="Calibri" w:hAnsi="Calibri" w:cs="Times New Roman"/>
          <w:noProof/>
          <w:sz w:val="20"/>
          <w:szCs w:val="20"/>
        </w:rPr>
      </w:pPr>
      <w:r>
        <w:rPr>
          <w:rFonts w:ascii="Calibri" w:hAnsi="Calibri" w:cs="Times New Roman"/>
          <w:noProof/>
          <w:sz w:val="20"/>
          <w:szCs w:val="20"/>
        </w:rPr>
        <w:t xml:space="preserve">Most </w:t>
      </w:r>
      <w:r>
        <w:rPr>
          <w:rFonts w:ascii="Calibri" w:hAnsi="Calibri" w:cs="Times New Roman"/>
          <w:noProof/>
          <w:sz w:val="20"/>
          <w:szCs w:val="20"/>
        </w:rPr>
        <w:t>environmental problems have a transboundary nature and often a global scope and they can only be addressed effectively through international co-operation. International environmental agreements concluded by the Union are binding upon the institutions of th</w:t>
      </w:r>
      <w:r>
        <w:rPr>
          <w:rFonts w:ascii="Calibri" w:hAnsi="Calibri" w:cs="Times New Roman"/>
          <w:noProof/>
          <w:sz w:val="20"/>
          <w:szCs w:val="20"/>
        </w:rPr>
        <w:t>e Union and on its Member States. This requires the EU and the Member States to sign, ratify and effectively implement all relevant multilateral environmental agreements (MEAs) in a timely manner. This will also be an important contribution towards the ach</w:t>
      </w:r>
      <w:r>
        <w:rPr>
          <w:rFonts w:ascii="Calibri" w:hAnsi="Calibri" w:cs="Times New Roman"/>
          <w:noProof/>
          <w:sz w:val="20"/>
          <w:szCs w:val="20"/>
        </w:rPr>
        <w:t>ievement of the SDGs, which Member States committed to in 2015 and include many commitments contained already in legally binding agreements.</w:t>
      </w:r>
    </w:p>
    <w:p w:rsidR="00C571F7" w:rsidRDefault="00884FC2">
      <w:pPr>
        <w:widowControl w:val="0"/>
        <w:spacing w:after="120" w:line="240" w:lineRule="auto"/>
        <w:jc w:val="both"/>
        <w:rPr>
          <w:rFonts w:ascii="Calibri" w:hAnsi="Calibri" w:cs="Times New Roman"/>
          <w:noProof/>
          <w:sz w:val="20"/>
          <w:szCs w:val="20"/>
        </w:rPr>
      </w:pPr>
      <w:r>
        <w:rPr>
          <w:rFonts w:ascii="Calibri" w:hAnsi="Calibri" w:cs="Times New Roman"/>
          <w:noProof/>
          <w:sz w:val="20"/>
          <w:szCs w:val="20"/>
        </w:rPr>
        <w:t>The fact that some Member States did not sign and/or ratify a number of MEAs compromises environmental implementati</w:t>
      </w:r>
      <w:r>
        <w:rPr>
          <w:rFonts w:ascii="Calibri" w:hAnsi="Calibri" w:cs="Times New Roman"/>
          <w:noProof/>
          <w:sz w:val="20"/>
          <w:szCs w:val="20"/>
        </w:rPr>
        <w:t>on, including within the Union, as well as the Union’s credibility in related negotiations and international meetings where supporting the participation of third countries to such agreements is an established EU policy objective. In agreements where voting</w:t>
      </w:r>
      <w:r>
        <w:rPr>
          <w:rFonts w:ascii="Calibri" w:hAnsi="Calibri" w:cs="Times New Roman"/>
          <w:noProof/>
          <w:sz w:val="20"/>
          <w:szCs w:val="20"/>
        </w:rPr>
        <w:t xml:space="preserve"> takes place it has a direct impact on the number of votes to be cast by the EU.</w:t>
      </w:r>
    </w:p>
    <w:p w:rsidR="00C571F7" w:rsidRDefault="00884FC2">
      <w:pPr>
        <w:widowControl w:val="0"/>
        <w:spacing w:after="120" w:line="240" w:lineRule="auto"/>
        <w:jc w:val="both"/>
        <w:rPr>
          <w:rFonts w:cs="Times New Roman"/>
          <w:noProof/>
          <w:sz w:val="20"/>
        </w:rPr>
      </w:pPr>
      <w:r>
        <w:rPr>
          <w:rFonts w:cs="Times New Roman"/>
          <w:noProof/>
          <w:sz w:val="20"/>
        </w:rPr>
        <w:t>Slovakia has signed and ratified almost all MEAs. It has signed but not yet ratified the MARPOL Annex VI on Prevention of Air Pollution from Ships.</w:t>
      </w: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pPr>
    </w:p>
    <w:p w:rsidR="00C571F7" w:rsidRDefault="00C571F7">
      <w:pPr>
        <w:widowControl w:val="0"/>
        <w:spacing w:after="120" w:line="240" w:lineRule="auto"/>
        <w:jc w:val="center"/>
        <w:rPr>
          <w:rFonts w:cs="Times New Roman"/>
          <w:noProof/>
          <w:sz w:val="20"/>
        </w:rPr>
        <w:sectPr w:rsidR="00C571F7">
          <w:headerReference w:type="even" r:id="rId91"/>
          <w:headerReference w:type="default" r:id="rId92"/>
          <w:footerReference w:type="even" r:id="rId93"/>
          <w:footerReference w:type="default" r:id="rId94"/>
          <w:headerReference w:type="first" r:id="rId95"/>
          <w:footerReference w:type="first" r:id="rId96"/>
          <w:type w:val="continuous"/>
          <w:pgSz w:w="11906" w:h="16838"/>
          <w:pgMar w:top="1440" w:right="1080" w:bottom="1440" w:left="1080" w:header="708" w:footer="708" w:gutter="0"/>
          <w:cols w:num="2" w:space="360"/>
          <w:docGrid w:linePitch="360"/>
        </w:sectPr>
      </w:pPr>
    </w:p>
    <w:p w:rsidR="00C571F7" w:rsidRDefault="00884FC2">
      <w:pPr>
        <w:widowControl w:val="0"/>
        <w:spacing w:after="0" w:line="240" w:lineRule="auto"/>
        <w:jc w:val="center"/>
        <w:outlineLvl w:val="0"/>
        <w:rPr>
          <w:rFonts w:eastAsiaTheme="majorEastAsia" w:cstheme="majorBidi"/>
          <w:b/>
          <w:bCs/>
          <w:noProof/>
          <w:color w:val="1F497D" w:themeColor="text2"/>
          <w:sz w:val="32"/>
          <w:szCs w:val="28"/>
        </w:rPr>
      </w:pPr>
      <w:bookmarkStart w:id="35" w:name="_Toc433296176"/>
      <w:r>
        <w:rPr>
          <w:rFonts w:eastAsiaTheme="majorEastAsia" w:cstheme="majorBidi"/>
          <w:b/>
          <w:bCs/>
          <w:noProof/>
          <w:color w:val="1F497D" w:themeColor="text2"/>
          <w:sz w:val="32"/>
          <w:szCs w:val="28"/>
        </w:rPr>
        <w:br w:type="page"/>
      </w:r>
    </w:p>
    <w:p w:rsidR="00C571F7" w:rsidRDefault="00884FC2">
      <w:pPr>
        <w:widowControl w:val="0"/>
        <w:spacing w:after="0" w:line="240" w:lineRule="auto"/>
        <w:jc w:val="center"/>
        <w:outlineLvl w:val="0"/>
        <w:rPr>
          <w:rFonts w:eastAsiaTheme="majorEastAsia" w:cstheme="majorBidi"/>
          <w:b/>
          <w:bCs/>
          <w:noProof/>
          <w:color w:val="1F497D" w:themeColor="text2"/>
          <w:sz w:val="32"/>
          <w:szCs w:val="28"/>
        </w:rPr>
      </w:pPr>
      <w:bookmarkStart w:id="36" w:name="_Toc469478105"/>
      <w:r>
        <w:rPr>
          <w:rFonts w:eastAsiaTheme="majorEastAsia" w:cstheme="majorBidi"/>
          <w:b/>
          <w:bCs/>
          <w:noProof/>
          <w:color w:val="1F497D" w:themeColor="text2"/>
          <w:sz w:val="32"/>
          <w:szCs w:val="28"/>
        </w:rPr>
        <w:t xml:space="preserve">Part II: </w:t>
      </w:r>
      <w:bookmarkEnd w:id="35"/>
      <w:r>
        <w:rPr>
          <w:rFonts w:eastAsiaTheme="majorEastAsia" w:cstheme="majorBidi"/>
          <w:b/>
          <w:bCs/>
          <w:noProof/>
          <w:color w:val="1F497D" w:themeColor="text2"/>
          <w:sz w:val="32"/>
          <w:szCs w:val="28"/>
        </w:rPr>
        <w:t>Enabling Framework: Implementation Tools</w:t>
      </w:r>
      <w:bookmarkEnd w:id="36"/>
    </w:p>
    <w:p w:rsidR="00C571F7" w:rsidRDefault="00C571F7">
      <w:pPr>
        <w:widowControl w:val="0"/>
        <w:spacing w:after="120" w:line="240" w:lineRule="auto"/>
        <w:jc w:val="both"/>
        <w:rPr>
          <w:rFonts w:cs="Times New Roman"/>
          <w:noProof/>
          <w:sz w:val="20"/>
        </w:rPr>
      </w:pPr>
    </w:p>
    <w:p w:rsidR="00C571F7" w:rsidRDefault="00C571F7">
      <w:pPr>
        <w:widowControl w:val="0"/>
        <w:spacing w:after="120" w:line="240" w:lineRule="auto"/>
        <w:jc w:val="both"/>
        <w:rPr>
          <w:rFonts w:cs="Times New Roman"/>
          <w:noProof/>
          <w:sz w:val="20"/>
        </w:rPr>
        <w:sectPr w:rsidR="00C571F7">
          <w:headerReference w:type="even" r:id="rId97"/>
          <w:headerReference w:type="default" r:id="rId98"/>
          <w:footerReference w:type="even" r:id="rId99"/>
          <w:footerReference w:type="default" r:id="rId100"/>
          <w:headerReference w:type="first" r:id="rId101"/>
          <w:footerReference w:type="first" r:id="rId102"/>
          <w:type w:val="continuous"/>
          <w:pgSz w:w="11906" w:h="16838"/>
          <w:pgMar w:top="1440" w:right="1080" w:bottom="1440" w:left="1080" w:header="708" w:footer="708" w:gutter="0"/>
          <w:cols w:space="566"/>
          <w:docGrid w:linePitch="360"/>
        </w:sectPr>
      </w:pPr>
    </w:p>
    <w:p w:rsidR="00C571F7" w:rsidRDefault="00884FC2">
      <w:pPr>
        <w:pStyle w:val="Heading1"/>
        <w:rPr>
          <w:noProof/>
        </w:rPr>
      </w:pPr>
      <w:bookmarkStart w:id="37" w:name="_Toc469478106"/>
      <w:r>
        <w:rPr>
          <w:noProof/>
        </w:rPr>
        <w:t>Market based instruments and investment</w:t>
      </w:r>
      <w:bookmarkEnd w:id="37"/>
    </w:p>
    <w:p w:rsidR="00C571F7" w:rsidRDefault="00C571F7">
      <w:pPr>
        <w:widowControl w:val="0"/>
        <w:spacing w:after="120" w:line="240" w:lineRule="auto"/>
        <w:jc w:val="both"/>
        <w:rPr>
          <w:rFonts w:cs="Times New Roman"/>
          <w:noProof/>
          <w:sz w:val="20"/>
        </w:rPr>
        <w:sectPr w:rsidR="00C571F7">
          <w:headerReference w:type="even" r:id="rId103"/>
          <w:headerReference w:type="default" r:id="rId104"/>
          <w:footerReference w:type="even" r:id="rId105"/>
          <w:footerReference w:type="default" r:id="rId106"/>
          <w:headerReference w:type="first" r:id="rId107"/>
          <w:footerReference w:type="first" r:id="rId108"/>
          <w:type w:val="continuous"/>
          <w:pgSz w:w="11906" w:h="16838" w:code="9"/>
          <w:pgMar w:top="1080" w:right="1440" w:bottom="1080" w:left="1440" w:header="709" w:footer="709" w:gutter="0"/>
          <w:cols w:space="566"/>
          <w:docGrid w:linePitch="360"/>
        </w:sectPr>
      </w:pPr>
    </w:p>
    <w:p w:rsidR="00C571F7" w:rsidRDefault="00884FC2">
      <w:pPr>
        <w:widowControl w:val="0"/>
        <w:spacing w:after="120" w:line="240" w:lineRule="auto"/>
        <w:outlineLvl w:val="1"/>
        <w:rPr>
          <w:rFonts w:cs="Times New Roman"/>
          <w:b/>
          <w:noProof/>
          <w:color w:val="1F497D" w:themeColor="text2"/>
          <w:sz w:val="24"/>
        </w:rPr>
      </w:pPr>
      <w:bookmarkStart w:id="38" w:name="_Toc454813122"/>
      <w:bookmarkStart w:id="39" w:name="_Toc469478107"/>
      <w:r>
        <w:rPr>
          <w:rFonts w:cs="Times New Roman"/>
          <w:b/>
          <w:noProof/>
          <w:color w:val="1F497D" w:themeColor="text2"/>
          <w:sz w:val="24"/>
        </w:rPr>
        <w:t>Green taxation and environmentally harmful subsidies</w:t>
      </w:r>
      <w:bookmarkEnd w:id="38"/>
      <w:bookmarkEnd w:id="39"/>
    </w:p>
    <w:p w:rsidR="00C571F7" w:rsidRDefault="00884FC2">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The Circular Economy Action Plan encourages the use of financial incentives and economic instruments, such as taxation to ensure that product prices better reflect environmental costs. The phasing out of environmentally harmful subsidies is monitored in th</w:t>
      </w:r>
      <w:r>
        <w:rPr>
          <w:rFonts w:ascii="Calibri" w:eastAsia="Calibri" w:hAnsi="Calibri" w:cs="Times New Roman"/>
          <w:noProof/>
          <w:color w:val="FFFFFF"/>
          <w:sz w:val="20"/>
          <w:lang w:eastAsia="ar-SA"/>
        </w:rPr>
        <w:t>e context of the European Semester and in national reform programmes submitted by Member States.</w:t>
      </w:r>
    </w:p>
    <w:p w:rsidR="00C571F7" w:rsidRDefault="00884FC2">
      <w:pPr>
        <w:widowControl w:val="0"/>
        <w:spacing w:after="120" w:line="240" w:lineRule="auto"/>
        <w:jc w:val="both"/>
        <w:rPr>
          <w:rFonts w:cs="Times New Roman"/>
          <w:noProof/>
          <w:sz w:val="20"/>
        </w:rPr>
      </w:pPr>
      <w:r>
        <w:rPr>
          <w:rFonts w:cs="Times New Roman"/>
          <w:noProof/>
          <w:sz w:val="20"/>
        </w:rPr>
        <w:t>Taxing pollution and resource use can generate increased revenue and bring important social and environmental benefits.</w:t>
      </w:r>
    </w:p>
    <w:p w:rsidR="00C571F7" w:rsidRDefault="00884FC2">
      <w:pPr>
        <w:widowControl w:val="0"/>
        <w:spacing w:after="120" w:line="240" w:lineRule="auto"/>
        <w:jc w:val="both"/>
        <w:rPr>
          <w:rFonts w:cs="Times New Roman"/>
          <w:noProof/>
          <w:sz w:val="20"/>
        </w:rPr>
      </w:pPr>
      <w:r>
        <w:rPr>
          <w:rFonts w:cs="Times New Roman"/>
          <w:noProof/>
          <w:sz w:val="20"/>
        </w:rPr>
        <w:t>In 2014, environmental taxes amounted t</w:t>
      </w:r>
      <w:r>
        <w:rPr>
          <w:rFonts w:cs="Times New Roman"/>
          <w:noProof/>
          <w:sz w:val="20"/>
        </w:rPr>
        <w:t>o 1.79% of GDP and remain much below the early 2000 (2.45% in 2004). The largest proportion of environmentally-related taxation in 2014 was from energy taxes, which generated revenue equivalent to 1.48% of GDP (EU average 1.88%). The implicit tax rate on e</w:t>
      </w:r>
      <w:r>
        <w:rPr>
          <w:rFonts w:cs="Times New Roman"/>
          <w:noProof/>
          <w:sz w:val="20"/>
        </w:rPr>
        <w:t>nergy is one of the lowest in the EU (108 vs 234 EU28 average). Taxes on transport (excl. transport fuels) accounted for 0.21% of GDP, whilst taxes on pollution and resources accounted for just 0.03% of GDP. The support to production of electricity from lo</w:t>
      </w:r>
      <w:r>
        <w:rPr>
          <w:rFonts w:cs="Times New Roman"/>
          <w:noProof/>
          <w:sz w:val="20"/>
        </w:rPr>
        <w:t>w quality brown coal extracted in Slovakia is an example of environmentally harmful subsidies</w:t>
      </w:r>
      <w:r>
        <w:rPr>
          <w:rStyle w:val="FootnoteReference"/>
          <w:rFonts w:cs="Times New Roman"/>
          <w:noProof/>
          <w:sz w:val="20"/>
        </w:rPr>
        <w:footnoteReference w:id="81"/>
      </w:r>
      <w:r>
        <w:rPr>
          <w:rFonts w:cs="Times New Roman"/>
          <w:noProof/>
          <w:sz w:val="20"/>
        </w:rPr>
        <w:t xml:space="preserve">. </w:t>
      </w:r>
    </w:p>
    <w:p w:rsidR="00C571F7" w:rsidRDefault="00884FC2">
      <w:pPr>
        <w:widowControl w:val="0"/>
        <w:spacing w:after="120" w:line="240" w:lineRule="auto"/>
        <w:jc w:val="both"/>
        <w:rPr>
          <w:rFonts w:cs="Times New Roman"/>
          <w:noProof/>
          <w:sz w:val="20"/>
        </w:rPr>
      </w:pPr>
      <w:r>
        <w:rPr>
          <w:rFonts w:cs="Times New Roman"/>
          <w:noProof/>
          <w:sz w:val="20"/>
        </w:rPr>
        <w:t>In the same year environmental tax revenues accounted for 5.77% (up from 5.72%) of total revenues from taxes and social-security contributions (EU28 average: 6</w:t>
      </w:r>
      <w:r>
        <w:rPr>
          <w:rFonts w:cs="Times New Roman"/>
          <w:noProof/>
          <w:sz w:val="20"/>
        </w:rPr>
        <w:t>.35%) as depicted in Figure 12.</w:t>
      </w:r>
    </w:p>
    <w:p w:rsidR="00C571F7" w:rsidRDefault="00884FC2">
      <w:pPr>
        <w:widowControl w:val="0"/>
        <w:spacing w:after="120" w:line="240" w:lineRule="auto"/>
        <w:jc w:val="both"/>
        <w:rPr>
          <w:rFonts w:cs="Times New Roman"/>
          <w:noProof/>
          <w:sz w:val="20"/>
        </w:rPr>
      </w:pPr>
      <w:r>
        <w:rPr>
          <w:rFonts w:cs="Times New Roman"/>
          <w:noProof/>
          <w:sz w:val="20"/>
        </w:rPr>
        <w:t>The headline figures from the 2016 study</w:t>
      </w:r>
      <w:r>
        <w:rPr>
          <w:rFonts w:cs="Times New Roman"/>
          <w:noProof/>
          <w:sz w:val="20"/>
          <w:vertAlign w:val="superscript"/>
        </w:rPr>
        <w:footnoteReference w:id="82"/>
      </w:r>
      <w:r>
        <w:rPr>
          <w:rFonts w:cs="Times New Roman"/>
          <w:noProof/>
          <w:sz w:val="20"/>
        </w:rPr>
        <w:t xml:space="preserve"> suggest that there is considerable potential for shifting taxes from labour to environmental taxes in Slovakia. Under a good practice scenario</w:t>
      </w:r>
      <w:r>
        <w:rPr>
          <w:rFonts w:cs="Times New Roman"/>
          <w:noProof/>
          <w:sz w:val="20"/>
          <w:vertAlign w:val="superscript"/>
        </w:rPr>
        <w:footnoteReference w:id="83"/>
      </w:r>
      <w:r>
        <w:rPr>
          <w:rFonts w:cs="Times New Roman"/>
          <w:noProof/>
          <w:sz w:val="20"/>
        </w:rPr>
        <w:t>, the amount could be as much as EUR 0.</w:t>
      </w:r>
      <w:r>
        <w:rPr>
          <w:rFonts w:cs="Times New Roman"/>
          <w:noProof/>
          <w:sz w:val="20"/>
        </w:rPr>
        <w:t>69 billion in 2018, rising to EUR 1.46 billion in 2030 (both in real 2015 terms). This is equivalent to an additional 0.78% and 1.10% of GDP in 2018 and 2030, respectively. The biggest share could potentially come from increasing vehicle taxation, which wi</w:t>
      </w:r>
      <w:r>
        <w:rPr>
          <w:rFonts w:cs="Times New Roman"/>
          <w:noProof/>
          <w:sz w:val="20"/>
        </w:rPr>
        <w:t xml:space="preserve">ll also serve as the means to influence the environmental performance of vehicles in use in future. Suggested increase in vehicle taxes could account for EUR 0.64 billion in 2030 (real 2015 terms), equivalent to 0.49% of GDP. </w:t>
      </w:r>
    </w:p>
    <w:p w:rsidR="00C571F7" w:rsidRDefault="00884FC2">
      <w:pPr>
        <w:widowControl w:val="0"/>
        <w:spacing w:after="120" w:line="240" w:lineRule="auto"/>
        <w:jc w:val="both"/>
        <w:rPr>
          <w:rFonts w:cs="Times New Roman"/>
          <w:noProof/>
          <w:sz w:val="20"/>
        </w:rPr>
      </w:pPr>
      <w:r>
        <w:rPr>
          <w:rFonts w:cs="Times New Roman"/>
          <w:noProof/>
          <w:sz w:val="20"/>
        </w:rPr>
        <w:t>The next largest potential co</w:t>
      </w:r>
      <w:r>
        <w:rPr>
          <w:rFonts w:cs="Times New Roman"/>
          <w:noProof/>
          <w:sz w:val="20"/>
        </w:rPr>
        <w:t xml:space="preserve">ntribution to revenue comes from the proposed amendments to the taxes on transport fuels. This accounts for EUR 0.41 billion in 2030 (real 2015 terms),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c>
          <w:tcPr>
            <w:tcW w:w="4909" w:type="dxa"/>
          </w:tcPr>
          <w:p w:rsidR="00C571F7" w:rsidRDefault="00884FC2">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12: </w:t>
            </w:r>
            <w:r>
              <w:rPr>
                <w:b/>
                <w:bCs/>
                <w:noProof/>
                <w:color w:val="1F497D" w:themeColor="text2"/>
                <w:sz w:val="20"/>
              </w:rPr>
              <w:t xml:space="preserve">Environmental tax revenues as a share of total revenues from taxes and social contributions </w:t>
            </w:r>
            <w:r>
              <w:rPr>
                <w:b/>
                <w:bCs/>
                <w:noProof/>
                <w:color w:val="1F497D" w:themeColor="text2"/>
                <w:sz w:val="20"/>
              </w:rPr>
              <w:t>(excluding imputed social contributions) in 2014</w:t>
            </w:r>
            <w:r>
              <w:rPr>
                <w:b/>
                <w:bCs/>
                <w:noProof/>
                <w:color w:val="1F497D" w:themeColor="text2"/>
                <w:sz w:val="20"/>
                <w:vertAlign w:val="superscript"/>
              </w:rPr>
              <w:footnoteReference w:id="84"/>
            </w:r>
          </w:p>
        </w:tc>
      </w:tr>
      <w:tr w:rsidR="00C571F7">
        <w:tc>
          <w:tcPr>
            <w:tcW w:w="4909" w:type="dxa"/>
          </w:tcPr>
          <w:p w:rsidR="00C571F7" w:rsidRDefault="00884FC2">
            <w:pPr>
              <w:widowControl w:val="0"/>
              <w:spacing w:after="120"/>
              <w:jc w:val="both"/>
              <w:rPr>
                <w:rFonts w:cs="Times New Roman"/>
                <w:noProof/>
                <w:sz w:val="20"/>
              </w:rPr>
            </w:pPr>
            <w:r>
              <w:rPr>
                <w:rFonts w:cs="Times New Roman"/>
                <w:noProof/>
                <w:sz w:val="20"/>
                <w:lang w:eastAsia="en-GB"/>
              </w:rPr>
              <w:drawing>
                <wp:inline distT="0" distB="0" distL="0" distR="0" wp14:anchorId="0A9EF175" wp14:editId="0EA1DBCB">
                  <wp:extent cx="3057726" cy="4348716"/>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59809" cy="4351679"/>
                          </a:xfrm>
                          <a:prstGeom prst="rect">
                            <a:avLst/>
                          </a:prstGeom>
                          <a:noFill/>
                        </pic:spPr>
                      </pic:pic>
                    </a:graphicData>
                  </a:graphic>
                </wp:inline>
              </w:drawing>
            </w:r>
          </w:p>
        </w:tc>
      </w:tr>
    </w:tbl>
    <w:p w:rsidR="00C571F7" w:rsidRDefault="00884FC2">
      <w:pPr>
        <w:widowControl w:val="0"/>
        <w:spacing w:after="120" w:line="240" w:lineRule="auto"/>
        <w:jc w:val="both"/>
        <w:rPr>
          <w:rFonts w:cs="Times New Roman"/>
          <w:noProof/>
          <w:sz w:val="20"/>
        </w:rPr>
      </w:pPr>
      <w:bookmarkStart w:id="40" w:name="_Toc433296179"/>
      <w:r>
        <w:rPr>
          <w:rFonts w:cs="Times New Roman"/>
          <w:noProof/>
          <w:sz w:val="20"/>
        </w:rPr>
        <w:t xml:space="preserve">equivalent to 0.31% of GDP Low implicit tax rate on energy and lower than average energy taxes share in GDP indicate that there is a scope to increase taxation levels in energy: diesel fuel is taxed </w:t>
      </w:r>
      <w:r>
        <w:rPr>
          <w:rFonts w:cs="Times New Roman"/>
          <w:noProof/>
          <w:sz w:val="20"/>
        </w:rPr>
        <w:t>much lower than petrol (both in per volume and in per energy content).</w:t>
      </w:r>
    </w:p>
    <w:p w:rsidR="00C571F7" w:rsidRDefault="00884FC2">
      <w:pPr>
        <w:widowControl w:val="0"/>
        <w:spacing w:before="360" w:after="120" w:line="240" w:lineRule="auto"/>
        <w:outlineLvl w:val="1"/>
        <w:rPr>
          <w:rFonts w:cs="Times New Roman"/>
          <w:b/>
          <w:noProof/>
          <w:color w:val="1F497D" w:themeColor="text2"/>
          <w:sz w:val="24"/>
          <w:lang w:eastAsia="en-GB"/>
        </w:rPr>
      </w:pPr>
      <w:bookmarkStart w:id="41" w:name="_Toc454460691"/>
      <w:bookmarkStart w:id="42" w:name="_Toc469478108"/>
      <w:bookmarkStart w:id="43" w:name="_Toc448925421"/>
      <w:bookmarkEnd w:id="40"/>
      <w:r>
        <w:rPr>
          <w:rFonts w:cs="Times New Roman"/>
          <w:b/>
          <w:noProof/>
          <w:color w:val="1F497D" w:themeColor="text2"/>
          <w:sz w:val="24"/>
          <w:lang w:eastAsia="en-GB"/>
        </w:rPr>
        <w:t>Green Public Procurement</w:t>
      </w:r>
      <w:bookmarkEnd w:id="41"/>
      <w:bookmarkEnd w:id="42"/>
      <w:r>
        <w:rPr>
          <w:rFonts w:cs="Times New Roman"/>
          <w:b/>
          <w:noProof/>
          <w:color w:val="1F497D" w:themeColor="text2"/>
          <w:sz w:val="24"/>
          <w:lang w:eastAsia="en-GB"/>
        </w:rPr>
        <w:t xml:space="preserve"> </w:t>
      </w:r>
    </w:p>
    <w:p w:rsidR="00C571F7" w:rsidRDefault="00884FC2">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target of applying green procurement criteria to at least 5</w:t>
      </w:r>
      <w:r>
        <w:rPr>
          <w:rFonts w:cs="Times New Roman"/>
          <w:noProof/>
          <w:color w:val="FFFFFF" w:themeColor="background1"/>
          <w:sz w:val="20"/>
        </w:rPr>
        <w:t>0% of public tenders.</w:t>
      </w:r>
    </w:p>
    <w:p w:rsidR="00C571F7" w:rsidRDefault="00884FC2">
      <w:pPr>
        <w:widowControl w:val="0"/>
        <w:spacing w:after="120" w:line="240" w:lineRule="auto"/>
        <w:jc w:val="both"/>
        <w:rPr>
          <w:rFonts w:cs="Times New Roman"/>
          <w:noProof/>
          <w:sz w:val="20"/>
        </w:rPr>
      </w:pPr>
      <w:r>
        <w:rPr>
          <w:rFonts w:cs="Times New Roman"/>
          <w:noProof/>
          <w:sz w:val="20"/>
        </w:rPr>
        <w:t xml:space="preserve">Green Public Procurement (GPP) is a process whereby public authorities seek to procure goods, services and works with a reduced environmental impact throughout their life-cycle when compared to goods, services and works with the same </w:t>
      </w:r>
      <w:r>
        <w:rPr>
          <w:rFonts w:cs="Times New Roman"/>
          <w:noProof/>
          <w:sz w:val="20"/>
        </w:rPr>
        <w:t xml:space="preserve">primary function that would otherwise be procured. </w:t>
      </w:r>
    </w:p>
    <w:p w:rsidR="00C571F7" w:rsidRDefault="00884FC2">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85"/>
      </w:r>
      <w:r>
        <w:rPr>
          <w:rFonts w:cs="Times New Roman"/>
          <w:noProof/>
          <w:sz w:val="20"/>
        </w:rPr>
        <w:t>. A substantial part of this money is spent on sectors with high environmental impact such as construction or transport, so GP</w:t>
      </w:r>
      <w:r>
        <w:rPr>
          <w:rFonts w:cs="Times New Roman"/>
          <w:noProof/>
          <w:sz w:val="20"/>
        </w:rPr>
        <w:t>P can help to significantly lower the impact of public spending and foster sustainable innovative businesses.</w:t>
      </w:r>
    </w:p>
    <w:bookmarkEnd w:id="43"/>
    <w:p w:rsidR="00C571F7" w:rsidRDefault="00884FC2">
      <w:pPr>
        <w:widowControl w:val="0"/>
        <w:spacing w:after="120" w:line="240" w:lineRule="auto"/>
        <w:jc w:val="both"/>
        <w:rPr>
          <w:rFonts w:cs="Times New Roman"/>
          <w:noProof/>
          <w:sz w:val="20"/>
        </w:rPr>
      </w:pPr>
      <w:r>
        <w:rPr>
          <w:rFonts w:cs="Times New Roman"/>
          <w:noProof/>
          <w:sz w:val="20"/>
        </w:rPr>
        <w:t>A National Action Plan (NAP) was in place for the period 2011-2015.</w:t>
      </w:r>
      <w:r>
        <w:rPr>
          <w:rFonts w:cs="Times New Roman"/>
          <w:noProof/>
          <w:sz w:val="20"/>
          <w:vertAlign w:val="superscript"/>
        </w:rPr>
        <w:footnoteReference w:id="86"/>
      </w:r>
      <w:r>
        <w:rPr>
          <w:rFonts w:cs="Times New Roman"/>
          <w:noProof/>
          <w:sz w:val="20"/>
        </w:rPr>
        <w:t xml:space="preserve"> GPP criteria are not developed at the national level. However the EU GPP crit</w:t>
      </w:r>
      <w:r>
        <w:rPr>
          <w:rFonts w:cs="Times New Roman"/>
          <w:noProof/>
          <w:sz w:val="20"/>
        </w:rPr>
        <w:t>eria</w:t>
      </w:r>
      <w:r>
        <w:rPr>
          <w:rFonts w:cs="Times New Roman"/>
          <w:noProof/>
          <w:sz w:val="20"/>
          <w:vertAlign w:val="superscript"/>
        </w:rPr>
        <w:footnoteReference w:id="87"/>
      </w:r>
      <w:r>
        <w:rPr>
          <w:rFonts w:cs="Times New Roman"/>
          <w:noProof/>
          <w:sz w:val="20"/>
        </w:rPr>
        <w:t xml:space="preserve"> are recommended for several product groups, like cleaning products and services, IT Office equipment, transport, copy and graphic paper, furniture, food and catering services, textiles, electricity, display device, garden products and services, and c</w:t>
      </w:r>
      <w:r>
        <w:rPr>
          <w:rFonts w:cs="Times New Roman"/>
          <w:noProof/>
          <w:sz w:val="20"/>
        </w:rPr>
        <w:t>onstruction.</w:t>
      </w:r>
      <w:r>
        <w:rPr>
          <w:rFonts w:cs="Times New Roman"/>
          <w:noProof/>
          <w:sz w:val="20"/>
          <w:vertAlign w:val="superscript"/>
        </w:rPr>
        <w:footnoteReference w:id="88"/>
      </w:r>
      <w:r>
        <w:rPr>
          <w:rFonts w:cs="Times New Roman"/>
          <w:noProof/>
          <w:sz w:val="20"/>
        </w:rPr>
        <w:t xml:space="preserve"> The target was to achieve 65 % of GPP at central government level by the end of 2015, and 50 % of GPP for regional and local level by the end of 2015.</w:t>
      </w:r>
      <w:r>
        <w:rPr>
          <w:rFonts w:cs="Times New Roman"/>
          <w:noProof/>
          <w:sz w:val="20"/>
          <w:vertAlign w:val="superscript"/>
        </w:rPr>
        <w:footnoteReference w:id="89"/>
      </w:r>
      <w:r>
        <w:rPr>
          <w:rFonts w:cs="Times New Roman"/>
          <w:noProof/>
          <w:sz w:val="20"/>
          <w:vertAlign w:val="superscript"/>
        </w:rPr>
        <w:t>,</w:t>
      </w:r>
      <w:r>
        <w:rPr>
          <w:rFonts w:cs="Times New Roman"/>
          <w:noProof/>
          <w:sz w:val="20"/>
          <w:vertAlign w:val="superscript"/>
        </w:rPr>
        <w:footnoteReference w:id="90"/>
      </w:r>
      <w:r>
        <w:rPr>
          <w:rFonts w:cs="Times New Roman"/>
          <w:noProof/>
          <w:sz w:val="20"/>
        </w:rPr>
        <w:t xml:space="preserve"> NAP 2011-2015 (NAP GPP II) will be replaced by NAP GPP III (2016-2020).</w:t>
      </w:r>
    </w:p>
    <w:p w:rsidR="00C571F7" w:rsidRDefault="00884FC2">
      <w:pPr>
        <w:widowControl w:val="0"/>
        <w:spacing w:after="120" w:line="240" w:lineRule="auto"/>
        <w:jc w:val="both"/>
        <w:rPr>
          <w:rFonts w:cs="Times New Roman"/>
          <w:noProof/>
          <w:sz w:val="20"/>
          <w:szCs w:val="20"/>
        </w:rPr>
      </w:pPr>
      <w:r>
        <w:rPr>
          <w:rFonts w:cs="Times New Roman"/>
          <w:noProof/>
          <w:sz w:val="20"/>
        </w:rPr>
        <w:t>Slovak authoriti</w:t>
      </w:r>
      <w:r>
        <w:rPr>
          <w:rFonts w:cs="Times New Roman"/>
          <w:noProof/>
          <w:sz w:val="20"/>
        </w:rPr>
        <w:t>es monitored the uptake of GPP policies in 2009 and 2010</w:t>
      </w:r>
      <w:r>
        <w:rPr>
          <w:rFonts w:cs="Times New Roman"/>
          <w:noProof/>
          <w:sz w:val="20"/>
          <w:vertAlign w:val="superscript"/>
        </w:rPr>
        <w:footnoteReference w:id="91"/>
      </w:r>
      <w:r>
        <w:rPr>
          <w:rFonts w:cs="Times New Roman"/>
          <w:noProof/>
          <w:sz w:val="20"/>
        </w:rPr>
        <w:t xml:space="preserve"> and 2015</w:t>
      </w:r>
      <w:r>
        <w:rPr>
          <w:rFonts w:cs="Times New Roman"/>
          <w:noProof/>
          <w:sz w:val="20"/>
          <w:vertAlign w:val="superscript"/>
        </w:rPr>
        <w:footnoteReference w:id="92"/>
      </w:r>
      <w:r>
        <w:rPr>
          <w:rFonts w:cs="Times New Roman"/>
          <w:noProof/>
          <w:sz w:val="20"/>
        </w:rPr>
        <w:t>.</w:t>
      </w:r>
      <w:r>
        <w:rPr>
          <w:rFonts w:cs="Times New Roman"/>
          <w:strike/>
          <w:noProof/>
          <w:sz w:val="20"/>
        </w:rPr>
        <w:t xml:space="preserve"> </w:t>
      </w:r>
    </w:p>
    <w:p w:rsidR="00C571F7" w:rsidRDefault="00884FC2">
      <w:pPr>
        <w:widowControl w:val="0"/>
        <w:spacing w:before="360" w:after="120" w:line="240" w:lineRule="auto"/>
        <w:outlineLvl w:val="1"/>
        <w:rPr>
          <w:rFonts w:cs="Times New Roman"/>
          <w:b/>
          <w:noProof/>
          <w:color w:val="1F497D" w:themeColor="text2"/>
          <w:sz w:val="24"/>
        </w:rPr>
      </w:pPr>
      <w:bookmarkStart w:id="44" w:name="_Toc469478109"/>
      <w:r>
        <w:rPr>
          <w:rFonts w:cs="Times New Roman"/>
          <w:b/>
          <w:noProof/>
          <w:color w:val="1F497D" w:themeColor="text2"/>
          <w:sz w:val="24"/>
        </w:rPr>
        <w:t>Investments: the contribution of EU funds</w:t>
      </w:r>
      <w:bookmarkEnd w:id="44"/>
      <w:r>
        <w:rPr>
          <w:rFonts w:cs="Times New Roman"/>
          <w:b/>
          <w:noProof/>
          <w:color w:val="1F497D" w:themeColor="text2"/>
          <w:sz w:val="24"/>
        </w:rPr>
        <w:t xml:space="preserve"> </w:t>
      </w:r>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European Structural and Investment Funds Regulations provide that Member States promote environment and climate objectives in their funding </w:t>
      </w:r>
      <w:r>
        <w:rPr>
          <w:rFonts w:cs="Times New Roman"/>
          <w:noProof/>
          <w:color w:val="FFFFFF" w:themeColor="background1"/>
          <w:sz w:val="20"/>
        </w:rPr>
        <w:t>strategies and programmes for economic, social and territorial cohesion, rural development and maritime policy, and reinforce the capacity of implementing bodies to deliver cost-effective and sustainable investments in these areas.</w:t>
      </w:r>
    </w:p>
    <w:p w:rsidR="00C571F7" w:rsidRDefault="00884FC2">
      <w:pPr>
        <w:widowControl w:val="0"/>
        <w:spacing w:after="120" w:line="240" w:lineRule="auto"/>
        <w:jc w:val="both"/>
        <w:rPr>
          <w:rFonts w:cs="Times New Roman"/>
          <w:noProof/>
          <w:sz w:val="20"/>
        </w:rPr>
      </w:pPr>
      <w:r>
        <w:rPr>
          <w:rFonts w:cs="Times New Roman"/>
          <w:noProof/>
          <w:sz w:val="20"/>
        </w:rPr>
        <w:t xml:space="preserve">Making good use of the </w:t>
      </w:r>
      <w:r>
        <w:rPr>
          <w:rFonts w:cs="Times New Roman"/>
          <w:noProof/>
          <w:sz w:val="20"/>
          <w:szCs w:val="24"/>
        </w:rPr>
        <w:t>E</w:t>
      </w:r>
      <w:r>
        <w:rPr>
          <w:rFonts w:cs="Times New Roman"/>
          <w:noProof/>
          <w:sz w:val="20"/>
          <w:szCs w:val="24"/>
        </w:rPr>
        <w:t>uropean Structural and Investment Funds (ESIF)</w:t>
      </w:r>
      <w:r>
        <w:rPr>
          <w:rFonts w:cs="Times New Roman"/>
          <w:noProof/>
          <w:sz w:val="20"/>
          <w:szCs w:val="24"/>
          <w:vertAlign w:val="superscript"/>
        </w:rPr>
        <w:footnoteReference w:id="93"/>
      </w:r>
      <w:r>
        <w:rPr>
          <w:rFonts w:cs="Times New Roman"/>
          <w:noProof/>
          <w:sz w:val="20"/>
          <w:szCs w:val="24"/>
        </w:rPr>
        <w:t xml:space="preserve"> </w:t>
      </w:r>
      <w:r>
        <w:rPr>
          <w:rFonts w:cs="Times New Roman"/>
          <w:noProof/>
          <w:sz w:val="20"/>
        </w:rPr>
        <w:t>is essential to achieve the environmental goals and integrate these into other policy areas. Other instruments such as the Horizon 2020, the LIFE programme and European Fund for Strategic Investment</w:t>
      </w:r>
      <w:r>
        <w:rPr>
          <w:rFonts w:cs="Times New Roman"/>
          <w:noProof/>
          <w:sz w:val="20"/>
          <w:vertAlign w:val="superscript"/>
        </w:rPr>
        <w:footnoteReference w:id="94"/>
      </w:r>
      <w:r>
        <w:rPr>
          <w:rFonts w:cs="Times New Roman"/>
          <w:noProof/>
          <w:sz w:val="20"/>
        </w:rPr>
        <w:t xml:space="preserve"> (EFSI) m</w:t>
      </w:r>
      <w:r>
        <w:rPr>
          <w:rFonts w:cs="Times New Roman"/>
          <w:noProof/>
          <w:sz w:val="20"/>
        </w:rPr>
        <w:t>ay also support implementation and spread off best practice.</w:t>
      </w:r>
    </w:p>
    <w:p w:rsidR="00C571F7" w:rsidRDefault="00884FC2">
      <w:pPr>
        <w:spacing w:after="120" w:line="240" w:lineRule="auto"/>
        <w:jc w:val="both"/>
        <w:rPr>
          <w:rFonts w:cs="Times New Roman"/>
          <w:noProof/>
          <w:sz w:val="20"/>
        </w:rPr>
      </w:pPr>
      <w:r>
        <w:rPr>
          <w:rFonts w:cs="Times New Roman"/>
          <w:noProof/>
          <w:sz w:val="20"/>
        </w:rPr>
        <w:t>The funding allocation to Slovakia</w:t>
      </w:r>
      <w:r>
        <w:rPr>
          <w:rFonts w:cs="Times New Roman"/>
          <w:noProof/>
          <w:sz w:val="20"/>
          <w:vertAlign w:val="superscript"/>
        </w:rPr>
        <w:footnoteReference w:id="95"/>
      </w:r>
      <w:r>
        <w:rPr>
          <w:rFonts w:cs="Times New Roman"/>
          <w:noProof/>
          <w:sz w:val="20"/>
        </w:rPr>
        <w:t xml:space="preserve"> for PP 2014-2020 (see Figure 13), in comparison to PP 2007-2013, increased by almost 14% to overall EURO 15,3 billion in terms of EU sources and by around 24% in terms of the total funding to overall 20,0 billion (mainly due to the growth of the national </w:t>
      </w:r>
      <w:r>
        <w:rPr>
          <w:rFonts w:cs="Times New Roman"/>
          <w:noProof/>
          <w:sz w:val="20"/>
        </w:rPr>
        <w:t>economy). The public investments are heavily dependent on the EU funds including the environmental sector. There is a lack of other public sources to support the implementation of environmental policies.</w:t>
      </w:r>
    </w:p>
    <w:p w:rsidR="00C571F7" w:rsidRDefault="00884FC2">
      <w:pPr>
        <w:spacing w:after="120" w:line="240" w:lineRule="auto"/>
        <w:jc w:val="both"/>
        <w:rPr>
          <w:rFonts w:cs="Times New Roman"/>
          <w:noProof/>
          <w:sz w:val="20"/>
        </w:rPr>
      </w:pPr>
      <w:r>
        <w:rPr>
          <w:rFonts w:cs="Times New Roman"/>
          <w:noProof/>
          <w:sz w:val="20"/>
        </w:rPr>
        <w:t>Number of programmes has decreased to 8 for ERDF, ES</w:t>
      </w:r>
      <w:r>
        <w:rPr>
          <w:rFonts w:cs="Times New Roman"/>
          <w:noProof/>
          <w:sz w:val="20"/>
        </w:rPr>
        <w:t xml:space="preserve">F and CF (plus RDP for EARDF and ETC OPs). </w:t>
      </w:r>
    </w:p>
    <w:p w:rsidR="00C571F7" w:rsidRDefault="00884FC2">
      <w:pPr>
        <w:spacing w:after="120" w:line="240" w:lineRule="auto"/>
        <w:jc w:val="both"/>
        <w:rPr>
          <w:rFonts w:cs="Times New Roman"/>
          <w:noProof/>
          <w:sz w:val="20"/>
        </w:rPr>
      </w:pPr>
      <w:r>
        <w:rPr>
          <w:rFonts w:cs="Times New Roman"/>
          <w:noProof/>
          <w:sz w:val="20"/>
        </w:rPr>
        <w:t xml:space="preserve">The main programme for implementation of environmental policies is Operational Programme Quality of Environment. It is planned that implementation of the programme will result </w:t>
      </w:r>
      <w:r>
        <w:rPr>
          <w:rFonts w:cs="Times New Roman"/>
          <w:i/>
          <w:noProof/>
          <w:sz w:val="20"/>
        </w:rPr>
        <w:t>inter alia</w:t>
      </w:r>
      <w:r>
        <w:rPr>
          <w:rFonts w:cs="Times New Roman"/>
          <w:noProof/>
          <w:sz w:val="20"/>
        </w:rPr>
        <w:t xml:space="preserve"> in increasing the surface</w:t>
      </w:r>
      <w:r>
        <w:rPr>
          <w:rFonts w:cs="Times New Roman"/>
          <w:noProof/>
          <w:sz w:val="20"/>
        </w:rPr>
        <w:t xml:space="preserve"> area of rehabilitated land by 452 hectares, increasing the surface area of habitats supported to attain a better conservation status by 20 131 hectares, enhancing waste recycling capacity by 197 466 tonnes/year and waste recovery capacity by 329 676 tonne</w:t>
      </w:r>
      <w:r>
        <w:rPr>
          <w:rFonts w:cs="Times New Roman"/>
          <w:noProof/>
          <w:sz w:val="20"/>
        </w:rPr>
        <w:t>s/year, increasing the population served by improved wastewater treatment by 212 411 persons, as well as implementing 390 green infrastructure elements, The programme is also expected to contribute to the reduction of PM emission by 6 960 tonnes/year and s</w:t>
      </w:r>
      <w:r>
        <w:rPr>
          <w:rFonts w:cs="Times New Roman"/>
          <w:noProof/>
          <w:sz w:val="20"/>
        </w:rPr>
        <w:t xml:space="preserve">elected pollutant emissions by 38 083 tonnes/year. </w:t>
      </w:r>
    </w:p>
    <w:p w:rsidR="00C571F7" w:rsidRDefault="00884FC2">
      <w:pPr>
        <w:spacing w:after="120" w:line="240" w:lineRule="auto"/>
        <w:jc w:val="both"/>
        <w:rPr>
          <w:rFonts w:cs="Times New Roman"/>
          <w:noProof/>
          <w:sz w:val="20"/>
        </w:rPr>
      </w:pPr>
      <w:r>
        <w:rPr>
          <w:rFonts w:cs="Times New Roman"/>
          <w:noProof/>
          <w:sz w:val="20"/>
        </w:rPr>
        <w:t>Current data suggest that the EU funds for the 2007-2013 period were almost fully spent</w:t>
      </w:r>
      <w:r>
        <w:rPr>
          <w:rFonts w:cs="Times New Roman"/>
          <w:noProof/>
          <w:sz w:val="20"/>
          <w:vertAlign w:val="superscript"/>
        </w:rPr>
        <w:footnoteReference w:id="96"/>
      </w:r>
      <w:r>
        <w:rPr>
          <w:rFonts w:cs="Times New Roman"/>
          <w:noProof/>
          <w:sz w:val="20"/>
        </w:rPr>
        <w:t xml:space="preserve"> .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rPr>
          <w:trHeight w:val="541"/>
        </w:trPr>
        <w:tc>
          <w:tcPr>
            <w:tcW w:w="4909" w:type="dxa"/>
            <w:shd w:val="clear" w:color="auto" w:fill="auto"/>
          </w:tcPr>
          <w:p w:rsidR="00C571F7" w:rsidRDefault="00884FC2">
            <w:pPr>
              <w:spacing w:after="120"/>
              <w:jc w:val="both"/>
              <w:rPr>
                <w:rFonts w:cs="Times New Roman"/>
                <w:noProof/>
                <w:sz w:val="20"/>
              </w:rPr>
            </w:pPr>
            <w:r>
              <w:rPr>
                <w:rFonts w:cs="Times New Roman"/>
                <w:b/>
                <w:bCs/>
                <w:noProof/>
                <w:color w:val="1F497D" w:themeColor="text2"/>
                <w:sz w:val="20"/>
              </w:rPr>
              <w:t>Figure 13: European Structural and Investment Funds 2014-2020: Budget Slovakia by theme, EUR billion</w:t>
            </w:r>
            <w:r>
              <w:rPr>
                <w:rFonts w:cs="Times New Roman"/>
                <w:noProof/>
                <w:sz w:val="20"/>
                <w:vertAlign w:val="superscript"/>
              </w:rPr>
              <w:footnoteReference w:id="97"/>
            </w:r>
          </w:p>
        </w:tc>
      </w:tr>
      <w:tr w:rsidR="00C571F7">
        <w:trPr>
          <w:trHeight w:val="558"/>
        </w:trPr>
        <w:tc>
          <w:tcPr>
            <w:tcW w:w="4909" w:type="dxa"/>
          </w:tcPr>
          <w:p w:rsidR="00C571F7" w:rsidRDefault="00884FC2">
            <w:pPr>
              <w:spacing w:after="120"/>
              <w:jc w:val="both"/>
              <w:rPr>
                <w:rFonts w:cs="Times New Roman"/>
                <w:noProof/>
                <w:sz w:val="20"/>
              </w:rPr>
            </w:pPr>
            <w:r>
              <w:rPr>
                <w:rFonts w:cs="Times New Roman"/>
                <w:noProof/>
                <w:sz w:val="20"/>
                <w:lang w:eastAsia="en-GB"/>
              </w:rPr>
              <w:drawing>
                <wp:inline distT="0" distB="0" distL="0" distR="0" wp14:anchorId="7279A4C5" wp14:editId="3FB306B3">
                  <wp:extent cx="3103665" cy="371475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109577" cy="3721826"/>
                          </a:xfrm>
                          <a:prstGeom prst="rect">
                            <a:avLst/>
                          </a:prstGeom>
                        </pic:spPr>
                      </pic:pic>
                    </a:graphicData>
                  </a:graphic>
                </wp:inline>
              </w:drawing>
            </w:r>
          </w:p>
        </w:tc>
      </w:tr>
    </w:tbl>
    <w:p w:rsidR="00C571F7" w:rsidRDefault="00884FC2">
      <w:pPr>
        <w:spacing w:after="120" w:line="240" w:lineRule="auto"/>
        <w:jc w:val="both"/>
        <w:rPr>
          <w:rFonts w:cs="Times New Roman"/>
          <w:noProof/>
          <w:sz w:val="20"/>
        </w:rPr>
      </w:pPr>
      <w:r>
        <w:rPr>
          <w:rFonts w:cs="Times New Roman"/>
          <w:noProof/>
          <w:sz w:val="20"/>
        </w:rPr>
        <w:t>The ge</w:t>
      </w:r>
      <w:r>
        <w:rPr>
          <w:rFonts w:cs="Times New Roman"/>
          <w:noProof/>
          <w:sz w:val="20"/>
        </w:rPr>
        <w:t xml:space="preserve">neral problem of EU programmes in Slovakia is with targeted use of funds, including environmental sector. Changes in the investment strategy of the </w:t>
      </w:r>
      <w:r>
        <w:rPr>
          <w:rFonts w:cs="Times New Roman"/>
          <w:noProof/>
          <w:sz w:val="20"/>
        </w:rPr>
        <w:br/>
        <w:t>OPE 2007-2013 were caused by the delays in project preparation in waste and water sectors and lack of appro</w:t>
      </w:r>
      <w:r>
        <w:rPr>
          <w:rFonts w:cs="Times New Roman"/>
          <w:noProof/>
          <w:sz w:val="20"/>
        </w:rPr>
        <w:t>priate capacities in project design and preparation. This created a serious risk of a substantial funds decommitment and resulted in several modification of programme. Another challenge is the integration of environmental priorities. In on-going PP 2014-20</w:t>
      </w:r>
      <w:r>
        <w:rPr>
          <w:rFonts w:cs="Times New Roman"/>
          <w:noProof/>
          <w:sz w:val="20"/>
        </w:rPr>
        <w:t>20, this would largely depend on the progress in implementation in the programmes outside the Operational Programme Quality of Environment. However, more stringent regulatory and enforcement steps are needed leading to creation of credible plans to adopt m</w:t>
      </w:r>
      <w:r>
        <w:rPr>
          <w:rFonts w:cs="Times New Roman"/>
          <w:noProof/>
          <w:sz w:val="20"/>
        </w:rPr>
        <w:t xml:space="preserve">easures designed by different strategies to this end.   </w:t>
      </w:r>
    </w:p>
    <w:p w:rsidR="00C571F7" w:rsidRDefault="00884FC2">
      <w:pPr>
        <w:widowControl w:val="0"/>
        <w:spacing w:after="120" w:line="240" w:lineRule="auto"/>
        <w:jc w:val="both"/>
        <w:rPr>
          <w:rFonts w:cs="Times New Roman"/>
          <w:noProof/>
          <w:sz w:val="20"/>
        </w:rPr>
      </w:pPr>
      <w:r>
        <w:rPr>
          <w:rFonts w:cs="Times New Roman"/>
          <w:noProof/>
          <w:sz w:val="20"/>
        </w:rPr>
        <w:t xml:space="preserve">The National Rural Development Program (NRDP) of Slovakia, its EARDF part, amounts to EUR </w:t>
      </w:r>
      <w:r>
        <w:rPr>
          <w:rFonts w:cs="Times New Roman"/>
          <w:noProof/>
        </w:rPr>
        <w:t>1,560 million</w:t>
      </w:r>
      <w:r>
        <w:rPr>
          <w:rFonts w:cs="Times New Roman"/>
          <w:bCs/>
          <w:noProof/>
          <w:vertAlign w:val="superscript"/>
        </w:rPr>
        <w:footnoteReference w:id="98"/>
      </w:r>
      <w:r>
        <w:rPr>
          <w:rFonts w:cs="Times New Roman"/>
          <w:noProof/>
          <w:sz w:val="20"/>
        </w:rPr>
        <w:t>. The budget for agri-environmental-climate measure represents 6.8% of the total EAFRD and is o</w:t>
      </w:r>
      <w:r>
        <w:rPr>
          <w:rFonts w:cs="Times New Roman"/>
          <w:noProof/>
          <w:sz w:val="20"/>
        </w:rPr>
        <w:t xml:space="preserve">ne of the lowest percentages among the MSs. </w:t>
      </w:r>
    </w:p>
    <w:p w:rsidR="00C571F7" w:rsidRDefault="00884FC2">
      <w:pPr>
        <w:widowControl w:val="0"/>
        <w:spacing w:after="120" w:line="240" w:lineRule="auto"/>
        <w:jc w:val="both"/>
        <w:rPr>
          <w:rFonts w:cs="Times New Roman"/>
          <w:noProof/>
          <w:sz w:val="20"/>
        </w:rPr>
      </w:pPr>
      <w:r>
        <w:rPr>
          <w:rFonts w:cs="Times New Roman"/>
          <w:noProof/>
          <w:sz w:val="20"/>
        </w:rPr>
        <w:t xml:space="preserve">Slovakia used option of transfer part of budget of Pillar II to Pillar I for direct payments (21.3% for allocations for every budgetary year 2015-2020, subject to amendments). </w:t>
      </w:r>
    </w:p>
    <w:p w:rsidR="00C571F7" w:rsidRDefault="00884FC2">
      <w:pPr>
        <w:widowControl w:val="0"/>
        <w:spacing w:after="120" w:line="240" w:lineRule="auto"/>
        <w:jc w:val="both"/>
        <w:rPr>
          <w:rFonts w:cs="Times New Roman"/>
          <w:noProof/>
          <w:sz w:val="20"/>
        </w:rPr>
      </w:pPr>
      <w:r>
        <w:rPr>
          <w:rFonts w:cs="Times New Roman"/>
          <w:noProof/>
          <w:sz w:val="20"/>
        </w:rPr>
        <w:t>Contribution of RDP towards environmental objectives inadequately covers the needs. Slovak NRDP includes only two measures for support of biodiversity (apart from agri-environment-climate measure), namely Natura 2000 compensation measure and forest-environ</w:t>
      </w:r>
      <w:r>
        <w:rPr>
          <w:rFonts w:cs="Times New Roman"/>
          <w:noProof/>
          <w:sz w:val="20"/>
        </w:rPr>
        <w:t xml:space="preserve">ment measure, with rather limited allocation. Around half of the contribution accounted under environmental objectives is related to the measure on natural constraints (however, as in other MSs, no conditions are linked to this measure). </w:t>
      </w:r>
    </w:p>
    <w:p w:rsidR="00C571F7" w:rsidRDefault="00884FC2">
      <w:pPr>
        <w:widowControl w:val="0"/>
        <w:spacing w:after="120" w:line="240" w:lineRule="auto"/>
        <w:jc w:val="both"/>
        <w:rPr>
          <w:rFonts w:cs="Times New Roman"/>
          <w:noProof/>
          <w:sz w:val="20"/>
        </w:rPr>
      </w:pPr>
      <w:r>
        <w:rPr>
          <w:rFonts w:cs="Times New Roman"/>
          <w:noProof/>
          <w:sz w:val="20"/>
        </w:rPr>
        <w:t>Some of the needs</w:t>
      </w:r>
      <w:r>
        <w:rPr>
          <w:rFonts w:cs="Times New Roman"/>
          <w:noProof/>
          <w:sz w:val="20"/>
        </w:rPr>
        <w:t xml:space="preserve"> such as cohabitation of rural areas and agriculture with large carnivores are out of the programme. On the other hand, reconstructing of drainage channels have been included in significant scope but with questionable benefits as well as fire forest preven</w:t>
      </w:r>
      <w:r>
        <w:rPr>
          <w:rFonts w:cs="Times New Roman"/>
          <w:noProof/>
          <w:sz w:val="20"/>
        </w:rPr>
        <w:t>tion measures, which are problematic as according to the ECA audit</w:t>
      </w:r>
      <w:r>
        <w:rPr>
          <w:rFonts w:cs="Times New Roman"/>
          <w:bCs/>
          <w:noProof/>
          <w:sz w:val="20"/>
          <w:szCs w:val="20"/>
          <w:vertAlign w:val="superscript"/>
        </w:rPr>
        <w:footnoteReference w:id="99"/>
      </w:r>
      <w:r>
        <w:rPr>
          <w:rFonts w:cs="Times New Roman"/>
          <w:noProof/>
          <w:sz w:val="20"/>
        </w:rPr>
        <w:t xml:space="preserve">. </w:t>
      </w:r>
    </w:p>
    <w:p w:rsidR="00C571F7" w:rsidRDefault="00884FC2">
      <w:pPr>
        <w:widowControl w:val="0"/>
        <w:spacing w:after="120" w:line="240" w:lineRule="auto"/>
        <w:jc w:val="both"/>
        <w:rPr>
          <w:rFonts w:cs="Times New Roman"/>
          <w:noProof/>
          <w:sz w:val="20"/>
        </w:rPr>
      </w:pPr>
      <w:r>
        <w:rPr>
          <w:rFonts w:cs="Times New Roman"/>
          <w:noProof/>
          <w:sz w:val="20"/>
        </w:rPr>
        <w:t>With regard to the integration of environmental concerns into the Common Agricultural Policy (CAP), the two key areas for Slovakia (as for all Member States) are relevant. First, using R</w:t>
      </w:r>
      <w:r>
        <w:rPr>
          <w:rFonts w:cs="Times New Roman"/>
          <w:noProof/>
          <w:sz w:val="20"/>
        </w:rPr>
        <w:t>ural Development funds to pay for environmentally friendly land management and other environmental measures, and secondly, ensuring an effective implementation of the first pillar of the CAP with regard to cross compliance and 1st pillar - 'greening' where</w:t>
      </w:r>
      <w:r>
        <w:rPr>
          <w:rFonts w:cs="Times New Roman"/>
          <w:noProof/>
          <w:sz w:val="20"/>
        </w:rPr>
        <w:t xml:space="preserve"> almost 30 % of direct payment envelope could be allocated to greening practices beneficial for the environment. An environmentally ambitious implementation of 1st pillar greening would clearly help to improve the environmental situation in areas not cover</w:t>
      </w:r>
      <w:r>
        <w:rPr>
          <w:rFonts w:cs="Times New Roman"/>
          <w:noProof/>
          <w:sz w:val="20"/>
        </w:rPr>
        <w:t>ed by rural development, including intensive area, and Slovakia still could make improvements in this regards.</w:t>
      </w:r>
      <w:r>
        <w:rPr>
          <w:rFonts w:cs="Times New Roman"/>
          <w:noProof/>
          <w:sz w:val="20"/>
          <w:szCs w:val="20"/>
          <w:vertAlign w:val="superscript"/>
        </w:rPr>
        <w:footnoteReference w:id="100"/>
      </w:r>
      <w:r>
        <w:rPr>
          <w:rFonts w:cs="Times New Roman"/>
          <w:noProof/>
          <w:sz w:val="20"/>
        </w:rPr>
        <w:t xml:space="preserve"> </w:t>
      </w:r>
    </w:p>
    <w:p w:rsidR="00C571F7" w:rsidRDefault="00884FC2">
      <w:pPr>
        <w:widowControl w:val="0"/>
        <w:spacing w:after="120" w:line="240" w:lineRule="auto"/>
        <w:jc w:val="both"/>
        <w:rPr>
          <w:noProof/>
        </w:rPr>
      </w:pPr>
      <w:r>
        <w:rPr>
          <w:rFonts w:cs="Times New Roman"/>
          <w:noProof/>
          <w:sz w:val="20"/>
        </w:rPr>
        <w:t>A critical review of the programming logic of the Rural Development Programme (RDP) towards more environmental objectives and effective impleme</w:t>
      </w:r>
      <w:r>
        <w:rPr>
          <w:rFonts w:cs="Times New Roman"/>
          <w:noProof/>
          <w:sz w:val="20"/>
        </w:rPr>
        <w:t>ntation of 'greening' is crucial for 2014-2020.</w:t>
      </w:r>
    </w:p>
    <w:p w:rsidR="00C571F7" w:rsidRDefault="00C571F7">
      <w:pPr>
        <w:widowControl w:val="0"/>
        <w:spacing w:after="120" w:line="240" w:lineRule="auto"/>
        <w:jc w:val="both"/>
        <w:rPr>
          <w:noProof/>
        </w:rPr>
      </w:pPr>
    </w:p>
    <w:p w:rsidR="00C571F7" w:rsidRDefault="00C571F7">
      <w:pPr>
        <w:widowControl w:val="0"/>
        <w:spacing w:after="120" w:line="240" w:lineRule="auto"/>
        <w:jc w:val="both"/>
        <w:rPr>
          <w:noProof/>
        </w:rPr>
      </w:pPr>
    </w:p>
    <w:p w:rsidR="00C571F7" w:rsidRDefault="00C571F7">
      <w:pPr>
        <w:widowControl w:val="0"/>
        <w:spacing w:after="120" w:line="240" w:lineRule="auto"/>
        <w:jc w:val="both"/>
        <w:rPr>
          <w:noProof/>
        </w:rPr>
        <w:sectPr w:rsidR="00C571F7">
          <w:headerReference w:type="even" r:id="rId111"/>
          <w:headerReference w:type="default" r:id="rId112"/>
          <w:footerReference w:type="even" r:id="rId113"/>
          <w:footerReference w:type="default" r:id="rId114"/>
          <w:headerReference w:type="first" r:id="rId115"/>
          <w:footerReference w:type="first" r:id="rId116"/>
          <w:type w:val="continuous"/>
          <w:pgSz w:w="11906" w:h="16838" w:code="9"/>
          <w:pgMar w:top="1440" w:right="1080" w:bottom="1440" w:left="1080" w:header="709" w:footer="709" w:gutter="0"/>
          <w:cols w:num="2" w:space="360"/>
          <w:docGrid w:linePitch="360"/>
        </w:sectPr>
      </w:pPr>
    </w:p>
    <w:p w:rsidR="00C571F7" w:rsidRDefault="00884FC2">
      <w:pPr>
        <w:pStyle w:val="Heading1"/>
        <w:rPr>
          <w:noProof/>
        </w:rPr>
        <w:sectPr w:rsidR="00C571F7">
          <w:headerReference w:type="even" r:id="rId117"/>
          <w:headerReference w:type="default" r:id="rId118"/>
          <w:footerReference w:type="even" r:id="rId119"/>
          <w:footerReference w:type="default" r:id="rId120"/>
          <w:headerReference w:type="first" r:id="rId121"/>
          <w:footerReference w:type="first" r:id="rId122"/>
          <w:type w:val="continuous"/>
          <w:pgSz w:w="11906" w:h="16838" w:code="9"/>
          <w:pgMar w:top="1440" w:right="1080" w:bottom="1440" w:left="1080" w:header="709" w:footer="709" w:gutter="0"/>
          <w:cols w:space="360"/>
          <w:docGrid w:linePitch="360"/>
        </w:sectPr>
      </w:pPr>
      <w:bookmarkStart w:id="45" w:name="_Toc469478110"/>
      <w:r>
        <w:rPr>
          <w:noProof/>
        </w:rPr>
        <w:t>Effective governance and knowledge</w:t>
      </w:r>
      <w:bookmarkEnd w:id="45"/>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SDG 16 aims at providing access to justice and building effective, accountable and inclusive institutions at all levels. SDG 17 aims at better implementation, improving policy </w:t>
      </w:r>
      <w:r>
        <w:rPr>
          <w:rFonts w:cs="Times New Roman"/>
          <w:noProof/>
          <w:color w:val="FFFFFF" w:themeColor="background1"/>
          <w:sz w:val="20"/>
        </w:rPr>
        <w:t>coordination and policy coherence, stimulating science, technology and innovation, establishing partnerships and developing measurements of progress.</w:t>
      </w:r>
    </w:p>
    <w:p w:rsidR="00C571F7" w:rsidRDefault="00884FC2">
      <w:pPr>
        <w:widowControl w:val="0"/>
        <w:spacing w:after="120" w:line="240" w:lineRule="auto"/>
        <w:jc w:val="both"/>
        <w:rPr>
          <w:rFonts w:cs="Times New Roman"/>
          <w:noProof/>
          <w:sz w:val="20"/>
        </w:rPr>
      </w:pPr>
      <w:r>
        <w:rPr>
          <w:rFonts w:cs="Times New Roman"/>
          <w:noProof/>
          <w:sz w:val="20"/>
        </w:rPr>
        <w:t xml:space="preserve">Effective governance of EU environmental legislation and policies requires having an appropriate </w:t>
      </w:r>
      <w:r>
        <w:rPr>
          <w:rFonts w:cs="Times New Roman"/>
          <w:noProof/>
          <w:sz w:val="20"/>
        </w:rPr>
        <w:t>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101"/>
      </w:r>
      <w:r>
        <w:rPr>
          <w:rFonts w:cs="Times New Roman"/>
          <w:noProof/>
          <w:sz w:val="20"/>
        </w:rPr>
        <w:t>. Successful implementation depends, to a large extent, on</w:t>
      </w:r>
      <w:r>
        <w:rPr>
          <w:rFonts w:cs="Times New Roman"/>
          <w:noProof/>
          <w:sz w:val="20"/>
        </w:rPr>
        <w:t xml:space="preserve"> central, regional and local government fulfilling key legislative and administrative tasks, notably adoption of sound implementing legislation, co-ordinated action to meet environmental objectives and correct decision-making on matters such as industrial </w:t>
      </w:r>
      <w:r>
        <w:rPr>
          <w:rFonts w:cs="Times New Roman"/>
          <w:noProof/>
          <w:sz w:val="20"/>
        </w:rPr>
        <w:t>permits. Beyond fulfilment of these tasks, government must intervene to ensure day-to-day compliance by economic operators, utilities and individuals ("compliance assurance"). Civil society also has a role to play, including through legal action. To underp</w:t>
      </w:r>
      <w:r>
        <w:rPr>
          <w:rFonts w:cs="Times New Roman"/>
          <w:noProof/>
          <w:sz w:val="20"/>
        </w:rPr>
        <w:t>in the roles of all actors, it is crucial to collect and share knowledge and evidence on the state of the environment and on environmental pressures, drivers and impacts.</w:t>
      </w:r>
    </w:p>
    <w:p w:rsidR="00C571F7" w:rsidRDefault="00884FC2">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legislation and policies benefits f</w:t>
      </w:r>
      <w:r>
        <w:rPr>
          <w:rFonts w:cs="Times New Roman"/>
          <w:noProof/>
          <w:sz w:val="20"/>
          <w:szCs w:val="20"/>
          <w:lang w:val="en-US"/>
        </w:rPr>
        <w:t>rom a dialogue within Member States and between Member States and the Commission on whether the current EU environmental legislation is fit for purpose. Legislation can only be properly implemented when it takes into account experiences at Member State lev</w:t>
      </w:r>
      <w:r>
        <w:rPr>
          <w:rFonts w:cs="Times New Roman"/>
          <w:noProof/>
          <w:sz w:val="20"/>
          <w:szCs w:val="20"/>
          <w:lang w:val="en-US"/>
        </w:rPr>
        <w:t>el with putting EU commitments into effect. The Make it Work initiative, a Member State driven project, established in 2014, organizes a discussion on how the clarity, coherence and structure of EU environmental legislation can be improved without lowering</w:t>
      </w:r>
      <w:r>
        <w:rPr>
          <w:rFonts w:cs="Times New Roman"/>
          <w:noProof/>
          <w:sz w:val="20"/>
          <w:szCs w:val="20"/>
          <w:lang w:val="en-US"/>
        </w:rPr>
        <w:t xml:space="preserve"> existing protection standards.</w:t>
      </w:r>
    </w:p>
    <w:p w:rsidR="00C571F7" w:rsidRDefault="00884FC2">
      <w:pPr>
        <w:widowControl w:val="0"/>
        <w:spacing w:after="120" w:line="240" w:lineRule="auto"/>
        <w:outlineLvl w:val="1"/>
        <w:rPr>
          <w:rFonts w:cs="Times New Roman"/>
          <w:b/>
          <w:noProof/>
          <w:color w:val="1F497D" w:themeColor="text2"/>
          <w:sz w:val="24"/>
        </w:rPr>
      </w:pPr>
      <w:bookmarkStart w:id="46" w:name="_Toc469478111"/>
      <w:r>
        <w:rPr>
          <w:rFonts w:cs="Times New Roman"/>
          <w:b/>
          <w:noProof/>
          <w:color w:val="1F497D" w:themeColor="text2"/>
          <w:sz w:val="24"/>
        </w:rPr>
        <w:t>Effective governance within central, regional and local government</w:t>
      </w:r>
      <w:bookmarkEnd w:id="46"/>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knowledge, tools and capaci</w:t>
      </w:r>
      <w:r>
        <w:rPr>
          <w:rFonts w:cs="Times New Roman"/>
          <w:noProof/>
          <w:color w:val="FFFFFF" w:themeColor="background1"/>
          <w:sz w:val="20"/>
        </w:rPr>
        <w:t>ty to improve the delivery of benefits from that legislation, and the governance of the enforcement process.</w:t>
      </w:r>
    </w:p>
    <w:p w:rsidR="00C571F7" w:rsidRDefault="00C571F7">
      <w:pPr>
        <w:widowControl w:val="0"/>
        <w:spacing w:before="200" w:after="0" w:line="240" w:lineRule="auto"/>
        <w:jc w:val="both"/>
        <w:outlineLvl w:val="2"/>
        <w:rPr>
          <w:rFonts w:eastAsiaTheme="majorEastAsia" w:cstheme="majorBidi"/>
          <w:b/>
          <w:bCs/>
          <w:noProof/>
          <w:color w:val="1F497D" w:themeColor="text2"/>
        </w:rPr>
      </w:pPr>
    </w:p>
    <w:p w:rsidR="00C571F7" w:rsidRDefault="00884FC2">
      <w:pPr>
        <w:widowControl w:val="0"/>
        <w:spacing w:before="200" w:after="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Capacity to implement rules</w:t>
      </w:r>
    </w:p>
    <w:p w:rsidR="00C571F7" w:rsidRDefault="00884FC2">
      <w:pPr>
        <w:widowControl w:val="0"/>
        <w:spacing w:after="120" w:line="240" w:lineRule="auto"/>
        <w:jc w:val="both"/>
        <w:rPr>
          <w:rFonts w:cs="Times New Roman"/>
          <w:noProof/>
          <w:sz w:val="20"/>
        </w:rPr>
      </w:pPr>
      <w:r>
        <w:rPr>
          <w:rFonts w:cs="Times New Roman"/>
          <w:noProof/>
          <w:sz w:val="20"/>
        </w:rPr>
        <w:t>It is crucial that central, regional and local administrations have the necessary capacities and skills and training t</w:t>
      </w:r>
      <w:r>
        <w:rPr>
          <w:rFonts w:cs="Times New Roman"/>
          <w:noProof/>
          <w:sz w:val="20"/>
        </w:rPr>
        <w:t>o carry out their own tasks and co-operate and co-ordinate effectively with each other, within a system of multi-level governance.</w:t>
      </w:r>
    </w:p>
    <w:p w:rsidR="00C571F7" w:rsidRDefault="00884FC2">
      <w:pPr>
        <w:widowControl w:val="0"/>
        <w:spacing w:after="120" w:line="240" w:lineRule="auto"/>
        <w:jc w:val="both"/>
        <w:rPr>
          <w:rFonts w:cs="Times New Roman"/>
          <w:noProof/>
          <w:sz w:val="20"/>
        </w:rPr>
      </w:pPr>
      <w:r>
        <w:rPr>
          <w:rFonts w:cs="Times New Roman"/>
          <w:noProof/>
          <w:sz w:val="20"/>
        </w:rPr>
        <w:t>Administrative capacities are in general not sufficient and the enforcement of the environmental laws and policies is sufferi</w:t>
      </w:r>
      <w:r>
        <w:rPr>
          <w:rFonts w:cs="Times New Roman"/>
          <w:noProof/>
          <w:sz w:val="20"/>
        </w:rPr>
        <w:t xml:space="preserve">ng in long-term run from turn-over with every election round.  Water management sector suffers from weak administrative capacities for example. </w:t>
      </w:r>
    </w:p>
    <w:p w:rsidR="00C571F7" w:rsidRDefault="00884FC2">
      <w:pPr>
        <w:widowControl w:val="0"/>
        <w:spacing w:after="120" w:line="240" w:lineRule="auto"/>
        <w:jc w:val="both"/>
        <w:rPr>
          <w:rFonts w:eastAsia="Times New Roman" w:cs="Times New Roman"/>
          <w:noProof/>
          <w:sz w:val="20"/>
          <w:szCs w:val="20"/>
          <w:lang w:eastAsia="fr-FR"/>
        </w:rPr>
      </w:pPr>
      <w:r>
        <w:rPr>
          <w:rFonts w:eastAsia="Times New Roman" w:cs="Times New Roman"/>
          <w:noProof/>
          <w:sz w:val="20"/>
          <w:szCs w:val="20"/>
          <w:lang w:eastAsia="en-GB"/>
        </w:rPr>
        <w:t xml:space="preserve">The responsibility for environmental matters lies with </w:t>
      </w:r>
      <w:r>
        <w:rPr>
          <w:rFonts w:eastAsia="Times New Roman" w:cs="Times New Roman"/>
          <w:noProof/>
          <w:sz w:val="20"/>
          <w:szCs w:val="20"/>
          <w:lang w:eastAsia="fr-FR"/>
        </w:rPr>
        <w:t>the Ministry of Environment or Regional Authorities. Loc</w:t>
      </w:r>
      <w:r>
        <w:rPr>
          <w:rFonts w:eastAsia="Times New Roman" w:cs="Times New Roman"/>
          <w:noProof/>
          <w:sz w:val="20"/>
          <w:szCs w:val="20"/>
          <w:lang w:eastAsia="fr-FR"/>
        </w:rPr>
        <w:t xml:space="preserve">al authorities are typically responsible for sectorial policies, like waste management, which is a source of tension. The Ministry has also general supervisory and controlling role. </w:t>
      </w:r>
    </w:p>
    <w:p w:rsidR="00C571F7" w:rsidRDefault="00884FC2">
      <w:pPr>
        <w:widowControl w:val="0"/>
        <w:spacing w:after="0" w:line="240" w:lineRule="auto"/>
        <w:jc w:val="both"/>
        <w:rPr>
          <w:rFonts w:eastAsia="Times New Roman" w:cs="Times New Roman"/>
          <w:noProof/>
          <w:sz w:val="20"/>
          <w:szCs w:val="20"/>
          <w:lang w:eastAsia="fr-FR"/>
        </w:rPr>
      </w:pPr>
      <w:r>
        <w:rPr>
          <w:rFonts w:eastAsia="Times New Roman" w:cs="Times New Roman"/>
          <w:noProof/>
          <w:sz w:val="20"/>
          <w:szCs w:val="20"/>
          <w:lang w:eastAsia="fr-FR"/>
        </w:rPr>
        <w:t>In 2013, a partial public administration reform took place which resulted</w:t>
      </w:r>
      <w:r>
        <w:rPr>
          <w:rFonts w:eastAsia="Times New Roman" w:cs="Times New Roman"/>
          <w:noProof/>
          <w:sz w:val="20"/>
          <w:szCs w:val="20"/>
          <w:lang w:eastAsia="fr-FR"/>
        </w:rPr>
        <w:t xml:space="preserve"> in creation of integrated local bodies, district offices, to which the powers and responsibilities of regional environmental offices, regional bodies for transportation and forestry management, and regional cadastral offices was transferred to. While ther</w:t>
      </w:r>
      <w:r>
        <w:rPr>
          <w:rFonts w:eastAsia="Times New Roman" w:cs="Times New Roman"/>
          <w:noProof/>
          <w:sz w:val="20"/>
          <w:szCs w:val="20"/>
          <w:lang w:eastAsia="fr-FR"/>
        </w:rPr>
        <w:t>e is no evaluation of the impact of this partial reform available a risk of loss of skills was reported.</w:t>
      </w:r>
    </w:p>
    <w:p w:rsidR="00C571F7" w:rsidRDefault="00884FC2">
      <w:pPr>
        <w:widowControl w:val="0"/>
        <w:spacing w:after="0" w:line="240" w:lineRule="auto"/>
        <w:jc w:val="both"/>
        <w:rPr>
          <w:rFonts w:eastAsia="Times New Roman" w:cs="Times New Roman"/>
          <w:noProof/>
          <w:sz w:val="20"/>
          <w:szCs w:val="20"/>
          <w:lang w:eastAsia="fr-FR"/>
        </w:rPr>
      </w:pPr>
      <w:r>
        <w:rPr>
          <w:rFonts w:cs="Times New Roman"/>
          <w:noProof/>
          <w:sz w:val="20"/>
          <w:lang w:eastAsia="en-GB"/>
        </w:rPr>
        <w:drawing>
          <wp:inline distT="0" distB="0" distL="0" distR="0" wp14:anchorId="5214DD1D" wp14:editId="05738472">
            <wp:extent cx="2980690" cy="1984220"/>
            <wp:effectExtent l="0" t="0" r="0" b="0"/>
            <wp:docPr id="67" name="Picture 67" descr="C:\Users\schwemi\AppData\Local\Microsoft\Windows\Temporary Internet Files\Content.Word\iStock_574433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wemi\AppData\Local\Microsoft\Windows\Temporary Internet Files\Content.Word\iStock_5744332_LARG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80690" cy="1984220"/>
                    </a:xfrm>
                    <a:prstGeom prst="rect">
                      <a:avLst/>
                    </a:prstGeom>
                    <a:noFill/>
                    <a:ln>
                      <a:noFill/>
                    </a:ln>
                  </pic:spPr>
                </pic:pic>
              </a:graphicData>
            </a:graphic>
          </wp:inline>
        </w:drawing>
      </w:r>
    </w:p>
    <w:p w:rsidR="00C571F7" w:rsidRDefault="00884FC2">
      <w:pPr>
        <w:widowControl w:val="0"/>
        <w:spacing w:after="120" w:line="240" w:lineRule="auto"/>
        <w:jc w:val="both"/>
        <w:rPr>
          <w:rFonts w:eastAsia="Times New Roman" w:cs="Times New Roman"/>
          <w:noProof/>
          <w:sz w:val="20"/>
          <w:szCs w:val="20"/>
          <w:lang w:eastAsia="fr-FR"/>
        </w:rPr>
      </w:pPr>
      <w:r>
        <w:rPr>
          <w:rFonts w:cs="Times New Roman"/>
          <w:noProof/>
          <w:sz w:val="20"/>
        </w:rPr>
        <w:t xml:space="preserve">The ownership of environmental agenda is weak, </w:t>
      </w:r>
      <w:r>
        <w:rPr>
          <w:rFonts w:eastAsia="Times New Roman" w:cs="Times New Roman"/>
          <w:noProof/>
          <w:sz w:val="20"/>
          <w:szCs w:val="20"/>
          <w:lang w:eastAsia="fr-FR"/>
        </w:rPr>
        <w:t>prevailed by social topics. Environmental authorities are subject to numerous pressures.</w:t>
      </w:r>
      <w:r>
        <w:rPr>
          <w:rFonts w:eastAsia="Times New Roman" w:cs="Times New Roman"/>
          <w:noProof/>
          <w:sz w:val="20"/>
          <w:szCs w:val="20"/>
          <w:vertAlign w:val="superscript"/>
          <w:lang w:eastAsia="fr-FR"/>
        </w:rPr>
        <w:footnoteReference w:id="102"/>
      </w:r>
      <w:r>
        <w:rPr>
          <w:rFonts w:eastAsia="Times New Roman" w:cs="Times New Roman"/>
          <w:noProof/>
          <w:sz w:val="20"/>
          <w:szCs w:val="20"/>
          <w:vertAlign w:val="superscript"/>
          <w:lang w:eastAsia="fr-FR"/>
        </w:rPr>
        <w:t xml:space="preserve"> </w:t>
      </w:r>
      <w:r>
        <w:rPr>
          <w:rFonts w:eastAsia="Times New Roman" w:cs="Times New Roman"/>
          <w:noProof/>
          <w:sz w:val="20"/>
          <w:szCs w:val="20"/>
          <w:lang w:eastAsia="fr-FR"/>
        </w:rPr>
        <w:t xml:space="preserve">While the </w:t>
      </w:r>
      <w:r>
        <w:rPr>
          <w:rFonts w:eastAsia="Times New Roman" w:cs="Times New Roman"/>
          <w:noProof/>
          <w:sz w:val="20"/>
          <w:szCs w:val="20"/>
          <w:lang w:eastAsia="fr-FR"/>
        </w:rPr>
        <w:t>environmental legislation is relatively strict, their enforcement is low.</w:t>
      </w:r>
    </w:p>
    <w:p w:rsidR="00C571F7" w:rsidRDefault="00884FC2">
      <w:pPr>
        <w:widowControl w:val="0"/>
        <w:spacing w:after="120" w:line="240" w:lineRule="auto"/>
        <w:jc w:val="both"/>
        <w:rPr>
          <w:rFonts w:eastAsia="Times New Roman" w:cs="Times New Roman"/>
          <w:noProof/>
          <w:sz w:val="20"/>
          <w:szCs w:val="20"/>
          <w:lang w:eastAsia="fr-FR"/>
        </w:rPr>
      </w:pPr>
      <w:r>
        <w:rPr>
          <w:rFonts w:eastAsia="Times New Roman" w:cs="Times New Roman"/>
          <w:noProof/>
          <w:sz w:val="20"/>
          <w:szCs w:val="20"/>
          <w:lang w:eastAsia="fr-FR"/>
        </w:rPr>
        <w:t xml:space="preserve">Public trust in and among administrative levels is low. </w:t>
      </w:r>
    </w:p>
    <w:p w:rsidR="00C571F7" w:rsidRDefault="00884FC2">
      <w:pPr>
        <w:widowControl w:val="0"/>
        <w:spacing w:after="120" w:line="240" w:lineRule="auto"/>
        <w:jc w:val="both"/>
        <w:rPr>
          <w:rFonts w:cs="Times New Roman"/>
          <w:bCs/>
          <w:noProof/>
          <w:sz w:val="20"/>
          <w:szCs w:val="20"/>
        </w:rPr>
      </w:pPr>
      <w:r>
        <w:rPr>
          <w:rFonts w:eastAsia="Times New Roman" w:cs="Times New Roman"/>
          <w:noProof/>
          <w:sz w:val="20"/>
          <w:szCs w:val="20"/>
          <w:lang w:eastAsia="fr-FR"/>
        </w:rPr>
        <w:t>There are approx. 25 environmental NGOs in Slovakia operating at national or local level, organised since 2007 in an open</w:t>
      </w:r>
      <w:r>
        <w:rPr>
          <w:rFonts w:cs="Times New Roman"/>
          <w:bCs/>
          <w:noProof/>
          <w:sz w:val="20"/>
          <w:szCs w:val="20"/>
        </w:rPr>
        <w:t xml:space="preserve"> net</w:t>
      </w:r>
      <w:r>
        <w:rPr>
          <w:rFonts w:cs="Times New Roman"/>
          <w:bCs/>
          <w:noProof/>
          <w:sz w:val="20"/>
          <w:szCs w:val="20"/>
        </w:rPr>
        <w:t xml:space="preserve">work "Ekoforum", while several of these NGOs are also members of new "Green Coalition", created in 2014. The Slovak environmental NGOs operate in generally unfavourable environment with a shortage of financing. This is mirrored e.g. by a low number of the </w:t>
      </w:r>
      <w:r>
        <w:rPr>
          <w:rFonts w:cs="Times New Roman"/>
          <w:bCs/>
          <w:noProof/>
          <w:sz w:val="20"/>
          <w:szCs w:val="20"/>
        </w:rPr>
        <w:t>cases being addressed to the national courts in environmental matters.</w:t>
      </w:r>
    </w:p>
    <w:p w:rsidR="00C571F7" w:rsidRDefault="00884FC2">
      <w:pPr>
        <w:widowControl w:val="0"/>
        <w:spacing w:after="120" w:line="240" w:lineRule="auto"/>
        <w:jc w:val="both"/>
        <w:rPr>
          <w:rFonts w:eastAsia="Times New Roman" w:cs="Times New Roman"/>
          <w:noProof/>
          <w:sz w:val="20"/>
          <w:szCs w:val="20"/>
          <w:lang w:eastAsia="en-GB"/>
        </w:rPr>
      </w:pPr>
      <w:r>
        <w:rPr>
          <w:rFonts w:cs="Times New Roman"/>
          <w:noProof/>
          <w:sz w:val="20"/>
        </w:rPr>
        <w:t>Slovakia has an average number of infringements concerning mainly non-conformity and bad-application of EU environmental acquis. The main shares of infringements are in water (29%), was</w:t>
      </w:r>
      <w:r>
        <w:rPr>
          <w:rFonts w:cs="Times New Roman"/>
          <w:noProof/>
          <w:sz w:val="20"/>
        </w:rPr>
        <w:t xml:space="preserve">te (21%) and impact (22%) sector (data of 2015). The gaps in transposition of the EIA/SEA Directives were already addressed by three infringement proceedings since the Slovak accession into EU. </w:t>
      </w:r>
      <w:r>
        <w:rPr>
          <w:rFonts w:eastAsia="Times New Roman" w:cs="Times New Roman"/>
          <w:noProof/>
          <w:sz w:val="20"/>
          <w:szCs w:val="20"/>
          <w:lang w:eastAsia="en-GB"/>
        </w:rPr>
        <w:t xml:space="preserve">This has an impact on the legality of the projects which fall </w:t>
      </w:r>
      <w:r>
        <w:rPr>
          <w:rFonts w:eastAsia="Times New Roman" w:cs="Times New Roman"/>
          <w:noProof/>
          <w:sz w:val="20"/>
          <w:szCs w:val="20"/>
          <w:lang w:eastAsia="en-GB"/>
        </w:rPr>
        <w:t xml:space="preserve">under the EIA Directive and were subject to the development consent procedures during this period. </w:t>
      </w:r>
    </w:p>
    <w:p w:rsidR="00C571F7" w:rsidRDefault="00884FC2">
      <w:pPr>
        <w:widowControl w:val="0"/>
        <w:spacing w:after="120" w:line="240" w:lineRule="auto"/>
        <w:jc w:val="both"/>
        <w:rPr>
          <w:rFonts w:cs="Times New Roman"/>
          <w:noProof/>
          <w:sz w:val="20"/>
        </w:rPr>
      </w:pPr>
      <w:r>
        <w:rPr>
          <w:rFonts w:eastAsia="Times New Roman" w:cs="Times New Roman"/>
          <w:noProof/>
          <w:sz w:val="20"/>
          <w:szCs w:val="20"/>
          <w:lang w:eastAsia="en-GB"/>
        </w:rPr>
        <w:t>Slovakia adopted an amendment of the EIA law in April 2015 in response to the second horizontal EIA infringement to avoid a risk of interruption of EU funds</w:t>
      </w:r>
      <w:r>
        <w:rPr>
          <w:rFonts w:eastAsia="Times New Roman" w:cs="Times New Roman"/>
          <w:noProof/>
          <w:sz w:val="20"/>
          <w:szCs w:val="20"/>
          <w:lang w:eastAsia="en-GB"/>
        </w:rPr>
        <w:t xml:space="preserve">. This amendment introduced several changes to the system established until then, like binding and appealable EIA Statement. </w:t>
      </w:r>
    </w:p>
    <w:p w:rsidR="00C571F7" w:rsidRDefault="00884FC2">
      <w:pPr>
        <w:widowControl w:val="0"/>
        <w:spacing w:after="120" w:line="240" w:lineRule="auto"/>
        <w:jc w:val="both"/>
        <w:rPr>
          <w:rFonts w:cs="Times New Roman"/>
          <w:noProof/>
          <w:sz w:val="20"/>
        </w:rPr>
      </w:pPr>
      <w:r>
        <w:rPr>
          <w:rFonts w:cs="Times New Roman"/>
          <w:noProof/>
          <w:sz w:val="20"/>
        </w:rPr>
        <w:t>A pipeline of projects with old/pre-accession EIAs which are to be co-financed in PP 2014-2020 still exist in transport sector and</w:t>
      </w:r>
      <w:r>
        <w:rPr>
          <w:rFonts w:cs="Times New Roman"/>
          <w:noProof/>
          <w:sz w:val="20"/>
        </w:rPr>
        <w:t xml:space="preserve"> the compliance of these projects with the EU acquis has to be ensured by doing new EIAs where necessary.</w:t>
      </w:r>
    </w:p>
    <w:p w:rsidR="00C571F7" w:rsidRDefault="00884FC2">
      <w:pPr>
        <w:spacing w:after="120" w:line="240" w:lineRule="auto"/>
        <w:jc w:val="both"/>
        <w:rPr>
          <w:rFonts w:cs="Times New Roman"/>
          <w:noProof/>
          <w:sz w:val="20"/>
        </w:rPr>
      </w:pPr>
      <w:r>
        <w:rPr>
          <w:rFonts w:cs="Times New Roman"/>
          <w:noProof/>
          <w:sz w:val="20"/>
        </w:rPr>
        <w:t>In some of the environmental cases where individuals or NGOs have gained access before the national courts over the past years, the Slovakian judges referred several requests for preliminary rulings to the Court of Justice of the EU. This represented a val</w:t>
      </w:r>
      <w:r>
        <w:rPr>
          <w:rFonts w:cs="Times New Roman"/>
          <w:noProof/>
          <w:sz w:val="20"/>
        </w:rPr>
        <w:t xml:space="preserve">uable contribution to the development of EU environment law, since preliminary rulings enable the Court of Justice to give a coherent interpretation of the EU law.  </w:t>
      </w:r>
    </w:p>
    <w:p w:rsidR="00C571F7" w:rsidRDefault="00884FC2">
      <w:pPr>
        <w:widowControl w:val="0"/>
        <w:spacing w:after="120" w:line="240" w:lineRule="auto"/>
        <w:jc w:val="both"/>
        <w:rPr>
          <w:rFonts w:eastAsia="Times New Roman" w:cs="Times New Roman"/>
          <w:noProof/>
          <w:sz w:val="20"/>
          <w:szCs w:val="20"/>
          <w:lang w:eastAsia="en-GB"/>
        </w:rPr>
      </w:pPr>
      <w:r>
        <w:rPr>
          <w:rFonts w:cs="Times New Roman"/>
          <w:bCs/>
          <w:noProof/>
          <w:sz w:val="20"/>
          <w:szCs w:val="20"/>
        </w:rPr>
        <w:t>Environmental policy is traditionally linked to the planning instruments (territorial plan</w:t>
      </w:r>
      <w:r>
        <w:rPr>
          <w:rFonts w:cs="Times New Roman"/>
          <w:bCs/>
          <w:noProof/>
          <w:sz w:val="20"/>
          <w:szCs w:val="20"/>
        </w:rPr>
        <w:t xml:space="preserve">s). These however suffer from formalistic application of the strategic environmental assessment. Slovakia has in place a </w:t>
      </w:r>
      <w:r>
        <w:rPr>
          <w:rFonts w:eastAsia="Times New Roman" w:cs="Times New Roman"/>
          <w:noProof/>
          <w:sz w:val="20"/>
          <w:szCs w:val="20"/>
          <w:lang w:eastAsia="en-GB"/>
        </w:rPr>
        <w:t xml:space="preserve">multi-stage development consent system, in which the EIA process is followed by the zoning decisions and building permit stages. There </w:t>
      </w:r>
      <w:r>
        <w:rPr>
          <w:rFonts w:eastAsia="Times New Roman" w:cs="Times New Roman"/>
          <w:noProof/>
          <w:sz w:val="20"/>
          <w:szCs w:val="20"/>
          <w:lang w:eastAsia="en-GB"/>
        </w:rPr>
        <w:t xml:space="preserve">are discussions on-going for last decades on the complete reform of permitting system, (based on 1976 Construction Act, amended for numerous times since then), however these have not materialised yet. </w:t>
      </w:r>
    </w:p>
    <w:p w:rsidR="00C571F7" w:rsidRDefault="00884FC2">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571F7" w:rsidRDefault="00884FC2">
      <w:pPr>
        <w:pStyle w:val="NoSpacing"/>
        <w:rPr>
          <w:noProof/>
        </w:rPr>
      </w:pPr>
      <w:r>
        <w:rPr>
          <w:noProof/>
        </w:rPr>
        <w:t>Improve the application of EIA and SE</w:t>
      </w:r>
      <w:r>
        <w:rPr>
          <w:noProof/>
        </w:rPr>
        <w:t xml:space="preserve">A as important tools to ensure environmental integration. </w:t>
      </w:r>
    </w:p>
    <w:p w:rsidR="00C571F7" w:rsidRDefault="00C571F7">
      <w:pPr>
        <w:widowControl w:val="0"/>
        <w:spacing w:after="0" w:line="240" w:lineRule="auto"/>
        <w:jc w:val="both"/>
        <w:rPr>
          <w:rFonts w:cs="Times New Roman"/>
          <w:noProof/>
          <w:color w:val="FF0000"/>
          <w:sz w:val="20"/>
        </w:rPr>
      </w:pPr>
    </w:p>
    <w:p w:rsidR="00C571F7" w:rsidRDefault="00884FC2">
      <w:pPr>
        <w:widowControl w:val="0"/>
        <w:spacing w:after="120" w:line="240" w:lineRule="auto"/>
        <w:jc w:val="both"/>
        <w:outlineLvl w:val="2"/>
        <w:rPr>
          <w:rFonts w:cs="Times New Roman"/>
          <w:b/>
          <w:noProof/>
          <w:color w:val="1F497D" w:themeColor="text2"/>
        </w:rPr>
      </w:pPr>
      <w:r>
        <w:rPr>
          <w:rFonts w:cs="Times New Roman"/>
          <w:b/>
          <w:noProof/>
          <w:color w:val="1F497D" w:themeColor="text2"/>
        </w:rPr>
        <w:t>Coordination and integration</w:t>
      </w:r>
    </w:p>
    <w:p w:rsidR="00C571F7" w:rsidRDefault="00884FC2">
      <w:pPr>
        <w:widowControl w:val="0"/>
        <w:spacing w:after="120" w:line="240" w:lineRule="auto"/>
        <w:jc w:val="both"/>
        <w:rPr>
          <w:noProof/>
          <w:color w:val="000000" w:themeColor="text1"/>
          <w:sz w:val="20"/>
        </w:rPr>
      </w:pPr>
      <w:r>
        <w:rPr>
          <w:noProof/>
          <w:color w:val="000000" w:themeColor="text1"/>
          <w:sz w:val="20"/>
        </w:rPr>
        <w:t>The Slovak Republic has a national SDP Strategy.</w:t>
      </w:r>
      <w:r>
        <w:rPr>
          <w:noProof/>
          <w:color w:val="000000" w:themeColor="text1"/>
          <w:sz w:val="20"/>
          <w:vertAlign w:val="superscript"/>
        </w:rPr>
        <w:footnoteReference w:id="103"/>
      </w:r>
      <w:r>
        <w:rPr>
          <w:noProof/>
          <w:color w:val="000000" w:themeColor="text1"/>
          <w:sz w:val="20"/>
        </w:rPr>
        <w:t xml:space="preserve"> The implementation of environmental policies is fragmented by the competences allocation. Long-term thinking is often prevailed by political decisions. </w:t>
      </w:r>
    </w:p>
    <w:p w:rsidR="00C571F7" w:rsidRDefault="00884FC2">
      <w:pPr>
        <w:widowControl w:val="0"/>
        <w:spacing w:after="120" w:line="240" w:lineRule="auto"/>
        <w:jc w:val="both"/>
        <w:rPr>
          <w:noProof/>
          <w:color w:val="000000" w:themeColor="text1"/>
          <w:sz w:val="20"/>
        </w:rPr>
      </w:pPr>
      <w:r>
        <w:rPr>
          <w:noProof/>
          <w:color w:val="000000" w:themeColor="text1"/>
          <w:sz w:val="20"/>
        </w:rPr>
        <w:t>The transposition of the revised EIA Directive</w:t>
      </w:r>
      <w:r>
        <w:rPr>
          <w:noProof/>
          <w:color w:val="000000" w:themeColor="text1"/>
          <w:sz w:val="20"/>
          <w:vertAlign w:val="superscript"/>
        </w:rPr>
        <w:footnoteReference w:id="104"/>
      </w:r>
      <w:r>
        <w:rPr>
          <w:noProof/>
          <w:color w:val="000000" w:themeColor="text1"/>
          <w:sz w:val="20"/>
        </w:rPr>
        <w:t xml:space="preserve"> will be an opportunity to streamline the regulatory fr</w:t>
      </w:r>
      <w:r>
        <w:rPr>
          <w:noProof/>
          <w:color w:val="000000" w:themeColor="text1"/>
          <w:sz w:val="20"/>
        </w:rPr>
        <w:t>amework on environmental assessments. The Commission encourages the streamlining of the environmental assessments because this approach reduces duplication and avoids unnecessary overlaps in environmental assessments applicable for a particular project. Mo</w:t>
      </w:r>
      <w:r>
        <w:rPr>
          <w:noProof/>
          <w:color w:val="000000" w:themeColor="text1"/>
          <w:sz w:val="20"/>
        </w:rPr>
        <w:t>reover, streamlining helps reducing unnecessary administrative burden and accelerates decision-making, without compromising the quality of the environmental assessment procedure. The Commission has issued a guidance document in 2016</w:t>
      </w:r>
      <w:r>
        <w:rPr>
          <w:rStyle w:val="FootnoteReference"/>
          <w:noProof/>
          <w:color w:val="000000" w:themeColor="text1"/>
          <w:sz w:val="20"/>
        </w:rPr>
        <w:footnoteReference w:id="105"/>
      </w:r>
      <w:r>
        <w:rPr>
          <w:noProof/>
          <w:color w:val="000000" w:themeColor="text1"/>
          <w:sz w:val="20"/>
        </w:rPr>
        <w:t xml:space="preserve"> regarding the setting </w:t>
      </w:r>
      <w:r>
        <w:rPr>
          <w:noProof/>
          <w:color w:val="000000" w:themeColor="text1"/>
          <w:sz w:val="20"/>
        </w:rPr>
        <w:t>up of coordinated and/or joint procedures that are simultaneously subject to assessments under the EIA Directive, Habitats Directive, Water Framework Directive, and the Industrial Emissions Directive</w:t>
      </w:r>
      <w:r>
        <w:rPr>
          <w:noProof/>
          <w:color w:val="000000" w:themeColor="text1"/>
          <w:sz w:val="20"/>
          <w:vertAlign w:val="superscript"/>
        </w:rPr>
        <w:footnoteReference w:id="106"/>
      </w:r>
      <w:r>
        <w:rPr>
          <w:noProof/>
          <w:color w:val="000000" w:themeColor="text1"/>
          <w:sz w:val="20"/>
        </w:rPr>
        <w:t xml:space="preserve">. </w:t>
      </w:r>
    </w:p>
    <w:p w:rsidR="00C571F7" w:rsidRDefault="00884FC2">
      <w:pPr>
        <w:widowControl w:val="0"/>
        <w:spacing w:before="360" w:after="120" w:line="240" w:lineRule="auto"/>
        <w:outlineLvl w:val="1"/>
        <w:rPr>
          <w:rFonts w:cs="Times New Roman"/>
          <w:b/>
          <w:noProof/>
          <w:color w:val="1F497D" w:themeColor="text2"/>
          <w:sz w:val="24"/>
        </w:rPr>
      </w:pPr>
      <w:bookmarkStart w:id="47" w:name="_Toc469478112"/>
      <w:r>
        <w:rPr>
          <w:rFonts w:cs="Times New Roman"/>
          <w:b/>
          <w:noProof/>
          <w:color w:val="1F497D" w:themeColor="text2"/>
          <w:sz w:val="24"/>
        </w:rPr>
        <w:t>Compliance assurance</w:t>
      </w:r>
      <w:bookmarkEnd w:id="47"/>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 law generally and specific pr</w:t>
      </w:r>
      <w:r>
        <w:rPr>
          <w:rFonts w:cs="Times New Roman"/>
          <w:noProof/>
          <w:color w:val="FFFFFF" w:themeColor="background1"/>
          <w:sz w:val="20"/>
        </w:rPr>
        <w:t>ovisions on inspections, other checks, penalties and environmental liability help lay the basis for the systems Member States need to have in place to secure compliance with EU environmental rules.</w:t>
      </w:r>
    </w:p>
    <w:p w:rsidR="00C571F7" w:rsidRDefault="00884FC2">
      <w:pPr>
        <w:widowControl w:val="0"/>
        <w:spacing w:after="120" w:line="240" w:lineRule="auto"/>
        <w:jc w:val="both"/>
        <w:rPr>
          <w:noProof/>
          <w:sz w:val="20"/>
        </w:rPr>
      </w:pPr>
      <w:r>
        <w:rPr>
          <w:rFonts w:cs="Times New Roman"/>
          <w:noProof/>
          <w:sz w:val="20"/>
        </w:rPr>
        <w:t>Public authorities help ensure accountability of duty-hold</w:t>
      </w:r>
      <w:r>
        <w:rPr>
          <w:rFonts w:cs="Times New Roman"/>
          <w:noProof/>
          <w:sz w:val="20"/>
        </w:rPr>
        <w:t>ers by monitoring and promoting compliance and by taking credible follow-up action (i.e. enforcement) when breaches occur or liabilities arise. Compliance monitoring can be done both on the initiative of authorities themselves and in response to citizen co</w:t>
      </w:r>
      <w:r>
        <w:rPr>
          <w:rFonts w:cs="Times New Roman"/>
          <w:noProof/>
          <w:sz w:val="20"/>
        </w:rPr>
        <w:t>mplaints. It can involve using various kinds of checks, including inspections for permitted activities, surveillance for possible illegal activities, investigations for crimes and audits for systemic weaknesses. Similarly, there is a range of means to prom</w:t>
      </w:r>
      <w:r>
        <w:rPr>
          <w:rFonts w:cs="Times New Roman"/>
          <w:noProof/>
          <w:sz w:val="20"/>
        </w:rPr>
        <w:t>ote compliance, including awareness-raising campaigns and use of guidance documents and online information tools. Follow-up to breaches and liabilities can include administrative action (e.g. withdrawal of a permit), use of criminal law</w:t>
      </w:r>
      <w:r>
        <w:rPr>
          <w:rFonts w:cs="Times New Roman"/>
          <w:noProof/>
          <w:sz w:val="20"/>
          <w:vertAlign w:val="superscript"/>
        </w:rPr>
        <w:footnoteReference w:id="107"/>
      </w:r>
      <w:r>
        <w:rPr>
          <w:rFonts w:cs="Times New Roman"/>
          <w:noProof/>
          <w:sz w:val="20"/>
        </w:rPr>
        <w:t xml:space="preserve"> and action under l</w:t>
      </w:r>
      <w:r>
        <w:rPr>
          <w:rFonts w:cs="Times New Roman"/>
          <w:noProof/>
          <w:sz w:val="20"/>
        </w:rPr>
        <w:t>iability law (e.g. required remediation after damage from an accident using liability rules) and contractual law (e.g. measures to require compliance with nature conservation contracts). Taken together, all of these interventions represent "compliance assu</w:t>
      </w:r>
      <w:r>
        <w:rPr>
          <w:rFonts w:cs="Times New Roman"/>
          <w:noProof/>
          <w:sz w:val="20"/>
        </w:rPr>
        <w:t>rance" as shown in Figure 14.</w:t>
      </w:r>
      <w:r>
        <w:rPr>
          <w:noProof/>
          <w:sz w:val="20"/>
        </w:rPr>
        <w:t xml:space="preserve"> </w:t>
      </w:r>
    </w:p>
    <w:p w:rsidR="00C571F7" w:rsidRDefault="00884FC2">
      <w:pPr>
        <w:widowControl w:val="0"/>
        <w:spacing w:after="120" w:line="240" w:lineRule="auto"/>
        <w:jc w:val="both"/>
        <w:rPr>
          <w:noProof/>
          <w:sz w:val="20"/>
        </w:rPr>
      </w:pPr>
      <w:r>
        <w:rPr>
          <w:noProof/>
          <w:sz w:val="20"/>
        </w:rPr>
        <w:t xml:space="preserve">Best practice has moved towards a risk-based approach at strategic and operational levels in which the best mix of compliance monitoring, promotion and enforcement is directed at the most serious problems. Best practice also </w:t>
      </w:r>
      <w:r>
        <w:rPr>
          <w:noProof/>
          <w:sz w:val="20"/>
        </w:rPr>
        <w:t>recognises the need for coordination and cooperation between different authorities to ensure consistency, avoid duplication of work and reduce administrative burden. Active participation in established pan-European networks of inspectors, police, prosecuto</w:t>
      </w:r>
      <w:r>
        <w:rPr>
          <w:noProof/>
          <w:sz w:val="20"/>
        </w:rPr>
        <w:t>rs and judges, such as</w:t>
      </w:r>
      <w:r>
        <w:rPr>
          <w:i/>
          <w:noProof/>
          <w:sz w:val="20"/>
        </w:rPr>
        <w:t xml:space="preserve"> IMPEL</w:t>
      </w:r>
      <w:r>
        <w:rPr>
          <w:i/>
          <w:noProof/>
          <w:sz w:val="20"/>
          <w:vertAlign w:val="superscript"/>
        </w:rPr>
        <w:footnoteReference w:id="108"/>
      </w:r>
      <w:r>
        <w:rPr>
          <w:i/>
          <w:noProof/>
          <w:sz w:val="20"/>
        </w:rPr>
        <w:t>, EUFJE</w:t>
      </w:r>
      <w:r>
        <w:rPr>
          <w:i/>
          <w:noProof/>
          <w:sz w:val="20"/>
          <w:vertAlign w:val="superscript"/>
        </w:rPr>
        <w:footnoteReference w:id="109"/>
      </w:r>
      <w:r>
        <w:rPr>
          <w:i/>
          <w:noProof/>
          <w:sz w:val="20"/>
        </w:rPr>
        <w:t>, ENPE</w:t>
      </w:r>
      <w:r>
        <w:rPr>
          <w:i/>
          <w:noProof/>
          <w:sz w:val="20"/>
          <w:vertAlign w:val="superscript"/>
        </w:rPr>
        <w:footnoteReference w:id="110"/>
      </w:r>
      <w:r>
        <w:rPr>
          <w:i/>
          <w:noProof/>
          <w:sz w:val="20"/>
        </w:rPr>
        <w:t xml:space="preserve"> and EnviCrimeNet</w:t>
      </w:r>
      <w:r>
        <w:rPr>
          <w:i/>
          <w:noProof/>
          <w:sz w:val="20"/>
          <w:vertAlign w:val="superscript"/>
        </w:rPr>
        <w:footnoteReference w:id="111"/>
      </w:r>
      <w:r>
        <w:rPr>
          <w:noProof/>
          <w:sz w:val="20"/>
        </w:rPr>
        <w:t>, is a valuable tool for sharing experience and good practices.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C571F7">
        <w:tc>
          <w:tcPr>
            <w:tcW w:w="4909" w:type="dxa"/>
          </w:tcPr>
          <w:p w:rsidR="00C571F7" w:rsidRDefault="00884FC2">
            <w:pPr>
              <w:widowControl w:val="0"/>
              <w:spacing w:after="120"/>
              <w:jc w:val="both"/>
              <w:rPr>
                <w:rFonts w:cs="Times New Roman"/>
                <w:b/>
                <w:bCs/>
                <w:noProof/>
                <w:color w:val="1F497D" w:themeColor="text2"/>
                <w:sz w:val="20"/>
              </w:rPr>
            </w:pPr>
            <w:r>
              <w:rPr>
                <w:rFonts w:cs="Times New Roman"/>
                <w:b/>
                <w:bCs/>
                <w:noProof/>
                <w:color w:val="1F497D" w:themeColor="text2"/>
                <w:sz w:val="20"/>
              </w:rPr>
              <w:t>Figure 14: Environmental compliance assurance</w:t>
            </w:r>
          </w:p>
          <w:p w:rsidR="00C571F7" w:rsidRDefault="00884FC2">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3BACB3E6" wp14:editId="6B7E5804">
                  <wp:extent cx="2980055" cy="21056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C571F7" w:rsidRDefault="00884FC2">
      <w:pPr>
        <w:widowControl w:val="0"/>
        <w:spacing w:after="120" w:line="240" w:lineRule="auto"/>
        <w:jc w:val="both"/>
        <w:rPr>
          <w:rFonts w:cs="Times New Roman"/>
          <w:noProof/>
          <w:sz w:val="20"/>
        </w:rPr>
      </w:pPr>
      <w:r>
        <w:rPr>
          <w:rFonts w:cs="Times New Roman"/>
          <w:noProof/>
          <w:sz w:val="20"/>
        </w:rPr>
        <w:t>Currently, there exist a number of sectoral obligations on inspections and the EU</w:t>
      </w:r>
      <w:r>
        <w:rPr>
          <w:rFonts w:cs="Times New Roman"/>
          <w:noProof/>
          <w:sz w:val="20"/>
        </w:rPr>
        <w:t xml:space="preserve"> directive on environmental liability (ELD)</w:t>
      </w:r>
      <w:r>
        <w:rPr>
          <w:rFonts w:cs="Times New Roman"/>
          <w:noProof/>
          <w:sz w:val="20"/>
          <w:vertAlign w:val="superscript"/>
        </w:rPr>
        <w:t xml:space="preserve"> </w:t>
      </w:r>
      <w:r>
        <w:rPr>
          <w:rFonts w:cs="Times New Roman"/>
          <w:noProof/>
          <w:sz w:val="20"/>
          <w:vertAlign w:val="superscript"/>
        </w:rPr>
        <w:footnoteReference w:id="112"/>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w:t>
      </w:r>
      <w:r>
        <w:rPr>
          <w:rFonts w:cs="Times New Roman"/>
          <w:noProof/>
          <w:sz w:val="20"/>
        </w:rPr>
        <w:t xml:space="preserve">xisting strengths and weaknesses in each Member State. </w:t>
      </w:r>
    </w:p>
    <w:p w:rsidR="00C571F7" w:rsidRDefault="00884FC2">
      <w:pPr>
        <w:widowControl w:val="0"/>
        <w:spacing w:after="120" w:line="240" w:lineRule="auto"/>
        <w:jc w:val="both"/>
        <w:rPr>
          <w:rFonts w:cs="Times New Roman"/>
          <w:noProof/>
          <w:sz w:val="20"/>
        </w:rPr>
      </w:pPr>
      <w:r>
        <w:rPr>
          <w:rFonts w:cs="Times New Roman"/>
          <w:noProof/>
          <w:sz w:val="20"/>
        </w:rPr>
        <w:t xml:space="preserve">For each Member State, the following were therefore reviewed: use of risk-based compliance assurance; coordination and co-operation between authorities and participation in pan-European networks; and </w:t>
      </w:r>
      <w:r>
        <w:rPr>
          <w:rFonts w:cs="Times New Roman"/>
          <w:noProof/>
          <w:sz w:val="20"/>
        </w:rPr>
        <w:t>key aspects of implementation of the ELD based on the Commission's recently published implementation report and REFIT evaluation.</w:t>
      </w:r>
      <w:r>
        <w:rPr>
          <w:rFonts w:cs="Times New Roman"/>
          <w:noProof/>
          <w:sz w:val="20"/>
          <w:vertAlign w:val="superscript"/>
        </w:rPr>
        <w:footnoteReference w:id="113"/>
      </w:r>
      <w:r>
        <w:rPr>
          <w:rFonts w:cs="Times New Roman"/>
          <w:noProof/>
          <w:sz w:val="20"/>
        </w:rPr>
        <w:t xml:space="preserve"> </w:t>
      </w:r>
    </w:p>
    <w:p w:rsidR="00C571F7" w:rsidRDefault="00884FC2">
      <w:pPr>
        <w:widowControl w:val="0"/>
        <w:spacing w:after="120" w:line="240" w:lineRule="auto"/>
        <w:jc w:val="both"/>
        <w:rPr>
          <w:rFonts w:cs="Times New Roman"/>
          <w:noProof/>
          <w:sz w:val="20"/>
        </w:rPr>
      </w:pPr>
      <w:r>
        <w:rPr>
          <w:rFonts w:cs="Times New Roman"/>
          <w:noProof/>
          <w:sz w:val="20"/>
        </w:rPr>
        <w:t>Over the last decade, Slovakia has made efforts to improve its system of inspections of industrial facilities. Some good pra</w:t>
      </w:r>
      <w:r>
        <w:rPr>
          <w:rFonts w:cs="Times New Roman"/>
          <w:noProof/>
          <w:sz w:val="20"/>
        </w:rPr>
        <w:t xml:space="preserve">ctices have been identified in terms of compliance promotion activities and involvement of NGOs in compliance assurance work. </w:t>
      </w:r>
    </w:p>
    <w:p w:rsidR="00C571F7" w:rsidRDefault="00884FC2">
      <w:pPr>
        <w:widowControl w:val="0"/>
        <w:spacing w:after="120" w:line="240" w:lineRule="auto"/>
        <w:jc w:val="both"/>
        <w:rPr>
          <w:rFonts w:cs="Times New Roman"/>
          <w:noProof/>
          <w:sz w:val="20"/>
        </w:rPr>
      </w:pPr>
      <w:r>
        <w:rPr>
          <w:rFonts w:cs="Times New Roman"/>
          <w:noProof/>
          <w:sz w:val="20"/>
        </w:rPr>
        <w:t>Risk-based approaches to target compliance assurance work seem to be used only to a limited extent. Relevant inspection plans are</w:t>
      </w:r>
      <w:r>
        <w:rPr>
          <w:rFonts w:cs="Times New Roman"/>
          <w:noProof/>
          <w:sz w:val="20"/>
        </w:rPr>
        <w:t xml:space="preserve"> in place, which however are not made publicly available</w:t>
      </w:r>
      <w:r>
        <w:rPr>
          <w:rFonts w:cs="Times New Roman"/>
          <w:noProof/>
          <w:sz w:val="20"/>
          <w:vertAlign w:val="superscript"/>
        </w:rPr>
        <w:footnoteReference w:id="114"/>
      </w:r>
      <w:r>
        <w:rPr>
          <w:rFonts w:cs="Times New Roman"/>
          <w:noProof/>
          <w:sz w:val="20"/>
        </w:rPr>
        <w:t>. Weaknesses have been identified concerning strategic planning and the organisation and effectiveness of compliance assurance work in individual environmental policy subject-areas, e.g. concerning c</w:t>
      </w:r>
      <w:r>
        <w:rPr>
          <w:rFonts w:cs="Times New Roman"/>
          <w:noProof/>
          <w:sz w:val="20"/>
        </w:rPr>
        <w:t>ontrols of water abstraction</w:t>
      </w:r>
      <w:r>
        <w:rPr>
          <w:rFonts w:cs="Times New Roman"/>
          <w:noProof/>
          <w:sz w:val="20"/>
          <w:vertAlign w:val="superscript"/>
        </w:rPr>
        <w:footnoteReference w:id="115"/>
      </w:r>
      <w:r>
        <w:rPr>
          <w:rFonts w:cs="Times New Roman"/>
          <w:noProof/>
          <w:sz w:val="20"/>
        </w:rPr>
        <w:t xml:space="preserve"> and concerning illegal killing of birds</w:t>
      </w:r>
      <w:r>
        <w:rPr>
          <w:rFonts w:cs="Times New Roman"/>
          <w:noProof/>
          <w:sz w:val="20"/>
          <w:vertAlign w:val="superscript"/>
        </w:rPr>
        <w:footnoteReference w:id="116"/>
      </w:r>
      <w:r>
        <w:rPr>
          <w:rFonts w:cs="Times New Roman"/>
          <w:noProof/>
          <w:sz w:val="20"/>
        </w:rPr>
        <w:t xml:space="preserve">. </w:t>
      </w:r>
    </w:p>
    <w:p w:rsidR="00C571F7" w:rsidRDefault="00884FC2">
      <w:pPr>
        <w:widowControl w:val="0"/>
        <w:spacing w:after="120" w:line="240" w:lineRule="auto"/>
        <w:jc w:val="both"/>
        <w:rPr>
          <w:rFonts w:cs="Times New Roman"/>
          <w:noProof/>
          <w:sz w:val="20"/>
        </w:rPr>
      </w:pPr>
      <w:r>
        <w:rPr>
          <w:rFonts w:cs="Times New Roman"/>
          <w:noProof/>
          <w:sz w:val="20"/>
        </w:rPr>
        <w:t xml:space="preserve">Up-to-date information is lacking in relation to the following: </w:t>
      </w:r>
    </w:p>
    <w:p w:rsidR="00C571F7" w:rsidRDefault="00884FC2">
      <w:pPr>
        <w:widowControl w:val="0"/>
        <w:numPr>
          <w:ilvl w:val="0"/>
          <w:numId w:val="27"/>
        </w:numPr>
        <w:spacing w:after="12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interventions;</w:t>
      </w:r>
    </w:p>
    <w:p w:rsidR="00C571F7" w:rsidRDefault="00884FC2">
      <w:pPr>
        <w:widowControl w:val="0"/>
        <w:numPr>
          <w:ilvl w:val="0"/>
          <w:numId w:val="27"/>
        </w:numPr>
        <w:spacing w:after="120" w:line="240" w:lineRule="auto"/>
        <w:contextualSpacing/>
        <w:jc w:val="both"/>
        <w:rPr>
          <w:rFonts w:cs="Times New Roman"/>
          <w:noProof/>
          <w:sz w:val="20"/>
        </w:rPr>
      </w:pPr>
      <w:r>
        <w:rPr>
          <w:rFonts w:cs="Times New Roman"/>
          <w:noProof/>
          <w:sz w:val="20"/>
        </w:rPr>
        <w:t>the e</w:t>
      </w:r>
      <w:r>
        <w:rPr>
          <w:rFonts w:cs="Times New Roman"/>
          <w:noProof/>
          <w:sz w:val="20"/>
        </w:rPr>
        <w:t>xtent to which risk-based methods are used to direct compliance assurance at the strategic level and in relation to critical activities outside of industrial installations, especially specific problem-areas highlighted elsewhere in this Country Report, i.e</w:t>
      </w:r>
      <w:r>
        <w:rPr>
          <w:rFonts w:cs="Times New Roman"/>
          <w:noProof/>
          <w:sz w:val="20"/>
        </w:rPr>
        <w:t>. threats to protected habitat types and species, air quality breaches and the pressures on groundwater resources.</w:t>
      </w:r>
    </w:p>
    <w:p w:rsidR="00C571F7" w:rsidRDefault="00884FC2">
      <w:pPr>
        <w:widowControl w:val="0"/>
        <w:numPr>
          <w:ilvl w:val="0"/>
          <w:numId w:val="27"/>
        </w:numPr>
        <w:spacing w:after="120" w:line="240" w:lineRule="auto"/>
        <w:contextualSpacing/>
        <w:jc w:val="both"/>
        <w:rPr>
          <w:rFonts w:cs="Times New Roman"/>
          <w:noProof/>
          <w:sz w:val="20"/>
        </w:rPr>
      </w:pPr>
      <w:r>
        <w:rPr>
          <w:rFonts w:cs="Times New Roman"/>
          <w:noProof/>
          <w:sz w:val="20"/>
        </w:rPr>
        <w:t>arrangements for structured coordination and cooperation between different relevant competent authorities; in particular between inspectors o</w:t>
      </w:r>
      <w:r>
        <w:rPr>
          <w:rFonts w:cs="Times New Roman"/>
          <w:noProof/>
          <w:sz w:val="20"/>
        </w:rPr>
        <w:t>n the one hand and prosecutors on the other hand</w:t>
      </w:r>
    </w:p>
    <w:p w:rsidR="00C571F7" w:rsidRDefault="00884FC2">
      <w:pPr>
        <w:widowControl w:val="0"/>
        <w:numPr>
          <w:ilvl w:val="0"/>
          <w:numId w:val="27"/>
        </w:numPr>
        <w:spacing w:after="120" w:line="240" w:lineRule="auto"/>
        <w:contextualSpacing/>
        <w:jc w:val="both"/>
        <w:rPr>
          <w:rFonts w:cs="Times New Roman"/>
          <w:noProof/>
          <w:sz w:val="20"/>
        </w:rPr>
      </w:pPr>
      <w:r>
        <w:rPr>
          <w:rFonts w:cs="Times New Roman"/>
          <w:noProof/>
          <w:sz w:val="20"/>
        </w:rPr>
        <w:t xml:space="preserve">how the competent authorities ensure a targeted and proportionate response to different types of non-compliant behaviour, in particular in relation to serious breaches detected, given indications that there </w:t>
      </w:r>
      <w:r>
        <w:rPr>
          <w:rFonts w:cs="Times New Roman"/>
          <w:noProof/>
          <w:sz w:val="20"/>
        </w:rPr>
        <w:t>is a low level of detection of breaches and low probability of being criminally prosecuted and sentenced for environmental offences</w:t>
      </w:r>
      <w:r>
        <w:rPr>
          <w:rFonts w:cs="Times New Roman"/>
          <w:noProof/>
          <w:sz w:val="20"/>
          <w:vertAlign w:val="superscript"/>
        </w:rPr>
        <w:footnoteReference w:id="117"/>
      </w:r>
      <w:r>
        <w:rPr>
          <w:rFonts w:cs="Times New Roman"/>
          <w:noProof/>
          <w:sz w:val="20"/>
        </w:rPr>
        <w:t>.</w:t>
      </w:r>
    </w:p>
    <w:p w:rsidR="00C571F7" w:rsidRDefault="00884FC2">
      <w:pPr>
        <w:widowControl w:val="0"/>
        <w:spacing w:before="240" w:after="120" w:line="240" w:lineRule="auto"/>
        <w:jc w:val="both"/>
        <w:rPr>
          <w:rFonts w:cs="Times New Roman"/>
          <w:noProof/>
          <w:sz w:val="20"/>
        </w:rPr>
      </w:pPr>
      <w:r>
        <w:rPr>
          <w:rFonts w:cs="Times New Roman"/>
          <w:noProof/>
          <w:sz w:val="20"/>
        </w:rPr>
        <w:t>Slovakia participate in the activities of IMPEL and EnviCrimeNet</w:t>
      </w:r>
      <w:r>
        <w:rPr>
          <w:rFonts w:cs="Times New Roman"/>
          <w:noProof/>
          <w:sz w:val="20"/>
          <w:vertAlign w:val="superscript"/>
        </w:rPr>
        <w:footnoteReference w:id="118"/>
      </w:r>
      <w:r>
        <w:rPr>
          <w:rFonts w:cs="Times New Roman"/>
          <w:noProof/>
          <w:sz w:val="20"/>
        </w:rPr>
        <w:t xml:space="preserve">. </w:t>
      </w:r>
    </w:p>
    <w:p w:rsidR="00C571F7" w:rsidRDefault="00884FC2">
      <w:pPr>
        <w:widowControl w:val="0"/>
        <w:spacing w:after="120" w:line="240" w:lineRule="auto"/>
        <w:jc w:val="both"/>
        <w:rPr>
          <w:rFonts w:cs="Times New Roman"/>
          <w:noProof/>
          <w:sz w:val="20"/>
        </w:rPr>
      </w:pPr>
      <w:r>
        <w:rPr>
          <w:rFonts w:cs="Times New Roman"/>
          <w:noProof/>
          <w:sz w:val="20"/>
        </w:rPr>
        <w:t>For the period 2007-2013, Slovakia reported no cases o</w:t>
      </w:r>
      <w:r>
        <w:rPr>
          <w:rFonts w:cs="Times New Roman"/>
          <w:noProof/>
          <w:sz w:val="20"/>
        </w:rPr>
        <w:t xml:space="preserve">f environmental damage handled under the Environmental Liability Directive. The Ministry of Environment has organised training events and conferences, and produced information material to raise awareness. It has also created a methodology for spatial risk </w:t>
      </w:r>
      <w:r>
        <w:rPr>
          <w:rFonts w:cs="Times New Roman"/>
          <w:noProof/>
          <w:sz w:val="20"/>
        </w:rPr>
        <w:t>differentiation and an information system for the prevention and remedying of environmental damage as well as an environmental damage register. However, there remains scope for additional measures to improve the Directive's implementation. Since 2012, Slov</w:t>
      </w:r>
      <w:r>
        <w:rPr>
          <w:rFonts w:cs="Times New Roman"/>
          <w:noProof/>
          <w:sz w:val="20"/>
        </w:rPr>
        <w:t xml:space="preserve">akia operates a mandatory financial security for operators carrying out dangerous activities (to pay for remediation where the operator cannot). </w:t>
      </w:r>
    </w:p>
    <w:p w:rsidR="00C571F7" w:rsidRDefault="00884FC2">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C571F7" w:rsidRDefault="00884FC2">
      <w:pPr>
        <w:pStyle w:val="NoSpacing"/>
        <w:rPr>
          <w:noProof/>
        </w:rPr>
      </w:pPr>
      <w:r>
        <w:rPr>
          <w:noProof/>
        </w:rPr>
        <w:t xml:space="preserve">Improve transparency on the organisation and functioning of compliance assurance and on how significant risks are addressed, as outlined above. </w:t>
      </w:r>
    </w:p>
    <w:p w:rsidR="00C571F7" w:rsidRDefault="00884FC2">
      <w:pPr>
        <w:pStyle w:val="NoSpacing"/>
        <w:rPr>
          <w:noProof/>
        </w:rPr>
      </w:pPr>
      <w:r>
        <w:rPr>
          <w:noProof/>
        </w:rPr>
        <w:t>Encourage greater participation of competent authorities in all environmental compliance networks.</w:t>
      </w:r>
    </w:p>
    <w:p w:rsidR="00C571F7" w:rsidRDefault="00884FC2">
      <w:pPr>
        <w:pStyle w:val="NoSpacing"/>
        <w:rPr>
          <w:noProof/>
        </w:rPr>
      </w:pPr>
      <w:r>
        <w:rPr>
          <w:noProof/>
        </w:rPr>
        <w:t>Step up effo</w:t>
      </w:r>
      <w:r>
        <w:rPr>
          <w:noProof/>
        </w:rPr>
        <w:t>rts in the implementation of the Environmental Liability Directive (ELD) with proactive initiatives, in particular by drafting national guidance.</w:t>
      </w:r>
    </w:p>
    <w:p w:rsidR="00C571F7" w:rsidRDefault="00884FC2">
      <w:pPr>
        <w:widowControl w:val="0"/>
        <w:spacing w:before="360" w:after="120" w:line="240" w:lineRule="auto"/>
        <w:outlineLvl w:val="1"/>
        <w:rPr>
          <w:rFonts w:cs="Times New Roman"/>
          <w:b/>
          <w:noProof/>
          <w:color w:val="1F497D" w:themeColor="text2"/>
          <w:sz w:val="24"/>
        </w:rPr>
      </w:pPr>
      <w:bookmarkStart w:id="48" w:name="_Toc439678163"/>
      <w:bookmarkStart w:id="49" w:name="_Toc454457667"/>
      <w:bookmarkStart w:id="50" w:name="_Toc469478113"/>
      <w:r>
        <w:rPr>
          <w:rFonts w:cs="Times New Roman"/>
          <w:b/>
          <w:noProof/>
          <w:color w:val="1F497D" w:themeColor="text2"/>
          <w:sz w:val="24"/>
        </w:rPr>
        <w:t>Public participation and access to justice</w:t>
      </w:r>
      <w:bookmarkEnd w:id="48"/>
      <w:bookmarkEnd w:id="49"/>
      <w:bookmarkEnd w:id="50"/>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related EU legislation on public </w:t>
      </w:r>
      <w:r>
        <w:rPr>
          <w:rFonts w:cs="Times New Roman"/>
          <w:noProof/>
          <w:color w:val="FFFFFF" w:themeColor="background1"/>
          <w:sz w:val="20"/>
        </w:rPr>
        <w:t xml:space="preserve">participation and environmental impact assessment, and the case-law of the Court of Justice require that citizens and their associations should be able to participate in decision-making on projects and plans and should enjoy effective environmental access </w:t>
      </w:r>
      <w:r>
        <w:rPr>
          <w:rFonts w:cs="Times New Roman"/>
          <w:noProof/>
          <w:color w:val="FFFFFF" w:themeColor="background1"/>
          <w:sz w:val="20"/>
        </w:rPr>
        <w:t>to justice.</w:t>
      </w:r>
    </w:p>
    <w:p w:rsidR="00C571F7" w:rsidRDefault="00884FC2">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Aarhus Conven</w:t>
      </w:r>
      <w:r>
        <w:rPr>
          <w:rFonts w:cs="Times New Roman"/>
          <w:noProof/>
          <w:color w:val="000000" w:themeColor="text1"/>
          <w:sz w:val="20"/>
        </w:rPr>
        <w:t xml:space="preserve">tion"). </w:t>
      </w:r>
      <w:r>
        <w:rPr>
          <w:rFonts w:cs="Times New Roman"/>
          <w:noProof/>
          <w:sz w:val="20"/>
        </w:rPr>
        <w:t xml:space="preserve">Public participation in the administrative decision making process is an important element to ensure that the authority takes its decision on the best possible basis. The Commission intends to examine compliance with mandatory public participation </w:t>
      </w:r>
      <w:r>
        <w:rPr>
          <w:rFonts w:cs="Times New Roman"/>
          <w:noProof/>
          <w:sz w:val="20"/>
        </w:rPr>
        <w:t>requirements more systematically at a later stage.</w:t>
      </w:r>
    </w:p>
    <w:p w:rsidR="00C571F7" w:rsidRDefault="00884FC2">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court. It is a tool for de</w:t>
      </w:r>
      <w:r>
        <w:rPr>
          <w:rFonts w:cs="Times New Roman"/>
          <w:noProof/>
          <w:sz w:val="20"/>
        </w:rPr>
        <w:t>centralised implementation of EU environmental law.</w:t>
      </w:r>
    </w:p>
    <w:p w:rsidR="00C571F7" w:rsidRDefault="00884FC2">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which prohibitive costs r</w:t>
      </w:r>
      <w:r>
        <w:rPr>
          <w:rFonts w:cs="Times New Roman"/>
          <w:noProof/>
          <w:sz w:val="20"/>
        </w:rPr>
        <w:t>epresent a barrier.</w:t>
      </w:r>
    </w:p>
    <w:p w:rsidR="00C571F7" w:rsidRDefault="00884FC2">
      <w:pPr>
        <w:widowControl w:val="0"/>
        <w:spacing w:after="120" w:line="240" w:lineRule="auto"/>
        <w:jc w:val="both"/>
        <w:rPr>
          <w:rFonts w:cs="Times New Roman"/>
          <w:noProof/>
          <w:sz w:val="20"/>
        </w:rPr>
      </w:pPr>
      <w:r>
        <w:rPr>
          <w:rFonts w:cs="Times New Roman"/>
          <w:noProof/>
          <w:sz w:val="20"/>
        </w:rPr>
        <w:t xml:space="preserve">The costs of court procedures in Slovakia are not considered as being prohibitively high. </w:t>
      </w:r>
    </w:p>
    <w:p w:rsidR="00C571F7" w:rsidRDefault="00884FC2">
      <w:pPr>
        <w:widowControl w:val="0"/>
        <w:spacing w:after="120" w:line="240" w:lineRule="auto"/>
        <w:jc w:val="both"/>
        <w:rPr>
          <w:rFonts w:cs="Times New Roman"/>
          <w:noProof/>
          <w:sz w:val="20"/>
        </w:rPr>
      </w:pPr>
      <w:r>
        <w:rPr>
          <w:rFonts w:cs="Times New Roman"/>
          <w:noProof/>
          <w:sz w:val="20"/>
        </w:rPr>
        <w:t>A major challenge to bring environmental cases to the court was the lack of legal standing for the public, including environmental NGOs, for aski</w:t>
      </w:r>
      <w:r>
        <w:rPr>
          <w:rFonts w:cs="Times New Roman"/>
          <w:noProof/>
          <w:sz w:val="20"/>
        </w:rPr>
        <w:t>ng for a judicial review of administrative decisions involving environmental matters. In several areas of environmental law the public was not entitled to bring a case to court, mainly because it is not admitted to the administrative procedure which is a p</w:t>
      </w:r>
      <w:r>
        <w:rPr>
          <w:rFonts w:cs="Times New Roman"/>
          <w:noProof/>
          <w:sz w:val="20"/>
        </w:rPr>
        <w:t>recondition for taking a court action. Slovakia has partly addressed the issue by adopting legislation introducing access to justice requirements for NGOs in several sectors</w:t>
      </w:r>
      <w:r>
        <w:rPr>
          <w:rFonts w:cs="Times New Roman"/>
          <w:noProof/>
          <w:sz w:val="20"/>
          <w:vertAlign w:val="superscript"/>
        </w:rPr>
        <w:footnoteReference w:id="119"/>
      </w:r>
      <w:r>
        <w:rPr>
          <w:rFonts w:cs="Times New Roman"/>
          <w:noProof/>
          <w:sz w:val="20"/>
        </w:rPr>
        <w:t>, such as in the area of projects requiring an environmental impact assessment.</w:t>
      </w:r>
    </w:p>
    <w:p w:rsidR="00C571F7" w:rsidRDefault="00884FC2">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w:t>
      </w:r>
      <w:r>
        <w:rPr>
          <w:rFonts w:cstheme="minorHAnsi"/>
          <w:noProof/>
          <w:color w:val="1F497D" w:themeColor="text2"/>
          <w:szCs w:val="26"/>
        </w:rPr>
        <w:t>ggested action</w:t>
      </w:r>
    </w:p>
    <w:p w:rsidR="00C571F7" w:rsidRDefault="00884FC2">
      <w:pPr>
        <w:pStyle w:val="NoSpacing"/>
        <w:rPr>
          <w:noProof/>
        </w:rPr>
      </w:pPr>
      <w:bookmarkStart w:id="51" w:name="_Toc439678165"/>
      <w:r>
        <w:rPr>
          <w:noProof/>
        </w:rPr>
        <w:t>Take the necessary measures to ensure standing of environmental NGOs to challenge acts or omissions of a public authority in all sectoral EU environmental laws, in full compliance with EU law as well as the Convention on Access to Informatio</w:t>
      </w:r>
      <w:r>
        <w:rPr>
          <w:noProof/>
        </w:rPr>
        <w:t xml:space="preserve">n, Public Participation in Decision-making and Access to Justice in environmental matters (Aarhus Convention). </w:t>
      </w:r>
    </w:p>
    <w:p w:rsidR="00C571F7" w:rsidRDefault="00C571F7">
      <w:pPr>
        <w:widowControl w:val="0"/>
        <w:spacing w:before="360" w:after="120" w:line="240" w:lineRule="auto"/>
        <w:outlineLvl w:val="1"/>
        <w:rPr>
          <w:rFonts w:cs="Times New Roman"/>
          <w:b/>
          <w:noProof/>
          <w:color w:val="1F497D" w:themeColor="text2"/>
          <w:sz w:val="24"/>
        </w:rPr>
      </w:pPr>
      <w:bookmarkStart w:id="52" w:name="_Toc454457668"/>
      <w:bookmarkStart w:id="53" w:name="_Toc469478114"/>
      <w:bookmarkEnd w:id="51"/>
    </w:p>
    <w:p w:rsidR="00C571F7" w:rsidRDefault="00884FC2">
      <w:pPr>
        <w:widowControl w:val="0"/>
        <w:spacing w:before="360" w:after="120" w:line="240" w:lineRule="auto"/>
        <w:jc w:val="both"/>
        <w:outlineLvl w:val="1"/>
        <w:rPr>
          <w:rFonts w:cs="Times New Roman"/>
          <w:b/>
          <w:noProof/>
          <w:color w:val="1F497D" w:themeColor="text2"/>
          <w:sz w:val="24"/>
        </w:rPr>
      </w:pPr>
      <w:r>
        <w:rPr>
          <w:rFonts w:cs="Times New Roman"/>
          <w:b/>
          <w:noProof/>
          <w:color w:val="1F497D" w:themeColor="text2"/>
          <w:sz w:val="24"/>
        </w:rPr>
        <w:t>Access to information, knowledge and evidence</w:t>
      </w:r>
      <w:bookmarkEnd w:id="52"/>
      <w:bookmarkEnd w:id="53"/>
    </w:p>
    <w:p w:rsidR="00C571F7" w:rsidRDefault="00884FC2">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and related EU legislation on access to information and the sharing of </w:t>
      </w:r>
      <w:r>
        <w:rPr>
          <w:rFonts w:cs="Times New Roman"/>
          <w:noProof/>
          <w:color w:val="FFFFFF" w:themeColor="background1"/>
          <w:sz w:val="20"/>
        </w:rPr>
        <w:t>spatial data require that the public has access to clear information on the environment, including on how Union environmental law is being implemented.</w:t>
      </w:r>
    </w:p>
    <w:p w:rsidR="00C571F7" w:rsidRDefault="00884FC2">
      <w:pPr>
        <w:widowControl w:val="0"/>
        <w:spacing w:after="120" w:line="240" w:lineRule="auto"/>
        <w:jc w:val="both"/>
        <w:rPr>
          <w:rFonts w:cs="Times New Roman"/>
          <w:noProof/>
          <w:sz w:val="20"/>
        </w:rPr>
      </w:pPr>
      <w:r>
        <w:rPr>
          <w:rFonts w:cs="Times New Roman"/>
          <w:noProof/>
          <w:sz w:val="20"/>
        </w:rPr>
        <w:t>It is of crucial importance to public authorities, the public and business that environmental informatio</w:t>
      </w:r>
      <w:r>
        <w:rPr>
          <w:rFonts w:cs="Times New Roman"/>
          <w:noProof/>
          <w:sz w:val="20"/>
        </w:rPr>
        <w:t>n is shared in an efficient and effective way. This covers reporting by businesses and public authorities and active dissemination to the public, increasingly through electronic means.</w:t>
      </w:r>
    </w:p>
    <w:p w:rsidR="00C571F7" w:rsidRDefault="00884FC2">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120"/>
      </w:r>
      <w:r>
        <w:rPr>
          <w:rFonts w:cs="Times New Roman"/>
          <w:noProof/>
          <w:sz w:val="20"/>
        </w:rPr>
        <w:t>, the Access to Environmental Information Directi</w:t>
      </w:r>
      <w:r>
        <w:rPr>
          <w:rFonts w:cs="Times New Roman"/>
          <w:noProof/>
          <w:sz w:val="20"/>
        </w:rPr>
        <w:t>ve</w:t>
      </w:r>
      <w:r>
        <w:rPr>
          <w:rFonts w:cs="Times New Roman"/>
          <w:noProof/>
          <w:sz w:val="20"/>
          <w:vertAlign w:val="superscript"/>
        </w:rPr>
        <w:footnoteReference w:id="121"/>
      </w:r>
      <w:r>
        <w:rPr>
          <w:rFonts w:cs="Times New Roman"/>
          <w:noProof/>
          <w:sz w:val="20"/>
        </w:rPr>
        <w:t xml:space="preserve"> and the INSPIRE Directive</w:t>
      </w:r>
      <w:r>
        <w:rPr>
          <w:rFonts w:cs="Times New Roman"/>
          <w:noProof/>
          <w:sz w:val="20"/>
          <w:vertAlign w:val="superscript"/>
        </w:rPr>
        <w:footnoteReference w:id="122"/>
      </w:r>
      <w:r>
        <w:rPr>
          <w:rFonts w:cs="Times New Roman"/>
          <w:noProof/>
          <w:sz w:val="20"/>
        </w:rPr>
        <w:t xml:space="preserve"> together create a legal foundation for the sharing of environmental information between public authorities and with the public. They also represent the green part of the ongoing EU e-Government Action Plan</w:t>
      </w:r>
      <w:r>
        <w:rPr>
          <w:rFonts w:cs="Times New Roman"/>
          <w:noProof/>
          <w:sz w:val="20"/>
          <w:vertAlign w:val="superscript"/>
        </w:rPr>
        <w:footnoteReference w:id="123"/>
      </w:r>
      <w:r>
        <w:rPr>
          <w:rFonts w:cs="Times New Roman"/>
          <w:noProof/>
          <w:sz w:val="20"/>
        </w:rPr>
        <w:t>. The first two ins</w:t>
      </w:r>
      <w:r>
        <w:rPr>
          <w:rFonts w:cs="Times New Roman"/>
          <w:noProof/>
          <w:sz w:val="20"/>
        </w:rPr>
        <w:t>truments create obligations to provide information to the public, both on request and actively. The INSPIRE Directive is a pioneering instrument for electronic data-sharing between public authorities who can vary in their data-sharing policies, e.g. on whe</w:t>
      </w:r>
      <w:r>
        <w:rPr>
          <w:rFonts w:cs="Times New Roman"/>
          <w:noProof/>
          <w:sz w:val="20"/>
        </w:rPr>
        <w:t>ther access to data is for free. The INSPIRE Directive sets up a an infrastructure, allowing harmonised spatial data and services exchange. In order to facilitate access to the services, concept of INSPIRE geoportal has been introduced. Spatial data and se</w:t>
      </w:r>
      <w:r>
        <w:rPr>
          <w:rFonts w:cs="Times New Roman"/>
          <w:noProof/>
          <w:sz w:val="20"/>
        </w:rPr>
        <w:t>rvices are described to be searchable via metadata, which indicates among the other parameters, also level of public access to the to the level of shared spatial data  and conditions applying to access an use in each Member State – i.e. data related to spe</w:t>
      </w:r>
      <w:r>
        <w:rPr>
          <w:rFonts w:cs="Times New Roman"/>
          <w:noProof/>
          <w:sz w:val="20"/>
        </w:rPr>
        <w:t xml:space="preserve">cific locations, such as air quality monitoring data. Amongst other benefits it facilitates the public authorities' reporting obligations. </w:t>
      </w:r>
    </w:p>
    <w:p w:rsidR="00C571F7" w:rsidRDefault="00884FC2">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envisages) as we</w:t>
      </w:r>
      <w:r>
        <w:rPr>
          <w:rFonts w:cs="Times New Roman"/>
          <w:noProof/>
          <w:sz w:val="20"/>
        </w:rPr>
        <w:t xml:space="preserve">ll as data-sharing policies ('open data') have been systematically reviewed. </w:t>
      </w:r>
    </w:p>
    <w:p w:rsidR="00C571F7" w:rsidRDefault="00884FC2">
      <w:pPr>
        <w:widowControl w:val="0"/>
        <w:spacing w:after="120" w:line="240" w:lineRule="auto"/>
        <w:jc w:val="both"/>
        <w:rPr>
          <w:rFonts w:cs="Times New Roman"/>
          <w:noProof/>
          <w:sz w:val="20"/>
        </w:rPr>
      </w:pPr>
      <w:r>
        <w:rPr>
          <w:rFonts w:cs="Times New Roman"/>
          <w:noProof/>
          <w:sz w:val="20"/>
        </w:rPr>
        <w:t>Slovakia's performance on the implementation of the INSPIRE Directive as enabling framework to actively disseminate environmental information to the public leaves room for improv</w:t>
      </w:r>
      <w:r>
        <w:rPr>
          <w:rFonts w:cs="Times New Roman"/>
          <w:noProof/>
          <w:sz w:val="20"/>
        </w:rPr>
        <w:t>ement. Slovakia has indicated in the 3-yearly INSPIRE implementation report</w:t>
      </w:r>
      <w:r>
        <w:rPr>
          <w:rFonts w:cs="Times New Roman"/>
          <w:noProof/>
          <w:sz w:val="20"/>
        </w:rPr>
        <w:footnoteReference w:id="124"/>
      </w:r>
      <w:r>
        <w:rPr>
          <w:rFonts w:cs="Times New Roman"/>
          <w:noProof/>
          <w:sz w:val="20"/>
        </w:rPr>
        <w:t xml:space="preserve"> that the necessary data-sharing policies allowing access and use of spatial data by national administrations, other Member States' administrations and EU institutions without proc</w:t>
      </w:r>
      <w:r>
        <w:rPr>
          <w:rFonts w:cs="Times New Roman"/>
          <w:noProof/>
          <w:sz w:val="20"/>
        </w:rPr>
        <w:t>edural obstacles are only partially available and lack consistency. Slovakia has no common data-policy or harmonized conditions for access and use. Although there is legislation in place, the implementation lags behind and the current data-sharing landscap</w:t>
      </w:r>
      <w:r>
        <w:rPr>
          <w:rFonts w:cs="Times New Roman"/>
          <w:noProof/>
          <w:sz w:val="20"/>
        </w:rPr>
        <w:t>e remains very heterogeneous. Different licenses and bilateral data-sharing agreements are being used for exchanging spatial data between public authorities. There is currently ongoing legislation amendment process aiming to improve the situation and addre</w:t>
      </w:r>
      <w:r>
        <w:rPr>
          <w:rFonts w:cs="Times New Roman"/>
          <w:noProof/>
          <w:sz w:val="20"/>
        </w:rPr>
        <w:t>ss the identified gaps foreseen to by adopted by the end of 2016.</w:t>
      </w:r>
    </w:p>
    <w:p w:rsidR="00C571F7" w:rsidRDefault="00884FC2">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20"/>
        </w:rPr>
        <w:footnoteReference w:id="125"/>
      </w:r>
      <w:r>
        <w:rPr>
          <w:rFonts w:cs="Times New Roman"/>
          <w:noProof/>
          <w:sz w:val="20"/>
        </w:rPr>
        <w:t xml:space="preserve"> issued by Slovakia and the spatial information that Slovakia has published on the INSPIRE geoportal</w:t>
      </w:r>
      <w:r>
        <w:rPr>
          <w:rFonts w:cs="Times New Roman"/>
          <w:noProof/>
          <w:sz w:val="20"/>
        </w:rPr>
        <w:footnoteReference w:id="126"/>
      </w:r>
      <w:r>
        <w:rPr>
          <w:rFonts w:cs="Times New Roman"/>
          <w:noProof/>
          <w:sz w:val="20"/>
        </w:rPr>
        <w:t xml:space="preserve"> indicate that not all spatial information needed for t</w:t>
      </w:r>
      <w:r>
        <w:rPr>
          <w:rFonts w:cs="Times New Roman"/>
          <w:noProof/>
          <w:sz w:val="20"/>
        </w:rPr>
        <w:t>he evaluation and implementation of EU environmental law has been made available or is accessible. The larger part of this missing spatial information consists of the environmental data required to be made available under the existing reporting and monitor</w:t>
      </w:r>
      <w:r>
        <w:rPr>
          <w:rFonts w:cs="Times New Roman"/>
          <w:noProof/>
          <w:sz w:val="20"/>
        </w:rPr>
        <w:t>ing regulations of EU environmental law. With respect to the proposed INSPIRE priority list of the datasets linked to the reporting obligations in EU environment legislation</w:t>
      </w:r>
      <w:r>
        <w:rPr>
          <w:rFonts w:cs="Times New Roman"/>
          <w:noProof/>
          <w:sz w:val="20"/>
          <w:vertAlign w:val="superscript"/>
        </w:rPr>
        <w:footnoteReference w:id="127"/>
      </w:r>
      <w:r>
        <w:rPr>
          <w:rFonts w:cs="Times New Roman"/>
          <w:noProof/>
          <w:sz w:val="20"/>
        </w:rPr>
        <w:t>, Slovakia has initiated activities to create closer alignment between INSPIRE and</w:t>
      </w:r>
      <w:r>
        <w:rPr>
          <w:rFonts w:cs="Times New Roman"/>
          <w:noProof/>
          <w:sz w:val="20"/>
        </w:rPr>
        <w:t xml:space="preserve"> environmental reporting.</w:t>
      </w:r>
    </w:p>
    <w:p w:rsidR="00C571F7" w:rsidRDefault="00884FC2">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C571F7" w:rsidRDefault="00884FC2">
      <w:pPr>
        <w:pStyle w:val="NoSpacing"/>
        <w:rPr>
          <w:noProof/>
        </w:rPr>
      </w:pPr>
      <w:r>
        <w:rPr>
          <w:noProof/>
        </w:rPr>
        <w:t>Critically review the effectiveness of its data policies and amend them, taking 'best practices' into consideration.  Provide the sufficient support for the implementation of the amended legislation and ensure the</w:t>
      </w:r>
      <w:r>
        <w:rPr>
          <w:noProof/>
        </w:rPr>
        <w:t xml:space="preserve"> consistency with the eGovernment activities.</w:t>
      </w:r>
    </w:p>
    <w:p w:rsidR="00C571F7" w:rsidRDefault="00884FC2">
      <w:pPr>
        <w:pStyle w:val="NoSpacing"/>
        <w:rPr>
          <w:noProof/>
        </w:rPr>
      </w:pPr>
      <w:r>
        <w:rPr>
          <w:noProof/>
        </w:rPr>
        <w:t>Identify and document all spatial data sets required for the implementation of environmental law, and make the data and documentation at least accessible 'as is' to other</w:t>
      </w:r>
      <w:r>
        <w:rPr>
          <w:noProof/>
          <w:szCs w:val="20"/>
        </w:rPr>
        <w:t xml:space="preserve"> public authorities and the public throu</w:t>
      </w:r>
      <w:r>
        <w:rPr>
          <w:noProof/>
          <w:szCs w:val="20"/>
        </w:rPr>
        <w:t>gh the digital services foreseen in the INSPIRE Directive. Create sufficient conditions to meet the objectives of the actions defined in the national INSPIRE Action plan 2016 - 2021</w:t>
      </w:r>
      <w:r>
        <w:rPr>
          <w:noProof/>
          <w:szCs w:val="20"/>
          <w:vertAlign w:val="superscript"/>
        </w:rPr>
        <w:footnoteReference w:id="128"/>
      </w:r>
      <w:r>
        <w:rPr>
          <w:noProof/>
          <w:szCs w:val="20"/>
        </w:rPr>
        <w:t>.</w:t>
      </w:r>
    </w:p>
    <w:sectPr w:rsidR="00C571F7">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440" w:right="1080" w:bottom="1440" w:left="1080" w:header="708" w:footer="708" w:gutter="0"/>
      <w:pgNumType w:start="22"/>
      <w:cols w:num="2"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1F7" w:rsidRDefault="00884FC2">
      <w:pPr>
        <w:spacing w:after="0" w:line="240" w:lineRule="auto"/>
      </w:pPr>
      <w:r>
        <w:separator/>
      </w:r>
    </w:p>
  </w:endnote>
  <w:endnote w:type="continuationSeparator" w:id="0">
    <w:p w:rsidR="00C571F7" w:rsidRDefault="00884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C2" w:rsidRPr="00884FC2" w:rsidRDefault="00884FC2" w:rsidP="00884FC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 Slovakia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2016 – Slovakia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 xml:space="preserve">Environmental </w:t>
    </w:r>
    <w:r>
      <w:t>Implementation Report 2016 – Slovakia</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C2" w:rsidRPr="00884FC2" w:rsidRDefault="00884FC2" w:rsidP="00884FC2">
    <w:pPr>
      <w:pStyle w:val="FooterCoverPage"/>
      <w:rPr>
        <w:rFonts w:ascii="Arial" w:hAnsi="Arial" w:cs="Arial"/>
        <w:b/>
        <w:sz w:val="48"/>
      </w:rPr>
    </w:pPr>
    <w:r w:rsidRPr="00884FC2">
      <w:rPr>
        <w:rFonts w:ascii="Arial" w:hAnsi="Arial" w:cs="Arial"/>
        <w:b/>
        <w:sz w:val="48"/>
      </w:rPr>
      <w:t>EN</w:t>
    </w:r>
    <w:r w:rsidRPr="00884FC2">
      <w:rPr>
        <w:rFonts w:ascii="Arial" w:hAnsi="Arial" w:cs="Arial"/>
        <w:b/>
        <w:sz w:val="48"/>
      </w:rPr>
      <w:tab/>
    </w:r>
    <w:r w:rsidRPr="00884FC2">
      <w:rPr>
        <w:rFonts w:ascii="Arial" w:hAnsi="Arial" w:cs="Arial"/>
        <w:b/>
        <w:sz w:val="48"/>
      </w:rPr>
      <w:tab/>
    </w:r>
    <w:fldSimple w:instr=" DOCVARIABLE &quot;LW_Confidence&quot; \* MERGEFORMAT ">
      <w:r>
        <w:t xml:space="preserve"> </w:t>
      </w:r>
    </w:fldSimple>
    <w:r w:rsidRPr="00884FC2">
      <w:tab/>
    </w:r>
    <w:r w:rsidRPr="00884FC2">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 xml:space="preserve">Environmental </w:t>
    </w:r>
    <w:r>
      <w:t>Implementation Report – Slovakia</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 Slovakia</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 Slovakia</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 Slovakia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C2" w:rsidRPr="00884FC2" w:rsidRDefault="00884FC2" w:rsidP="00884FC2">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 Slovakia</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 Slovakia</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 xml:space="preserve">Environmental Implementation Report – </w:t>
    </w:r>
    <w:r>
      <w:t>Slovakia</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2016 – Slovakia</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 Slovakia</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2016 –</w:t>
    </w:r>
    <w:r>
      <w:t xml:space="preserve"> Slovakia</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 xml:space="preserve">Environmental </w:t>
    </w:r>
    <w:r>
      <w:t>Implementation Report – Slovakia</w:t>
    </w:r>
  </w:p>
  <w:p w:rsidR="00C571F7" w:rsidRDefault="00C571F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p w:rsidR="00C571F7" w:rsidRDefault="00C571F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pStyle w:val="Footer"/>
      <w:jc w:val="center"/>
    </w:pPr>
    <w:r>
      <w:t>Environmental Implementation Report – Slovakia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1F7" w:rsidRDefault="00884FC2">
      <w:pPr>
        <w:spacing w:after="0" w:line="240" w:lineRule="auto"/>
      </w:pPr>
      <w:r>
        <w:separator/>
      </w:r>
    </w:p>
  </w:footnote>
  <w:footnote w:type="continuationSeparator" w:id="0">
    <w:p w:rsidR="00C571F7" w:rsidRDefault="00884FC2">
      <w:pPr>
        <w:spacing w:after="0" w:line="240" w:lineRule="auto"/>
      </w:pPr>
      <w:r>
        <w:continuationSeparator/>
      </w:r>
    </w:p>
  </w:footnote>
  <w:footnote w:id="1">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C571F7" w:rsidRDefault="00884FC2">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C571F7" w:rsidRDefault="00884FC2">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United Nati</w:t>
      </w:r>
      <w:r>
        <w:rPr>
          <w:rFonts w:asciiTheme="minorHAnsi" w:hAnsiTheme="minorHAnsi"/>
          <w:sz w:val="16"/>
          <w:szCs w:val="16"/>
        </w:rPr>
        <w:t xml:space="preserve">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C571F7" w:rsidRDefault="00884FC2">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C571F7" w:rsidRDefault="00884FC2">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4" w:history="1">
        <w:r>
          <w:rPr>
            <w:rStyle w:val="Hyperlink"/>
            <w:rFonts w:asciiTheme="minorHAnsi" w:hAnsiTheme="minorHAnsi"/>
            <w:sz w:val="16"/>
            <w:szCs w:val="16"/>
          </w:rPr>
          <w:t>Proposed Circular Economy Package</w:t>
        </w:r>
      </w:hyperlink>
      <w:r>
        <w:rPr>
          <w:rFonts w:asciiTheme="minorHAnsi" w:hAnsiTheme="minorHAnsi"/>
          <w:sz w:val="16"/>
          <w:szCs w:val="16"/>
        </w:rPr>
        <w:t xml:space="preserve"> </w:t>
      </w:r>
    </w:p>
  </w:footnote>
  <w:footnote w:id="6">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r>
        <w:rPr>
          <w:rFonts w:asciiTheme="minorHAnsi" w:hAnsiTheme="minorHAnsi"/>
          <w:i/>
          <w:sz w:val="16"/>
          <w:szCs w:val="16"/>
        </w:rPr>
        <w:t>More from less – material resource efficiency in Europe</w:t>
      </w:r>
      <w:r>
        <w:rPr>
          <w:rFonts w:asciiTheme="minorHAnsi" w:hAnsiTheme="minorHAnsi"/>
          <w:sz w:val="16"/>
          <w:szCs w:val="16"/>
        </w:rPr>
        <w:t xml:space="preserve">. </w:t>
      </w:r>
      <w:hyperlink r:id="rId5" w:history="1">
        <w:r>
          <w:rPr>
            <w:rStyle w:val="Hyperlink"/>
            <w:rFonts w:asciiTheme="minorHAnsi" w:hAnsiTheme="minorHAnsi"/>
            <w:sz w:val="16"/>
            <w:szCs w:val="16"/>
          </w:rPr>
          <w:t>Slovakia Report</w:t>
        </w:r>
      </w:hyperlink>
    </w:p>
  </w:footnote>
  <w:footnote w:id="7">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Style w:val="Emphasis"/>
          <w:rFonts w:asciiTheme="minorHAnsi" w:hAnsiTheme="minorHAnsi"/>
          <w:color w:val="auto"/>
          <w:sz w:val="16"/>
          <w:szCs w:val="16"/>
        </w:rPr>
        <w:t>The EU Eco-Management and Audit Scheme (EMAS) and Environmental Management System under ISO 14001 (EMS);</w:t>
      </w:r>
    </w:p>
  </w:footnote>
  <w:footnote w:id="8">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Style w:val="Emphasis"/>
          <w:rFonts w:asciiTheme="minorHAnsi" w:hAnsiTheme="minorHAnsi"/>
          <w:color w:val="auto"/>
          <w:sz w:val="16"/>
          <w:szCs w:val="16"/>
        </w:rPr>
        <w:t>Environmental labelling of products, implemented through the Eur</w:t>
      </w:r>
      <w:r>
        <w:rPr>
          <w:rStyle w:val="Emphasis"/>
          <w:rFonts w:asciiTheme="minorHAnsi" w:hAnsiTheme="minorHAnsi"/>
          <w:color w:val="auto"/>
          <w:sz w:val="16"/>
          <w:szCs w:val="16"/>
        </w:rPr>
        <w:t>opean and national eco-labelling schemes EU Ecolabel and Environmentally Friendly Products</w:t>
      </w:r>
    </w:p>
  </w:footnote>
  <w:footnote w:id="9">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Style w:val="Emphasis"/>
          <w:rFonts w:asciiTheme="minorHAnsi" w:hAnsiTheme="minorHAnsi"/>
          <w:color w:val="auto"/>
          <w:sz w:val="16"/>
          <w:szCs w:val="16"/>
        </w:rPr>
        <w:t>Section 5</w:t>
      </w:r>
    </w:p>
  </w:footnote>
  <w:footnote w:id="10">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6"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w:t>
      </w:r>
      <w:r>
        <w:rPr>
          <w:rStyle w:val="Hyperlink"/>
          <w:rFonts w:asciiTheme="minorHAnsi" w:hAnsiTheme="minorHAnsi" w:cstheme="minorHAnsi"/>
          <w:color w:val="auto"/>
          <w:sz w:val="16"/>
          <w:szCs w:val="16"/>
          <w:u w:val="none"/>
        </w:rPr>
        <w:t>d October 2016</w:t>
      </w:r>
    </w:p>
  </w:footnote>
  <w:footnote w:id="11">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12">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Small and medium enterprises</w:t>
      </w:r>
    </w:p>
  </w:footnote>
  <w:footnote w:id="13">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Flash 426 Eurobarometer "SMEs, resource efficiency and green markets" defines </w:t>
      </w:r>
      <w:r>
        <w:rPr>
          <w:rFonts w:asciiTheme="minorHAnsi" w:hAnsiTheme="minorHAnsi"/>
          <w:sz w:val="16"/>
          <w:szCs w:val="16"/>
        </w:rPr>
        <w:t>"green job" as job that directly deals with information, technologies, or materials that preserves or restores environmental quality. This requires specialised skills, knowledge, training, or experience (e.g. verifying compliance with environmental legisla</w:t>
      </w:r>
      <w:r>
        <w:rPr>
          <w:rFonts w:asciiTheme="minorHAnsi" w:hAnsiTheme="minorHAnsi"/>
          <w:sz w:val="16"/>
          <w:szCs w:val="16"/>
        </w:rPr>
        <w:t>tion, monitoring resource efficiency within the company, promoting and selling green products and services).</w:t>
      </w:r>
    </w:p>
  </w:footnote>
  <w:footnote w:id="14">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Research and Innovation Strategies for Smart Specialisation: </w:t>
      </w:r>
      <w:hyperlink r:id="rId7" w:history="1">
        <w:r>
          <w:rPr>
            <w:rStyle w:val="Hyperlink"/>
            <w:rFonts w:asciiTheme="minorHAnsi" w:hAnsiTheme="minorHAnsi"/>
            <w:sz w:val="16"/>
            <w:szCs w:val="16"/>
          </w:rPr>
          <w:t>The Smart Specialisation Strategy for the Slovak Republic for period 2014-2020</w:t>
        </w:r>
      </w:hyperlink>
    </w:p>
  </w:footnote>
  <w:footnote w:id="15">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SWD(2016) 93 final</w:t>
      </w:r>
    </w:p>
  </w:footnote>
  <w:footnote w:id="16">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7">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18">
    <w:p w:rsidR="00C571F7" w:rsidRDefault="00884FC2">
      <w:pPr>
        <w:pStyle w:val="FootnoteText"/>
      </w:pPr>
      <w:r>
        <w:rPr>
          <w:rStyle w:val="FootnoteReference"/>
        </w:rPr>
        <w:footnoteRef/>
      </w:r>
      <w:r>
        <w:t xml:space="preserve"> </w:t>
      </w:r>
      <w:r>
        <w:rPr>
          <w:sz w:val="16"/>
          <w:szCs w:val="16"/>
        </w:rPr>
        <w:t>http://www.eea.europa.eu/data-and-maps/figures/typical-charge-gate-fee-and</w:t>
      </w:r>
    </w:p>
  </w:footnote>
  <w:footnote w:id="19">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20">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9" w:history="1">
        <w:r>
          <w:rPr>
            <w:rStyle w:val="Hyperlink"/>
            <w:sz w:val="16"/>
            <w:szCs w:val="16"/>
          </w:rPr>
          <w:t>Municipal waste and treatment, by type of treatment method,</w:t>
        </w:r>
      </w:hyperlink>
      <w:r>
        <w:rPr>
          <w:sz w:val="16"/>
          <w:szCs w:val="16"/>
        </w:rPr>
        <w:t xml:space="preserve"> accessed October 2016</w:t>
      </w:r>
    </w:p>
  </w:footnote>
  <w:footnote w:id="21">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0"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p>
  </w:footnote>
  <w:footnote w:id="22">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1" w:history="1">
        <w:r>
          <w:rPr>
            <w:rStyle w:val="Hyperlink"/>
            <w:rFonts w:asciiTheme="minorHAnsi" w:hAnsiTheme="minorHAnsi"/>
            <w:sz w:val="16"/>
            <w:szCs w:val="16"/>
          </w:rPr>
          <w:t>European Commission, Roadmap Slovakia</w:t>
        </w:r>
      </w:hyperlink>
      <w:r>
        <w:rPr>
          <w:rFonts w:asciiTheme="minorHAnsi" w:hAnsiTheme="minorHAnsi"/>
          <w:sz w:val="16"/>
          <w:szCs w:val="16"/>
        </w:rPr>
        <w:t xml:space="preserve"> </w:t>
      </w:r>
    </w:p>
  </w:footnote>
  <w:footnote w:id="23">
    <w:p w:rsidR="00C571F7" w:rsidRDefault="00884FC2">
      <w:pPr>
        <w:widowControl w:val="0"/>
        <w:autoSpaceDE w:val="0"/>
        <w:autoSpaceDN w:val="0"/>
        <w:adjustRightInd w:val="0"/>
        <w:spacing w:after="0" w:line="240" w:lineRule="auto"/>
        <w:ind w:left="170" w:hanging="170"/>
        <w:rPr>
          <w:sz w:val="16"/>
          <w:szCs w:val="16"/>
        </w:rPr>
      </w:pPr>
      <w:r>
        <w:rPr>
          <w:rStyle w:val="FootnoteReference"/>
          <w:sz w:val="16"/>
          <w:szCs w:val="16"/>
        </w:rPr>
        <w:footnoteRef/>
      </w:r>
      <w:r>
        <w:rPr>
          <w:sz w:val="16"/>
          <w:szCs w:val="16"/>
        </w:rPr>
        <w:t xml:space="preserve"> Implementing EU legislation f</w:t>
      </w:r>
      <w:r>
        <w:rPr>
          <w:sz w:val="16"/>
          <w:szCs w:val="16"/>
        </w:rPr>
        <w:t xml:space="preserve">or Green Growth (2011), </w:t>
      </w:r>
      <w:hyperlink r:id="rId12" w:history="1">
        <w:r>
          <w:rPr>
            <w:rStyle w:val="Hyperlink"/>
            <w:sz w:val="16"/>
            <w:szCs w:val="16"/>
          </w:rPr>
          <w:t>study by Bio Intelligence service</w:t>
        </w:r>
      </w:hyperlink>
      <w:r>
        <w:rPr>
          <w:sz w:val="16"/>
          <w:szCs w:val="16"/>
        </w:rPr>
        <w:t>, breakdown per country on job creation was made by the consultant on Commission demand but was not i</w:t>
      </w:r>
      <w:r>
        <w:rPr>
          <w:sz w:val="16"/>
          <w:szCs w:val="16"/>
        </w:rPr>
        <w:t>ncluded in the published document</w:t>
      </w:r>
    </w:p>
    <w:p w:rsidR="00C571F7" w:rsidRDefault="00C571F7">
      <w:pPr>
        <w:pStyle w:val="FootnoteText"/>
        <w:widowControl w:val="0"/>
        <w:ind w:left="170" w:hanging="170"/>
        <w:rPr>
          <w:rFonts w:asciiTheme="minorHAnsi" w:hAnsiTheme="minorHAnsi"/>
          <w:sz w:val="16"/>
          <w:szCs w:val="16"/>
        </w:rPr>
      </w:pPr>
    </w:p>
  </w:footnote>
  <w:footnote w:id="24">
    <w:p w:rsidR="00C571F7" w:rsidRDefault="00884FC2">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coverage do not add up due to </w:t>
      </w:r>
      <w:r>
        <w:rPr>
          <w:rFonts w:asciiTheme="minorHAnsi" w:hAnsiTheme="minorHAnsi"/>
          <w:sz w:val="16"/>
          <w:szCs w:val="16"/>
        </w:rPr>
        <w:t xml:space="preserve">the fact that some SCIs and SPAs overlap. Special Areas of Conservation (SACs) </w:t>
      </w:r>
      <w:r>
        <w:rPr>
          <w:rFonts w:asciiTheme="minorHAnsi" w:hAnsiTheme="minorHAnsi"/>
          <w:sz w:val="16"/>
          <w:szCs w:val="16"/>
          <w:lang w:val="en"/>
        </w:rPr>
        <w:t>means a SCI designated by the Member States.</w:t>
      </w:r>
    </w:p>
  </w:footnote>
  <w:footnote w:id="25">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 and II of the Habitats Directive, are sufficiently represented by the sites designated to date. This is expressed as a percentage of species and habitats for</w:t>
      </w:r>
      <w:r>
        <w:rPr>
          <w:rFonts w:asciiTheme="minorHAnsi" w:hAnsiTheme="minorHAnsi"/>
          <w:sz w:val="16"/>
          <w:szCs w:val="16"/>
        </w:rPr>
        <w:t xml:space="preserve"> which further areas need to be designated in order to complete the network in that country. </w:t>
      </w:r>
      <w:hyperlink r:id="rId13" w:history="1">
        <w:r>
          <w:rPr>
            <w:rStyle w:val="Hyperlink"/>
            <w:rFonts w:asciiTheme="minorHAnsi" w:hAnsiTheme="minorHAnsi"/>
            <w:sz w:val="16"/>
            <w:szCs w:val="16"/>
          </w:rPr>
          <w:t>The current data</w:t>
        </w:r>
      </w:hyperlink>
      <w:r>
        <w:rPr>
          <w:rFonts w:asciiTheme="minorHAnsi" w:hAnsiTheme="minorHAnsi"/>
          <w:sz w:val="16"/>
          <w:szCs w:val="16"/>
        </w:rPr>
        <w:t>, which were accessed in 2014-2015, reflect the sit</w:t>
      </w:r>
      <w:r>
        <w:rPr>
          <w:rFonts w:asciiTheme="minorHAnsi" w:hAnsiTheme="minorHAnsi"/>
          <w:sz w:val="16"/>
          <w:szCs w:val="16"/>
        </w:rPr>
        <w:t>uation up until December 2013.</w:t>
      </w:r>
    </w:p>
  </w:footnote>
  <w:footnote w:id="26">
    <w:p w:rsidR="00C571F7" w:rsidRDefault="00884FC2">
      <w:pPr>
        <w:pStyle w:val="FootnoteText"/>
        <w:ind w:left="170" w:hanging="170"/>
      </w:pPr>
      <w:r>
        <w:rPr>
          <w:rStyle w:val="FootnoteReference"/>
        </w:rPr>
        <w:footnoteRef/>
      </w:r>
      <w:r>
        <w:t xml:space="preserve"> </w:t>
      </w:r>
      <w:r>
        <w:rPr>
          <w:sz w:val="16"/>
          <w:szCs w:val="16"/>
        </w:rPr>
        <w:t>The percentages in Figure 5 refer to percentages of the total number of assessments (one assessment covering 1 species or 1 habitat in a given biographical region with the Member State); if a habitat type or a species occur</w:t>
      </w:r>
      <w:r>
        <w:rPr>
          <w:sz w:val="16"/>
          <w:szCs w:val="16"/>
        </w:rPr>
        <w:t>s in more than 1 Biogeographic region within a given Member State, there will be as many individual assessments as there are Biogeographic regions with an occurrence of that species or habitat in this Member State.</w:t>
      </w:r>
    </w:p>
  </w:footnote>
  <w:footnote w:id="27">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w:t>
      </w:r>
      <w:r>
        <w:rPr>
          <w:rFonts w:asciiTheme="minorHAnsi" w:hAnsiTheme="minorHAnsi"/>
          <w:sz w:val="16"/>
          <w:szCs w:val="16"/>
        </w:rPr>
        <w:t>t.</w:t>
      </w:r>
    </w:p>
  </w:footnote>
  <w:footnote w:id="28">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4" w:history="1">
        <w:r>
          <w:rPr>
            <w:rStyle w:val="Hyperlink"/>
            <w:rFonts w:asciiTheme="minorHAnsi" w:hAnsiTheme="minorHAnsi"/>
            <w:sz w:val="16"/>
            <w:szCs w:val="16"/>
          </w:rPr>
          <w:t>http://domov.sme.sk/c/20374539/lesoochranarom-sa-nepaci-plan-lovu-vlka-obratili-sa-na-brusel.html</w:t>
        </w:r>
      </w:hyperlink>
      <w:r>
        <w:rPr>
          <w:rFonts w:asciiTheme="minorHAnsi" w:hAnsiTheme="minorHAnsi"/>
          <w:sz w:val="16"/>
          <w:szCs w:val="16"/>
        </w:rPr>
        <w:t xml:space="preserve"> </w:t>
      </w:r>
    </w:p>
  </w:footnote>
  <w:footnote w:id="29">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These figures show the percentage of</w:t>
      </w:r>
      <w:r>
        <w:rPr>
          <w:rFonts w:asciiTheme="minorHAnsi" w:hAnsiTheme="minorHAnsi" w:cstheme="minorHAnsi"/>
          <w:iCs/>
          <w:sz w:val="16"/>
          <w:szCs w:val="16"/>
        </w:rPr>
        <w:t xml:space="preserve"> biogeographical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the</w:t>
      </w:r>
      <w:r>
        <w:rPr>
          <w:rFonts w:asciiTheme="minorHAnsi" w:hAnsiTheme="minorHAnsi"/>
          <w:sz w:val="16"/>
          <w:szCs w:val="16"/>
        </w:rPr>
        <w:t xml:space="preserve"> Habitats Directive reporting - </w:t>
      </w:r>
      <w:hyperlink r:id="rId15" w:history="1">
        <w:r>
          <w:rPr>
            <w:rStyle w:val="Hyperlink"/>
            <w:rFonts w:asciiTheme="minorHAnsi" w:hAnsiTheme="minorHAnsi"/>
            <w:sz w:val="16"/>
            <w:szCs w:val="16"/>
          </w:rPr>
          <w:t>national summary of Slovakia</w:t>
        </w:r>
      </w:hyperlink>
    </w:p>
  </w:footnote>
  <w:footnote w:id="30">
    <w:p w:rsidR="00C571F7" w:rsidRDefault="00884FC2">
      <w:pPr>
        <w:widowControl w:val="0"/>
        <w:spacing w:after="0" w:line="240" w:lineRule="auto"/>
        <w:ind w:left="170" w:hanging="170"/>
        <w:rPr>
          <w:sz w:val="16"/>
          <w:szCs w:val="16"/>
        </w:rPr>
      </w:pPr>
      <w:r>
        <w:rPr>
          <w:rStyle w:val="FootnoteReference"/>
          <w:sz w:val="16"/>
          <w:szCs w:val="16"/>
        </w:rPr>
        <w:footnoteRef/>
      </w:r>
      <w:r>
        <w:rPr>
          <w:sz w:val="16"/>
          <w:szCs w:val="16"/>
        </w:rPr>
        <w:t xml:space="preserve"> The core of the ‘Article 17’ report is the assessment of conservation status of the habitats </w:t>
      </w:r>
      <w:r>
        <w:rPr>
          <w:sz w:val="16"/>
          <w:szCs w:val="16"/>
        </w:rPr>
        <w:t>and species targeted by the Habitats Directive.</w:t>
      </w:r>
    </w:p>
  </w:footnote>
  <w:footnote w:id="31">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 based on four parameters as defined in Article 1 of the Habitats </w:t>
      </w:r>
      <w:r>
        <w:rPr>
          <w:rFonts w:asciiTheme="minorHAnsi" w:hAnsiTheme="minorHAnsi"/>
          <w:sz w:val="16"/>
          <w:szCs w:val="16"/>
        </w:rPr>
        <w:t>Directive.</w:t>
      </w:r>
    </w:p>
  </w:footnote>
  <w:footnote w:id="32">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‘unknown’ assessments have strongly diminished particularly for species</w:t>
      </w:r>
      <w:r>
        <w:rPr>
          <w:rFonts w:asciiTheme="minorHAnsi" w:hAnsiTheme="minorHAnsi"/>
          <w:sz w:val="16"/>
          <w:szCs w:val="16"/>
        </w:rPr>
        <w:t>, and that some reported changes are not genuine as they result from improved data / monitoring methods.</w:t>
      </w:r>
    </w:p>
  </w:footnote>
  <w:footnote w:id="33">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requires Member States to report about the progress made</w:t>
      </w:r>
    </w:p>
  </w:footnote>
  <w:footnote w:id="34">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Birds Directive reporting - </w:t>
      </w:r>
      <w:hyperlink r:id="rId16" w:history="1">
        <w:r>
          <w:rPr>
            <w:rStyle w:val="Hyperlink"/>
            <w:rFonts w:asciiTheme="minorHAnsi" w:hAnsiTheme="minorHAnsi"/>
            <w:sz w:val="16"/>
            <w:szCs w:val="16"/>
          </w:rPr>
          <w:t>national summary of Slovakia</w:t>
        </w:r>
      </w:hyperlink>
    </w:p>
  </w:footnote>
  <w:footnote w:id="35">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bCs/>
          <w:sz w:val="16"/>
          <w:szCs w:val="16"/>
          <w:lang w:val="en"/>
        </w:rPr>
        <w:t xml:space="preserve">The fire protection forest roads are eligible </w:t>
      </w:r>
      <w:r>
        <w:rPr>
          <w:rFonts w:asciiTheme="minorHAnsi" w:hAnsiTheme="minorHAnsi"/>
          <w:sz w:val="16"/>
          <w:szCs w:val="16"/>
        </w:rPr>
        <w:t xml:space="preserve">only </w:t>
      </w:r>
      <w:r>
        <w:rPr>
          <w:rFonts w:asciiTheme="minorHAnsi" w:hAnsiTheme="minorHAnsi"/>
          <w:bCs/>
          <w:sz w:val="16"/>
          <w:szCs w:val="16"/>
        </w:rPr>
        <w:t xml:space="preserve">for </w:t>
      </w:r>
      <w:r>
        <w:rPr>
          <w:rFonts w:asciiTheme="minorHAnsi" w:hAnsiTheme="minorHAnsi"/>
          <w:sz w:val="16"/>
          <w:szCs w:val="16"/>
        </w:rPr>
        <w:t>investments in sections which are needed to be linked to the existing forest roads network, and reconstruction of forest roads network are to be considered, based on the principles of cost-effectiveness and sustainability. It would be subject to the furthe</w:t>
      </w:r>
      <w:r>
        <w:rPr>
          <w:rFonts w:asciiTheme="minorHAnsi" w:hAnsiTheme="minorHAnsi"/>
          <w:sz w:val="16"/>
          <w:szCs w:val="16"/>
        </w:rPr>
        <w:t xml:space="preserve">r analysis </w:t>
      </w:r>
    </w:p>
  </w:footnote>
  <w:footnote w:id="36">
    <w:p w:rsidR="00C571F7" w:rsidRDefault="00884FC2">
      <w:pPr>
        <w:pStyle w:val="FootnoteText"/>
        <w:rPr>
          <w:sz w:val="16"/>
          <w:szCs w:val="16"/>
        </w:rPr>
      </w:pPr>
      <w:r>
        <w:rPr>
          <w:rStyle w:val="FootnoteReference"/>
          <w:sz w:val="16"/>
          <w:szCs w:val="16"/>
        </w:rPr>
        <w:footnoteRef/>
      </w:r>
      <w:r>
        <w:rPr>
          <w:sz w:val="16"/>
          <w:szCs w:val="16"/>
        </w:rPr>
        <w:t xml:space="preserve"> The Institute of the environmental policy in Slovakia: </w:t>
      </w:r>
      <w:hyperlink r:id="rId17" w:history="1">
        <w:r>
          <w:rPr>
            <w:rStyle w:val="Hyperlink"/>
            <w:sz w:val="16"/>
            <w:szCs w:val="16"/>
          </w:rPr>
          <w:t>The three most important challenges for the environment in Slovakia</w:t>
        </w:r>
      </w:hyperlink>
    </w:p>
  </w:footnote>
  <w:footnote w:id="37">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According to SK authorities,</w:t>
      </w:r>
      <w:r>
        <w:rPr>
          <w:rFonts w:asciiTheme="minorHAnsi" w:hAnsiTheme="minorHAnsi"/>
          <w:sz w:val="16"/>
          <w:szCs w:val="16"/>
        </w:rPr>
        <w:t xml:space="preserve"> there is a need for harmonisation of EU energy, water and biodiversity policies.</w:t>
      </w:r>
    </w:p>
  </w:footnote>
  <w:footnote w:id="38">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OP Quality of Environment and the Rural Development Programme contain provision to prepare </w:t>
      </w:r>
      <w:r>
        <w:rPr>
          <w:rFonts w:asciiTheme="minorHAnsi" w:hAnsiTheme="minorHAnsi"/>
          <w:i/>
          <w:sz w:val="16"/>
          <w:szCs w:val="16"/>
        </w:rPr>
        <w:t>Criteria for the sustainable use of the biomass in the regions of Slovakia will b</w:t>
      </w:r>
      <w:r>
        <w:rPr>
          <w:rFonts w:asciiTheme="minorHAnsi" w:hAnsiTheme="minorHAnsi"/>
          <w:i/>
          <w:sz w:val="16"/>
          <w:szCs w:val="16"/>
        </w:rPr>
        <w:t>e prepared at the national level before granting any support for use of biomass</w:t>
      </w:r>
      <w:r>
        <w:rPr>
          <w:rFonts w:asciiTheme="minorHAnsi" w:hAnsiTheme="minorHAnsi"/>
          <w:sz w:val="16"/>
          <w:szCs w:val="16"/>
        </w:rPr>
        <w:t>. The document was presented  in September 2016, however the stakeholders criticised the analysis when it comes to the existing stock of woody biomass and calculation of its fut</w:t>
      </w:r>
      <w:r>
        <w:rPr>
          <w:rFonts w:asciiTheme="minorHAnsi" w:hAnsiTheme="minorHAnsi"/>
          <w:sz w:val="16"/>
          <w:szCs w:val="16"/>
        </w:rPr>
        <w:t xml:space="preserve">ure potential as it significantly diffesr to other sources, please see: </w:t>
      </w:r>
      <w:hyperlink r:id="rId18" w:history="1">
        <w:r>
          <w:rPr>
            <w:rStyle w:val="Hyperlink"/>
            <w:rFonts w:asciiTheme="minorHAnsi" w:hAnsiTheme="minorHAnsi"/>
            <w:sz w:val="16"/>
            <w:szCs w:val="16"/>
          </w:rPr>
          <w:t>http://www.ekoforum.sk/peticia/biomasa</w:t>
        </w:r>
      </w:hyperlink>
      <w:r>
        <w:rPr>
          <w:rFonts w:asciiTheme="minorHAnsi" w:hAnsiTheme="minorHAnsi"/>
          <w:sz w:val="16"/>
          <w:szCs w:val="16"/>
        </w:rPr>
        <w:t xml:space="preserve"> </w:t>
      </w:r>
    </w:p>
  </w:footnote>
  <w:footnote w:id="39">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which human society depends.</w:t>
      </w:r>
    </w:p>
  </w:footnote>
  <w:footnote w:id="40">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19" w:history="1">
        <w:r>
          <w:rPr>
            <w:rStyle w:val="Hyperlink"/>
            <w:rFonts w:asciiTheme="minorHAnsi" w:hAnsiTheme="minorHAnsi"/>
            <w:sz w:val="16"/>
            <w:szCs w:val="16"/>
          </w:rPr>
          <w:t>COM/2013/0249</w:t>
        </w:r>
      </w:hyperlink>
    </w:p>
  </w:footnote>
  <w:footnote w:id="41">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0"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w:t>
      </w:r>
      <w:r>
        <w:rPr>
          <w:rFonts w:asciiTheme="minorHAnsi" w:hAnsiTheme="minorHAnsi"/>
          <w:sz w:val="16"/>
          <w:szCs w:val="16"/>
        </w:rPr>
        <w:t>s a % of 2006 artificial land.</w:t>
      </w:r>
    </w:p>
  </w:footnote>
  <w:footnote w:id="42">
    <w:p w:rsidR="00C571F7" w:rsidRDefault="00884FC2">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21" w:history="1">
        <w:r>
          <w:rPr>
            <w:rStyle w:val="Hyperlink"/>
            <w:rFonts w:asciiTheme="minorHAnsi" w:hAnsiTheme="minorHAnsi"/>
            <w:sz w:val="16"/>
            <w:szCs w:val="16"/>
          </w:rPr>
          <w:t>Imperviousness and imperviousness change</w:t>
        </w:r>
      </w:hyperlink>
    </w:p>
  </w:footnote>
  <w:footnote w:id="43">
    <w:p w:rsidR="00C571F7" w:rsidRDefault="00884FC2">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22" w:history="1">
        <w:r>
          <w:rPr>
            <w:rStyle w:val="Hyperlink"/>
            <w:sz w:val="16"/>
            <w:szCs w:val="16"/>
          </w:rPr>
          <w:t xml:space="preserve"> Soil water erosion rate</w:t>
        </w:r>
      </w:hyperlink>
      <w:r>
        <w:rPr>
          <w:sz w:val="16"/>
          <w:szCs w:val="16"/>
        </w:rPr>
        <w:t>, Figure 2, accessed November 2016</w:t>
      </w:r>
    </w:p>
  </w:footnote>
  <w:footnote w:id="44">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Land cover 2012 and changes country analysis [publication forthcoming].</w:t>
      </w:r>
    </w:p>
  </w:footnote>
  <w:footnote w:id="45">
    <w:p w:rsidR="00C571F7" w:rsidRDefault="00884FC2">
      <w:pPr>
        <w:pStyle w:val="FootnoteText"/>
        <w:widowControl w:val="0"/>
        <w:ind w:left="113" w:hanging="113"/>
        <w:outlineLvl w:val="4"/>
        <w:rPr>
          <w:sz w:val="16"/>
          <w:szCs w:val="16"/>
        </w:rPr>
      </w:pPr>
      <w:r>
        <w:rPr>
          <w:rStyle w:val="FootnoteReference"/>
          <w:sz w:val="16"/>
          <w:szCs w:val="16"/>
        </w:rPr>
        <w:footnoteRef/>
      </w:r>
      <w:r>
        <w:rPr>
          <w:sz w:val="16"/>
          <w:szCs w:val="16"/>
        </w:rPr>
        <w:t xml:space="preserve"> European Commission, 2016. </w:t>
      </w:r>
      <w:hyperlink r:id="rId23" w:history="1">
        <w:r>
          <w:rPr>
            <w:rStyle w:val="Hyperlink"/>
            <w:sz w:val="16"/>
            <w:szCs w:val="16"/>
          </w:rPr>
          <w:t>Air Quality Standards</w:t>
        </w:r>
      </w:hyperlink>
      <w:r>
        <w:rPr>
          <w:sz w:val="16"/>
          <w:szCs w:val="16"/>
        </w:rPr>
        <w:t xml:space="preserve"> </w:t>
      </w:r>
    </w:p>
  </w:footnote>
  <w:footnote w:id="46">
    <w:p w:rsidR="00C571F7" w:rsidRDefault="00884FC2">
      <w:pPr>
        <w:pStyle w:val="FootnoteText"/>
        <w:widowControl w:val="0"/>
        <w:ind w:left="113" w:hanging="113"/>
        <w:rPr>
          <w:sz w:val="16"/>
          <w:szCs w:val="16"/>
        </w:rPr>
      </w:pPr>
      <w:r>
        <w:rPr>
          <w:rStyle w:val="FootnoteReference"/>
          <w:sz w:val="16"/>
          <w:szCs w:val="16"/>
        </w:rPr>
        <w:footnoteRef/>
      </w:r>
      <w:r>
        <w:rPr>
          <w:sz w:val="16"/>
          <w:szCs w:val="16"/>
        </w:rPr>
        <w:t xml:space="preserve"> See </w:t>
      </w:r>
      <w:hyperlink r:id="rId24" w:history="1">
        <w:r>
          <w:rPr>
            <w:rStyle w:val="Hyperlink"/>
            <w:sz w:val="16"/>
            <w:szCs w:val="16"/>
          </w:rPr>
          <w:t>EIONET Central Data Repository</w:t>
        </w:r>
      </w:hyperlink>
      <w:r>
        <w:rPr>
          <w:sz w:val="16"/>
          <w:szCs w:val="16"/>
        </w:rPr>
        <w:t xml:space="preserve"> and </w:t>
      </w:r>
      <w:hyperlink r:id="rId25" w:history="1">
        <w:r>
          <w:rPr>
            <w:rStyle w:val="Hyperlink"/>
            <w:sz w:val="16"/>
            <w:szCs w:val="16"/>
          </w:rPr>
          <w:t>Air pollutant emissions data viewer (NEC Directive)</w:t>
        </w:r>
      </w:hyperlink>
    </w:p>
  </w:footnote>
  <w:footnote w:id="47">
    <w:p w:rsidR="00C571F7" w:rsidRDefault="00884FC2">
      <w:pPr>
        <w:pStyle w:val="FootnoteText"/>
      </w:pPr>
      <w:r>
        <w:rPr>
          <w:rStyle w:val="FootnoteReference"/>
        </w:rPr>
        <w:footnoteRef/>
      </w:r>
      <w:r>
        <w:rPr>
          <w:sz w:val="16"/>
          <w:szCs w:val="16"/>
        </w:rPr>
        <w:t xml:space="preserve"> 2013 is used as a reference period for all MSs</w:t>
      </w:r>
    </w:p>
  </w:footnote>
  <w:footnote w:id="48">
    <w:p w:rsidR="00C571F7" w:rsidRDefault="00884FC2">
      <w:pPr>
        <w:pStyle w:val="FootnoteText"/>
        <w:widowControl w:val="0"/>
        <w:ind w:left="113" w:hanging="113"/>
        <w:rPr>
          <w:sz w:val="16"/>
          <w:szCs w:val="16"/>
        </w:rPr>
      </w:pPr>
      <w:r>
        <w:rPr>
          <w:rStyle w:val="FootnoteReference"/>
          <w:sz w:val="16"/>
          <w:szCs w:val="16"/>
        </w:rPr>
        <w:footnoteRef/>
      </w:r>
      <w:r>
        <w:rPr>
          <w:sz w:val="16"/>
          <w:szCs w:val="16"/>
        </w:rPr>
        <w:t xml:space="preserve"> </w:t>
      </w:r>
      <w:r>
        <w:rPr>
          <w:rFonts w:asciiTheme="minorHAnsi" w:hAnsiTheme="minorHAnsi"/>
          <w:sz w:val="16"/>
          <w:szCs w:val="16"/>
        </w:rPr>
        <w:t>The current national emission ceilings apply since 2010 (</w:t>
      </w:r>
      <w:hyperlink r:id="rId26"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27" w:history="1">
        <w:r>
          <w:rPr>
            <w:rStyle w:val="Hyperlink"/>
            <w:rFonts w:asciiTheme="minorHAnsi" w:hAnsiTheme="minorHAnsi"/>
            <w:sz w:val="16"/>
            <w:szCs w:val="16"/>
          </w:rPr>
          <w:t>Directi</w:t>
        </w:r>
        <w:r>
          <w:rPr>
            <w:rStyle w:val="Hyperlink"/>
            <w:rFonts w:asciiTheme="minorHAnsi" w:hAnsiTheme="minorHAnsi"/>
            <w:sz w:val="16"/>
            <w:szCs w:val="16"/>
          </w:rPr>
          <w:t>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49">
    <w:p w:rsidR="00C571F7" w:rsidRDefault="00884FC2">
      <w:pPr>
        <w:pStyle w:val="FootnoteText"/>
        <w:widowControl w:val="0"/>
        <w:ind w:left="170" w:hanging="170"/>
        <w:rPr>
          <w:sz w:val="16"/>
          <w:szCs w:val="16"/>
        </w:rPr>
      </w:pPr>
      <w:r>
        <w:rPr>
          <w:rStyle w:val="FootnoteReference"/>
          <w:sz w:val="16"/>
          <w:szCs w:val="16"/>
        </w:rPr>
        <w:footnoteRef/>
      </w:r>
      <w:r>
        <w:rPr>
          <w:sz w:val="16"/>
          <w:szCs w:val="16"/>
        </w:rPr>
        <w:t xml:space="preserve"> Particulate matter (PM) is a mixture of aerosol particles (solid and liquid) covering a wide ran</w:t>
      </w:r>
      <w:r>
        <w:rPr>
          <w:sz w:val="16"/>
          <w:szCs w:val="16"/>
        </w:rPr>
        <w:t>ge of sizes and chemical compositions. PM10 (PM2.5) refers to particles with a diameter of 10 (2.5) micrometres or less. PM is emitted from many anthropogenic sources, including combustion.</w:t>
      </w:r>
    </w:p>
  </w:footnote>
  <w:footnote w:id="50">
    <w:p w:rsidR="00C571F7" w:rsidRDefault="00884FC2">
      <w:pPr>
        <w:pStyle w:val="FootnoteText"/>
        <w:ind w:left="170" w:hanging="170"/>
        <w:rPr>
          <w:sz w:val="16"/>
          <w:szCs w:val="16"/>
        </w:rPr>
      </w:pPr>
      <w:r>
        <w:rPr>
          <w:rStyle w:val="FootnoteReference"/>
          <w:sz w:val="16"/>
          <w:szCs w:val="16"/>
        </w:rPr>
        <w:footnoteRef/>
      </w:r>
      <w:r>
        <w:rPr>
          <w:sz w:val="16"/>
          <w:szCs w:val="16"/>
        </w:rPr>
        <w:t xml:space="preserve"> Low level ozone is produced by photochemical action on pollution</w:t>
      </w:r>
      <w:r>
        <w:rPr>
          <w:sz w:val="16"/>
          <w:szCs w:val="16"/>
        </w:rPr>
        <w:t xml:space="preserve"> and it is also a greenhouse gas</w:t>
      </w:r>
    </w:p>
  </w:footnote>
  <w:footnote w:id="51">
    <w:p w:rsidR="00C571F7" w:rsidRDefault="00884FC2">
      <w:pPr>
        <w:pStyle w:val="FootnoteText"/>
        <w:widowControl w:val="0"/>
        <w:ind w:left="170" w:hanging="170"/>
        <w:rPr>
          <w:sz w:val="16"/>
          <w:szCs w:val="16"/>
        </w:rPr>
      </w:pPr>
      <w:r>
        <w:rPr>
          <w:rStyle w:val="FootnoteReference"/>
          <w:sz w:val="16"/>
          <w:szCs w:val="16"/>
        </w:rPr>
        <w:footnoteRef/>
      </w:r>
      <w:r>
        <w:rPr>
          <w:sz w:val="16"/>
          <w:szCs w:val="16"/>
        </w:rPr>
        <w:t xml:space="preserve"> </w:t>
      </w:r>
      <w:r>
        <w:rPr>
          <w:rFonts w:cstheme="minorHAnsi"/>
          <w:sz w:val="16"/>
          <w:szCs w:val="16"/>
        </w:rPr>
        <w:t xml:space="preserve">European Environment Agency, 2016. </w:t>
      </w:r>
      <w:hyperlink r:id="rId28" w:history="1">
        <w:r>
          <w:rPr>
            <w:rStyle w:val="Hyperlink"/>
            <w:sz w:val="16"/>
            <w:szCs w:val="16"/>
            <w:lang w:eastAsia="en-GB"/>
          </w:rPr>
          <w:t>Air Quality in Europe – 2016 Report</w:t>
        </w:r>
      </w:hyperlink>
      <w:r>
        <w:rPr>
          <w:rFonts w:cstheme="minorHAnsi"/>
          <w:sz w:val="16"/>
          <w:szCs w:val="16"/>
        </w:rPr>
        <w:t>. (Table 10.2, please see details in this report as regards the underp</w:t>
      </w:r>
      <w:r>
        <w:rPr>
          <w:rFonts w:cstheme="minorHAnsi"/>
          <w:sz w:val="16"/>
          <w:szCs w:val="16"/>
        </w:rPr>
        <w:t>inning  methodology).</w:t>
      </w:r>
    </w:p>
  </w:footnote>
  <w:footnote w:id="52">
    <w:p w:rsidR="00C571F7" w:rsidRDefault="00884FC2">
      <w:pPr>
        <w:pStyle w:val="FootnoteText"/>
        <w:widowControl w:val="0"/>
        <w:ind w:left="170" w:hanging="170"/>
        <w:rPr>
          <w:sz w:val="16"/>
          <w:szCs w:val="16"/>
        </w:rPr>
      </w:pPr>
      <w:r>
        <w:rPr>
          <w:rStyle w:val="FootnoteReference"/>
          <w:sz w:val="16"/>
          <w:szCs w:val="16"/>
        </w:rPr>
        <w:footnoteRef/>
      </w:r>
      <w:r>
        <w:rPr>
          <w:sz w:val="16"/>
          <w:szCs w:val="16"/>
        </w:rPr>
        <w:t xml:space="preserve"> </w:t>
      </w:r>
      <w:r>
        <w:rPr>
          <w:rFonts w:cstheme="minorHAnsi"/>
          <w:sz w:val="16"/>
          <w:szCs w:val="16"/>
        </w:rPr>
        <w:t xml:space="preserve">Based on European Environment Agency, 2016. </w:t>
      </w:r>
      <w:hyperlink r:id="rId29" w:history="1">
        <w:r>
          <w:rPr>
            <w:rStyle w:val="Hyperlink"/>
            <w:sz w:val="16"/>
            <w:szCs w:val="16"/>
            <w:lang w:eastAsia="en-GB"/>
          </w:rPr>
          <w:t>Air Quality in Europe – 2016 Report</w:t>
        </w:r>
      </w:hyperlink>
      <w:r>
        <w:rPr>
          <w:rFonts w:cstheme="minorHAnsi"/>
          <w:sz w:val="16"/>
          <w:szCs w:val="16"/>
        </w:rPr>
        <w:t>. (Figures 4.1, 5.1 and 6.1)</w:t>
      </w:r>
    </w:p>
  </w:footnote>
  <w:footnote w:id="53">
    <w:p w:rsidR="00C571F7" w:rsidRDefault="00884FC2">
      <w:pPr>
        <w:pStyle w:val="FootnoteText"/>
        <w:ind w:left="170" w:hanging="170"/>
      </w:pPr>
      <w:r>
        <w:rPr>
          <w:rStyle w:val="FootnoteReference"/>
        </w:rPr>
        <w:footnoteRef/>
      </w:r>
      <w:r>
        <w:t xml:space="preserve"> </w:t>
      </w:r>
      <w:r>
        <w:rPr>
          <w:sz w:val="16"/>
          <w:szCs w:val="16"/>
        </w:rPr>
        <w:t xml:space="preserve">See </w:t>
      </w:r>
      <w:hyperlink r:id="rId30" w:history="1">
        <w:r>
          <w:rPr>
            <w:rStyle w:val="Hyperlink"/>
            <w:sz w:val="16"/>
            <w:szCs w:val="16"/>
          </w:rPr>
          <w:t>The EEA/Eionet Air Quality Portal</w:t>
        </w:r>
      </w:hyperlink>
      <w:r>
        <w:rPr>
          <w:sz w:val="16"/>
          <w:szCs w:val="16"/>
        </w:rPr>
        <w:t xml:space="preserve"> and the related Central Data Repository</w:t>
      </w:r>
    </w:p>
  </w:footnote>
  <w:footnote w:id="54">
    <w:p w:rsidR="00C571F7" w:rsidRDefault="00884FC2">
      <w:pPr>
        <w:pStyle w:val="FootnoteText"/>
        <w:widowControl w:val="0"/>
        <w:ind w:left="170" w:hanging="170"/>
        <w:rPr>
          <w:sz w:val="16"/>
          <w:szCs w:val="16"/>
        </w:rPr>
      </w:pPr>
      <w:r>
        <w:rPr>
          <w:rStyle w:val="FootnoteReference"/>
          <w:sz w:val="16"/>
          <w:szCs w:val="16"/>
        </w:rPr>
        <w:footnoteRef/>
      </w:r>
      <w:r>
        <w:rPr>
          <w:sz w:val="16"/>
          <w:szCs w:val="16"/>
        </w:rPr>
        <w:t xml:space="preserve"> These figures are based on the </w:t>
      </w:r>
      <w:hyperlink r:id="rId31" w:history="1">
        <w:r>
          <w:rPr>
            <w:rStyle w:val="Hyperlink"/>
            <w:sz w:val="16"/>
            <w:szCs w:val="16"/>
          </w:rPr>
          <w:t>Impact A</w:t>
        </w:r>
        <w:r>
          <w:rPr>
            <w:rStyle w:val="Hyperlink"/>
            <w:sz w:val="16"/>
            <w:szCs w:val="16"/>
          </w:rPr>
          <w:t>ssessment</w:t>
        </w:r>
      </w:hyperlink>
      <w:r>
        <w:rPr>
          <w:sz w:val="16"/>
          <w:szCs w:val="16"/>
        </w:rPr>
        <w:t xml:space="preserve"> for the European Commission Integrated Clean Air Package (2013)</w:t>
      </w:r>
    </w:p>
  </w:footnote>
  <w:footnote w:id="55">
    <w:p w:rsidR="00C571F7" w:rsidRDefault="00884FC2">
      <w:pPr>
        <w:pStyle w:val="FootnoteText"/>
        <w:ind w:left="170" w:hanging="170"/>
      </w:pPr>
      <w:r>
        <w:rPr>
          <w:rStyle w:val="FootnoteReference"/>
        </w:rPr>
        <w:footnoteRef/>
      </w:r>
      <w:r>
        <w:t xml:space="preserve"> </w:t>
      </w:r>
      <w:r>
        <w:rPr>
          <w:sz w:val="16"/>
          <w:szCs w:val="16"/>
        </w:rPr>
        <w:t>Under the provisions of the revised National Emission Ceilings Directive, Member States now may apply for emission inventory adjustments. Pending evaluation of any adjustment appli</w:t>
      </w:r>
      <w:r>
        <w:rPr>
          <w:sz w:val="16"/>
          <w:szCs w:val="16"/>
        </w:rPr>
        <w:t>cation, Member States should keep emissions under close control with a view to further reductions.</w:t>
      </w:r>
    </w:p>
  </w:footnote>
  <w:footnote w:id="56">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WHO/JRC, 2011, Burden of disease from environmental noise, Fritschi, L., Brown, A.L., Kim, R., Schwela, D., Kephalopoulos, S. (eds), </w:t>
      </w:r>
      <w:hyperlink r:id="rId32" w:history="1">
        <w:r>
          <w:rPr>
            <w:rStyle w:val="Hyperlink"/>
            <w:sz w:val="16"/>
            <w:szCs w:val="16"/>
          </w:rPr>
          <w:t>World Health Organization, Regional Office for Europe</w:t>
        </w:r>
      </w:hyperlink>
      <w:r>
        <w:rPr>
          <w:sz w:val="16"/>
          <w:szCs w:val="16"/>
        </w:rPr>
        <w:t>, Copenhagen, Denmark</w:t>
      </w:r>
    </w:p>
  </w:footnote>
  <w:footnote w:id="57">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w:t>
      </w:r>
      <w:r>
        <w:rPr>
          <w:rFonts w:asciiTheme="minorHAnsi" w:hAnsiTheme="minorHAnsi"/>
          <w:sz w:val="16"/>
          <w:szCs w:val="16"/>
        </w:rPr>
        <w:t xml:space="preserve">ates to prepare and publish, every 5 years, noise maps and noise management action plans for agglomerations with more than 100,000 inhabitants, and for major roads, railways and airports. </w:t>
      </w:r>
    </w:p>
  </w:footnote>
  <w:footnote w:id="58">
    <w:p w:rsidR="00C571F7" w:rsidRDefault="00884FC2">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33"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34"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w:t>
      </w:r>
      <w:r>
        <w:rPr>
          <w:rFonts w:asciiTheme="minorHAnsi" w:hAnsiTheme="minorHAnsi"/>
          <w:sz w:val="16"/>
          <w:szCs w:val="16"/>
        </w:rPr>
        <w:t xml:space="preserve">of municipal and some industrial waste waters; the </w:t>
      </w:r>
      <w:hyperlink r:id="rId35"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36"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37"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38" w:history="1">
        <w:r>
          <w:rPr>
            <w:rStyle w:val="Hyperlink"/>
            <w:rFonts w:asciiTheme="minorHAnsi" w:hAnsiTheme="minorHAnsi"/>
            <w:sz w:val="16"/>
            <w:szCs w:val="16"/>
          </w:rPr>
          <w:t>Floods Directive (2007/60/EC)</w:t>
        </w:r>
      </w:hyperlink>
    </w:p>
  </w:footnote>
  <w:footnote w:id="59">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Disclaimer: "According to SK authorities, the percentage of groundwater bodies (GWBs) ac</w:t>
      </w:r>
      <w:r>
        <w:rPr>
          <w:rFonts w:asciiTheme="minorHAnsi" w:hAnsiTheme="minorHAnsi"/>
          <w:sz w:val="16"/>
          <w:szCs w:val="16"/>
        </w:rPr>
        <w:t>hieving good chemical status raised to 82,7%, as well as the % of GWBs in good quantitative status stands now at 93,3%."</w:t>
      </w:r>
    </w:p>
  </w:footnote>
  <w:footnote w:id="60">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 the 1st RBMPs SK reported only rivers as surface water bodies</w:t>
      </w:r>
    </w:p>
  </w:footnote>
  <w:footnote w:id="61">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referring to the quality of the biological community, the hydrological characteristics and the chemical characteristics.</w:t>
      </w:r>
    </w:p>
  </w:footnote>
  <w:footnote w:id="62">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Good chemical status is defined</w:t>
      </w:r>
      <w:r>
        <w:rPr>
          <w:rFonts w:asciiTheme="minorHAnsi" w:hAnsiTheme="minorHAnsi"/>
          <w:sz w:val="16"/>
          <w:szCs w:val="16"/>
        </w:rPr>
        <w:t xml:space="preserve"> in the Water Framework Directive</w:t>
      </w:r>
      <w:r>
        <w:rPr>
          <w:rFonts w:asciiTheme="minorHAnsi" w:hAnsiTheme="minorHAnsi"/>
          <w:sz w:val="16"/>
          <w:szCs w:val="16"/>
          <w:lang w:val="en"/>
        </w:rPr>
        <w:t xml:space="preserve"> </w:t>
      </w:r>
      <w:r>
        <w:rPr>
          <w:rFonts w:asciiTheme="minorHAnsi" w:hAnsiTheme="minorHAnsi"/>
          <w:sz w:val="16"/>
          <w:szCs w:val="16"/>
          <w:lang w:val="en"/>
        </w:rPr>
        <w:t>referring to compliance with all the quality standards established for chemical substances at European level.</w:t>
      </w:r>
    </w:p>
  </w:footnote>
  <w:footnote w:id="63">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According to SK authorities, out of 101 groundwater bodies 26 bodies have been identified as geothermal water bodies/geothermal structures with </w:t>
      </w:r>
      <w:r>
        <w:rPr>
          <w:rFonts w:asciiTheme="minorHAnsi" w:hAnsiTheme="minorHAnsi"/>
          <w:sz w:val="16"/>
          <w:szCs w:val="16"/>
        </w:rPr>
        <w:t xml:space="preserve">a deep circulation of ground waters (their aquifers  outside discharge area are at the depth of  200 – 500 meters) for which their chemical and quantitative status was not assessed  </w:t>
      </w:r>
    </w:p>
  </w:footnote>
  <w:footnote w:id="64">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w:t>
      </w:r>
      <w:r>
        <w:rPr>
          <w:rFonts w:asciiTheme="minorHAnsi" w:hAnsiTheme="minorHAnsi"/>
          <w:sz w:val="16"/>
          <w:szCs w:val="16"/>
        </w:rPr>
        <w:t xml:space="preserve"> a prohibition on direct discharges to groundwater, and a requirement to monitor groundwater bodies.</w:t>
      </w:r>
    </w:p>
  </w:footnote>
  <w:footnote w:id="65">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one discrete source.</w:t>
      </w:r>
    </w:p>
  </w:footnote>
  <w:footnote w:id="66">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Disclaimer: "According to the SK authorities, a large part of deficienc</w:t>
      </w:r>
      <w:r>
        <w:rPr>
          <w:rFonts w:asciiTheme="minorHAnsi" w:hAnsiTheme="minorHAnsi"/>
          <w:sz w:val="16"/>
          <w:szCs w:val="16"/>
        </w:rPr>
        <w:t>ies/uncertainties identified in the 1</w:t>
      </w:r>
      <w:r>
        <w:rPr>
          <w:rFonts w:asciiTheme="minorHAnsi" w:hAnsiTheme="minorHAnsi"/>
          <w:sz w:val="16"/>
          <w:szCs w:val="16"/>
          <w:vertAlign w:val="superscript"/>
        </w:rPr>
        <w:t>st</w:t>
      </w:r>
      <w:r>
        <w:rPr>
          <w:rFonts w:asciiTheme="minorHAnsi" w:hAnsiTheme="minorHAnsi"/>
          <w:sz w:val="16"/>
          <w:szCs w:val="16"/>
        </w:rPr>
        <w:t xml:space="preserve"> RBMPs have been addressed in the 2</w:t>
      </w:r>
      <w:r>
        <w:rPr>
          <w:rFonts w:asciiTheme="minorHAnsi" w:hAnsiTheme="minorHAnsi"/>
          <w:sz w:val="16"/>
          <w:szCs w:val="16"/>
          <w:vertAlign w:val="superscript"/>
        </w:rPr>
        <w:t>nd</w:t>
      </w:r>
      <w:r>
        <w:rPr>
          <w:rFonts w:asciiTheme="minorHAnsi" w:hAnsiTheme="minorHAnsi"/>
          <w:sz w:val="16"/>
          <w:szCs w:val="16"/>
        </w:rPr>
        <w:t xml:space="preserve"> RBMPs"</w:t>
      </w:r>
    </w:p>
  </w:footnote>
  <w:footnote w:id="67">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flood protection, and, building of dams to create reservoirs</w:t>
      </w:r>
    </w:p>
  </w:footnote>
  <w:footnote w:id="68">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25/1/20</w:t>
      </w:r>
      <w:r>
        <w:rPr>
          <w:rFonts w:asciiTheme="minorHAnsi" w:hAnsiTheme="minorHAnsi"/>
          <w:sz w:val="16"/>
          <w:szCs w:val="16"/>
        </w:rPr>
        <w:t xml:space="preserve">16: </w:t>
      </w:r>
      <w:hyperlink r:id="rId39" w:history="1">
        <w:r>
          <w:rPr>
            <w:rStyle w:val="Hyperlink"/>
            <w:rFonts w:asciiTheme="minorHAnsi" w:hAnsiTheme="minorHAnsi"/>
            <w:sz w:val="16"/>
            <w:szCs w:val="16"/>
          </w:rPr>
          <w:t>http://www.eca.europa.eu/en/Pages/DocItem.aspx?did=35001</w:t>
        </w:r>
      </w:hyperlink>
    </w:p>
  </w:footnote>
  <w:footnote w:id="69">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Commission's </w:t>
      </w:r>
      <w:hyperlink r:id="rId40" w:history="1">
        <w:r>
          <w:rPr>
            <w:rStyle w:val="Hyperlink"/>
            <w:rFonts w:asciiTheme="minorHAnsi" w:hAnsiTheme="minorHAnsi"/>
            <w:sz w:val="16"/>
            <w:szCs w:val="16"/>
          </w:rPr>
          <w:t>Synthesis Report on the</w:t>
        </w:r>
        <w:r>
          <w:rPr>
            <w:rStyle w:val="Hyperlink"/>
            <w:rFonts w:asciiTheme="minorHAnsi" w:hAnsiTheme="minorHAnsi"/>
            <w:sz w:val="16"/>
            <w:szCs w:val="16"/>
          </w:rPr>
          <w:t xml:space="preserve"> Quality of Drinking Water in the Union examining Member States' reports for the 2011-2013</w:t>
        </w:r>
      </w:hyperlink>
      <w:r>
        <w:rPr>
          <w:rFonts w:asciiTheme="minorHAnsi" w:hAnsiTheme="minorHAnsi"/>
          <w:sz w:val="16"/>
          <w:szCs w:val="16"/>
        </w:rPr>
        <w:t xml:space="preserve"> period, foreseen under Article 13(5) of Directive 98/83/EC; COM(2016)666</w:t>
      </w:r>
    </w:p>
  </w:footnote>
  <w:footnote w:id="70">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1" w:history="1">
        <w:r>
          <w:rPr>
            <w:rStyle w:val="Hyperlink"/>
            <w:rFonts w:asciiTheme="minorHAnsi" w:hAnsiTheme="minorHAnsi"/>
            <w:sz w:val="16"/>
            <w:szCs w:val="16"/>
          </w:rPr>
          <w:t>https://www.minzp.sk/oblasti/voda/</w:t>
        </w:r>
      </w:hyperlink>
      <w:r>
        <w:rPr>
          <w:rFonts w:asciiTheme="minorHAnsi" w:hAnsiTheme="minorHAnsi"/>
          <w:sz w:val="16"/>
          <w:szCs w:val="16"/>
        </w:rPr>
        <w:t xml:space="preserve"> </w:t>
      </w:r>
    </w:p>
  </w:footnote>
  <w:footnote w:id="71">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42" w:history="1">
        <w:r>
          <w:rPr>
            <w:rStyle w:val="Hyperlink"/>
            <w:rFonts w:asciiTheme="minorHAnsi" w:hAnsiTheme="minorHAnsi"/>
            <w:sz w:val="16"/>
            <w:szCs w:val="16"/>
          </w:rPr>
          <w:t>European bathing water quality in 2015</w:t>
        </w:r>
      </w:hyperlink>
      <w:r>
        <w:rPr>
          <w:rFonts w:asciiTheme="minorHAnsi" w:hAnsiTheme="minorHAnsi"/>
          <w:sz w:val="16"/>
          <w:szCs w:val="16"/>
        </w:rPr>
        <w:t>, p. 26</w:t>
      </w:r>
    </w:p>
  </w:footnote>
  <w:footnote w:id="72">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3"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73">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Eighth Report on the Implementation Status and the Programmes for Implementation of the Urban Waste Water Directive </w:t>
      </w:r>
      <w:hyperlink r:id="rId44"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45" w:history="1">
        <w:r>
          <w:rPr>
            <w:rStyle w:val="Hyperlink"/>
            <w:rFonts w:asciiTheme="minorHAnsi" w:hAnsiTheme="minorHAnsi"/>
            <w:sz w:val="16"/>
            <w:szCs w:val="16"/>
          </w:rPr>
          <w:t>(SWD(2016)45 final</w:t>
        </w:r>
      </w:hyperlink>
      <w:r>
        <w:rPr>
          <w:rFonts w:asciiTheme="minorHAnsi" w:hAnsiTheme="minorHAnsi"/>
          <w:sz w:val="16"/>
          <w:szCs w:val="16"/>
        </w:rPr>
        <w:t>).</w:t>
      </w:r>
    </w:p>
  </w:footnote>
  <w:footnote w:id="74">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w:t>
      </w:r>
      <w:r>
        <w:rPr>
          <w:rFonts w:asciiTheme="minorHAnsi" w:hAnsiTheme="minorHAnsi"/>
          <w:sz w:val="16"/>
          <w:szCs w:val="16"/>
        </w:rPr>
        <w:t xml:space="preserve">, Eighth Report on the Implementation Status and the Programmes for Implementation of the Urban Waste Water Directive </w:t>
      </w:r>
      <w:hyperlink r:id="rId46"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w:t>
      </w:r>
      <w:r>
        <w:rPr>
          <w:rFonts w:asciiTheme="minorHAnsi" w:hAnsiTheme="minorHAnsi"/>
          <w:sz w:val="16"/>
          <w:szCs w:val="16"/>
        </w:rPr>
        <w:t xml:space="preserve">Document accompanying the report </w:t>
      </w:r>
      <w:hyperlink r:id="rId47" w:history="1">
        <w:r>
          <w:rPr>
            <w:rStyle w:val="Hyperlink"/>
            <w:rFonts w:asciiTheme="minorHAnsi" w:hAnsiTheme="minorHAnsi"/>
            <w:sz w:val="16"/>
            <w:szCs w:val="16"/>
          </w:rPr>
          <w:t>(SWD(2016)45 final</w:t>
        </w:r>
      </w:hyperlink>
      <w:r>
        <w:rPr>
          <w:rFonts w:asciiTheme="minorHAnsi" w:hAnsiTheme="minorHAnsi"/>
          <w:sz w:val="16"/>
          <w:szCs w:val="16"/>
        </w:rPr>
        <w:t>).</w:t>
      </w:r>
    </w:p>
  </w:footnote>
  <w:footnote w:id="75">
    <w:p w:rsidR="00C571F7" w:rsidRDefault="00884FC2">
      <w:pPr>
        <w:widowControl w:val="0"/>
        <w:spacing w:after="0" w:line="240" w:lineRule="auto"/>
        <w:ind w:left="170" w:hanging="170"/>
        <w:rPr>
          <w:color w:val="1F497D"/>
          <w:sz w:val="16"/>
          <w:szCs w:val="16"/>
        </w:rPr>
      </w:pPr>
      <w:r>
        <w:rPr>
          <w:rStyle w:val="FootnoteReference"/>
          <w:sz w:val="16"/>
          <w:szCs w:val="16"/>
        </w:rPr>
        <w:footnoteRef/>
      </w:r>
      <w:r>
        <w:rPr>
          <w:sz w:val="16"/>
          <w:szCs w:val="16"/>
        </w:rPr>
        <w:t xml:space="preserve"> European Commission, 2016</w:t>
      </w:r>
      <w:hyperlink r:id="rId48" w:history="1">
        <w:r>
          <w:rPr>
            <w:rStyle w:val="Hyperlink"/>
            <w:sz w:val="16"/>
            <w:szCs w:val="16"/>
          </w:rPr>
          <w:t>. Urban waste water, 8th implementation reports</w:t>
        </w:r>
      </w:hyperlink>
      <w:r>
        <w:rPr>
          <w:sz w:val="16"/>
          <w:szCs w:val="16"/>
        </w:rPr>
        <w:t>. Note: graph illustrates the distance to compliance (is not based on the legal compliance assessment methodology) while the text above graph refers to the legal compliance with UWWTD.</w:t>
      </w:r>
    </w:p>
  </w:footnote>
  <w:footnote w:id="76">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Suggested actions are based on the EC assessment of 1</w:t>
      </w:r>
      <w:r>
        <w:rPr>
          <w:rFonts w:asciiTheme="minorHAnsi" w:hAnsiTheme="minorHAnsi"/>
          <w:sz w:val="16"/>
          <w:szCs w:val="16"/>
          <w:vertAlign w:val="superscript"/>
        </w:rPr>
        <w:t>st</w:t>
      </w:r>
      <w:r>
        <w:rPr>
          <w:rFonts w:asciiTheme="minorHAnsi" w:hAnsiTheme="minorHAnsi"/>
          <w:sz w:val="16"/>
          <w:szCs w:val="16"/>
        </w:rPr>
        <w:t xml:space="preserve"> round of RBMPs.</w:t>
      </w:r>
    </w:p>
  </w:footnote>
  <w:footnote w:id="77">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Disclaimer: According to SK authorities, implementation of Nitrate Directive should be improved by amendments to Act No 136/2000 Coll. on fertilizers, as amended, in force as of 1</w:t>
      </w:r>
      <w:r>
        <w:rPr>
          <w:rFonts w:asciiTheme="minorHAnsi" w:hAnsiTheme="minorHAnsi"/>
          <w:sz w:val="16"/>
          <w:szCs w:val="16"/>
        </w:rPr>
        <w:t xml:space="preserve"> January 2016. EC has not validated yet this information. </w:t>
      </w:r>
    </w:p>
  </w:footnote>
  <w:footnote w:id="78">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9" w:history="1">
        <w:r>
          <w:rPr>
            <w:rStyle w:val="Hyperlink"/>
            <w:rFonts w:asciiTheme="minorHAnsi" w:hAnsiTheme="minorHAnsi"/>
            <w:sz w:val="16"/>
            <w:szCs w:val="16"/>
          </w:rPr>
          <w:t>Urban environment</w:t>
        </w:r>
      </w:hyperlink>
    </w:p>
  </w:footnote>
  <w:footnote w:id="79">
    <w:p w:rsidR="00C571F7" w:rsidRDefault="00884FC2">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50" w:history="1">
        <w:r>
          <w:rPr>
            <w:rStyle w:val="Hyperlink"/>
            <w:rFonts w:asciiTheme="minorHAnsi" w:hAnsiTheme="minorHAnsi"/>
            <w:sz w:val="16"/>
            <w:szCs w:val="16"/>
          </w:rPr>
          <w:t>http://urbanagendaforthe.eu/</w:t>
        </w:r>
      </w:hyperlink>
    </w:p>
  </w:footnote>
  <w:footnote w:id="80">
    <w:p w:rsidR="00C571F7" w:rsidRDefault="00884FC2">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1"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w:t>
      </w:r>
      <w:r>
        <w:rPr>
          <w:rFonts w:asciiTheme="minorHAnsi" w:hAnsiTheme="minorHAnsi"/>
          <w:sz w:val="16"/>
          <w:szCs w:val="16"/>
        </w:rPr>
        <w:t>M tool, and increasingly via e.g. EUROCITIES, ICLEI, CEMR, Committee of the Regions, Covenant of Mayors and others.</w:t>
      </w:r>
    </w:p>
  </w:footnote>
  <w:footnote w:id="81">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issue has attracted attention at the end of 2016 when one the blocks of the Novaky thermal power,  shut down on 1 January 2016 due to </w:t>
      </w:r>
      <w:r>
        <w:rPr>
          <w:rFonts w:asciiTheme="minorHAnsi" w:hAnsiTheme="minorHAnsi"/>
          <w:sz w:val="16"/>
          <w:szCs w:val="16"/>
        </w:rPr>
        <w:t>the non-compliance with emission limits, has resumed service. The production of electricity from domestically produced lignite from Novaky´s mine is heavily subsidised in Slovakia (cca 100 mil. annually paid by electricity consumers in form of feed-in tari</w:t>
      </w:r>
      <w:r>
        <w:rPr>
          <w:rFonts w:asciiTheme="minorHAnsi" w:hAnsiTheme="minorHAnsi"/>
          <w:sz w:val="16"/>
          <w:szCs w:val="16"/>
        </w:rPr>
        <w:t>ff) while being the second biggest emitter of GHG in Slovakia.</w:t>
      </w:r>
    </w:p>
  </w:footnote>
  <w:footnote w:id="82">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Eunomia Research and Consulting, IEEP, Aarhus University, ENT, 2016. </w:t>
      </w:r>
      <w:hyperlink r:id="rId52" w:history="1">
        <w:r>
          <w:rPr>
            <w:rStyle w:val="Hyperlink"/>
            <w:rFonts w:asciiTheme="minorHAnsi" w:hAnsiTheme="minorHAnsi" w:cstheme="minorHAnsi"/>
            <w:sz w:val="16"/>
            <w:szCs w:val="16"/>
          </w:rPr>
          <w:t>Study on Assessing the Environmental Fiscal Reform Potential for the EU28</w:t>
        </w:r>
      </w:hyperlink>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N.B. National governments are responsible for setting tax rates within the EU Single Market rules and this report is not suggesting concrete changes as to the level of envir</w:t>
      </w:r>
      <w:r>
        <w:rPr>
          <w:rStyle w:val="Hyperlink"/>
          <w:rFonts w:asciiTheme="minorHAnsi" w:hAnsiTheme="minorHAnsi" w:cstheme="minorHAnsi"/>
          <w:color w:val="auto"/>
          <w:sz w:val="16"/>
          <w:szCs w:val="16"/>
          <w:u w:val="none"/>
        </w:rPr>
        <w:t xml:space="preserve">onmental taxation. It merely presents the findings of the 2016 study by Eunomia </w:t>
      </w:r>
      <w:r>
        <w:rPr>
          <w:rStyle w:val="Hyperlink"/>
          <w:rFonts w:asciiTheme="minorHAnsi" w:hAnsiTheme="minorHAnsi" w:cstheme="minorHAnsi"/>
          <w:i/>
          <w:color w:val="auto"/>
          <w:sz w:val="16"/>
          <w:szCs w:val="16"/>
          <w:u w:val="none"/>
        </w:rPr>
        <w:t>et al</w:t>
      </w:r>
      <w:r>
        <w:rPr>
          <w:rStyle w:val="Hyperlink"/>
          <w:rFonts w:asciiTheme="minorHAnsi" w:hAnsiTheme="minorHAnsi" w:cstheme="minorHAnsi"/>
          <w:color w:val="auto"/>
          <w:sz w:val="16"/>
          <w:szCs w:val="16"/>
          <w:u w:val="none"/>
        </w:rPr>
        <w:t xml:space="preserve"> on the potential benefits various environmental taxes could bring. It is then for the national authorities to assess this study and their concrete impacts in the national</w:t>
      </w:r>
      <w:r>
        <w:rPr>
          <w:rStyle w:val="Hyperlink"/>
          <w:rFonts w:asciiTheme="minorHAnsi" w:hAnsiTheme="minorHAnsi" w:cstheme="minorHAnsi"/>
          <w:color w:val="auto"/>
          <w:sz w:val="16"/>
          <w:szCs w:val="16"/>
          <w:u w:val="none"/>
        </w:rPr>
        <w:t xml:space="preserve"> context. A first step in this respect, already done by a number of Member States, is to set up expert groups to assess these and make specific proposals.</w:t>
      </w:r>
      <w:r>
        <w:rPr>
          <w:rFonts w:asciiTheme="minorHAnsi" w:hAnsiTheme="minorHAnsi"/>
          <w:sz w:val="16"/>
          <w:szCs w:val="16"/>
        </w:rPr>
        <w:t xml:space="preserve"> </w:t>
      </w:r>
      <w:hyperlink w:history="1"/>
    </w:p>
  </w:footnote>
  <w:footnote w:id="83">
    <w:p w:rsidR="00C571F7" w:rsidRDefault="00884FC2">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good practice scenario means benchmarking to a successful taxation practice in another Member State. </w:t>
      </w:r>
    </w:p>
  </w:footnote>
  <w:footnote w:id="84">
    <w:p w:rsidR="00C571F7" w:rsidRDefault="00884FC2">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r>
        <w:rPr>
          <w:rFonts w:asciiTheme="minorHAnsi" w:hAnsiTheme="minorHAnsi"/>
          <w:sz w:val="16"/>
          <w:szCs w:val="16"/>
          <w:lang w:val="fr-FR"/>
        </w:rPr>
        <w:t xml:space="preserve">Eurostat, </w:t>
      </w:r>
      <w:hyperlink r:id="rId53" w:history="1">
        <w:r>
          <w:rPr>
            <w:rStyle w:val="Hyperlink"/>
            <w:rFonts w:asciiTheme="minorHAnsi" w:hAnsiTheme="minorHAnsi"/>
            <w:sz w:val="16"/>
            <w:szCs w:val="16"/>
            <w:lang w:val="fr-FR"/>
          </w:rPr>
          <w:t>Environmental tax revenues</w:t>
        </w:r>
      </w:hyperlink>
      <w:r>
        <w:rPr>
          <w:rFonts w:asciiTheme="minorHAnsi" w:hAnsiTheme="minorHAnsi"/>
          <w:sz w:val="16"/>
          <w:szCs w:val="16"/>
          <w:lang w:val="fr-FR"/>
        </w:rPr>
        <w:t>, accessed October</w:t>
      </w:r>
      <w:r>
        <w:rPr>
          <w:rFonts w:asciiTheme="minorHAnsi" w:hAnsiTheme="minorHAnsi"/>
          <w:sz w:val="16"/>
          <w:szCs w:val="16"/>
          <w:lang w:val="fr-BE"/>
        </w:rPr>
        <w:t xml:space="preserve"> 2016</w:t>
      </w:r>
    </w:p>
  </w:footnote>
  <w:footnote w:id="85">
    <w:p w:rsidR="00C571F7" w:rsidRDefault="00884FC2">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European Commission, 2015. </w:t>
      </w:r>
      <w:hyperlink r:id="rId54" w:history="1">
        <w:r>
          <w:rPr>
            <w:rStyle w:val="Hyperlink"/>
            <w:rFonts w:asciiTheme="minorHAnsi" w:hAnsiTheme="minorHAnsi"/>
            <w:sz w:val="16"/>
            <w:szCs w:val="16"/>
            <w:lang w:val="fr-BE"/>
          </w:rPr>
          <w:t>Public pro</w:t>
        </w:r>
        <w:r>
          <w:rPr>
            <w:rStyle w:val="Hyperlink"/>
            <w:rFonts w:asciiTheme="minorHAnsi" w:hAnsiTheme="minorHAnsi"/>
            <w:sz w:val="16"/>
            <w:szCs w:val="16"/>
            <w:lang w:val="fr-BE"/>
          </w:rPr>
          <w:t>curement</w:t>
        </w:r>
      </w:hyperlink>
    </w:p>
  </w:footnote>
  <w:footnote w:id="86">
    <w:p w:rsidR="00C571F7" w:rsidRDefault="00884FC2">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European Commission, 2015. </w:t>
      </w:r>
      <w:hyperlink r:id="rId55" w:history="1">
        <w:r>
          <w:rPr>
            <w:rStyle w:val="Hyperlink"/>
            <w:rFonts w:asciiTheme="minorHAnsi" w:hAnsiTheme="minorHAnsi"/>
            <w:sz w:val="16"/>
            <w:szCs w:val="16"/>
            <w:lang w:val="fr-BE"/>
          </w:rPr>
          <w:t>Documentation on National GPP Action Plans</w:t>
        </w:r>
      </w:hyperlink>
    </w:p>
  </w:footnote>
  <w:footnote w:id="87">
    <w:p w:rsidR="00C571F7" w:rsidRDefault="00884FC2">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56" w:history="1">
        <w:r>
          <w:rPr>
            <w:rStyle w:val="Hyperlink"/>
            <w:sz w:val="16"/>
            <w:szCs w:val="16"/>
            <w:lang w:val="en"/>
          </w:rPr>
          <w:t>(COM /2008/400)</w:t>
        </w:r>
      </w:hyperlink>
      <w:r>
        <w:rPr>
          <w:sz w:val="16"/>
          <w:szCs w:val="16"/>
          <w:lang w:val="en"/>
        </w:rPr>
        <w:t xml:space="preserve"> the Commission recommended the creation of a process for setting common GPP criteria. The</w:t>
      </w:r>
      <w:r>
        <w:rPr>
          <w:sz w:val="16"/>
          <w:szCs w:val="16"/>
          <w:lang w:val="en"/>
        </w:rPr>
        <w:t xml:space="preserve"> basic concept of GPP relies on having clear, verifiable, justifiable and ambitious environmental criteria for products and services, based on a life-cycle approach and scientific evidence base.</w:t>
      </w:r>
    </w:p>
  </w:footnote>
  <w:footnote w:id="88">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PwC (2015), Final report "Strategic use of public procureme</w:t>
      </w:r>
      <w:r>
        <w:rPr>
          <w:rFonts w:asciiTheme="minorHAnsi" w:hAnsiTheme="minorHAnsi"/>
          <w:sz w:val="16"/>
          <w:szCs w:val="16"/>
        </w:rPr>
        <w:t>nt in promoting green, social and innovative policies</w:t>
      </w:r>
    </w:p>
  </w:footnote>
  <w:footnote w:id="89">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57" w:history="1">
        <w:r>
          <w:rPr>
            <w:rStyle w:val="Hyperlink"/>
            <w:rFonts w:asciiTheme="minorHAnsi" w:hAnsiTheme="minorHAnsi"/>
            <w:sz w:val="16"/>
            <w:szCs w:val="16"/>
          </w:rPr>
          <w:t>Documentation on National GPP Action Plans</w:t>
        </w:r>
      </w:hyperlink>
    </w:p>
  </w:footnote>
  <w:footnote w:id="90">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PwC (2015), Final report "Strategic use of public procurement in promoting green, social and innovative policies</w:t>
      </w:r>
    </w:p>
  </w:footnote>
  <w:footnote w:id="91">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CEPS (2012), “Monitoring the Uptake of GPP in the EU” In 2010, green tenders represented 10% of the sample in terms of number of contracts, </w:t>
      </w:r>
      <w:r>
        <w:rPr>
          <w:rFonts w:asciiTheme="minorHAnsi" w:hAnsiTheme="minorHAnsi"/>
          <w:sz w:val="16"/>
          <w:szCs w:val="16"/>
        </w:rPr>
        <w:t>and 51% in terms of monetary value. In 2009, green tenders represented 11% of the sample in terms of number of contracts, and 28% in terms of monetary value</w:t>
      </w:r>
    </w:p>
  </w:footnote>
  <w:footnote w:id="92">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Style w:val="Emphasis"/>
          <w:rFonts w:asciiTheme="minorHAnsi" w:hAnsiTheme="minorHAnsi"/>
          <w:sz w:val="16"/>
          <w:szCs w:val="16"/>
        </w:rPr>
        <w:t xml:space="preserve"> </w:t>
      </w:r>
      <w:r>
        <w:rPr>
          <w:rFonts w:asciiTheme="minorHAnsi" w:hAnsiTheme="minorHAnsi"/>
          <w:sz w:val="16"/>
          <w:szCs w:val="16"/>
        </w:rPr>
        <w:t>The results from 2015 reached 20,7% green tenders from all tendering procedures in terms of numbe</w:t>
      </w:r>
      <w:r>
        <w:rPr>
          <w:rFonts w:asciiTheme="minorHAnsi" w:hAnsiTheme="minorHAnsi"/>
          <w:sz w:val="16"/>
          <w:szCs w:val="16"/>
        </w:rPr>
        <w:t xml:space="preserve">r of contracts and 25,8% in terms of monetary value. </w:t>
      </w:r>
    </w:p>
  </w:footnote>
  <w:footnote w:id="93">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2014-2020 comprises five funds – the European Regional Development Funds (ERDF), the Cohesion Fund (CF), the European Social Fund (ESF), the European Agricultural Fund for Rural Development (EAFR</w:t>
      </w:r>
      <w:r>
        <w:rPr>
          <w:rFonts w:asciiTheme="minorHAnsi" w:hAnsiTheme="minorHAnsi"/>
          <w:sz w:val="16"/>
          <w:szCs w:val="16"/>
        </w:rPr>
        <w:t>D), and the European Maritime and Fisheries Fund (EMFF). The ERDF, the CF and the ESF together form the Cohesion Policy funds.</w:t>
      </w:r>
    </w:p>
  </w:footnote>
  <w:footnote w:id="94">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58" w:history="1">
        <w:r>
          <w:rPr>
            <w:rStyle w:val="Hyperlink"/>
            <w:rFonts w:asciiTheme="minorHAnsi" w:hAnsiTheme="minorHAnsi"/>
            <w:sz w:val="16"/>
            <w:szCs w:val="16"/>
            <w:lang w:val="en"/>
          </w:rPr>
          <w:t>European Fund for Strategic Investments</w:t>
        </w:r>
      </w:hyperlink>
    </w:p>
  </w:footnote>
  <w:footnote w:id="95">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Sources:</w:t>
      </w:r>
    </w:p>
    <w:p w:rsidR="00C571F7" w:rsidRDefault="00884FC2">
      <w:pPr>
        <w:pStyle w:val="FootnoteText"/>
        <w:ind w:left="170" w:hanging="170"/>
        <w:rPr>
          <w:rFonts w:asciiTheme="minorHAnsi" w:hAnsiTheme="minorHAnsi"/>
          <w:sz w:val="16"/>
          <w:szCs w:val="16"/>
        </w:rPr>
      </w:pPr>
      <w:hyperlink r:id="rId59" w:history="1">
        <w:r>
          <w:rPr>
            <w:rStyle w:val="Hyperlink"/>
            <w:rFonts w:asciiTheme="minorHAnsi" w:hAnsiTheme="minorHAnsi"/>
            <w:sz w:val="16"/>
            <w:szCs w:val="16"/>
          </w:rPr>
          <w:t>ERDF/CF/ESF in 2007-2013</w:t>
        </w:r>
      </w:hyperlink>
    </w:p>
    <w:p w:rsidR="00C571F7" w:rsidRDefault="00884FC2">
      <w:pPr>
        <w:pStyle w:val="FootnoteText"/>
        <w:ind w:left="170" w:hanging="170"/>
        <w:rPr>
          <w:rFonts w:asciiTheme="minorHAnsi" w:hAnsiTheme="minorHAnsi"/>
          <w:sz w:val="16"/>
          <w:szCs w:val="16"/>
        </w:rPr>
      </w:pPr>
      <w:hyperlink r:id="rId60" w:history="1">
        <w:r>
          <w:rPr>
            <w:rStyle w:val="Hyperlink"/>
            <w:rFonts w:asciiTheme="minorHAnsi" w:hAnsiTheme="minorHAnsi"/>
            <w:sz w:val="16"/>
            <w:szCs w:val="16"/>
          </w:rPr>
          <w:t>EAFRD in 2007-2013</w:t>
        </w:r>
      </w:hyperlink>
    </w:p>
    <w:p w:rsidR="00C571F7" w:rsidRDefault="00884FC2">
      <w:pPr>
        <w:pStyle w:val="FootnoteText"/>
        <w:ind w:left="170" w:hanging="170"/>
        <w:rPr>
          <w:rFonts w:asciiTheme="minorHAnsi" w:hAnsiTheme="minorHAnsi"/>
          <w:sz w:val="16"/>
          <w:szCs w:val="16"/>
        </w:rPr>
      </w:pPr>
      <w:hyperlink r:id="rId61" w:history="1">
        <w:r>
          <w:rPr>
            <w:rStyle w:val="Hyperlink"/>
            <w:rFonts w:asciiTheme="minorHAnsi" w:hAnsiTheme="minorHAnsi"/>
            <w:sz w:val="16"/>
            <w:szCs w:val="16"/>
          </w:rPr>
          <w:t>EMFF in 2007-2013</w:t>
        </w:r>
      </w:hyperlink>
    </w:p>
    <w:p w:rsidR="00C571F7" w:rsidRDefault="00884FC2">
      <w:pPr>
        <w:pStyle w:val="FootnoteText"/>
        <w:ind w:left="170" w:hanging="170"/>
        <w:rPr>
          <w:rFonts w:asciiTheme="minorHAnsi" w:hAnsiTheme="minorHAnsi"/>
          <w:sz w:val="16"/>
          <w:szCs w:val="16"/>
          <w:highlight w:val="yellow"/>
        </w:rPr>
      </w:pPr>
      <w:hyperlink r:id="rId62" w:history="1">
        <w:r>
          <w:rPr>
            <w:rStyle w:val="Hyperlink"/>
            <w:rFonts w:asciiTheme="minorHAnsi" w:hAnsiTheme="minorHAnsi"/>
            <w:sz w:val="16"/>
            <w:szCs w:val="16"/>
          </w:rPr>
          <w:t>ERDF/CF</w:t>
        </w:r>
        <w:r>
          <w:rPr>
            <w:rStyle w:val="Hyperlink"/>
            <w:rFonts w:asciiTheme="minorHAnsi" w:hAnsiTheme="minorHAnsi"/>
            <w:sz w:val="16"/>
            <w:szCs w:val="16"/>
          </w:rPr>
          <w:t>/ESF/ EAFRD/EMFF in 2014-2020</w:t>
        </w:r>
      </w:hyperlink>
    </w:p>
  </w:footnote>
  <w:footnote w:id="96">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Final data for the period 2007-2013 will only be available at the end of 2017.  </w:t>
      </w:r>
    </w:p>
  </w:footnote>
  <w:footnote w:id="97">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63" w:history="1">
        <w:r>
          <w:rPr>
            <w:rStyle w:val="Hyperlink"/>
            <w:rFonts w:asciiTheme="minorHAnsi" w:hAnsiTheme="minorHAnsi"/>
            <w:sz w:val="16"/>
            <w:szCs w:val="16"/>
          </w:rPr>
          <w:t>European Structural and Investment Funds Data By Country</w:t>
        </w:r>
      </w:hyperlink>
    </w:p>
  </w:footnote>
  <w:footnote w:id="98">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w:t>
      </w:r>
      <w:r>
        <w:rPr>
          <w:rFonts w:asciiTheme="minorHAnsi" w:hAnsiTheme="minorHAnsi"/>
          <w:sz w:val="16"/>
          <w:szCs w:val="16"/>
        </w:rPr>
        <w:t>ay 2015</w:t>
      </w:r>
    </w:p>
  </w:footnote>
  <w:footnote w:id="99">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 xml:space="preserve">Special report no 24/2014: </w:t>
      </w:r>
      <w:hyperlink r:id="rId64" w:history="1">
        <w:r>
          <w:rPr>
            <w:rStyle w:val="Hyperlink"/>
            <w:rFonts w:asciiTheme="minorHAnsi" w:hAnsiTheme="minorHAnsi"/>
            <w:sz w:val="16"/>
            <w:szCs w:val="16"/>
            <w:lang w:val="en"/>
          </w:rPr>
          <w:t>Is EU support for preventing and restoring damage to forests caused by fire and natural disasters well managed?</w:t>
        </w:r>
      </w:hyperlink>
      <w:r>
        <w:rPr>
          <w:rFonts w:asciiTheme="minorHAnsi" w:hAnsiTheme="minorHAnsi"/>
          <w:sz w:val="16"/>
          <w:szCs w:val="16"/>
          <w:lang w:val="en"/>
        </w:rPr>
        <w:t xml:space="preserve"> </w:t>
      </w:r>
    </w:p>
  </w:footnote>
  <w:footnote w:id="100">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the purpose of greening implementation (Regulation (EU) 1307/2013) in 2015 Slovakia made it possible to use 10 as ecological focus areas (EFA), out of possible 19 elements. Neither use of fertilisers, nor use of plant protection products is allowed fo</w:t>
      </w:r>
      <w:r>
        <w:rPr>
          <w:rFonts w:asciiTheme="minorHAnsi" w:hAnsiTheme="minorHAnsi"/>
          <w:sz w:val="16"/>
          <w:szCs w:val="16"/>
        </w:rPr>
        <w:t>r EFA short rotation coppice. Soybean is eligible as EFA nitrogen fixing crop (thought there is divergence of views on its biodiversity benefits). 100% of Natura 2000 grasslands were designated as environmentally sensitive, 0 ha designated outside Natura 2</w:t>
      </w:r>
      <w:r>
        <w:rPr>
          <w:rFonts w:asciiTheme="minorHAnsi" w:hAnsiTheme="minorHAnsi"/>
          <w:sz w:val="16"/>
          <w:szCs w:val="16"/>
        </w:rPr>
        <w:t>000.</w:t>
      </w:r>
    </w:p>
  </w:footnote>
  <w:footnote w:id="101">
    <w:p w:rsidR="00C571F7" w:rsidRDefault="00884FC2">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102">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corruption level and its trend, including the public administration, is of concern in Slova</w:t>
      </w:r>
      <w:r>
        <w:rPr>
          <w:rFonts w:asciiTheme="minorHAnsi" w:hAnsiTheme="minorHAnsi"/>
          <w:sz w:val="16"/>
          <w:szCs w:val="16"/>
        </w:rPr>
        <w:t xml:space="preserve">kia as highlighted by the </w:t>
      </w:r>
      <w:hyperlink r:id="rId65" w:history="1">
        <w:r>
          <w:rPr>
            <w:rStyle w:val="Hyperlink"/>
            <w:rFonts w:asciiTheme="minorHAnsi" w:hAnsiTheme="minorHAnsi"/>
            <w:sz w:val="16"/>
            <w:szCs w:val="16"/>
          </w:rPr>
          <w:t>EU Semester</w:t>
        </w:r>
      </w:hyperlink>
      <w:r>
        <w:rPr>
          <w:rFonts w:asciiTheme="minorHAnsi" w:hAnsiTheme="minorHAnsi"/>
          <w:sz w:val="16"/>
          <w:szCs w:val="16"/>
        </w:rPr>
        <w:t xml:space="preserve"> - Country Specific Recommendations </w:t>
      </w:r>
      <w:hyperlink r:id="rId66" w:history="1">
        <w:r>
          <w:rPr>
            <w:rStyle w:val="Hyperlink"/>
            <w:rFonts w:asciiTheme="minorHAnsi" w:hAnsiTheme="minorHAnsi"/>
            <w:sz w:val="16"/>
            <w:szCs w:val="16"/>
          </w:rPr>
          <w:t>2014</w:t>
        </w:r>
      </w:hyperlink>
      <w:r>
        <w:rPr>
          <w:rFonts w:asciiTheme="minorHAnsi" w:hAnsiTheme="minorHAnsi"/>
          <w:sz w:val="16"/>
          <w:szCs w:val="16"/>
        </w:rPr>
        <w:t xml:space="preserve"> and </w:t>
      </w:r>
      <w:hyperlink r:id="rId67" w:history="1">
        <w:r>
          <w:rPr>
            <w:rStyle w:val="Hyperlink"/>
            <w:rFonts w:asciiTheme="minorHAnsi" w:hAnsiTheme="minorHAnsi"/>
            <w:sz w:val="16"/>
            <w:szCs w:val="16"/>
          </w:rPr>
          <w:t>2015</w:t>
        </w:r>
      </w:hyperlink>
      <w:r>
        <w:rPr>
          <w:rFonts w:asciiTheme="minorHAnsi" w:hAnsiTheme="minorHAnsi"/>
          <w:sz w:val="16"/>
          <w:szCs w:val="16"/>
        </w:rPr>
        <w:t xml:space="preserve"> and  </w:t>
      </w:r>
      <w:hyperlink r:id="rId68" w:history="1">
        <w:r>
          <w:rPr>
            <w:rStyle w:val="Hyperlink"/>
            <w:rFonts w:asciiTheme="minorHAnsi" w:hAnsiTheme="minorHAnsi"/>
            <w:sz w:val="16"/>
            <w:szCs w:val="16"/>
          </w:rPr>
          <w:t>The 2016 EU Justice Scoreboard</w:t>
        </w:r>
      </w:hyperlink>
      <w:r>
        <w:rPr>
          <w:rFonts w:asciiTheme="minorHAnsi" w:hAnsiTheme="minorHAnsi"/>
          <w:sz w:val="16"/>
          <w:szCs w:val="16"/>
        </w:rPr>
        <w:t xml:space="preserve">. </w:t>
      </w:r>
    </w:p>
  </w:footnote>
  <w:footnote w:id="103">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9" w:history="1">
        <w:r>
          <w:rPr>
            <w:rStyle w:val="Hyperlink"/>
            <w:rFonts w:asciiTheme="minorHAnsi" w:hAnsiTheme="minorHAnsi"/>
            <w:sz w:val="16"/>
            <w:szCs w:val="16"/>
          </w:rPr>
          <w:t>http://www.minzp.sk/dokumenty/strategicke-dokumenty/</w:t>
        </w:r>
      </w:hyperlink>
      <w:r>
        <w:rPr>
          <w:rFonts w:asciiTheme="minorHAnsi" w:hAnsiTheme="minorHAnsi"/>
          <w:sz w:val="16"/>
          <w:szCs w:val="16"/>
        </w:rPr>
        <w:t xml:space="preserve"> </w:t>
      </w:r>
    </w:p>
  </w:footnote>
  <w:footnote w:id="104">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Bidi"/>
          <w:color w:val="000000" w:themeColor="text1"/>
          <w:sz w:val="16"/>
          <w:szCs w:val="16"/>
        </w:rPr>
        <w:t xml:space="preserve">The transposition of Directive 2014/52/EU is due in May 2017 </w:t>
      </w:r>
    </w:p>
  </w:footnote>
  <w:footnote w:id="105">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Commission notice — </w:t>
      </w:r>
      <w:hyperlink r:id="rId70"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w:t>
      </w:r>
      <w:r>
        <w:rPr>
          <w:rStyle w:val="Hyperlink"/>
          <w:rFonts w:asciiTheme="minorHAnsi" w:hAnsiTheme="minorHAnsi"/>
          <w:sz w:val="16"/>
          <w:szCs w:val="16"/>
          <w:u w:val="none"/>
        </w:rPr>
        <w:t>(D</w:t>
      </w:r>
      <w:r>
        <w:rPr>
          <w:rFonts w:asciiTheme="minorHAnsi" w:hAnsiTheme="minorHAnsi"/>
          <w:sz w:val="16"/>
          <w:szCs w:val="16"/>
        </w:rPr>
        <w:t xml:space="preserve">irective 2011/92/EU of the European Parliament and of the Council, </w:t>
      </w:r>
      <w:r>
        <w:rPr>
          <w:rFonts w:asciiTheme="minorHAnsi" w:hAnsiTheme="minorHAnsi"/>
          <w:sz w:val="16"/>
          <w:szCs w:val="16"/>
        </w:rPr>
        <w:t>as amended by Directive 2014/52/EU).</w:t>
      </w:r>
    </w:p>
  </w:footnote>
  <w:footnote w:id="106">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[forthcoming 2016]</w:t>
      </w:r>
    </w:p>
  </w:footnote>
  <w:footnote w:id="107">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Directive 2008/99/EC of The European Parliament and of the Council of 19 November 2008 on the protection of the environment through criminal law. </w:t>
      </w:r>
    </w:p>
  </w:footnote>
  <w:footnote w:id="108">
    <w:p w:rsidR="00C571F7" w:rsidRDefault="00884FC2">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1" w:history="1">
        <w:r>
          <w:rPr>
            <w:rStyle w:val="Hyperlink"/>
            <w:rFonts w:asciiTheme="minorHAnsi" w:hAnsiTheme="minorHAnsi"/>
            <w:sz w:val="16"/>
            <w:szCs w:val="16"/>
          </w:rPr>
          <w:t>European Union Network for the Implementation and Enforcement of Environmental Law</w:t>
        </w:r>
      </w:hyperlink>
    </w:p>
  </w:footnote>
  <w:footnote w:id="109">
    <w:p w:rsidR="00C571F7" w:rsidRDefault="00884FC2">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2" w:history="1">
        <w:r>
          <w:rPr>
            <w:rStyle w:val="Hyperlink"/>
            <w:rFonts w:asciiTheme="minorHAnsi" w:hAnsiTheme="minorHAnsi"/>
            <w:sz w:val="16"/>
            <w:szCs w:val="16"/>
          </w:rPr>
          <w:t>European Union Forum of judges for the environment</w:t>
        </w:r>
      </w:hyperlink>
      <w:r>
        <w:rPr>
          <w:rFonts w:asciiTheme="minorHAnsi" w:hAnsiTheme="minorHAnsi"/>
          <w:sz w:val="16"/>
          <w:szCs w:val="16"/>
        </w:rPr>
        <w:t xml:space="preserve"> </w:t>
      </w:r>
    </w:p>
  </w:footnote>
  <w:footnote w:id="110">
    <w:p w:rsidR="00C571F7" w:rsidRDefault="00884FC2">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3" w:history="1">
        <w:r>
          <w:rPr>
            <w:rStyle w:val="Hyperlink"/>
            <w:rFonts w:asciiTheme="minorHAnsi" w:hAnsiTheme="minorHAnsi"/>
            <w:sz w:val="16"/>
            <w:szCs w:val="16"/>
          </w:rPr>
          <w:t>The European Network of Prosecutors for the Environment</w:t>
        </w:r>
      </w:hyperlink>
      <w:r>
        <w:rPr>
          <w:rFonts w:asciiTheme="minorHAnsi" w:hAnsiTheme="minorHAnsi"/>
          <w:sz w:val="16"/>
          <w:szCs w:val="16"/>
        </w:rPr>
        <w:t xml:space="preserve"> </w:t>
      </w:r>
    </w:p>
  </w:footnote>
  <w:footnote w:id="111">
    <w:p w:rsidR="00C571F7" w:rsidRDefault="00884FC2">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4" w:history="1">
        <w:r>
          <w:rPr>
            <w:rStyle w:val="Hyperlink"/>
            <w:rFonts w:asciiTheme="minorHAnsi" w:hAnsiTheme="minorHAnsi"/>
            <w:sz w:val="16"/>
            <w:szCs w:val="16"/>
          </w:rPr>
          <w:t>EnviCrimeNet</w:t>
        </w:r>
      </w:hyperlink>
      <w:r>
        <w:rPr>
          <w:rFonts w:asciiTheme="minorHAnsi" w:hAnsiTheme="minorHAnsi"/>
          <w:sz w:val="16"/>
          <w:szCs w:val="16"/>
        </w:rPr>
        <w:t xml:space="preserve"> </w:t>
      </w:r>
    </w:p>
  </w:footnote>
  <w:footnote w:id="112">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5" w:history="1">
        <w:r>
          <w:rPr>
            <w:rStyle w:val="Hyperlink"/>
            <w:rFonts w:asciiTheme="minorHAnsi" w:hAnsiTheme="minorHAnsi"/>
            <w:sz w:val="16"/>
            <w:szCs w:val="16"/>
          </w:rPr>
          <w:t>Environmental Liability Direc</w:t>
        </w:r>
        <w:r>
          <w:rPr>
            <w:rStyle w:val="Hyperlink"/>
            <w:rFonts w:asciiTheme="minorHAnsi" w:hAnsiTheme="minorHAnsi"/>
            <w:sz w:val="16"/>
            <w:szCs w:val="16"/>
          </w:rPr>
          <w:t>tive 2004/35/CE</w:t>
        </w:r>
      </w:hyperlink>
      <w:r>
        <w:rPr>
          <w:rStyle w:val="Hyperlink"/>
          <w:rFonts w:asciiTheme="minorHAnsi" w:hAnsiTheme="minorHAnsi"/>
          <w:sz w:val="16"/>
          <w:szCs w:val="16"/>
        </w:rPr>
        <w:t xml:space="preserve"> </w:t>
      </w:r>
      <w:r>
        <w:rPr>
          <w:rFonts w:asciiTheme="minorHAnsi" w:hAnsiTheme="minorHAnsi"/>
          <w:sz w:val="16"/>
          <w:szCs w:val="16"/>
        </w:rPr>
        <w:t>and remedying of environmental damage (OJ L 143, 30.4.2004, p.56)</w:t>
      </w:r>
    </w:p>
  </w:footnote>
  <w:footnote w:id="113">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COM(2016) 204 final and COM(2016) 121 final of 14.4.2016. This highlighted the need for better evidence on how the directive is used in practice; for tools to support its i</w:t>
      </w:r>
      <w:r>
        <w:rPr>
          <w:rFonts w:asciiTheme="minorHAnsi" w:hAnsiTheme="minorHAnsi"/>
          <w:sz w:val="16"/>
          <w:szCs w:val="16"/>
        </w:rPr>
        <w:t>mplementation, such as guidance, training and ELD registers; and for financial security to be available in case events or incidents generate remediation costs.</w:t>
      </w:r>
    </w:p>
  </w:footnote>
  <w:footnote w:id="114">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Study on 'Assessment and summary of the Member States' implementation reports for the IED, IPP</w:t>
      </w:r>
      <w:r>
        <w:rPr>
          <w:rFonts w:asciiTheme="minorHAnsi" w:hAnsiTheme="minorHAnsi"/>
          <w:sz w:val="16"/>
          <w:szCs w:val="16"/>
        </w:rPr>
        <w:t xml:space="preserve">CD, SED and WID. Industrial Emissions Directive, 2016, Amec Foster Wheeler Environment&amp;Infrastructure UK Ltd in collaboration with Milieu Ltd, p. 352f. </w:t>
      </w:r>
    </w:p>
  </w:footnote>
  <w:footnote w:id="115">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Court of Auditors, Special Report No 4, 2014, Integration of EU water policy objectives with</w:t>
      </w:r>
      <w:r>
        <w:rPr>
          <w:rFonts w:asciiTheme="minorHAnsi" w:hAnsiTheme="minorHAnsi"/>
          <w:sz w:val="16"/>
          <w:szCs w:val="16"/>
        </w:rPr>
        <w:t xml:space="preserve"> the CAP: a partial success, p. 31-35. </w:t>
      </w:r>
    </w:p>
  </w:footnote>
  <w:footnote w:id="116">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'Stocktaking of the main problems and review of national enforcement mechanisms for tackling illegal killing, trapping and trade of birds in the EU', BioIntelligence, 2012, p. 141. </w:t>
      </w:r>
    </w:p>
  </w:footnote>
  <w:footnote w:id="117">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for instance in relation t</w:t>
      </w:r>
      <w:r>
        <w:rPr>
          <w:rFonts w:asciiTheme="minorHAnsi" w:hAnsiTheme="minorHAnsi"/>
          <w:sz w:val="16"/>
          <w:szCs w:val="16"/>
        </w:rPr>
        <w:t xml:space="preserve">o illegal killing of birds 'Stocktaking of the main problems and review of national enforcement mechanisms for tackling illegal killing, trapping and trade of birds in the EU', BioIntelligence, 2012, p. 136f. </w:t>
      </w:r>
    </w:p>
  </w:footnote>
  <w:footnote w:id="118">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shd w:val="clear" w:color="auto" w:fill="FFFFFF" w:themeFill="background1"/>
        </w:rPr>
        <w:footnoteRef/>
      </w:r>
      <w:r>
        <w:rPr>
          <w:rFonts w:asciiTheme="minorHAnsi" w:hAnsiTheme="minorHAnsi"/>
          <w:sz w:val="16"/>
          <w:szCs w:val="16"/>
          <w:shd w:val="clear" w:color="auto" w:fill="FFFFFF" w:themeFill="background1"/>
        </w:rPr>
        <w:t xml:space="preserve"> The Slovak Environmental Inspectorate is run</w:t>
      </w:r>
      <w:r>
        <w:rPr>
          <w:rFonts w:asciiTheme="minorHAnsi" w:hAnsiTheme="minorHAnsi"/>
          <w:sz w:val="16"/>
          <w:szCs w:val="16"/>
          <w:shd w:val="clear" w:color="auto" w:fill="FFFFFF" w:themeFill="background1"/>
        </w:rPr>
        <w:t>ning inspections. However, according to SK authorities, for successful environmental compliance assurance a change in a complex system would be needed. The environmental prosecutors and judges are missing in the Slovak Republic.</w:t>
      </w:r>
    </w:p>
  </w:footnote>
  <w:footnote w:id="119">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Amendment 314/2014 to the EIA Act 100/2001 Coll. as applicable as of 01.01.2015 or amendment No. 408/2011 Coll. to Nature and Landscape protection Act No. 543/2002 Coll. as applicable as of 01/12/2011 and adoption of the Administrative Judicial Procedure </w:t>
      </w:r>
      <w:r>
        <w:rPr>
          <w:rFonts w:asciiTheme="minorHAnsi" w:hAnsiTheme="minorHAnsi"/>
          <w:sz w:val="16"/>
          <w:szCs w:val="16"/>
        </w:rPr>
        <w:t>Act  No. 162/2015 Coll. in force as of 01/07/2016</w:t>
      </w:r>
    </w:p>
  </w:footnote>
  <w:footnote w:id="120">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UNECE, 1998. </w:t>
      </w:r>
      <w:hyperlink r:id="rId76" w:history="1">
        <w:r>
          <w:rPr>
            <w:rStyle w:val="Hyperlink"/>
            <w:rFonts w:asciiTheme="minorHAnsi" w:hAnsiTheme="minorHAnsi"/>
            <w:sz w:val="16"/>
            <w:szCs w:val="16"/>
          </w:rPr>
          <w:t>Convention on Access to Information, Public Participation in Decision-Making and Access to Justice in Environmen</w:t>
        </w:r>
        <w:r>
          <w:rPr>
            <w:rStyle w:val="Hyperlink"/>
            <w:rFonts w:asciiTheme="minorHAnsi" w:hAnsiTheme="minorHAnsi"/>
            <w:sz w:val="16"/>
            <w:szCs w:val="16"/>
          </w:rPr>
          <w:t>tal Matters</w:t>
        </w:r>
      </w:hyperlink>
    </w:p>
  </w:footnote>
  <w:footnote w:id="121">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7" w:history="1">
        <w:r>
          <w:rPr>
            <w:rStyle w:val="Hyperlink"/>
            <w:rFonts w:asciiTheme="minorHAnsi" w:hAnsiTheme="minorHAnsi"/>
            <w:sz w:val="16"/>
            <w:szCs w:val="16"/>
          </w:rPr>
          <w:t>Directive 2003/4/EC on public access to environmental information</w:t>
        </w:r>
      </w:hyperlink>
    </w:p>
  </w:footnote>
  <w:footnote w:id="122">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8"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p>
  </w:footnote>
  <w:footnote w:id="123">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eGovernment Action Plan 2016-2020 - Accelerating the digital transformation of government </w:t>
      </w:r>
      <w:hyperlink r:id="rId79"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4">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0" w:history="1">
        <w:r>
          <w:rPr>
            <w:rStyle w:val="Hyperlink"/>
            <w:rFonts w:asciiTheme="minorHAnsi" w:hAnsiTheme="minorHAnsi"/>
            <w:sz w:val="16"/>
            <w:szCs w:val="16"/>
          </w:rPr>
          <w:t>INSPIRE reports</w:t>
        </w:r>
      </w:hyperlink>
    </w:p>
  </w:footnote>
  <w:footnote w:id="125">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1" w:history="1">
        <w:r>
          <w:rPr>
            <w:rStyle w:val="Hyperlink"/>
            <w:rFonts w:asciiTheme="minorHAnsi" w:hAnsiTheme="minorHAnsi"/>
            <w:sz w:val="16"/>
            <w:szCs w:val="16"/>
          </w:rPr>
          <w:t>Inspire indicator trends</w:t>
        </w:r>
      </w:hyperlink>
    </w:p>
  </w:footnote>
  <w:footnote w:id="126">
    <w:p w:rsidR="00C571F7" w:rsidRDefault="00884FC2">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2" w:history="1">
        <w:r>
          <w:rPr>
            <w:rStyle w:val="Hyperlink"/>
            <w:rFonts w:asciiTheme="minorHAnsi" w:hAnsiTheme="minorHAnsi"/>
            <w:sz w:val="16"/>
            <w:szCs w:val="16"/>
          </w:rPr>
          <w:t>Inspire Resources Summary Report</w:t>
        </w:r>
      </w:hyperlink>
    </w:p>
  </w:footnote>
  <w:footnote w:id="127">
    <w:p w:rsidR="00C571F7" w:rsidRDefault="00884FC2">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3" w:history="1">
        <w:r>
          <w:rPr>
            <w:rStyle w:val="Hyperlink"/>
            <w:rFonts w:asciiTheme="minorHAnsi" w:hAnsiTheme="minorHAnsi"/>
            <w:sz w:val="16"/>
            <w:szCs w:val="16"/>
          </w:rPr>
          <w:t>https://ies-svn.jrc.ec.europa.eu/attachments/download/1735/INSPIRE%20List%20of%20priority%20data%20sets%20%5BDOC10%5D.pdf</w:t>
        </w:r>
      </w:hyperlink>
    </w:p>
  </w:footnote>
  <w:footnote w:id="128">
    <w:p w:rsidR="00C571F7" w:rsidRDefault="00884FC2">
      <w:pPr>
        <w:pStyle w:val="FootnoteText"/>
        <w:ind w:left="170" w:hanging="170"/>
        <w:rPr>
          <w:rFonts w:asciiTheme="minorHAnsi" w:hAnsiTheme="minorHAnsi"/>
          <w:sz w:val="16"/>
          <w:szCs w:val="16"/>
          <w:highlight w:val="yellow"/>
        </w:rPr>
      </w:pPr>
      <w:r>
        <w:rPr>
          <w:rStyle w:val="FootnoteReference"/>
          <w:rFonts w:asciiTheme="minorHAnsi" w:hAnsiTheme="minorHAnsi"/>
          <w:sz w:val="16"/>
          <w:szCs w:val="16"/>
        </w:rPr>
        <w:footnoteRef/>
      </w:r>
      <w:hyperlink r:id="rId84" w:history="1">
        <w:r>
          <w:rPr>
            <w:rStyle w:val="Hyperlink"/>
            <w:rFonts w:asciiTheme="minorHAnsi" w:hAnsiTheme="minorHAnsi"/>
            <w:sz w:val="16"/>
            <w:szCs w:val="16"/>
          </w:rPr>
          <w:t>http://inspire.enviroportal.sk/Upload/documents/20160426_SK_INSPIRE_Action_Plan/SK_INSPIRE_Action_Plan_2016_2021_20160515.doc</w:t>
        </w:r>
      </w:hyperlink>
      <w:r>
        <w:rPr>
          <w:rFonts w:asciiTheme="minorHAnsi" w:hAnsiTheme="minorHAnsi"/>
          <w:sz w:val="16"/>
          <w:szCs w:val="16"/>
          <w:highlight w:val="yellow"/>
        </w:rPr>
        <w:t xml:space="preserve"> </w:t>
      </w:r>
    </w:p>
    <w:p w:rsidR="00C571F7" w:rsidRDefault="00C571F7">
      <w:pPr>
        <w:pStyle w:val="FootnoteText"/>
        <w:ind w:left="170" w:hanging="170"/>
        <w:rPr>
          <w:rFonts w:asciiTheme="minorHAnsi" w:hAnsiTheme="minorHAnsi"/>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C2" w:rsidRPr="00884FC2" w:rsidRDefault="00884FC2" w:rsidP="00884FC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6</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C2" w:rsidRPr="00884FC2" w:rsidRDefault="00884FC2" w:rsidP="00884FC2">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8</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12</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FC2" w:rsidRPr="00884FC2" w:rsidRDefault="00884FC2" w:rsidP="00884FC2">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13</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18</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26</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p w:rsidR="00C571F7" w:rsidRDefault="00C571F7"/>
  <w:p w:rsidR="00C571F7" w:rsidRDefault="00C571F7"/>
  <w:p w:rsidR="00C571F7" w:rsidRDefault="00C571F7"/>
  <w:p w:rsidR="00C571F7" w:rsidRDefault="00C571F7"/>
  <w:p w:rsidR="00C571F7" w:rsidRDefault="00C571F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884FC2">
    <w:pPr>
      <w:tabs>
        <w:tab w:val="left" w:pos="1899"/>
      </w:tabs>
    </w:pPr>
    <w:r>
      <w:tab/>
    </w:r>
  </w:p>
  <w:tbl>
    <w:tblPr>
      <w:tblW w:w="5000" w:type="pct"/>
      <w:tblInd w:w="1152" w:type="dxa"/>
      <w:tblLook w:val="01E0" w:firstRow="1" w:lastRow="1" w:firstColumn="1" w:lastColumn="1" w:noHBand="0" w:noVBand="0"/>
    </w:tblPr>
    <w:tblGrid>
      <w:gridCol w:w="88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27</w:t>
          </w:r>
          <w:r>
            <w:rPr>
              <w:rFonts w:cstheme="minorHAnsi"/>
              <w:b/>
              <w:bCs/>
              <w:color w:val="1F497D" w:themeColor="text2"/>
              <w:sz w:val="28"/>
            </w:rPr>
            <w:fldChar w:fldCharType="end"/>
          </w:r>
        </w:p>
      </w:tc>
    </w:tr>
  </w:tbl>
  <w:p w:rsidR="00C571F7" w:rsidRDefault="00C571F7">
    <w:pPr>
      <w:tabs>
        <w:tab w:val="left" w:pos="1899"/>
      </w:tabs>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C571F7" w:rsidRDefault="00C571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F7" w:rsidRDefault="00C571F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C571F7">
      <w:tc>
        <w:tcPr>
          <w:tcW w:w="0" w:type="auto"/>
          <w:tcBorders>
            <w:top w:val="nil"/>
            <w:left w:val="nil"/>
            <w:bottom w:val="nil"/>
            <w:right w:val="single" w:sz="6" w:space="0" w:color="000000" w:themeColor="text1"/>
          </w:tcBorders>
          <w:hideMark/>
        </w:tcPr>
        <w:p w:rsidR="00C571F7" w:rsidRDefault="00884FC2">
          <w:pPr>
            <w:pStyle w:val="Header"/>
            <w:spacing w:line="276" w:lineRule="auto"/>
            <w:jc w:val="right"/>
            <w:rPr>
              <w:rFonts w:cstheme="minorHAnsi"/>
              <w:b/>
              <w:bCs/>
              <w:color w:val="1F497D" w:themeColor="text2"/>
            </w:rPr>
          </w:pPr>
          <w:r>
            <w:rPr>
              <w:rFonts w:cstheme="minorHAnsi"/>
              <w:b/>
              <w:bCs/>
              <w:color w:val="1F497D" w:themeColor="text2"/>
            </w:rPr>
            <w:t>Slovakia</w:t>
          </w:r>
        </w:p>
      </w:tc>
      <w:tc>
        <w:tcPr>
          <w:tcW w:w="1152" w:type="dxa"/>
          <w:tcBorders>
            <w:top w:val="nil"/>
            <w:left w:val="single" w:sz="6" w:space="0" w:color="000000" w:themeColor="text1"/>
            <w:bottom w:val="nil"/>
            <w:right w:val="nil"/>
          </w:tcBorders>
          <w:hideMark/>
        </w:tcPr>
        <w:p w:rsidR="00C571F7" w:rsidRDefault="00884FC2">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C571F7" w:rsidRDefault="00C571F7">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C571F7">
      <w:tc>
        <w:tcPr>
          <w:tcW w:w="0" w:type="auto"/>
          <w:tcBorders>
            <w:top w:val="nil"/>
            <w:left w:val="nil"/>
            <w:bottom w:val="nil"/>
            <w:right w:val="single" w:sz="6" w:space="0" w:color="000000" w:themeColor="text1"/>
          </w:tcBorders>
        </w:tcPr>
        <w:p w:rsidR="00C571F7" w:rsidRDefault="00C571F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C571F7" w:rsidRDefault="00C571F7">
          <w:pPr>
            <w:pStyle w:val="Header"/>
            <w:spacing w:line="276" w:lineRule="auto"/>
            <w:rPr>
              <w:rFonts w:cstheme="minorHAnsi"/>
              <w:b/>
              <w:bCs/>
              <w:color w:val="1F497D" w:themeColor="text2"/>
            </w:rPr>
          </w:pPr>
        </w:p>
      </w:tc>
    </w:tr>
  </w:tbl>
  <w:p w:rsidR="00C571F7" w:rsidRDefault="00C571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2C1"/>
    <w:multiLevelType w:val="hybridMultilevel"/>
    <w:tmpl w:val="7374BC2C"/>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C217D29"/>
    <w:multiLevelType w:val="hybridMultilevel"/>
    <w:tmpl w:val="B4129D5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23F18"/>
    <w:multiLevelType w:val="hybridMultilevel"/>
    <w:tmpl w:val="7F3E04B0"/>
    <w:lvl w:ilvl="0" w:tplc="4B9615C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18C60F74"/>
    <w:multiLevelType w:val="hybridMultilevel"/>
    <w:tmpl w:val="07DCD226"/>
    <w:lvl w:ilvl="0" w:tplc="BA2CC4F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E95208"/>
    <w:multiLevelType w:val="hybridMultilevel"/>
    <w:tmpl w:val="68A28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0">
    <w:nsid w:val="2E2F7C1B"/>
    <w:multiLevelType w:val="hybridMultilevel"/>
    <w:tmpl w:val="F5BCF5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3FD2F89"/>
    <w:multiLevelType w:val="hybridMultilevel"/>
    <w:tmpl w:val="C3DAFA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4">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04025B9"/>
    <w:multiLevelType w:val="hybridMultilevel"/>
    <w:tmpl w:val="04FED79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93965C0"/>
    <w:multiLevelType w:val="hybridMultilevel"/>
    <w:tmpl w:val="856044A8"/>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04E1469"/>
    <w:multiLevelType w:val="hybridMultilevel"/>
    <w:tmpl w:val="5C3E2A82"/>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24261E6"/>
    <w:multiLevelType w:val="hybridMultilevel"/>
    <w:tmpl w:val="08866404"/>
    <w:lvl w:ilvl="0" w:tplc="49603DC8">
      <w:start w:val="1"/>
      <w:numFmt w:val="decimal"/>
      <w:pStyle w:val="Heading1"/>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7">
    <w:nsid w:val="59C51AD6"/>
    <w:multiLevelType w:val="hybridMultilevel"/>
    <w:tmpl w:val="7F30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4">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C6C115A"/>
    <w:multiLevelType w:val="hybridMultilevel"/>
    <w:tmpl w:val="7C2633EC"/>
    <w:lvl w:ilvl="0" w:tplc="D010999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4"/>
  </w:num>
  <w:num w:numId="2">
    <w:abstractNumId w:val="19"/>
  </w:num>
  <w:num w:numId="3">
    <w:abstractNumId w:val="32"/>
  </w:num>
  <w:num w:numId="4">
    <w:abstractNumId w:val="28"/>
  </w:num>
  <w:num w:numId="5">
    <w:abstractNumId w:val="17"/>
  </w:num>
  <w:num w:numId="6">
    <w:abstractNumId w:val="14"/>
  </w:num>
  <w:num w:numId="7">
    <w:abstractNumId w:val="35"/>
  </w:num>
  <w:num w:numId="8">
    <w:abstractNumId w:val="26"/>
  </w:num>
  <w:num w:numId="9">
    <w:abstractNumId w:val="13"/>
  </w:num>
  <w:num w:numId="10">
    <w:abstractNumId w:val="9"/>
  </w:num>
  <w:num w:numId="11">
    <w:abstractNumId w:val="5"/>
  </w:num>
  <w:num w:numId="12">
    <w:abstractNumId w:val="4"/>
  </w:num>
  <w:num w:numId="13">
    <w:abstractNumId w:val="29"/>
  </w:num>
  <w:num w:numId="14">
    <w:abstractNumId w:val="31"/>
  </w:num>
  <w:num w:numId="15">
    <w:abstractNumId w:val="30"/>
  </w:num>
  <w:num w:numId="16">
    <w:abstractNumId w:val="33"/>
  </w:num>
  <w:num w:numId="17">
    <w:abstractNumId w:val="8"/>
  </w:num>
  <w:num w:numId="18">
    <w:abstractNumId w:val="16"/>
  </w:num>
  <w:num w:numId="19">
    <w:abstractNumId w:val="20"/>
  </w:num>
  <w:num w:numId="20">
    <w:abstractNumId w:val="18"/>
  </w:num>
  <w:num w:numId="21">
    <w:abstractNumId w:val="1"/>
  </w:num>
  <w:num w:numId="22">
    <w:abstractNumId w:val="21"/>
  </w:num>
  <w:num w:numId="23">
    <w:abstractNumId w:val="22"/>
  </w:num>
  <w:num w:numId="24">
    <w:abstractNumId w:val="12"/>
  </w:num>
  <w:num w:numId="25">
    <w:abstractNumId w:val="15"/>
  </w:num>
  <w:num w:numId="26">
    <w:abstractNumId w:val="36"/>
  </w:num>
  <w:num w:numId="27">
    <w:abstractNumId w:val="2"/>
  </w:num>
  <w:num w:numId="28">
    <w:abstractNumId w:val="7"/>
  </w:num>
  <w:num w:numId="29">
    <w:abstractNumId w:val="10"/>
  </w:num>
  <w:num w:numId="30">
    <w:abstractNumId w:val="3"/>
  </w:num>
  <w:num w:numId="31">
    <w:abstractNumId w:val="3"/>
    <w:lvlOverride w:ilvl="0">
      <w:startOverride w:val="1"/>
    </w:lvlOverride>
  </w:num>
  <w:num w:numId="32">
    <w:abstractNumId w:val="11"/>
  </w:num>
  <w:num w:numId="33">
    <w:abstractNumId w:val="27"/>
  </w:num>
  <w:num w:numId="34">
    <w:abstractNumId w:val="24"/>
  </w:num>
  <w:num w:numId="35">
    <w:abstractNumId w:val="0"/>
  </w:num>
  <w:num w:numId="36">
    <w:abstractNumId w:val="23"/>
  </w:num>
  <w:num w:numId="37">
    <w:abstractNumId w:val="6"/>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7DC5FCE6790C4D77B2BD4886D31DB107"/>
    <w:docVar w:name="LW_CROSSREFERENCE" w:val="{COM(2017) 63 final}_x000a_{SWD(2017) 33 - 57 final}_x000a_{SWD(2017) 59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8"/>
    <w:docVar w:name="LW_REF.INTERNE" w:val="&lt;UNUSED&gt;"/>
    <w:docVar w:name="LW_SUPERTITRE" w:val="&lt;UNUSED&gt;"/>
    <w:docVar w:name="LW_TITRE.OBJ.CP" w:val="The EU Environmental Implementation Review _x000b_Country Report - SLOVAKIA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C571F7"/>
    <w:rsid w:val="00884FC2"/>
    <w:rsid w:val="00C57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38"/>
      </w:numPr>
      <w:spacing w:after="240" w:line="240" w:lineRule="auto"/>
      <w:jc w:val="center"/>
      <w:outlineLvl w:val="0"/>
    </w:pPr>
    <w:rPr>
      <w:rFonts w:ascii="Calibri" w:eastAsiaTheme="majorEastAsia"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heme="majorEastAsia"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aliases w:val="SA"/>
    <w:uiPriority w:val="1"/>
    <w:qFormat/>
    <w:pPr>
      <w:numPr>
        <w:numId w:val="3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1">
    <w:name w:val="Bullet 1"/>
    <w:basedOn w:val="Normal"/>
    <w:autoRedefine/>
    <w:pPr>
      <w:spacing w:after="120" w:line="240" w:lineRule="auto"/>
      <w:ind w:right="27"/>
      <w:jc w:val="both"/>
    </w:pPr>
    <w:rPr>
      <w:rFonts w:eastAsia="Times New Roman" w:cs="Times New Roman"/>
      <w:sz w:val="20"/>
      <w:szCs w:val="20"/>
      <w:lang w:bidi="en-US"/>
    </w:rPr>
  </w:style>
  <w:style w:type="character" w:customStyle="1" w:styleId="alt-edited">
    <w:name w:val="alt-edited"/>
    <w:basedOn w:val="DefaultParagraphFont"/>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38"/>
      </w:numPr>
      <w:spacing w:after="240" w:line="240" w:lineRule="auto"/>
      <w:jc w:val="center"/>
      <w:outlineLvl w:val="0"/>
    </w:pPr>
    <w:rPr>
      <w:rFonts w:ascii="Calibri" w:eastAsiaTheme="majorEastAsia"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heme="majorEastAsia"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aliases w:val="SA"/>
    <w:uiPriority w:val="1"/>
    <w:qFormat/>
    <w:pPr>
      <w:numPr>
        <w:numId w:val="3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ullet1">
    <w:name w:val="Bullet 1"/>
    <w:basedOn w:val="Normal"/>
    <w:autoRedefine/>
    <w:pPr>
      <w:spacing w:after="120" w:line="240" w:lineRule="auto"/>
      <w:ind w:right="27"/>
      <w:jc w:val="both"/>
    </w:pPr>
    <w:rPr>
      <w:rFonts w:eastAsia="Times New Roman" w:cs="Times New Roman"/>
      <w:sz w:val="20"/>
      <w:szCs w:val="20"/>
      <w:lang w:bidi="en-US"/>
    </w:rPr>
  </w:style>
  <w:style w:type="character" w:customStyle="1" w:styleId="alt-edited">
    <w:name w:val="alt-edited"/>
    <w:basedOn w:val="DefaultParagraphFont"/>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803953">
      <w:bodyDiv w:val="1"/>
      <w:marLeft w:val="0"/>
      <w:marRight w:val="0"/>
      <w:marTop w:val="0"/>
      <w:marBottom w:val="0"/>
      <w:divBdr>
        <w:top w:val="none" w:sz="0" w:space="0" w:color="auto"/>
        <w:left w:val="none" w:sz="0" w:space="0" w:color="auto"/>
        <w:bottom w:val="none" w:sz="0" w:space="0" w:color="auto"/>
        <w:right w:val="none" w:sz="0" w:space="0" w:color="auto"/>
      </w:divBdr>
    </w:div>
    <w:div w:id="177755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6.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footer" Target="footer32.xml"/><Relationship Id="rId89" Type="http://schemas.openxmlformats.org/officeDocument/2006/relationships/image" Target="media/image13.png"/><Relationship Id="rId112" Type="http://schemas.openxmlformats.org/officeDocument/2006/relationships/header" Target="header44.xml"/><Relationship Id="rId16" Type="http://schemas.openxmlformats.org/officeDocument/2006/relationships/hyperlink" Target="mailto:ENV-EIR@ec.europa.eu" TargetMode="External"/><Relationship Id="rId107" Type="http://schemas.openxmlformats.org/officeDocument/2006/relationships/header" Target="header42.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2.xml"/><Relationship Id="rId74" Type="http://schemas.openxmlformats.org/officeDocument/2006/relationships/image" Target="media/image10.jpeg"/><Relationship Id="rId79" Type="http://schemas.openxmlformats.org/officeDocument/2006/relationships/header" Target="header30.xml"/><Relationship Id="rId102" Type="http://schemas.openxmlformats.org/officeDocument/2006/relationships/footer" Target="footer39.xml"/><Relationship Id="rId123" Type="http://schemas.openxmlformats.org/officeDocument/2006/relationships/image" Target="media/image17.jpeg"/><Relationship Id="rId128" Type="http://schemas.openxmlformats.org/officeDocument/2006/relationships/footer" Target="footer50.xml"/><Relationship Id="rId5" Type="http://schemas.openxmlformats.org/officeDocument/2006/relationships/settings" Target="settings.xml"/><Relationship Id="rId90" Type="http://schemas.openxmlformats.org/officeDocument/2006/relationships/image" Target="media/image14.jpeg"/><Relationship Id="rId95" Type="http://schemas.openxmlformats.org/officeDocument/2006/relationships/header" Target="header3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image" Target="media/image4.png"/><Relationship Id="rId64" Type="http://schemas.openxmlformats.org/officeDocument/2006/relationships/header" Target="header25.xml"/><Relationship Id="rId69" Type="http://schemas.openxmlformats.org/officeDocument/2006/relationships/footer" Target="footer27.xml"/><Relationship Id="rId77" Type="http://schemas.openxmlformats.org/officeDocument/2006/relationships/footer" Target="footer28.xml"/><Relationship Id="rId100" Type="http://schemas.openxmlformats.org/officeDocument/2006/relationships/footer" Target="footer38.xml"/><Relationship Id="rId105" Type="http://schemas.openxmlformats.org/officeDocument/2006/relationships/footer" Target="footer40.xml"/><Relationship Id="rId113" Type="http://schemas.openxmlformats.org/officeDocument/2006/relationships/footer" Target="footer43.xml"/><Relationship Id="rId118" Type="http://schemas.openxmlformats.org/officeDocument/2006/relationships/header" Target="header47.xml"/><Relationship Id="rId126" Type="http://schemas.openxmlformats.org/officeDocument/2006/relationships/header" Target="header50.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image" Target="media/image8.png"/><Relationship Id="rId80" Type="http://schemas.openxmlformats.org/officeDocument/2006/relationships/footer" Target="footer30.xml"/><Relationship Id="rId85" Type="http://schemas.openxmlformats.org/officeDocument/2006/relationships/header" Target="header33.xml"/><Relationship Id="rId93" Type="http://schemas.openxmlformats.org/officeDocument/2006/relationships/footer" Target="footer34.xml"/><Relationship Id="rId98" Type="http://schemas.openxmlformats.org/officeDocument/2006/relationships/header" Target="header38.xml"/><Relationship Id="rId121" Type="http://schemas.openxmlformats.org/officeDocument/2006/relationships/header" Target="header4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footer" Target="footer26.xml"/><Relationship Id="rId103" Type="http://schemas.openxmlformats.org/officeDocument/2006/relationships/header" Target="header40.xml"/><Relationship Id="rId108" Type="http://schemas.openxmlformats.org/officeDocument/2006/relationships/footer" Target="footer42.xml"/><Relationship Id="rId116" Type="http://schemas.openxmlformats.org/officeDocument/2006/relationships/footer" Target="footer45.xml"/><Relationship Id="rId124" Type="http://schemas.openxmlformats.org/officeDocument/2006/relationships/image" Target="media/image18.jpeg"/><Relationship Id="rId129" Type="http://schemas.openxmlformats.org/officeDocument/2006/relationships/header" Target="header51.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image" Target="media/image2.png"/><Relationship Id="rId62" Type="http://schemas.openxmlformats.org/officeDocument/2006/relationships/header" Target="header24.xml"/><Relationship Id="rId70" Type="http://schemas.openxmlformats.org/officeDocument/2006/relationships/image" Target="media/image6.png"/><Relationship Id="rId75" Type="http://schemas.openxmlformats.org/officeDocument/2006/relationships/header" Target="header28.xml"/><Relationship Id="rId83" Type="http://schemas.openxmlformats.org/officeDocument/2006/relationships/footer" Target="footer31.xml"/><Relationship Id="rId88" Type="http://schemas.openxmlformats.org/officeDocument/2006/relationships/image" Target="media/image12.png"/><Relationship Id="rId91" Type="http://schemas.openxmlformats.org/officeDocument/2006/relationships/header" Target="header34.xml"/><Relationship Id="rId96" Type="http://schemas.openxmlformats.org/officeDocument/2006/relationships/footer" Target="footer36.xml"/><Relationship Id="rId111" Type="http://schemas.openxmlformats.org/officeDocument/2006/relationships/header" Target="header43.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image" Target="media/image5.png"/><Relationship Id="rId106" Type="http://schemas.openxmlformats.org/officeDocument/2006/relationships/footer" Target="footer41.xml"/><Relationship Id="rId114" Type="http://schemas.openxmlformats.org/officeDocument/2006/relationships/footer" Target="footer44.xml"/><Relationship Id="rId119" Type="http://schemas.openxmlformats.org/officeDocument/2006/relationships/footer" Target="footer46.xml"/><Relationship Id="rId127" Type="http://schemas.openxmlformats.org/officeDocument/2006/relationships/footer" Target="footer49.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2.xml"/><Relationship Id="rId65" Type="http://schemas.openxmlformats.org/officeDocument/2006/relationships/header" Target="header26.xml"/><Relationship Id="rId73" Type="http://schemas.openxmlformats.org/officeDocument/2006/relationships/image" Target="media/image9.jpeg"/><Relationship Id="rId78" Type="http://schemas.openxmlformats.org/officeDocument/2006/relationships/footer" Target="footer29.xml"/><Relationship Id="rId81" Type="http://schemas.openxmlformats.org/officeDocument/2006/relationships/header" Target="header31.xml"/><Relationship Id="rId86" Type="http://schemas.openxmlformats.org/officeDocument/2006/relationships/footer" Target="footer33.xml"/><Relationship Id="rId94" Type="http://schemas.openxmlformats.org/officeDocument/2006/relationships/footer" Target="footer35.xml"/><Relationship Id="rId99" Type="http://schemas.openxmlformats.org/officeDocument/2006/relationships/footer" Target="footer37.xml"/><Relationship Id="rId101" Type="http://schemas.openxmlformats.org/officeDocument/2006/relationships/header" Target="header39.xml"/><Relationship Id="rId122" Type="http://schemas.openxmlformats.org/officeDocument/2006/relationships/footer" Target="footer48.xml"/><Relationship Id="rId130" Type="http://schemas.openxmlformats.org/officeDocument/2006/relationships/footer" Target="footer5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image" Target="media/image15.png"/><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image" Target="media/image3.png"/><Relationship Id="rId76" Type="http://schemas.openxmlformats.org/officeDocument/2006/relationships/header" Target="header29.xml"/><Relationship Id="rId97" Type="http://schemas.openxmlformats.org/officeDocument/2006/relationships/header" Target="header37.xml"/><Relationship Id="rId104" Type="http://schemas.openxmlformats.org/officeDocument/2006/relationships/header" Target="header41.xml"/><Relationship Id="rId120" Type="http://schemas.openxmlformats.org/officeDocument/2006/relationships/footer" Target="footer47.xml"/><Relationship Id="rId125" Type="http://schemas.openxmlformats.org/officeDocument/2006/relationships/header" Target="header49.xml"/><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image" Target="media/image11.png"/><Relationship Id="rId110" Type="http://schemas.openxmlformats.org/officeDocument/2006/relationships/image" Target="media/image16.png"/><Relationship Id="rId115" Type="http://schemas.openxmlformats.org/officeDocument/2006/relationships/header" Target="header45.xml"/><Relationship Id="rId131" Type="http://schemas.openxmlformats.org/officeDocument/2006/relationships/fontTable" Target="fontTable.xml"/><Relationship Id="rId61" Type="http://schemas.openxmlformats.org/officeDocument/2006/relationships/footer" Target="footer23.xml"/><Relationship Id="rId82" Type="http://schemas.openxmlformats.org/officeDocument/2006/relationships/header" Target="header32.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nvironment/nature/info/pubs/docs/nat2000newsl/nat37_en.pdf" TargetMode="External"/><Relationship Id="rId18" Type="http://schemas.openxmlformats.org/officeDocument/2006/relationships/hyperlink" Target="http://www.ekoforum.sk/peticia/biomasa" TargetMode="External"/><Relationship Id="rId26" Type="http://schemas.openxmlformats.org/officeDocument/2006/relationships/hyperlink" Target="http://eur-lex.europa.eu/legal-content/EN/TXT/?uri=celex:32001L0081" TargetMode="External"/><Relationship Id="rId39" Type="http://schemas.openxmlformats.org/officeDocument/2006/relationships/hyperlink" Target="http://www.eca.europa.eu/en/Pages/DocItem.aspx?did=35001" TargetMode="External"/><Relationship Id="rId21" Type="http://schemas.openxmlformats.org/officeDocument/2006/relationships/hyperlink" Target="http://www.eea.europa.eu/data-and-maps/indicators/imperviousness-change/assessment" TargetMode="External"/><Relationship Id="rId34" Type="http://schemas.openxmlformats.org/officeDocument/2006/relationships/hyperlink" Target="http://eur-lex.europa.eu/legal-content/EN/ALL/?uri=CELEX%3A31991L0271" TargetMode="External"/><Relationship Id="rId42" Type="http://schemas.openxmlformats.org/officeDocument/2006/relationships/hyperlink" Target="http://www.eea.europa.eu/publications/european-bathing-water-quality-2015" TargetMode="External"/><Relationship Id="rId47" Type="http://schemas.openxmlformats.org/officeDocument/2006/relationships/hyperlink" Target="http://eur-lex.europa.eu/legal-content/EN/TXT/?uri=CELEX:52016SC0045" TargetMode="External"/><Relationship Id="rId50" Type="http://schemas.openxmlformats.org/officeDocument/2006/relationships/hyperlink" Target="http://urbanagendaforthe.eu/" TargetMode="External"/><Relationship Id="rId55" Type="http://schemas.openxmlformats.org/officeDocument/2006/relationships/hyperlink" Target="http://ec.europa.eu/environment/gpp/action_plan_en.htm" TargetMode="External"/><Relationship Id="rId63" Type="http://schemas.openxmlformats.org/officeDocument/2006/relationships/hyperlink" Target="https://cohesiondata.ec.europa.eu/countries" TargetMode="External"/><Relationship Id="rId68" Type="http://schemas.openxmlformats.org/officeDocument/2006/relationships/hyperlink" Target="http://ec.europa.eu/justice/effective-justice/files/justice_scoreboard_2016_en.pdf" TargetMode="External"/><Relationship Id="rId76" Type="http://schemas.openxmlformats.org/officeDocument/2006/relationships/hyperlink" Target="http://www.unece.org/fileadmin/DAM/env/pp/documents/cep43e.pdf" TargetMode="External"/><Relationship Id="rId84" Type="http://schemas.openxmlformats.org/officeDocument/2006/relationships/hyperlink" Target="http://inspire.enviroportal.sk/Upload/documents/20160426_SK_INSPIRE_Action_Plan/SK_INSPIRE_Action_Plan_2016_2021_20160515.doc" TargetMode="External"/><Relationship Id="rId7" Type="http://schemas.openxmlformats.org/officeDocument/2006/relationships/hyperlink" Target="https://ec.europa.eu/growth/tools-databases/regional-innovation-monitor/policy-document/slovenska-republika/smart-specialisation-strategy-slovak-republic-period-2014-2020" TargetMode="External"/><Relationship Id="rId71" Type="http://schemas.openxmlformats.org/officeDocument/2006/relationships/hyperlink" Target="http://www.impel.eu"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biodiversity.europa.eu/countries/eu_country_profiles/slovakia" TargetMode="External"/><Relationship Id="rId29" Type="http://schemas.openxmlformats.org/officeDocument/2006/relationships/hyperlink" Target="http://www.eea.europa.eu/publications/air-quality-in-europe-2016" TargetMode="External"/><Relationship Id="rId11" Type="http://schemas.openxmlformats.org/officeDocument/2006/relationships/hyperlink" Target="http://ec.europa.eu/environment/waste/framework/pdf/SK_Roadmap_FINAL.pdf" TargetMode="External"/><Relationship Id="rId24" Type="http://schemas.openxmlformats.org/officeDocument/2006/relationships/hyperlink" Target="http://cdr.eionet.europa.eu/" TargetMode="External"/><Relationship Id="rId32" Type="http://schemas.openxmlformats.org/officeDocument/2006/relationships/hyperlink" Target="http://www.euro.who.int/en/media-centre/sections/press-releases/2011/03/new-evidence-from-who-on-health-effects-of-traffic-related-noise-in-europe" TargetMode="External"/><Relationship Id="rId37" Type="http://schemas.openxmlformats.org/officeDocument/2006/relationships/hyperlink" Target="http://eur-lex.europa.eu/legal-content/EN/TXT/?uri=CELEX%3A31991L0676" TargetMode="External"/><Relationship Id="rId40" Type="http://schemas.openxmlformats.org/officeDocument/2006/relationships/hyperlink" Target="http://ec.europa.eu/environment/water/water-drink/reporting_en.html" TargetMode="External"/><Relationship Id="rId45" Type="http://schemas.openxmlformats.org/officeDocument/2006/relationships/hyperlink" Target="http://eur-lex.europa.eu/legal-content/EN/TXT/?uri=CELEX:52016SC0045" TargetMode="External"/><Relationship Id="rId53" Type="http://schemas.openxmlformats.org/officeDocument/2006/relationships/hyperlink" Target="http://ec.europa.eu/eurostat/tgm/table.do?tab=table&amp;init=1&amp;language=en&amp;pcode=t2020_rt320&amp;plugin=1http://ec.europa.eu/eurostat/en/web/products-datasets/-/T2020_RT320" TargetMode="External"/><Relationship Id="rId58" Type="http://schemas.openxmlformats.org/officeDocument/2006/relationships/hyperlink" Target="http://www.eib.org/efsi/" TargetMode="External"/><Relationship Id="rId66" Type="http://schemas.openxmlformats.org/officeDocument/2006/relationships/hyperlink" Target="http://ec.europa.eu/europe2020/pdf/csr2014/csr2014_council_slovakia_en.pdf" TargetMode="External"/><Relationship Id="rId74" Type="http://schemas.openxmlformats.org/officeDocument/2006/relationships/hyperlink" Target="http://envicrimenet.com/" TargetMode="External"/><Relationship Id="rId79" Type="http://schemas.openxmlformats.org/officeDocument/2006/relationships/hyperlink" Target="https://ec.europa.eu/digital-single-market/en/news/communication-eu-egovernment-action-plan-2016-2020-accelerating-digital-transformation" TargetMode="External"/><Relationship Id="rId5" Type="http://schemas.openxmlformats.org/officeDocument/2006/relationships/hyperlink" Target="http://www.eea.europa.eu/publications/more-from-less" TargetMode="External"/><Relationship Id="rId61" Type="http://schemas.openxmlformats.org/officeDocument/2006/relationships/hyperlink" Target="http://ec.europa.eu/fisheries/cfp/eff/op/list_of_operational_programmes/slovakia_02_sk.pdf" TargetMode="External"/><Relationship Id="rId82" Type="http://schemas.openxmlformats.org/officeDocument/2006/relationships/hyperlink" Target="http://inspire-geoportal.ec.europa.eu/resources/INSPIREResourcesReports/resourcesReport_2016-05-09/" TargetMode="External"/><Relationship Id="rId10" Type="http://schemas.openxmlformats.org/officeDocument/2006/relationships/hyperlink" Target="http://ec.europa.eu/eurostat/tgm/table.do?tab=table&amp;init=1&amp;language=en&amp;pcode=t2020_rt120&amp;plugin=1" TargetMode="External"/><Relationship Id="rId19" Type="http://schemas.openxmlformats.org/officeDocument/2006/relationships/hyperlink" Target="http://eur-lex.europa.eu/legal-content/EN/TXT/?uri=CELEX:52013DC0249" TargetMode="External"/><Relationship Id="rId31" Type="http://schemas.openxmlformats.org/officeDocument/2006/relationships/hyperlink" Target="http://ec.europa.eu/environment/archives/air/pdf/Impact_assessment_en.pdf" TargetMode="External"/><Relationship Id="rId44" Type="http://schemas.openxmlformats.org/officeDocument/2006/relationships/hyperlink" Target="http://eur-lex.europa.eu/legal-content/EN/TXT/?uri=CELEX%3A52016DC0105" TargetMode="External"/><Relationship Id="rId52" Type="http://schemas.openxmlformats.org/officeDocument/2006/relationships/hyperlink" Target="http://ec.europa.eu/environment/integration/green_semester/pdf/Eunomia%20EFR%20Final%20Report%20MAIN%20REPORT.pdf" TargetMode="External"/><Relationship Id="rId60" Type="http://schemas.openxmlformats.org/officeDocument/2006/relationships/hyperlink" Target="http://europa.eu/rapid/press-release_MEMO-07-482_en.htm?locale=en" TargetMode="External"/><Relationship Id="rId65" Type="http://schemas.openxmlformats.org/officeDocument/2006/relationships/hyperlink" Target="http://ec.europa.eu/europe2020/making-it-happen/index_en.htm" TargetMode="External"/><Relationship Id="rId73" Type="http://schemas.openxmlformats.org/officeDocument/2006/relationships/hyperlink" Target="http://www.environmentalprosecutors.eu" TargetMode="External"/><Relationship Id="rId78" Type="http://schemas.openxmlformats.org/officeDocument/2006/relationships/hyperlink" Target="http://eur-lex.europa.eu/LexUriServ/LexUriServ.do?uri=CELEX:32007L0002:EN:NOT" TargetMode="External"/><Relationship Id="rId81" Type="http://schemas.openxmlformats.org/officeDocument/2006/relationships/hyperlink" Target="http://inspire.ec.europa.eu/portfolio/inspire-dashboard"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urostat/tgm/table.do?tab=table&amp;init=1&amp;plugin=1&amp;language=en&amp;pcode=tsdpc240" TargetMode="External"/><Relationship Id="rId14" Type="http://schemas.openxmlformats.org/officeDocument/2006/relationships/hyperlink" Target="http://domov.sme.sk/c/20374539/lesoochranarom-sa-nepaci-plan-lovu-vlka-obratili-sa-na-brusel.html" TargetMode="External"/><Relationship Id="rId22" Type="http://schemas.openxmlformats.org/officeDocument/2006/relationships/hyperlink" Target="http://ec.europa.eu/eurostat/statistics-explained/index.php/Agri-environmental_indicator_-_soil_erosion" TargetMode="External"/><Relationship Id="rId27" Type="http://schemas.openxmlformats.org/officeDocument/2006/relationships/hyperlink" Target="http://eur-lex.europa.eu/legal-content/EN/TXT/?uri=uriserv:OJ.L_.2016.344.01.0001.01.ENG&amp;toc=OJ:L:2016:344:TOC" TargetMode="External"/><Relationship Id="rId30" Type="http://schemas.openxmlformats.org/officeDocument/2006/relationships/hyperlink" Target="http://www.eionet.europa.eu/aqportal" TargetMode="External"/><Relationship Id="rId35" Type="http://schemas.openxmlformats.org/officeDocument/2006/relationships/hyperlink" Target="http://eur-lex.europa.eu/legal-content/EN/TXT/?uri=CELEX%3A31998L0083" TargetMode="External"/><Relationship Id="rId43" Type="http://schemas.openxmlformats.org/officeDocument/2006/relationships/hyperlink" Target="http://www.eea.europa.eu/themes/water/status-and-monitoring/state-of-bathing-water" TargetMode="External"/><Relationship Id="rId48" Type="http://schemas.openxmlformats.org/officeDocument/2006/relationships/hyperlink" Target="http://ec.europa.eu/environment/water/water-urbanwaste/implementation/implementationreports_en.htm" TargetMode="External"/><Relationship Id="rId56" Type="http://schemas.openxmlformats.org/officeDocument/2006/relationships/hyperlink" Target="http://eur-lex.europa.eu/legal-content/EN/TXT/?uri=CELEX:52008DC0400http://eur-lex.europa.eu/legal-content/EN/TXT/?uri=CELEX:52008DC0400" TargetMode="External"/><Relationship Id="rId64" Type="http://schemas.openxmlformats.org/officeDocument/2006/relationships/hyperlink" Target="http://www.eca.europa.eu/en/Pages/DocItem.aspx?did=31318" TargetMode="External"/><Relationship Id="rId69" Type="http://schemas.openxmlformats.org/officeDocument/2006/relationships/hyperlink" Target="http://www.minzp.sk/dokumenty/strategicke-dokumenty/" TargetMode="External"/><Relationship Id="rId77" Type="http://schemas.openxmlformats.org/officeDocument/2006/relationships/hyperlink" Target="http://eur-lex.europa.eu/legal-content/GA/ALL/?uri=CELEX:32003L0004" TargetMode="External"/><Relationship Id="rId8" Type="http://schemas.openxmlformats.org/officeDocument/2006/relationships/hyperlink" Target="https://ec.europa.eu/environment/ecoap/scoreboard_en" TargetMode="External"/><Relationship Id="rId51" Type="http://schemas.openxmlformats.org/officeDocument/2006/relationships/hyperlink" Target="http://ec.europa.eu/environment/urban/tool.htm" TargetMode="External"/><Relationship Id="rId72" Type="http://schemas.openxmlformats.org/officeDocument/2006/relationships/hyperlink" Target="http://www.eufje.org" TargetMode="External"/><Relationship Id="rId80" Type="http://schemas.openxmlformats.org/officeDocument/2006/relationships/hyperlink" Target="http://inspire.ec.europa.eu/index.cfm/pageid/182"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nvironment/waste/studies/pdf/study%2012%20FINAL%20REPORT.pdf" TargetMode="External"/><Relationship Id="rId17" Type="http://schemas.openxmlformats.org/officeDocument/2006/relationships/hyperlink" Target="http://www.minzp.sk/files/iep/01_2017_tri-vyzvy_zivotneho_prostredia.pdf" TargetMode="External"/><Relationship Id="rId25" Type="http://schemas.openxmlformats.org/officeDocument/2006/relationships/hyperlink" Target="http://www.eea.europa.eu/data-and-maps/data/data-viewers/emissions-nec-directive-viewer" TargetMode="External"/><Relationship Id="rId33" Type="http://schemas.openxmlformats.org/officeDocument/2006/relationships/hyperlink" Target="http://eur-lex.europa.eu/legal-content/EN/TXT/?qid=1481623908600&amp;uri=CELEX:32006L0007" TargetMode="External"/><Relationship Id="rId38" Type="http://schemas.openxmlformats.org/officeDocument/2006/relationships/hyperlink" Target="http://eur-lex.europa.eu/legal-content/EN/TXT/?uri=CELEX:32007L0060" TargetMode="External"/><Relationship Id="rId46" Type="http://schemas.openxmlformats.org/officeDocument/2006/relationships/hyperlink" Target="http://eur-lex.europa.eu/legal-content/EN/TXT/?uri=CELEX%3A52016DC0105" TargetMode="External"/><Relationship Id="rId59" Type="http://schemas.openxmlformats.org/officeDocument/2006/relationships/hyperlink" Target="http://intragate.ec.europa.eu/regiodash_boxi/AnalyticalReporting/opendoc/openDocument.jsp?sDocName=SFC07_Programmes_by_Financial_Tables_by_Funds_by_Objectives&amp;appKind=InfoView&amp;isApplication=true&amp;sType=wid" TargetMode="External"/><Relationship Id="rId67" Type="http://schemas.openxmlformats.org/officeDocument/2006/relationships/hyperlink" Target="http://ec.europa.eu/europe2020/pdf/csr2015/csr2015_council_slovakia_en.pdf" TargetMode="External"/><Relationship Id="rId20" Type="http://schemas.openxmlformats.org/officeDocument/2006/relationships/hyperlink" Target="http://land.copernicus.eu/pan-european/corine-land-cover/lcc-2006-2012/view" TargetMode="External"/><Relationship Id="rId41" Type="http://schemas.openxmlformats.org/officeDocument/2006/relationships/hyperlink" Target="https://www.minzp.sk/oblasti/voda/" TargetMode="External"/><Relationship Id="rId54" Type="http://schemas.openxmlformats.org/officeDocument/2006/relationships/hyperlink" Target="http://ec.europa.eu/internal_market/scoreboard/performance_per_policy_area/public_procurement/index_en.htm" TargetMode="External"/><Relationship Id="rId62" Type="http://schemas.openxmlformats.org/officeDocument/2006/relationships/hyperlink" Target="https://cohesiondata.ec.europa.eu/countries/SK" TargetMode="External"/><Relationship Id="rId70" Type="http://schemas.openxmlformats.org/officeDocument/2006/relationships/hyperlink" Target="http://eur-lex.europa.eu/legal-content/EN/TXT/?uri=OJ:C:2016:273:TOC" TargetMode="External"/><Relationship Id="rId75" Type="http://schemas.openxmlformats.org/officeDocument/2006/relationships/hyperlink" Target="http://eur-lex.europa.eu/legal-content/EN/TXT/?uri=CELEX%3A32004L0035" TargetMode="External"/><Relationship Id="rId83" Type="http://schemas.openxmlformats.org/officeDocument/2006/relationships/hyperlink" Target="https://ies-svn.jrc.ec.europa.eu/attachments/download/1735/INSPIRE%20List%20of%20priority%20data%20sets%20%5BDOC10%5D.pdf"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s://circabc.europa.eu/sd/a/13551bae-f26c-40ef-bb26-7e86f0248df3/SK_20140528.pdf" TargetMode="External"/><Relationship Id="rId23" Type="http://schemas.openxmlformats.org/officeDocument/2006/relationships/hyperlink" Target="http://ec.europa.eu/environment/air/quality/standards.htm" TargetMode="External"/><Relationship Id="rId28" Type="http://schemas.openxmlformats.org/officeDocument/2006/relationships/hyperlink" Target="http://www.eea.europa.eu/publications/air-quality-in-europe-2016" TargetMode="External"/><Relationship Id="rId36" Type="http://schemas.openxmlformats.org/officeDocument/2006/relationships/hyperlink" Target="http://eur-lex.europa.eu/legal-content/EN/TXT/?qid=1481624135097&amp;uri=CELEX:32000L0060" TargetMode="External"/><Relationship Id="rId49" Type="http://schemas.openxmlformats.org/officeDocument/2006/relationships/hyperlink" Target="http://www.eea.europa.eu/themes/urban" TargetMode="External"/><Relationship Id="rId57" Type="http://schemas.openxmlformats.org/officeDocument/2006/relationships/hyperlink" Target="http://ec.europa.eu/environment/gpp/action_plan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9A685-D5CA-4AEA-B8ED-12C1464C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11455</Words>
  <Characters>65051</Characters>
  <Application>Microsoft Office Word</Application>
  <DocSecurity>0</DocSecurity>
  <Lines>1660</Lines>
  <Paragraphs>299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2016-11-10T11:42:00Z</cp:lastPrinted>
  <dcterms:created xsi:type="dcterms:W3CDTF">2017-01-24T10:30:00Z</dcterms:created>
  <dcterms:modified xsi:type="dcterms:W3CDTF">2017-02-02T18:27:00Z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