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157" w:rsidRDefault="00670DB4" w:rsidP="00670DB4">
      <w:pPr>
        <w:pStyle w:val="Pagedecouverture"/>
        <w:rPr>
          <w:rFonts w:eastAsia="Times New Roman"/>
          <w:noProof/>
        </w:rPr>
      </w:pPr>
      <w:bookmarkStart w:id="0" w:name="LW_BM_COVERPAGE"/>
      <w:r>
        <w:rPr>
          <w:rFonts w:eastAsia="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B20A1061255842A3899D27902B2716BF" style="width:450.75pt;height:498.75pt">
            <v:imagedata r:id="rId9" o:title=""/>
          </v:shape>
        </w:pict>
      </w:r>
    </w:p>
    <w:bookmarkEnd w:id="0"/>
    <w:p w:rsidR="003D2157" w:rsidRDefault="003D2157">
      <w:pPr>
        <w:rPr>
          <w:rFonts w:eastAsia="Times New Roman"/>
          <w:noProof/>
        </w:rPr>
        <w:sectPr w:rsidR="003D2157" w:rsidSect="00670DB4">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3D2157" w:rsidRDefault="003D2157">
      <w:pPr>
        <w:widowControl w:val="0"/>
        <w:tabs>
          <w:tab w:val="right" w:leader="dot" w:pos="8640"/>
        </w:tabs>
        <w:spacing w:before="120" w:after="120" w:line="240" w:lineRule="auto"/>
        <w:ind w:right="720"/>
        <w:rPr>
          <w:rFonts w:eastAsia="Times New Roman" w:cs="Times New Roman"/>
          <w:noProof/>
          <w:szCs w:val="20"/>
        </w:rPr>
      </w:pPr>
      <w:bookmarkStart w:id="1" w:name="_GoBack"/>
      <w:bookmarkEnd w:id="1"/>
    </w:p>
    <w:p w:rsidR="003D2157" w:rsidRDefault="003D2157">
      <w:pPr>
        <w:widowControl w:val="0"/>
        <w:tabs>
          <w:tab w:val="right" w:leader="dot" w:pos="8640"/>
        </w:tabs>
        <w:spacing w:before="120" w:after="120" w:line="240" w:lineRule="auto"/>
        <w:ind w:right="720"/>
        <w:rPr>
          <w:rFonts w:eastAsia="Times New Roman" w:cs="Times New Roman"/>
          <w:noProof/>
          <w:szCs w:val="20"/>
        </w:rPr>
      </w:pPr>
    </w:p>
    <w:p w:rsidR="003D2157" w:rsidRDefault="003D2157">
      <w:pPr>
        <w:widowControl w:val="0"/>
        <w:tabs>
          <w:tab w:val="right" w:leader="dot" w:pos="8640"/>
        </w:tabs>
        <w:spacing w:before="120" w:after="120" w:line="240" w:lineRule="auto"/>
        <w:ind w:right="720"/>
        <w:rPr>
          <w:rFonts w:eastAsia="Times New Roman" w:cs="Times New Roman"/>
          <w:noProof/>
          <w:szCs w:val="20"/>
        </w:rPr>
      </w:pPr>
    </w:p>
    <w:p w:rsidR="003D2157" w:rsidRDefault="003D2157">
      <w:pPr>
        <w:widowControl w:val="0"/>
        <w:tabs>
          <w:tab w:val="right" w:leader="dot" w:pos="8640"/>
        </w:tabs>
        <w:spacing w:before="120" w:after="120" w:line="240" w:lineRule="auto"/>
        <w:ind w:right="720"/>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670DB4">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Style w:val="Hyperlink"/>
            <w:rFonts w:eastAsia="Times New Roman" w:cs="Times New Roman"/>
            <w:noProof/>
            <w:szCs w:val="20"/>
          </w:rPr>
          <w:t>ENV-EIR@ec.europa.eu</w:t>
        </w:r>
      </w:hyperlink>
      <w:r>
        <w:rPr>
          <w:rFonts w:eastAsia="Times New Roman" w:cs="Times New Roman"/>
          <w:noProof/>
          <w:szCs w:val="20"/>
        </w:rPr>
        <w:t xml:space="preserve"> </w:t>
      </w:r>
    </w:p>
    <w:p w:rsidR="003D2157" w:rsidRDefault="003D2157">
      <w:pPr>
        <w:widowControl w:val="0"/>
        <w:tabs>
          <w:tab w:val="right" w:leader="dot" w:pos="8640"/>
        </w:tabs>
        <w:spacing w:before="120" w:after="120" w:line="240" w:lineRule="auto"/>
        <w:ind w:left="482" w:right="720" w:hanging="482"/>
        <w:rPr>
          <w:rFonts w:eastAsia="Times New Roman" w:cs="Times New Roman"/>
          <w:noProof/>
          <w:szCs w:val="20"/>
        </w:rPr>
      </w:pPr>
    </w:p>
    <w:p w:rsidR="003D2157" w:rsidRDefault="00670DB4">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Style w:val="Hyperlink"/>
            <w:rFonts w:eastAsia="Times New Roman" w:cs="Times New Roman"/>
            <w:noProof/>
            <w:szCs w:val="20"/>
          </w:rPr>
          <w:t>http://europa.eu</w:t>
        </w:r>
      </w:hyperlink>
      <w:r>
        <w:rPr>
          <w:rFonts w:eastAsia="Times New Roman" w:cs="Times New Roman"/>
          <w:noProof/>
          <w:szCs w:val="20"/>
        </w:rPr>
        <w:t>).</w:t>
      </w:r>
    </w:p>
    <w:p w:rsidR="003D2157" w:rsidRDefault="003D2157">
      <w:pPr>
        <w:widowControl w:val="0"/>
        <w:tabs>
          <w:tab w:val="right" w:leader="dot" w:pos="8640"/>
        </w:tabs>
        <w:spacing w:before="120" w:after="120" w:line="240" w:lineRule="auto"/>
        <w:ind w:left="482" w:right="720" w:hanging="482"/>
        <w:rPr>
          <w:rFonts w:eastAsia="Times New Roman" w:cs="Times New Roman"/>
          <w:noProof/>
          <w:szCs w:val="20"/>
        </w:rPr>
      </w:pPr>
    </w:p>
    <w:p w:rsidR="003D2157" w:rsidRDefault="00670DB4">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p.11 – ©LIFE08 NAT/UK/000202; p.12 – ©chris2766/iStock; p.13 – ©LIFE07 ENV/UK/000943/Toby Roxburgh/2020VISION/naturepl.com; p.19 – ©Chris Hepburn</w:t>
      </w:r>
      <w:r>
        <w:rPr>
          <w:rFonts w:eastAsia="Times New Roman" w:cs="Times New Roman"/>
          <w:noProof/>
          <w:szCs w:val="20"/>
        </w:rPr>
        <w:t>/iStock; p.23 – ©BrianAJackson/iStock</w:t>
      </w:r>
    </w:p>
    <w:p w:rsidR="003D2157" w:rsidRDefault="00670DB4">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For reproduction or use of these photos, permission must be sought directly from the copyright holder.</w:t>
      </w:r>
    </w:p>
    <w:p w:rsidR="003D2157" w:rsidRDefault="003D2157">
      <w:pPr>
        <w:widowControl w:val="0"/>
        <w:tabs>
          <w:tab w:val="right" w:leader="dot" w:pos="8640"/>
        </w:tabs>
        <w:spacing w:before="120" w:after="120" w:line="240" w:lineRule="auto"/>
        <w:jc w:val="both"/>
        <w:rPr>
          <w:rFonts w:eastAsia="Times New Roman" w:cs="Times New Roman"/>
          <w:noProof/>
          <w:szCs w:val="20"/>
        </w:rPr>
      </w:pPr>
    </w:p>
    <w:p w:rsidR="003D2157" w:rsidRDefault="00670DB4">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3D2157" w:rsidRDefault="00670DB4">
      <w:pPr>
        <w:widowControl w:val="0"/>
        <w:tabs>
          <w:tab w:val="right" w:leader="dot" w:pos="8640"/>
        </w:tabs>
        <w:spacing w:before="120" w:after="120" w:line="240" w:lineRule="auto"/>
        <w:rPr>
          <w:rFonts w:eastAsia="Times New Roman" w:cs="Times New Roman"/>
          <w:noProof/>
          <w:szCs w:val="20"/>
        </w:rPr>
        <w:sectPr w:rsidR="003D2157">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9" w:footer="709" w:gutter="0"/>
          <w:pgNumType w:start="2"/>
          <w:cols w:space="720"/>
          <w:titlePg/>
          <w:docGrid w:linePitch="360"/>
        </w:sectPr>
      </w:pPr>
      <w:r>
        <w:rPr>
          <w:rFonts w:eastAsia="Times New Roman" w:cs="Times New Roman"/>
          <w:noProof/>
          <w:szCs w:val="20"/>
        </w:rPr>
        <w:t xml:space="preserve">Reproduction is </w:t>
      </w:r>
      <w:r>
        <w:rPr>
          <w:rFonts w:eastAsia="Times New Roman" w:cs="Times New Roman"/>
          <w:noProof/>
          <w:szCs w:val="20"/>
        </w:rPr>
        <w:t>authorised provided the source is acknowledged.</w:t>
      </w:r>
    </w:p>
    <w:p w:rsidR="003D2157" w:rsidRDefault="00670DB4">
      <w:pPr>
        <w:widowControl w:val="0"/>
        <w:spacing w:before="240" w:after="120" w:line="240" w:lineRule="auto"/>
        <w:ind w:left="113" w:hanging="113"/>
        <w:jc w:val="center"/>
        <w:rPr>
          <w:noProof/>
        </w:rPr>
      </w:pPr>
      <w:r>
        <w:rPr>
          <w:rFonts w:eastAsia="Times New Roman"/>
          <w:b/>
          <w:noProof/>
        </w:rPr>
        <w:lastRenderedPageBreak/>
        <w:t>Table of Content</w:t>
      </w:r>
      <w:bookmarkStart w:id="2" w:name="_Toc432510709"/>
      <w:bookmarkStart w:id="3" w:name="_Toc432521119"/>
      <w:bookmarkStart w:id="4" w:name="_Toc433296149"/>
      <w:bookmarkEnd w:id="2"/>
      <w:bookmarkEnd w:id="3"/>
      <w:r>
        <w:rPr>
          <w:b/>
          <w:caps/>
          <w:noProof/>
          <w:lang w:val="en-US" w:eastAsia="ja-JP"/>
        </w:rPr>
        <w:fldChar w:fldCharType="begin"/>
      </w:r>
      <w:r>
        <w:rPr>
          <w:b/>
          <w:caps/>
          <w:noProof/>
          <w:lang w:val="en-US" w:eastAsia="ja-JP"/>
        </w:rPr>
        <w:instrText xml:space="preserve"> TOC \o "1-2" \h \z \u </w:instrText>
      </w:r>
      <w:r>
        <w:rPr>
          <w:b/>
          <w:caps/>
          <w:noProof/>
          <w:lang w:val="en-US" w:eastAsia="ja-JP"/>
        </w:rPr>
        <w:fldChar w:fldCharType="separate"/>
      </w:r>
    </w:p>
    <w:p w:rsidR="003D2157" w:rsidRDefault="00670DB4">
      <w:pPr>
        <w:pStyle w:val="TOC1"/>
        <w:rPr>
          <w:rFonts w:asciiTheme="minorHAnsi" w:eastAsiaTheme="minorEastAsia" w:hAnsiTheme="minorHAnsi" w:cstheme="minorBidi"/>
          <w:caps w:val="0"/>
          <w:noProof/>
          <w:sz w:val="22"/>
          <w:szCs w:val="22"/>
        </w:rPr>
      </w:pPr>
      <w:hyperlink w:anchor="_Toc469394685" w:history="1">
        <w:r>
          <w:rPr>
            <w:rStyle w:val="Hyperlink"/>
            <w:rFonts w:eastAsiaTheme="majorEastAsia" w:cstheme="majorBidi"/>
            <w:bCs/>
            <w:noProof/>
          </w:rPr>
          <w:t>Executive summary</w:t>
        </w:r>
        <w:r>
          <w:rPr>
            <w:noProof/>
            <w:webHidden/>
          </w:rPr>
          <w:tab/>
        </w:r>
        <w:r>
          <w:rPr>
            <w:noProof/>
            <w:webHidden/>
          </w:rPr>
          <w:fldChar w:fldCharType="begin"/>
        </w:r>
        <w:r>
          <w:rPr>
            <w:noProof/>
            <w:webHidden/>
          </w:rPr>
          <w:instrText xml:space="preserve"> PAGEREF _Toc469394685 \h </w:instrText>
        </w:r>
        <w:r>
          <w:rPr>
            <w:noProof/>
            <w:webHidden/>
          </w:rPr>
        </w:r>
        <w:r>
          <w:rPr>
            <w:noProof/>
            <w:webHidden/>
          </w:rPr>
          <w:fldChar w:fldCharType="separate"/>
        </w:r>
        <w:r>
          <w:rPr>
            <w:noProof/>
            <w:webHidden/>
          </w:rPr>
          <w:t>4</w:t>
        </w:r>
        <w:r>
          <w:rPr>
            <w:noProof/>
            <w:webHidden/>
          </w:rPr>
          <w:fldChar w:fldCharType="end"/>
        </w:r>
      </w:hyperlink>
    </w:p>
    <w:p w:rsidR="003D2157" w:rsidRDefault="00670DB4">
      <w:pPr>
        <w:pStyle w:val="TOC1"/>
        <w:rPr>
          <w:rFonts w:asciiTheme="minorHAnsi" w:eastAsiaTheme="minorEastAsia" w:hAnsiTheme="minorHAnsi" w:cstheme="minorBidi"/>
          <w:caps w:val="0"/>
          <w:noProof/>
          <w:sz w:val="22"/>
          <w:szCs w:val="22"/>
        </w:rPr>
      </w:pPr>
      <w:hyperlink w:anchor="_Toc469394686" w:history="1">
        <w:r>
          <w:rPr>
            <w:rStyle w:val="Hyperlink"/>
            <w:rFonts w:eastAsiaTheme="majorEastAsia" w:cstheme="majorBidi"/>
            <w:bCs/>
            <w:noProof/>
          </w:rPr>
          <w:t>Part I: Thematic Areas</w:t>
        </w:r>
        <w:r>
          <w:rPr>
            <w:noProof/>
            <w:webHidden/>
          </w:rPr>
          <w:tab/>
        </w:r>
        <w:r>
          <w:rPr>
            <w:noProof/>
            <w:webHidden/>
          </w:rPr>
          <w:fldChar w:fldCharType="begin"/>
        </w:r>
        <w:r>
          <w:rPr>
            <w:noProof/>
            <w:webHidden/>
          </w:rPr>
          <w:instrText xml:space="preserve"> PAGEREF _Toc469394686 \h </w:instrText>
        </w:r>
        <w:r>
          <w:rPr>
            <w:noProof/>
            <w:webHidden/>
          </w:rPr>
        </w:r>
        <w:r>
          <w:rPr>
            <w:noProof/>
            <w:webHidden/>
          </w:rPr>
          <w:fldChar w:fldCharType="separate"/>
        </w:r>
        <w:r>
          <w:rPr>
            <w:noProof/>
            <w:webHidden/>
          </w:rPr>
          <w:t>5</w:t>
        </w:r>
        <w:r>
          <w:rPr>
            <w:noProof/>
            <w:webHidden/>
          </w:rPr>
          <w:fldChar w:fldCharType="end"/>
        </w:r>
      </w:hyperlink>
    </w:p>
    <w:p w:rsidR="003D2157" w:rsidRDefault="00670DB4">
      <w:pPr>
        <w:pStyle w:val="TOC1"/>
        <w:rPr>
          <w:rFonts w:asciiTheme="minorHAnsi" w:eastAsiaTheme="minorEastAsia" w:hAnsiTheme="minorHAnsi" w:cstheme="minorBidi"/>
          <w:caps w:val="0"/>
          <w:noProof/>
          <w:sz w:val="22"/>
          <w:szCs w:val="22"/>
        </w:rPr>
      </w:pPr>
      <w:hyperlink w:anchor="_Toc469394687" w:history="1">
        <w:r>
          <w:rPr>
            <w:rStyle w:val="Hyperlink"/>
            <w:rFonts w:eastAsiaTheme="majorEastAsia" w:cstheme="majorBidi"/>
            <w:bCs/>
            <w:noProof/>
          </w:rPr>
          <w:t>1.</w:t>
        </w:r>
        <w:r>
          <w:rPr>
            <w:rFonts w:asciiTheme="minorHAnsi" w:eastAsiaTheme="minorEastAsia" w:hAnsiTheme="minorHAnsi" w:cstheme="minorBidi"/>
            <w:caps w:val="0"/>
            <w:noProof/>
            <w:sz w:val="22"/>
            <w:szCs w:val="22"/>
          </w:rPr>
          <w:tab/>
        </w:r>
        <w:r>
          <w:rPr>
            <w:rStyle w:val="Hyperlink"/>
            <w:rFonts w:eastAsiaTheme="majorEastAsia" w:cstheme="majorBidi"/>
            <w:bCs/>
            <w:noProof/>
          </w:rPr>
          <w:t>Tur</w:t>
        </w:r>
        <w:r>
          <w:rPr>
            <w:rStyle w:val="Hyperlink"/>
            <w:rFonts w:eastAsiaTheme="majorEastAsia" w:cstheme="majorBidi"/>
            <w:bCs/>
            <w:noProof/>
          </w:rPr>
          <w:t>ning the EU into a circular, resource-efficient, green and competitive low-carbon economy</w:t>
        </w:r>
        <w:r>
          <w:rPr>
            <w:noProof/>
            <w:webHidden/>
          </w:rPr>
          <w:tab/>
        </w:r>
        <w:r>
          <w:rPr>
            <w:noProof/>
            <w:webHidden/>
          </w:rPr>
          <w:fldChar w:fldCharType="begin"/>
        </w:r>
        <w:r>
          <w:rPr>
            <w:noProof/>
            <w:webHidden/>
          </w:rPr>
          <w:instrText xml:space="preserve"> PAGEREF _Toc469394687 \h </w:instrText>
        </w:r>
        <w:r>
          <w:rPr>
            <w:noProof/>
            <w:webHidden/>
          </w:rPr>
        </w:r>
        <w:r>
          <w:rPr>
            <w:noProof/>
            <w:webHidden/>
          </w:rPr>
          <w:fldChar w:fldCharType="separate"/>
        </w:r>
        <w:r>
          <w:rPr>
            <w:noProof/>
            <w:webHidden/>
          </w:rPr>
          <w:t>5</w:t>
        </w:r>
        <w:r>
          <w:rPr>
            <w:noProof/>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688" w:history="1">
        <w:r>
          <w:rPr>
            <w:rStyle w:val="Hyperlink"/>
          </w:rPr>
          <w:t xml:space="preserve">Developing a circular economy and </w:t>
        </w:r>
        <w:r>
          <w:rPr>
            <w:rStyle w:val="Hyperlink"/>
          </w:rPr>
          <w:t>improving resource efficiency</w:t>
        </w:r>
        <w:r>
          <w:rPr>
            <w:webHidden/>
          </w:rPr>
          <w:tab/>
        </w:r>
        <w:r>
          <w:rPr>
            <w:webHidden/>
          </w:rPr>
          <w:fldChar w:fldCharType="begin"/>
        </w:r>
        <w:r>
          <w:rPr>
            <w:webHidden/>
          </w:rPr>
          <w:instrText xml:space="preserve"> PAGEREF _Toc469394688 \h </w:instrText>
        </w:r>
        <w:r>
          <w:rPr>
            <w:webHidden/>
          </w:rPr>
        </w:r>
        <w:r>
          <w:rPr>
            <w:webHidden/>
          </w:rPr>
          <w:fldChar w:fldCharType="separate"/>
        </w:r>
        <w:r>
          <w:rPr>
            <w:webHidden/>
          </w:rPr>
          <w:t>5</w:t>
        </w:r>
        <w:r>
          <w:rPr>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689" w:history="1">
        <w:r>
          <w:rPr>
            <w:rStyle w:val="Hyperlink"/>
          </w:rPr>
          <w:t>Waste management</w:t>
        </w:r>
        <w:r>
          <w:rPr>
            <w:webHidden/>
          </w:rPr>
          <w:tab/>
        </w:r>
        <w:r>
          <w:rPr>
            <w:webHidden/>
          </w:rPr>
          <w:fldChar w:fldCharType="begin"/>
        </w:r>
        <w:r>
          <w:rPr>
            <w:webHidden/>
          </w:rPr>
          <w:instrText xml:space="preserve"> PAGEREF _Toc469394689 \h </w:instrText>
        </w:r>
        <w:r>
          <w:rPr>
            <w:webHidden/>
          </w:rPr>
        </w:r>
        <w:r>
          <w:rPr>
            <w:webHidden/>
          </w:rPr>
          <w:fldChar w:fldCharType="separate"/>
        </w:r>
        <w:r>
          <w:rPr>
            <w:webHidden/>
          </w:rPr>
          <w:t>7</w:t>
        </w:r>
        <w:r>
          <w:rPr>
            <w:webHidden/>
          </w:rPr>
          <w:fldChar w:fldCharType="end"/>
        </w:r>
      </w:hyperlink>
    </w:p>
    <w:p w:rsidR="003D2157" w:rsidRDefault="00670DB4">
      <w:pPr>
        <w:pStyle w:val="TOC1"/>
        <w:rPr>
          <w:rFonts w:asciiTheme="minorHAnsi" w:eastAsiaTheme="minorEastAsia" w:hAnsiTheme="minorHAnsi" w:cstheme="minorBidi"/>
          <w:caps w:val="0"/>
          <w:noProof/>
          <w:sz w:val="22"/>
          <w:szCs w:val="22"/>
        </w:rPr>
      </w:pPr>
      <w:hyperlink w:anchor="_Toc469394690" w:history="1">
        <w:r>
          <w:rPr>
            <w:rStyle w:val="Hyperlink"/>
            <w:rFonts w:eastAsiaTheme="majorEastAsia" w:cstheme="majorBidi"/>
            <w:bCs/>
            <w:noProof/>
          </w:rPr>
          <w:t>2.</w:t>
        </w:r>
        <w:r>
          <w:rPr>
            <w:rFonts w:asciiTheme="minorHAnsi" w:eastAsiaTheme="minorEastAsia" w:hAnsiTheme="minorHAnsi" w:cstheme="minorBidi"/>
            <w:caps w:val="0"/>
            <w:noProof/>
            <w:sz w:val="22"/>
            <w:szCs w:val="22"/>
          </w:rPr>
          <w:tab/>
        </w:r>
        <w:r>
          <w:rPr>
            <w:rStyle w:val="Hyperlink"/>
            <w:rFonts w:eastAsiaTheme="majorEastAsia" w:cstheme="majorBidi"/>
            <w:bCs/>
            <w:noProof/>
          </w:rPr>
          <w:t>Protecting, conserving and enhancing natural capital</w:t>
        </w:r>
        <w:r>
          <w:rPr>
            <w:noProof/>
            <w:webHidden/>
          </w:rPr>
          <w:tab/>
        </w:r>
        <w:r>
          <w:rPr>
            <w:noProof/>
            <w:webHidden/>
          </w:rPr>
          <w:fldChar w:fldCharType="begin"/>
        </w:r>
        <w:r>
          <w:rPr>
            <w:noProof/>
            <w:webHidden/>
          </w:rPr>
          <w:instrText xml:space="preserve"> PAGEREF _Toc469394690 \h </w:instrText>
        </w:r>
        <w:r>
          <w:rPr>
            <w:noProof/>
            <w:webHidden/>
          </w:rPr>
        </w:r>
        <w:r>
          <w:rPr>
            <w:noProof/>
            <w:webHidden/>
          </w:rPr>
          <w:fldChar w:fldCharType="separate"/>
        </w:r>
        <w:r>
          <w:rPr>
            <w:noProof/>
            <w:webHidden/>
          </w:rPr>
          <w:t>9</w:t>
        </w:r>
        <w:r>
          <w:rPr>
            <w:noProof/>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691" w:history="1">
        <w:r>
          <w:rPr>
            <w:rStyle w:val="Hyperlink"/>
          </w:rPr>
          <w:t>Nature and Biodiversity</w:t>
        </w:r>
        <w:r>
          <w:rPr>
            <w:webHidden/>
          </w:rPr>
          <w:tab/>
        </w:r>
        <w:r>
          <w:rPr>
            <w:webHidden/>
          </w:rPr>
          <w:fldChar w:fldCharType="begin"/>
        </w:r>
        <w:r>
          <w:rPr>
            <w:webHidden/>
          </w:rPr>
          <w:instrText xml:space="preserve"> PAGEREF _Toc469394691 \h </w:instrText>
        </w:r>
        <w:r>
          <w:rPr>
            <w:webHidden/>
          </w:rPr>
        </w:r>
        <w:r>
          <w:rPr>
            <w:webHidden/>
          </w:rPr>
          <w:fldChar w:fldCharType="separate"/>
        </w:r>
        <w:r>
          <w:rPr>
            <w:webHidden/>
          </w:rPr>
          <w:t>9</w:t>
        </w:r>
        <w:r>
          <w:rPr>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692" w:history="1">
        <w:r>
          <w:rPr>
            <w:rStyle w:val="Hyperlink"/>
          </w:rPr>
          <w:t>Estimating natural capital</w:t>
        </w:r>
        <w:r>
          <w:rPr>
            <w:webHidden/>
          </w:rPr>
          <w:tab/>
        </w:r>
        <w:r>
          <w:rPr>
            <w:webHidden/>
          </w:rPr>
          <w:fldChar w:fldCharType="begin"/>
        </w:r>
        <w:r>
          <w:rPr>
            <w:webHidden/>
          </w:rPr>
          <w:instrText xml:space="preserve"> PAGEREF _Toc469394692 \h </w:instrText>
        </w:r>
        <w:r>
          <w:rPr>
            <w:webHidden/>
          </w:rPr>
        </w:r>
        <w:r>
          <w:rPr>
            <w:webHidden/>
          </w:rPr>
          <w:fldChar w:fldCharType="separate"/>
        </w:r>
        <w:r>
          <w:rPr>
            <w:webHidden/>
          </w:rPr>
          <w:t>11</w:t>
        </w:r>
        <w:r>
          <w:rPr>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693" w:history="1">
        <w:r>
          <w:rPr>
            <w:rStyle w:val="Hyperlink"/>
          </w:rPr>
          <w:t>Green Infrastructure</w:t>
        </w:r>
        <w:r>
          <w:rPr>
            <w:webHidden/>
          </w:rPr>
          <w:tab/>
        </w:r>
        <w:r>
          <w:rPr>
            <w:webHidden/>
          </w:rPr>
          <w:fldChar w:fldCharType="begin"/>
        </w:r>
        <w:r>
          <w:rPr>
            <w:webHidden/>
          </w:rPr>
          <w:instrText xml:space="preserve"> PAGEREF _Toc469394693 \h </w:instrText>
        </w:r>
        <w:r>
          <w:rPr>
            <w:webHidden/>
          </w:rPr>
        </w:r>
        <w:r>
          <w:rPr>
            <w:webHidden/>
          </w:rPr>
          <w:fldChar w:fldCharType="separate"/>
        </w:r>
        <w:r>
          <w:rPr>
            <w:webHidden/>
          </w:rPr>
          <w:t>11</w:t>
        </w:r>
        <w:r>
          <w:rPr>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694" w:history="1">
        <w:r>
          <w:rPr>
            <w:rStyle w:val="Hyperlink"/>
          </w:rPr>
          <w:t>Soil pro</w:t>
        </w:r>
        <w:r>
          <w:rPr>
            <w:rStyle w:val="Hyperlink"/>
          </w:rPr>
          <w:t>tection</w:t>
        </w:r>
        <w:r>
          <w:rPr>
            <w:webHidden/>
          </w:rPr>
          <w:tab/>
        </w:r>
        <w:r>
          <w:rPr>
            <w:webHidden/>
          </w:rPr>
          <w:fldChar w:fldCharType="begin"/>
        </w:r>
        <w:r>
          <w:rPr>
            <w:webHidden/>
          </w:rPr>
          <w:instrText xml:space="preserve"> PAGEREF _Toc469394694 \h </w:instrText>
        </w:r>
        <w:r>
          <w:rPr>
            <w:webHidden/>
          </w:rPr>
        </w:r>
        <w:r>
          <w:rPr>
            <w:webHidden/>
          </w:rPr>
          <w:fldChar w:fldCharType="separate"/>
        </w:r>
        <w:r>
          <w:rPr>
            <w:webHidden/>
          </w:rPr>
          <w:t>12</w:t>
        </w:r>
        <w:r>
          <w:rPr>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695" w:history="1">
        <w:r>
          <w:rPr>
            <w:rStyle w:val="Hyperlink"/>
          </w:rPr>
          <w:t>Marine protection</w:t>
        </w:r>
        <w:r>
          <w:rPr>
            <w:webHidden/>
          </w:rPr>
          <w:tab/>
        </w:r>
        <w:r>
          <w:rPr>
            <w:webHidden/>
          </w:rPr>
          <w:fldChar w:fldCharType="begin"/>
        </w:r>
        <w:r>
          <w:rPr>
            <w:webHidden/>
          </w:rPr>
          <w:instrText xml:space="preserve"> PAGEREF _Toc469394695 \h </w:instrText>
        </w:r>
        <w:r>
          <w:rPr>
            <w:webHidden/>
          </w:rPr>
        </w:r>
        <w:r>
          <w:rPr>
            <w:webHidden/>
          </w:rPr>
          <w:fldChar w:fldCharType="separate"/>
        </w:r>
        <w:r>
          <w:rPr>
            <w:webHidden/>
          </w:rPr>
          <w:t>13</w:t>
        </w:r>
        <w:r>
          <w:rPr>
            <w:webHidden/>
          </w:rPr>
          <w:fldChar w:fldCharType="end"/>
        </w:r>
      </w:hyperlink>
    </w:p>
    <w:p w:rsidR="003D2157" w:rsidRDefault="00670DB4">
      <w:pPr>
        <w:pStyle w:val="TOC1"/>
        <w:rPr>
          <w:rFonts w:asciiTheme="minorHAnsi" w:eastAsiaTheme="minorEastAsia" w:hAnsiTheme="minorHAnsi" w:cstheme="minorBidi"/>
          <w:caps w:val="0"/>
          <w:noProof/>
          <w:sz w:val="22"/>
          <w:szCs w:val="22"/>
        </w:rPr>
      </w:pPr>
      <w:hyperlink w:anchor="_Toc469394696" w:history="1">
        <w:r>
          <w:rPr>
            <w:rStyle w:val="Hyperlink"/>
            <w:rFonts w:eastAsiaTheme="majorEastAsia" w:cstheme="majorBidi"/>
            <w:bCs/>
            <w:noProof/>
          </w:rPr>
          <w:t>3.</w:t>
        </w:r>
        <w:r>
          <w:rPr>
            <w:rFonts w:asciiTheme="minorHAnsi" w:eastAsiaTheme="minorEastAsia" w:hAnsiTheme="minorHAnsi" w:cstheme="minorBidi"/>
            <w:caps w:val="0"/>
            <w:noProof/>
            <w:sz w:val="22"/>
            <w:szCs w:val="22"/>
          </w:rPr>
          <w:tab/>
        </w:r>
        <w:r>
          <w:rPr>
            <w:rStyle w:val="Hyperlink"/>
            <w:rFonts w:eastAsiaTheme="majorEastAsia" w:cstheme="majorBidi"/>
            <w:bCs/>
            <w:noProof/>
          </w:rPr>
          <w:t>Ensuring citizens' health and quality of life</w:t>
        </w:r>
        <w:r>
          <w:rPr>
            <w:noProof/>
            <w:webHidden/>
          </w:rPr>
          <w:tab/>
        </w:r>
        <w:r>
          <w:rPr>
            <w:noProof/>
            <w:webHidden/>
          </w:rPr>
          <w:fldChar w:fldCharType="begin"/>
        </w:r>
        <w:r>
          <w:rPr>
            <w:noProof/>
            <w:webHidden/>
          </w:rPr>
          <w:instrText xml:space="preserve"> PAGEREF _Toc469394696 \h </w:instrText>
        </w:r>
        <w:r>
          <w:rPr>
            <w:noProof/>
            <w:webHidden/>
          </w:rPr>
        </w:r>
        <w:r>
          <w:rPr>
            <w:noProof/>
            <w:webHidden/>
          </w:rPr>
          <w:fldChar w:fldCharType="separate"/>
        </w:r>
        <w:r>
          <w:rPr>
            <w:noProof/>
            <w:webHidden/>
          </w:rPr>
          <w:t>15</w:t>
        </w:r>
        <w:r>
          <w:rPr>
            <w:noProof/>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697" w:history="1">
        <w:r>
          <w:rPr>
            <w:rStyle w:val="Hyperlink"/>
          </w:rPr>
          <w:t>Air quality</w:t>
        </w:r>
        <w:r>
          <w:rPr>
            <w:webHidden/>
          </w:rPr>
          <w:tab/>
        </w:r>
        <w:r>
          <w:rPr>
            <w:webHidden/>
          </w:rPr>
          <w:fldChar w:fldCharType="begin"/>
        </w:r>
        <w:r>
          <w:rPr>
            <w:webHidden/>
          </w:rPr>
          <w:instrText xml:space="preserve"> PAGEREF _Toc469394697 \h </w:instrText>
        </w:r>
        <w:r>
          <w:rPr>
            <w:webHidden/>
          </w:rPr>
        </w:r>
        <w:r>
          <w:rPr>
            <w:webHidden/>
          </w:rPr>
          <w:fldChar w:fldCharType="separate"/>
        </w:r>
        <w:r>
          <w:rPr>
            <w:webHidden/>
          </w:rPr>
          <w:t>15</w:t>
        </w:r>
        <w:r>
          <w:rPr>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698" w:history="1">
        <w:r>
          <w:rPr>
            <w:rStyle w:val="Hyperlink"/>
          </w:rPr>
          <w:t>Noise</w:t>
        </w:r>
        <w:r>
          <w:rPr>
            <w:webHidden/>
          </w:rPr>
          <w:tab/>
        </w:r>
        <w:r>
          <w:rPr>
            <w:webHidden/>
          </w:rPr>
          <w:tab/>
        </w:r>
        <w:r>
          <w:rPr>
            <w:webHidden/>
          </w:rPr>
          <w:fldChar w:fldCharType="begin"/>
        </w:r>
        <w:r>
          <w:rPr>
            <w:webHidden/>
          </w:rPr>
          <w:instrText xml:space="preserve"> PAGEREF _Toc469394698 \h </w:instrText>
        </w:r>
        <w:r>
          <w:rPr>
            <w:webHidden/>
          </w:rPr>
        </w:r>
        <w:r>
          <w:rPr>
            <w:webHidden/>
          </w:rPr>
          <w:fldChar w:fldCharType="separate"/>
        </w:r>
        <w:r>
          <w:rPr>
            <w:webHidden/>
          </w:rPr>
          <w:t>15</w:t>
        </w:r>
        <w:r>
          <w:rPr>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699" w:history="1">
        <w:r>
          <w:rPr>
            <w:rStyle w:val="Hyperlink"/>
          </w:rPr>
          <w:t>Water quality and mana</w:t>
        </w:r>
        <w:r>
          <w:rPr>
            <w:rStyle w:val="Hyperlink"/>
          </w:rPr>
          <w:t>gement</w:t>
        </w:r>
        <w:r>
          <w:rPr>
            <w:webHidden/>
          </w:rPr>
          <w:tab/>
        </w:r>
        <w:r>
          <w:rPr>
            <w:webHidden/>
          </w:rPr>
          <w:fldChar w:fldCharType="begin"/>
        </w:r>
        <w:r>
          <w:rPr>
            <w:webHidden/>
          </w:rPr>
          <w:instrText xml:space="preserve"> PAGEREF _Toc469394699 \h </w:instrText>
        </w:r>
        <w:r>
          <w:rPr>
            <w:webHidden/>
          </w:rPr>
        </w:r>
        <w:r>
          <w:rPr>
            <w:webHidden/>
          </w:rPr>
          <w:fldChar w:fldCharType="separate"/>
        </w:r>
        <w:r>
          <w:rPr>
            <w:webHidden/>
          </w:rPr>
          <w:t>16</w:t>
        </w:r>
        <w:r>
          <w:rPr>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700" w:history="1">
        <w:r>
          <w:rPr>
            <w:rStyle w:val="Hyperlink"/>
          </w:rPr>
          <w:t>Enhancing the sustainability of cities</w:t>
        </w:r>
        <w:r>
          <w:rPr>
            <w:webHidden/>
          </w:rPr>
          <w:tab/>
        </w:r>
        <w:r>
          <w:rPr>
            <w:webHidden/>
          </w:rPr>
          <w:fldChar w:fldCharType="begin"/>
        </w:r>
        <w:r>
          <w:rPr>
            <w:webHidden/>
          </w:rPr>
          <w:instrText xml:space="preserve"> PAGEREF _Toc469394700 \h </w:instrText>
        </w:r>
        <w:r>
          <w:rPr>
            <w:webHidden/>
          </w:rPr>
        </w:r>
        <w:r>
          <w:rPr>
            <w:webHidden/>
          </w:rPr>
          <w:fldChar w:fldCharType="separate"/>
        </w:r>
        <w:r>
          <w:rPr>
            <w:webHidden/>
          </w:rPr>
          <w:t>18</w:t>
        </w:r>
        <w:r>
          <w:rPr>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701" w:history="1">
        <w:r>
          <w:rPr>
            <w:rStyle w:val="Hyperlink"/>
          </w:rPr>
          <w:t>International agreements</w:t>
        </w:r>
        <w:r>
          <w:rPr>
            <w:webHidden/>
          </w:rPr>
          <w:tab/>
        </w:r>
        <w:r>
          <w:rPr>
            <w:webHidden/>
          </w:rPr>
          <w:fldChar w:fldCharType="begin"/>
        </w:r>
        <w:r>
          <w:rPr>
            <w:webHidden/>
          </w:rPr>
          <w:instrText xml:space="preserve"> PAGEREF _Toc469394701 \h </w:instrText>
        </w:r>
        <w:r>
          <w:rPr>
            <w:webHidden/>
          </w:rPr>
        </w:r>
        <w:r>
          <w:rPr>
            <w:webHidden/>
          </w:rPr>
          <w:fldChar w:fldCharType="separate"/>
        </w:r>
        <w:r>
          <w:rPr>
            <w:webHidden/>
          </w:rPr>
          <w:t>19</w:t>
        </w:r>
        <w:r>
          <w:rPr>
            <w:webHidden/>
          </w:rPr>
          <w:fldChar w:fldCharType="end"/>
        </w:r>
      </w:hyperlink>
    </w:p>
    <w:p w:rsidR="003D2157" w:rsidRDefault="00670DB4">
      <w:pPr>
        <w:pStyle w:val="TOC1"/>
        <w:rPr>
          <w:rFonts w:asciiTheme="minorHAnsi" w:eastAsiaTheme="minorEastAsia" w:hAnsiTheme="minorHAnsi" w:cstheme="minorBidi"/>
          <w:caps w:val="0"/>
          <w:noProof/>
          <w:sz w:val="22"/>
          <w:szCs w:val="22"/>
        </w:rPr>
      </w:pPr>
      <w:hyperlink w:anchor="_Toc469394702" w:history="1">
        <w:r>
          <w:rPr>
            <w:rStyle w:val="Hyperlink"/>
            <w:rFonts w:eastAsiaTheme="majorEastAsia" w:cstheme="majorBidi"/>
            <w:bCs/>
            <w:noProof/>
          </w:rPr>
          <w:t>Part II: Enabling Framework: Implementation Tools</w:t>
        </w:r>
        <w:r>
          <w:rPr>
            <w:noProof/>
            <w:webHidden/>
          </w:rPr>
          <w:tab/>
        </w:r>
        <w:r>
          <w:rPr>
            <w:noProof/>
            <w:webHidden/>
          </w:rPr>
          <w:fldChar w:fldCharType="begin"/>
        </w:r>
        <w:r>
          <w:rPr>
            <w:noProof/>
            <w:webHidden/>
          </w:rPr>
          <w:instrText xml:space="preserve"> PAG</w:instrText>
        </w:r>
        <w:r>
          <w:rPr>
            <w:noProof/>
            <w:webHidden/>
          </w:rPr>
          <w:instrText xml:space="preserve">EREF _Toc469394702 \h </w:instrText>
        </w:r>
        <w:r>
          <w:rPr>
            <w:noProof/>
            <w:webHidden/>
          </w:rPr>
        </w:r>
        <w:r>
          <w:rPr>
            <w:noProof/>
            <w:webHidden/>
          </w:rPr>
          <w:fldChar w:fldCharType="separate"/>
        </w:r>
        <w:r>
          <w:rPr>
            <w:noProof/>
            <w:webHidden/>
          </w:rPr>
          <w:t>20</w:t>
        </w:r>
        <w:r>
          <w:rPr>
            <w:noProof/>
            <w:webHidden/>
          </w:rPr>
          <w:fldChar w:fldCharType="end"/>
        </w:r>
      </w:hyperlink>
    </w:p>
    <w:p w:rsidR="003D2157" w:rsidRDefault="00670DB4">
      <w:pPr>
        <w:pStyle w:val="TOC1"/>
        <w:rPr>
          <w:rFonts w:asciiTheme="minorHAnsi" w:eastAsiaTheme="minorEastAsia" w:hAnsiTheme="minorHAnsi" w:cstheme="minorBidi"/>
          <w:caps w:val="0"/>
          <w:noProof/>
          <w:sz w:val="22"/>
          <w:szCs w:val="22"/>
        </w:rPr>
      </w:pPr>
      <w:hyperlink w:anchor="_Toc469394703" w:history="1">
        <w:r>
          <w:rPr>
            <w:rStyle w:val="Hyperlink"/>
            <w:rFonts w:eastAsiaTheme="majorEastAsia" w:cstheme="majorBidi"/>
            <w:bCs/>
            <w:noProof/>
          </w:rPr>
          <w:t>4.</w:t>
        </w:r>
        <w:r>
          <w:rPr>
            <w:rFonts w:asciiTheme="minorHAnsi" w:eastAsiaTheme="minorEastAsia" w:hAnsiTheme="minorHAnsi" w:cstheme="minorBidi"/>
            <w:caps w:val="0"/>
            <w:noProof/>
            <w:sz w:val="22"/>
            <w:szCs w:val="22"/>
          </w:rPr>
          <w:tab/>
        </w:r>
        <w:r>
          <w:rPr>
            <w:rStyle w:val="Hyperlink"/>
            <w:rFonts w:eastAsiaTheme="majorEastAsia" w:cstheme="majorBidi"/>
            <w:bCs/>
            <w:noProof/>
          </w:rPr>
          <w:t>Market based instruments and investments</w:t>
        </w:r>
        <w:r>
          <w:rPr>
            <w:noProof/>
            <w:webHidden/>
          </w:rPr>
          <w:tab/>
        </w:r>
        <w:r>
          <w:rPr>
            <w:noProof/>
            <w:webHidden/>
          </w:rPr>
          <w:fldChar w:fldCharType="begin"/>
        </w:r>
        <w:r>
          <w:rPr>
            <w:noProof/>
            <w:webHidden/>
          </w:rPr>
          <w:instrText xml:space="preserve"> PAGEREF _Toc469394703 \h </w:instrText>
        </w:r>
        <w:r>
          <w:rPr>
            <w:noProof/>
            <w:webHidden/>
          </w:rPr>
        </w:r>
        <w:r>
          <w:rPr>
            <w:noProof/>
            <w:webHidden/>
          </w:rPr>
          <w:fldChar w:fldCharType="separate"/>
        </w:r>
        <w:r>
          <w:rPr>
            <w:noProof/>
            <w:webHidden/>
          </w:rPr>
          <w:t>20</w:t>
        </w:r>
        <w:r>
          <w:rPr>
            <w:noProof/>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704" w:history="1">
        <w:r>
          <w:rPr>
            <w:rStyle w:val="Hyperlink"/>
          </w:rPr>
          <w:t>Green taxation and environmentally harmful subsidies</w:t>
        </w:r>
        <w:r>
          <w:rPr>
            <w:webHidden/>
          </w:rPr>
          <w:tab/>
        </w:r>
        <w:r>
          <w:rPr>
            <w:webHidden/>
          </w:rPr>
          <w:fldChar w:fldCharType="begin"/>
        </w:r>
        <w:r>
          <w:rPr>
            <w:webHidden/>
          </w:rPr>
          <w:instrText xml:space="preserve"> PAGEREF _Toc469394704 \h </w:instrText>
        </w:r>
        <w:r>
          <w:rPr>
            <w:webHidden/>
          </w:rPr>
        </w:r>
        <w:r>
          <w:rPr>
            <w:webHidden/>
          </w:rPr>
          <w:fldChar w:fldCharType="separate"/>
        </w:r>
        <w:r>
          <w:rPr>
            <w:webHidden/>
          </w:rPr>
          <w:t>20</w:t>
        </w:r>
        <w:r>
          <w:rPr>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705" w:history="1">
        <w:r>
          <w:rPr>
            <w:rStyle w:val="Hyperlink"/>
          </w:rPr>
          <w:t>Green Public Procurement</w:t>
        </w:r>
        <w:r>
          <w:rPr>
            <w:webHidden/>
          </w:rPr>
          <w:tab/>
        </w:r>
        <w:r>
          <w:rPr>
            <w:webHidden/>
          </w:rPr>
          <w:fldChar w:fldCharType="begin"/>
        </w:r>
        <w:r>
          <w:rPr>
            <w:webHidden/>
          </w:rPr>
          <w:instrText xml:space="preserve"> PAGEREF _Toc469394705 \h </w:instrText>
        </w:r>
        <w:r>
          <w:rPr>
            <w:webHidden/>
          </w:rPr>
        </w:r>
        <w:r>
          <w:rPr>
            <w:webHidden/>
          </w:rPr>
          <w:fldChar w:fldCharType="separate"/>
        </w:r>
        <w:r>
          <w:rPr>
            <w:webHidden/>
          </w:rPr>
          <w:t>21</w:t>
        </w:r>
        <w:r>
          <w:rPr>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706" w:history="1">
        <w:r>
          <w:rPr>
            <w:rStyle w:val="Hyperlink"/>
          </w:rPr>
          <w:t>Investments: the contribution of EU funds</w:t>
        </w:r>
        <w:r>
          <w:rPr>
            <w:webHidden/>
          </w:rPr>
          <w:tab/>
        </w:r>
        <w:r>
          <w:rPr>
            <w:webHidden/>
          </w:rPr>
          <w:fldChar w:fldCharType="begin"/>
        </w:r>
        <w:r>
          <w:rPr>
            <w:webHidden/>
          </w:rPr>
          <w:instrText xml:space="preserve"> PAGEREF _Toc469394706 \h </w:instrText>
        </w:r>
        <w:r>
          <w:rPr>
            <w:webHidden/>
          </w:rPr>
        </w:r>
        <w:r>
          <w:rPr>
            <w:webHidden/>
          </w:rPr>
          <w:fldChar w:fldCharType="separate"/>
        </w:r>
        <w:r>
          <w:rPr>
            <w:webHidden/>
          </w:rPr>
          <w:t>21</w:t>
        </w:r>
        <w:r>
          <w:rPr>
            <w:webHidden/>
          </w:rPr>
          <w:fldChar w:fldCharType="end"/>
        </w:r>
      </w:hyperlink>
    </w:p>
    <w:p w:rsidR="003D2157" w:rsidRDefault="00670DB4">
      <w:pPr>
        <w:pStyle w:val="TOC1"/>
        <w:rPr>
          <w:rFonts w:asciiTheme="minorHAnsi" w:eastAsiaTheme="minorEastAsia" w:hAnsiTheme="minorHAnsi" w:cstheme="minorBidi"/>
          <w:caps w:val="0"/>
          <w:noProof/>
          <w:sz w:val="22"/>
          <w:szCs w:val="22"/>
        </w:rPr>
      </w:pPr>
      <w:hyperlink w:anchor="_Toc469394707" w:history="1">
        <w:r>
          <w:rPr>
            <w:rStyle w:val="Hyperlink"/>
            <w:rFonts w:eastAsiaTheme="majorEastAsia" w:cstheme="majorBidi"/>
            <w:bCs/>
            <w:noProof/>
          </w:rPr>
          <w:t>5.</w:t>
        </w:r>
        <w:r>
          <w:rPr>
            <w:rFonts w:asciiTheme="minorHAnsi" w:eastAsiaTheme="minorEastAsia" w:hAnsiTheme="minorHAnsi" w:cstheme="minorBidi"/>
            <w:caps w:val="0"/>
            <w:noProof/>
            <w:sz w:val="22"/>
            <w:szCs w:val="22"/>
          </w:rPr>
          <w:tab/>
        </w:r>
        <w:r>
          <w:rPr>
            <w:rStyle w:val="Hyperlink"/>
            <w:rFonts w:eastAsiaTheme="majorEastAsia" w:cstheme="majorBidi"/>
            <w:bCs/>
            <w:noProof/>
          </w:rPr>
          <w:t>Effective governance and knowledge</w:t>
        </w:r>
        <w:r>
          <w:rPr>
            <w:noProof/>
            <w:webHidden/>
          </w:rPr>
          <w:tab/>
        </w:r>
        <w:r>
          <w:rPr>
            <w:noProof/>
            <w:webHidden/>
          </w:rPr>
          <w:fldChar w:fldCharType="begin"/>
        </w:r>
        <w:r>
          <w:rPr>
            <w:noProof/>
            <w:webHidden/>
          </w:rPr>
          <w:instrText xml:space="preserve"> PAGEREF _Toc469394707 \h </w:instrText>
        </w:r>
        <w:r>
          <w:rPr>
            <w:noProof/>
            <w:webHidden/>
          </w:rPr>
        </w:r>
        <w:r>
          <w:rPr>
            <w:noProof/>
            <w:webHidden/>
          </w:rPr>
          <w:fldChar w:fldCharType="separate"/>
        </w:r>
        <w:r>
          <w:rPr>
            <w:noProof/>
            <w:webHidden/>
          </w:rPr>
          <w:t>23</w:t>
        </w:r>
        <w:r>
          <w:rPr>
            <w:noProof/>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708" w:history="1">
        <w:r>
          <w:rPr>
            <w:rStyle w:val="Hyperlink"/>
          </w:rPr>
          <w:t>Effective governance within central, regional and local government</w:t>
        </w:r>
        <w:r>
          <w:rPr>
            <w:webHidden/>
          </w:rPr>
          <w:tab/>
        </w:r>
        <w:r>
          <w:rPr>
            <w:webHidden/>
          </w:rPr>
          <w:fldChar w:fldCharType="begin"/>
        </w:r>
        <w:r>
          <w:rPr>
            <w:webHidden/>
          </w:rPr>
          <w:instrText xml:space="preserve"> PAGEREF _Toc469394708 \h </w:instrText>
        </w:r>
        <w:r>
          <w:rPr>
            <w:webHidden/>
          </w:rPr>
        </w:r>
        <w:r>
          <w:rPr>
            <w:webHidden/>
          </w:rPr>
          <w:fldChar w:fldCharType="separate"/>
        </w:r>
        <w:r>
          <w:rPr>
            <w:webHidden/>
          </w:rPr>
          <w:t>23</w:t>
        </w:r>
        <w:r>
          <w:rPr>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709" w:history="1">
        <w:r>
          <w:rPr>
            <w:rStyle w:val="Hyperlink"/>
          </w:rPr>
          <w:t>Compliance assurance</w:t>
        </w:r>
        <w:r>
          <w:rPr>
            <w:webHidden/>
          </w:rPr>
          <w:tab/>
        </w:r>
        <w:r>
          <w:rPr>
            <w:webHidden/>
          </w:rPr>
          <w:fldChar w:fldCharType="begin"/>
        </w:r>
        <w:r>
          <w:rPr>
            <w:webHidden/>
          </w:rPr>
          <w:instrText xml:space="preserve"> PAGEREF _Toc469394709 \h </w:instrText>
        </w:r>
        <w:r>
          <w:rPr>
            <w:webHidden/>
          </w:rPr>
        </w:r>
        <w:r>
          <w:rPr>
            <w:webHidden/>
          </w:rPr>
          <w:fldChar w:fldCharType="separate"/>
        </w:r>
        <w:r>
          <w:rPr>
            <w:webHidden/>
          </w:rPr>
          <w:t>24</w:t>
        </w:r>
        <w:r>
          <w:rPr>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710" w:history="1">
        <w:r>
          <w:rPr>
            <w:rStyle w:val="Hyperlink"/>
          </w:rPr>
          <w:t>Public participation and access to justice</w:t>
        </w:r>
        <w:r>
          <w:rPr>
            <w:webHidden/>
          </w:rPr>
          <w:tab/>
        </w:r>
        <w:r>
          <w:rPr>
            <w:webHidden/>
          </w:rPr>
          <w:fldChar w:fldCharType="begin"/>
        </w:r>
        <w:r>
          <w:rPr>
            <w:webHidden/>
          </w:rPr>
          <w:instrText xml:space="preserve"> PAGEREF _Toc469394710 \h </w:instrText>
        </w:r>
        <w:r>
          <w:rPr>
            <w:webHidden/>
          </w:rPr>
        </w:r>
        <w:r>
          <w:rPr>
            <w:webHidden/>
          </w:rPr>
          <w:fldChar w:fldCharType="separate"/>
        </w:r>
        <w:r>
          <w:rPr>
            <w:webHidden/>
          </w:rPr>
          <w:t>26</w:t>
        </w:r>
        <w:r>
          <w:rPr>
            <w:webHidden/>
          </w:rPr>
          <w:fldChar w:fldCharType="end"/>
        </w:r>
      </w:hyperlink>
    </w:p>
    <w:p w:rsidR="003D2157" w:rsidRDefault="00670DB4">
      <w:pPr>
        <w:pStyle w:val="TOC2"/>
        <w:rPr>
          <w:rFonts w:asciiTheme="minorHAnsi" w:eastAsiaTheme="minorEastAsia" w:hAnsiTheme="minorHAnsi" w:cstheme="minorBidi"/>
          <w:sz w:val="22"/>
          <w:szCs w:val="22"/>
        </w:rPr>
      </w:pPr>
      <w:hyperlink w:anchor="_Toc469394711" w:history="1">
        <w:r>
          <w:rPr>
            <w:rStyle w:val="Hyperlink"/>
          </w:rPr>
          <w:t>Access to Information, knowledge and evidence</w:t>
        </w:r>
        <w:r>
          <w:rPr>
            <w:webHidden/>
          </w:rPr>
          <w:tab/>
        </w:r>
        <w:r>
          <w:rPr>
            <w:webHidden/>
          </w:rPr>
          <w:fldChar w:fldCharType="begin"/>
        </w:r>
        <w:r>
          <w:rPr>
            <w:webHidden/>
          </w:rPr>
          <w:instrText xml:space="preserve"> PAGEREF _Toc469394711 \h </w:instrText>
        </w:r>
        <w:r>
          <w:rPr>
            <w:webHidden/>
          </w:rPr>
        </w:r>
        <w:r>
          <w:rPr>
            <w:webHidden/>
          </w:rPr>
          <w:fldChar w:fldCharType="separate"/>
        </w:r>
        <w:r>
          <w:rPr>
            <w:webHidden/>
          </w:rPr>
          <w:t>26</w:t>
        </w:r>
        <w:r>
          <w:rPr>
            <w:webHidden/>
          </w:rPr>
          <w:fldChar w:fldCharType="end"/>
        </w:r>
      </w:hyperlink>
    </w:p>
    <w:p w:rsidR="003D2157" w:rsidRDefault="00670DB4">
      <w:pPr>
        <w:widowControl w:val="0"/>
        <w:spacing w:before="240" w:after="120" w:line="240" w:lineRule="auto"/>
        <w:ind w:left="113" w:hanging="113"/>
        <w:jc w:val="center"/>
        <w:rPr>
          <w:rFonts w:eastAsia="Times New Roman"/>
          <w:b/>
          <w:noProof/>
        </w:rPr>
      </w:pPr>
      <w:r>
        <w:rPr>
          <w:b/>
          <w:caps/>
          <w:noProof/>
          <w:lang w:val="en-US" w:eastAsia="ja-JP"/>
        </w:rPr>
        <w:fldChar w:fldCharType="end"/>
      </w:r>
    </w:p>
    <w:p w:rsidR="003D2157" w:rsidRDefault="00670DB4">
      <w:pPr>
        <w:widowControl w:val="0"/>
        <w:spacing w:after="120"/>
        <w:rPr>
          <w:rFonts w:cs="Times New Roman"/>
          <w:noProof/>
          <w:sz w:val="20"/>
        </w:rPr>
        <w:sectPr w:rsidR="003D2157">
          <w:headerReference w:type="even" r:id="rId24"/>
          <w:headerReference w:type="default" r:id="rId25"/>
          <w:footerReference w:type="even" r:id="rId26"/>
          <w:footerReference w:type="default" r:id="rId27"/>
          <w:headerReference w:type="first" r:id="rId28"/>
          <w:footerReference w:type="first" r:id="rId29"/>
          <w:pgSz w:w="11906" w:h="16838"/>
          <w:pgMar w:top="1440" w:right="1280" w:bottom="1440" w:left="1280" w:header="708" w:footer="708" w:gutter="0"/>
          <w:pgNumType w:start="3"/>
          <w:cols w:space="360"/>
          <w:docGrid w:linePitch="360"/>
        </w:sectPr>
      </w:pPr>
      <w:r>
        <w:rPr>
          <w:rFonts w:cs="Times New Roman"/>
          <w:noProof/>
          <w:sz w:val="20"/>
        </w:rPr>
        <w:br w:type="page"/>
      </w:r>
    </w:p>
    <w:p w:rsidR="003D2157" w:rsidRDefault="00670DB4">
      <w:pPr>
        <w:keepLines/>
        <w:widowControl w:val="0"/>
        <w:spacing w:after="0" w:line="240" w:lineRule="auto"/>
        <w:jc w:val="center"/>
        <w:outlineLvl w:val="0"/>
        <w:rPr>
          <w:rFonts w:eastAsiaTheme="majorEastAsia" w:cstheme="majorBidi"/>
          <w:b/>
          <w:bCs/>
          <w:noProof/>
          <w:color w:val="1F497D" w:themeColor="text2"/>
          <w:sz w:val="32"/>
          <w:szCs w:val="28"/>
        </w:rPr>
      </w:pPr>
      <w:bookmarkStart w:id="5" w:name="_Toc469394685"/>
      <w:r>
        <w:rPr>
          <w:rFonts w:eastAsiaTheme="majorEastAsia" w:cstheme="majorBidi"/>
          <w:b/>
          <w:bCs/>
          <w:noProof/>
          <w:color w:val="1F497D" w:themeColor="text2"/>
          <w:sz w:val="32"/>
          <w:szCs w:val="28"/>
        </w:rPr>
        <w:lastRenderedPageBreak/>
        <w:t>Executive summary</w:t>
      </w:r>
      <w:bookmarkEnd w:id="4"/>
      <w:bookmarkEnd w:id="5"/>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sectPr w:rsidR="003D2157">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280" w:bottom="1440" w:left="1280" w:header="708" w:footer="708" w:gutter="0"/>
          <w:cols w:space="360"/>
          <w:docGrid w:linePitch="360"/>
        </w:sectPr>
      </w:pPr>
    </w:p>
    <w:p w:rsidR="003D2157" w:rsidRDefault="00670DB4">
      <w:pPr>
        <w:widowControl w:val="0"/>
        <w:spacing w:after="120" w:line="240" w:lineRule="auto"/>
        <w:jc w:val="both"/>
        <w:rPr>
          <w:rFonts w:cstheme="minorHAnsi"/>
          <w:i/>
          <w:noProof/>
          <w:color w:val="1F497D" w:themeColor="text2"/>
        </w:rPr>
      </w:pPr>
      <w:r>
        <w:rPr>
          <w:rFonts w:cstheme="minorHAnsi"/>
          <w:b/>
          <w:noProof/>
          <w:color w:val="1F497D" w:themeColor="text2"/>
        </w:rPr>
        <w:t>About the Environmental Implementation Review</w:t>
      </w:r>
    </w:p>
    <w:p w:rsidR="003D2157" w:rsidRDefault="00670DB4">
      <w:pPr>
        <w:widowControl w:val="0"/>
        <w:spacing w:after="120" w:line="240" w:lineRule="auto"/>
        <w:jc w:val="both"/>
        <w:rPr>
          <w:noProof/>
          <w:sz w:val="20"/>
        </w:rPr>
      </w:pPr>
      <w:r>
        <w:rPr>
          <w:noProof/>
          <w:sz w:val="20"/>
        </w:rPr>
        <w:t xml:space="preserve">In May 2016, the Commission launched the Environmental Implementation Review (EIR), a two-year cycle of analysis, dialogue and collaboration to improve the </w:t>
      </w:r>
      <w:r>
        <w:rPr>
          <w:noProof/>
          <w:sz w:val="20"/>
        </w:rPr>
        <w:t>implementation of existing EU environmental policy and legislation</w:t>
      </w:r>
      <w:r>
        <w:rPr>
          <w:noProof/>
          <w:sz w:val="20"/>
          <w:vertAlign w:val="superscript"/>
        </w:rPr>
        <w:footnoteReference w:id="1"/>
      </w:r>
      <w:r>
        <w:rPr>
          <w:noProof/>
          <w:sz w:val="20"/>
        </w:rPr>
        <w:t>. As a first step, the Commission drafted 28 reports describing the main challenges and opportunities on environmental implementation for each Member State. These reports are meant to stimu</w:t>
      </w:r>
      <w:r>
        <w:rPr>
          <w:noProof/>
          <w:sz w:val="20"/>
        </w:rPr>
        <w:t xml:space="preserve">late a positive debate both on shared environmental challenges for the EU, as well as on the most effective ways to address the key implementation gaps. The reports rely on the detailed sectoral implementation reports collected or issued by the Commission </w:t>
      </w:r>
      <w:r>
        <w:rPr>
          <w:noProof/>
          <w:sz w:val="20"/>
        </w:rPr>
        <w:t xml:space="preserve">under specific environmental legislation as well as the 2015 State of the Environment Report and other reports by the European Environment Agency. These reports will not replace the specific instruments to ensure compliance with the EU legal obligations. </w:t>
      </w:r>
    </w:p>
    <w:p w:rsidR="003D2157" w:rsidRDefault="00670DB4">
      <w:pPr>
        <w:widowControl w:val="0"/>
        <w:spacing w:after="120" w:line="240" w:lineRule="auto"/>
        <w:jc w:val="both"/>
        <w:rPr>
          <w:rFonts w:cs="Times New Roman"/>
          <w:noProof/>
          <w:sz w:val="20"/>
        </w:rPr>
      </w:pPr>
      <w:r>
        <w:rPr>
          <w:rFonts w:cs="Times New Roman"/>
          <w:noProof/>
          <w:sz w:val="20"/>
        </w:rPr>
        <w:t>The reports will broadly follow the outline of the 7th Environmental Action Programme</w:t>
      </w:r>
      <w:r>
        <w:rPr>
          <w:rFonts w:eastAsia="Calibri" w:cs="Times New Roman"/>
          <w:noProof/>
          <w:sz w:val="20"/>
          <w:vertAlign w:val="superscript"/>
        </w:rPr>
        <w:footnoteReference w:id="2"/>
      </w:r>
      <w:r>
        <w:rPr>
          <w:rFonts w:eastAsia="Calibri" w:cs="Times New Roman"/>
          <w:noProof/>
          <w:sz w:val="20"/>
        </w:rPr>
        <w:t xml:space="preserve"> </w:t>
      </w:r>
      <w:r>
        <w:rPr>
          <w:rFonts w:cs="Times New Roman"/>
          <w:noProof/>
          <w:sz w:val="20"/>
        </w:rPr>
        <w:t xml:space="preserve">and refer to the 2030 Agenda for Sustainable development and related </w:t>
      </w:r>
      <w:r>
        <w:rPr>
          <w:rFonts w:eastAsia="Calibri" w:cs="Times New Roman"/>
          <w:noProof/>
          <w:sz w:val="20"/>
        </w:rPr>
        <w:t>Sustainable Development Goals (SDGs)</w:t>
      </w:r>
      <w:r>
        <w:rPr>
          <w:rFonts w:eastAsia="Calibri" w:cs="Times New Roman"/>
          <w:noProof/>
          <w:sz w:val="20"/>
          <w:vertAlign w:val="superscript"/>
        </w:rPr>
        <w:footnoteReference w:id="3"/>
      </w:r>
      <w:r>
        <w:rPr>
          <w:rFonts w:eastAsia="Calibri" w:cs="Times New Roman"/>
          <w:noProof/>
          <w:sz w:val="20"/>
        </w:rPr>
        <w:t xml:space="preserve"> </w:t>
      </w:r>
      <w:r>
        <w:rPr>
          <w:rFonts w:cs="Times New Roman"/>
          <w:noProof/>
          <w:sz w:val="20"/>
        </w:rPr>
        <w:t>to the extent to which they reflect the existing obligations a</w:t>
      </w:r>
      <w:r>
        <w:rPr>
          <w:rFonts w:cs="Times New Roman"/>
          <w:noProof/>
          <w:sz w:val="20"/>
        </w:rPr>
        <w:t>nd policy objectives of EU environmental law</w:t>
      </w:r>
      <w:r>
        <w:rPr>
          <w:rFonts w:eastAsia="Calibri" w:cs="Times New Roman"/>
          <w:noProof/>
          <w:sz w:val="20"/>
          <w:vertAlign w:val="superscript"/>
        </w:rPr>
        <w:footnoteReference w:id="4"/>
      </w:r>
      <w:r>
        <w:rPr>
          <w:rFonts w:cs="Times New Roman"/>
          <w:noProof/>
          <w:sz w:val="20"/>
        </w:rPr>
        <w:t xml:space="preserve">. </w:t>
      </w:r>
    </w:p>
    <w:p w:rsidR="003D2157" w:rsidRDefault="00670DB4">
      <w:pPr>
        <w:widowControl w:val="0"/>
        <w:spacing w:after="120" w:line="240" w:lineRule="auto"/>
        <w:jc w:val="both"/>
        <w:rPr>
          <w:rFonts w:cs="Times New Roman"/>
          <w:noProof/>
          <w:sz w:val="20"/>
        </w:rPr>
      </w:pPr>
      <w:r>
        <w:rPr>
          <w:noProof/>
          <w:sz w:val="20"/>
        </w:rPr>
        <w:t>The main challenges have been selected by taking into account factors such as the importance or the gravity of the environmental implementation issue in the light of the impact on the quality of life of the c</w:t>
      </w:r>
      <w:r>
        <w:rPr>
          <w:noProof/>
          <w:sz w:val="20"/>
        </w:rPr>
        <w:t>itizens, the distance to target, and financial implications.</w:t>
      </w:r>
    </w:p>
    <w:p w:rsidR="003D2157" w:rsidRDefault="00670DB4">
      <w:pPr>
        <w:spacing w:after="120" w:line="240" w:lineRule="auto"/>
        <w:jc w:val="both"/>
        <w:rPr>
          <w:noProof/>
          <w:sz w:val="20"/>
        </w:rPr>
      </w:pPr>
      <w:r>
        <w:rPr>
          <w:noProof/>
          <w:sz w:val="20"/>
        </w:rPr>
        <w:t>The reports accompany the Communication "</w:t>
      </w:r>
      <w:r>
        <w:rPr>
          <w:i/>
          <w:noProof/>
          <w:sz w:val="20"/>
        </w:rPr>
        <w:t>The EU Environmental Implementation Review 2016: Common challenges and how to combine efforts to deliver better results</w:t>
      </w:r>
      <w:r>
        <w:rPr>
          <w:noProof/>
          <w:sz w:val="20"/>
        </w:rPr>
        <w:t>", which identifies challenges that</w:t>
      </w:r>
      <w:r>
        <w:rPr>
          <w:noProof/>
          <w:sz w:val="20"/>
        </w:rPr>
        <w:t xml:space="preserve"> are common to several Member States, provides preliminary conclusions on possible root causes of implementation gaps and proposes joint actions to deliver better results. It also groups in its Annex the actions proposed in each country report to improve i</w:t>
      </w:r>
      <w:r>
        <w:rPr>
          <w:noProof/>
          <w:sz w:val="20"/>
        </w:rPr>
        <w:t>mplementation at national level.</w:t>
      </w:r>
    </w:p>
    <w:p w:rsidR="003D2157" w:rsidRDefault="00670DB4">
      <w:pPr>
        <w:widowControl w:val="0"/>
        <w:spacing w:after="120" w:line="240" w:lineRule="auto"/>
        <w:jc w:val="both"/>
        <w:rPr>
          <w:rFonts w:cs="Times New Roman"/>
          <w:noProof/>
          <w:sz w:val="20"/>
          <w:szCs w:val="26"/>
        </w:rPr>
      </w:pPr>
      <w:r>
        <w:rPr>
          <w:rFonts w:cstheme="minorHAnsi"/>
          <w:b/>
          <w:noProof/>
          <w:color w:val="1F497D" w:themeColor="text2"/>
        </w:rPr>
        <w:t>General</w:t>
      </w:r>
      <w:r>
        <w:rPr>
          <w:rFonts w:cs="Times New Roman"/>
          <w:noProof/>
          <w:sz w:val="20"/>
          <w:szCs w:val="26"/>
        </w:rPr>
        <w:t xml:space="preserve"> </w:t>
      </w:r>
    </w:p>
    <w:p w:rsidR="003D2157" w:rsidRDefault="00670DB4">
      <w:pPr>
        <w:widowControl w:val="0"/>
        <w:spacing w:after="120" w:line="240" w:lineRule="auto"/>
        <w:jc w:val="both"/>
        <w:rPr>
          <w:rFonts w:cs="Times New Roman"/>
          <w:noProof/>
          <w:sz w:val="20"/>
          <w:szCs w:val="26"/>
        </w:rPr>
      </w:pPr>
      <w:r>
        <w:rPr>
          <w:rFonts w:cs="Times New Roman"/>
          <w:noProof/>
          <w:sz w:val="20"/>
          <w:szCs w:val="26"/>
        </w:rPr>
        <w:t>Environmental policy is primarily devolved within the UK, with the devolved administrations (Scotland, Northern Ireland and Wales) responsible for environmental and related economic development measures. The UK gov</w:t>
      </w:r>
      <w:r>
        <w:rPr>
          <w:rFonts w:cs="Times New Roman"/>
          <w:noProof/>
          <w:sz w:val="20"/>
          <w:szCs w:val="26"/>
        </w:rPr>
        <w:t xml:space="preserve">ernment is responsible for implementing environmental policy in England. </w:t>
      </w:r>
    </w:p>
    <w:p w:rsidR="003D2157" w:rsidRDefault="00670DB4">
      <w:pPr>
        <w:widowControl w:val="0"/>
        <w:spacing w:after="120" w:line="240" w:lineRule="auto"/>
        <w:jc w:val="both"/>
        <w:rPr>
          <w:rFonts w:cstheme="minorHAnsi"/>
          <w:b/>
          <w:noProof/>
          <w:color w:val="1F497D" w:themeColor="text2"/>
        </w:rPr>
      </w:pPr>
      <w:r>
        <w:rPr>
          <w:rFonts w:cstheme="minorHAnsi"/>
          <w:b/>
          <w:noProof/>
          <w:color w:val="1F497D" w:themeColor="text2"/>
        </w:rPr>
        <w:t>Main Challenges</w:t>
      </w:r>
    </w:p>
    <w:p w:rsidR="003D2157" w:rsidRDefault="00670DB4">
      <w:pPr>
        <w:widowControl w:val="0"/>
        <w:spacing w:after="120" w:line="240" w:lineRule="auto"/>
        <w:jc w:val="both"/>
        <w:rPr>
          <w:rFonts w:cs="Times New Roman"/>
          <w:noProof/>
          <w:sz w:val="20"/>
          <w:szCs w:val="20"/>
        </w:rPr>
      </w:pPr>
      <w:r>
        <w:rPr>
          <w:rFonts w:cs="Times New Roman"/>
          <w:noProof/>
          <w:sz w:val="20"/>
        </w:rPr>
        <w:t>The three main challenges with regard to implementation of EU environmental policy and law in the United Kingdom are:</w:t>
      </w:r>
    </w:p>
    <w:p w:rsidR="003D2157" w:rsidRDefault="00670DB4">
      <w:pPr>
        <w:widowControl w:val="0"/>
        <w:numPr>
          <w:ilvl w:val="0"/>
          <w:numId w:val="29"/>
        </w:numPr>
        <w:spacing w:after="120" w:line="240" w:lineRule="auto"/>
        <w:contextualSpacing/>
        <w:jc w:val="both"/>
        <w:rPr>
          <w:rFonts w:cs="Times New Roman"/>
          <w:noProof/>
          <w:sz w:val="20"/>
          <w:szCs w:val="20"/>
        </w:rPr>
      </w:pPr>
      <w:r>
        <w:rPr>
          <w:rFonts w:cs="Times New Roman"/>
          <w:noProof/>
          <w:sz w:val="20"/>
        </w:rPr>
        <w:t>Improving air quality in urban areas, especially</w:t>
      </w:r>
      <w:r>
        <w:rPr>
          <w:rFonts w:cs="Times New Roman"/>
          <w:noProof/>
          <w:sz w:val="20"/>
        </w:rPr>
        <w:t xml:space="preserve"> nitrogen dioxide (NO2). </w:t>
      </w:r>
    </w:p>
    <w:p w:rsidR="003D2157" w:rsidRDefault="00670DB4">
      <w:pPr>
        <w:widowControl w:val="0"/>
        <w:numPr>
          <w:ilvl w:val="0"/>
          <w:numId w:val="29"/>
        </w:numPr>
        <w:spacing w:after="120" w:line="240" w:lineRule="auto"/>
        <w:contextualSpacing/>
        <w:jc w:val="both"/>
        <w:rPr>
          <w:rFonts w:cstheme="minorHAnsi"/>
          <w:b/>
          <w:noProof/>
          <w:color w:val="1F497D" w:themeColor="text2"/>
        </w:rPr>
      </w:pPr>
      <w:r>
        <w:rPr>
          <w:rFonts w:cs="Times New Roman"/>
          <w:noProof/>
          <w:sz w:val="20"/>
          <w:szCs w:val="20"/>
        </w:rPr>
        <w:t xml:space="preserve">Tackling </w:t>
      </w:r>
      <w:r>
        <w:rPr>
          <w:rFonts w:cs="Times New Roman"/>
          <w:noProof/>
          <w:sz w:val="20"/>
        </w:rPr>
        <w:t xml:space="preserve">water quality, notably agricultural pollution nitrates) but also remaining urban waste water issues such as storm water overflows. </w:t>
      </w:r>
    </w:p>
    <w:p w:rsidR="003D2157" w:rsidRDefault="00670DB4">
      <w:pPr>
        <w:widowControl w:val="0"/>
        <w:numPr>
          <w:ilvl w:val="0"/>
          <w:numId w:val="29"/>
        </w:numPr>
        <w:spacing w:after="120" w:line="240" w:lineRule="auto"/>
        <w:jc w:val="both"/>
        <w:rPr>
          <w:rFonts w:cs="Times New Roman"/>
          <w:noProof/>
          <w:sz w:val="20"/>
        </w:rPr>
      </w:pPr>
      <w:r>
        <w:rPr>
          <w:rFonts w:cs="Times New Roman"/>
          <w:noProof/>
          <w:sz w:val="20"/>
        </w:rPr>
        <w:t>Completing the Natura 2000 designation process for marine sites, increase the focus on pr</w:t>
      </w:r>
      <w:r>
        <w:rPr>
          <w:rFonts w:cs="Times New Roman"/>
          <w:noProof/>
          <w:sz w:val="20"/>
        </w:rPr>
        <w:t>otecting species and habitats outside the limited UK Natura 2000 terrestrial network and to develop an overall protection strategy for dispersed species such as bats and great crested newts.</w:t>
      </w:r>
    </w:p>
    <w:p w:rsidR="003D2157" w:rsidRDefault="00670DB4">
      <w:pPr>
        <w:widowControl w:val="0"/>
        <w:spacing w:after="120" w:line="240" w:lineRule="auto"/>
        <w:jc w:val="both"/>
        <w:rPr>
          <w:rFonts w:cstheme="minorHAnsi"/>
          <w:b/>
          <w:noProof/>
          <w:color w:val="1F497D" w:themeColor="text2"/>
        </w:rPr>
      </w:pPr>
      <w:r>
        <w:rPr>
          <w:rFonts w:cstheme="minorHAnsi"/>
          <w:b/>
          <w:noProof/>
          <w:color w:val="1F497D" w:themeColor="text2"/>
        </w:rPr>
        <w:t>Main Opportunities</w:t>
      </w:r>
    </w:p>
    <w:p w:rsidR="003D2157" w:rsidRDefault="00670DB4">
      <w:pPr>
        <w:widowControl w:val="0"/>
        <w:spacing w:after="120" w:line="240" w:lineRule="auto"/>
        <w:jc w:val="both"/>
        <w:rPr>
          <w:rFonts w:cs="Times New Roman"/>
          <w:noProof/>
          <w:sz w:val="20"/>
          <w:lang w:eastAsia="ja-JP"/>
        </w:rPr>
      </w:pPr>
      <w:r>
        <w:rPr>
          <w:rFonts w:cs="Times New Roman"/>
          <w:noProof/>
          <w:sz w:val="20"/>
          <w:lang w:eastAsia="ja-JP"/>
        </w:rPr>
        <w:t xml:space="preserve">The United Kingdom could perform better on </w:t>
      </w:r>
      <w:r>
        <w:rPr>
          <w:rFonts w:cs="Times New Roman"/>
          <w:noProof/>
          <w:sz w:val="20"/>
          <w:lang w:eastAsia="ja-JP"/>
        </w:rPr>
        <w:t>topics where there is already a good knowledge base and good practices. This applies in particular to:</w:t>
      </w:r>
    </w:p>
    <w:p w:rsidR="003D2157" w:rsidRDefault="00670DB4">
      <w:pPr>
        <w:widowControl w:val="0"/>
        <w:numPr>
          <w:ilvl w:val="0"/>
          <w:numId w:val="30"/>
        </w:numPr>
        <w:spacing w:after="120" w:line="240" w:lineRule="auto"/>
        <w:jc w:val="both"/>
        <w:rPr>
          <w:rFonts w:cs="Times New Roman"/>
          <w:noProof/>
          <w:sz w:val="20"/>
          <w:lang w:eastAsia="ja-JP"/>
        </w:rPr>
      </w:pPr>
      <w:r>
        <w:rPr>
          <w:rFonts w:cs="Times New Roman"/>
          <w:noProof/>
          <w:sz w:val="20"/>
          <w:lang w:eastAsia="ja-JP"/>
        </w:rPr>
        <w:t>Recycling.</w:t>
      </w:r>
      <w:r>
        <w:rPr>
          <w:rFonts w:cs="Times New Roman"/>
          <w:b/>
          <w:noProof/>
          <w:sz w:val="20"/>
          <w:lang w:eastAsia="ja-JP"/>
        </w:rPr>
        <w:t xml:space="preserve"> </w:t>
      </w:r>
      <w:r>
        <w:rPr>
          <w:rFonts w:cs="Times New Roman"/>
          <w:noProof/>
          <w:sz w:val="20"/>
          <w:lang w:eastAsia="ja-JP"/>
        </w:rPr>
        <w:t>The WRAP programme (in England, Wales and Northern Ireland)</w:t>
      </w:r>
      <w:r>
        <w:rPr>
          <w:rFonts w:cs="Times New Roman"/>
          <w:b/>
          <w:noProof/>
          <w:sz w:val="20"/>
          <w:lang w:eastAsia="ja-JP"/>
        </w:rPr>
        <w:t xml:space="preserve"> </w:t>
      </w:r>
      <w:r>
        <w:rPr>
          <w:rFonts w:cs="Times New Roman"/>
          <w:noProof/>
          <w:sz w:val="20"/>
          <w:lang w:eastAsia="ja-JP"/>
        </w:rPr>
        <w:t>which aims at showing how businesses, organisations and consumers can be part of a</w:t>
      </w:r>
      <w:r>
        <w:rPr>
          <w:rFonts w:cs="Times New Roman"/>
          <w:noProof/>
          <w:sz w:val="20"/>
          <w:lang w:eastAsia="ja-JP"/>
        </w:rPr>
        <w:t xml:space="preserve"> resource revolution can be a basis for making further progress on waste and resource efficiency.</w:t>
      </w:r>
    </w:p>
    <w:p w:rsidR="003D2157" w:rsidRDefault="00670DB4">
      <w:pPr>
        <w:widowControl w:val="0"/>
        <w:spacing w:after="120" w:line="240" w:lineRule="auto"/>
        <w:jc w:val="both"/>
        <w:rPr>
          <w:rFonts w:cstheme="minorHAnsi"/>
          <w:b/>
          <w:noProof/>
          <w:color w:val="1F497D" w:themeColor="text2"/>
        </w:rPr>
      </w:pPr>
      <w:r>
        <w:rPr>
          <w:rFonts w:cstheme="minorHAnsi"/>
          <w:b/>
          <w:noProof/>
          <w:color w:val="1F497D" w:themeColor="text2"/>
        </w:rPr>
        <w:t>Points of Excellence</w:t>
      </w:r>
    </w:p>
    <w:p w:rsidR="003D2157" w:rsidRDefault="00670DB4">
      <w:pPr>
        <w:widowControl w:val="0"/>
        <w:spacing w:after="120" w:line="240" w:lineRule="auto"/>
        <w:jc w:val="both"/>
        <w:rPr>
          <w:rFonts w:cs="Times New Roman"/>
          <w:noProof/>
          <w:sz w:val="20"/>
        </w:rPr>
      </w:pPr>
      <w:r>
        <w:rPr>
          <w:rFonts w:cs="Times New Roman"/>
          <w:noProof/>
          <w:sz w:val="20"/>
        </w:rPr>
        <w:t>Where the United Kingdom is a leader on environmental implementation, innovative approaches could be shared more widely with other countr</w:t>
      </w:r>
      <w:r>
        <w:rPr>
          <w:rFonts w:cs="Times New Roman"/>
          <w:noProof/>
          <w:sz w:val="20"/>
        </w:rPr>
        <w:t>ies. Good examples are:</w:t>
      </w:r>
    </w:p>
    <w:p w:rsidR="003D2157" w:rsidRDefault="00670DB4">
      <w:pPr>
        <w:widowControl w:val="0"/>
        <w:numPr>
          <w:ilvl w:val="0"/>
          <w:numId w:val="31"/>
        </w:numPr>
        <w:spacing w:after="120" w:line="240" w:lineRule="auto"/>
        <w:contextualSpacing/>
        <w:jc w:val="both"/>
        <w:rPr>
          <w:rFonts w:cs="Times New Roman"/>
          <w:noProof/>
          <w:sz w:val="20"/>
          <w:lang w:eastAsia="ja-JP"/>
        </w:rPr>
      </w:pPr>
      <w:r>
        <w:rPr>
          <w:rFonts w:cs="Times New Roman"/>
          <w:noProof/>
          <w:sz w:val="20"/>
          <w:lang w:eastAsia="ja-JP"/>
        </w:rPr>
        <w:t>A specialised bank, the Green Investment Bank, is in charge of attracting private investments in the green economy.</w:t>
      </w:r>
    </w:p>
    <w:p w:rsidR="003D2157" w:rsidRDefault="00670DB4">
      <w:pPr>
        <w:widowControl w:val="0"/>
        <w:numPr>
          <w:ilvl w:val="0"/>
          <w:numId w:val="31"/>
        </w:numPr>
        <w:spacing w:after="120" w:line="240" w:lineRule="auto"/>
        <w:contextualSpacing/>
        <w:jc w:val="both"/>
        <w:rPr>
          <w:rFonts w:cs="Times New Roman"/>
          <w:noProof/>
          <w:sz w:val="20"/>
          <w:lang w:eastAsia="ja-JP"/>
        </w:rPr>
      </w:pPr>
      <w:r>
        <w:rPr>
          <w:rFonts w:cs="Times New Roman"/>
          <w:noProof/>
          <w:sz w:val="20"/>
          <w:lang w:eastAsia="ja-JP"/>
        </w:rPr>
        <w:t xml:space="preserve">National infrastructure pipeline, which gives an overall picture of planned investment in infrastructure and which </w:t>
      </w:r>
      <w:r>
        <w:rPr>
          <w:rFonts w:cs="Times New Roman"/>
          <w:noProof/>
          <w:sz w:val="20"/>
          <w:lang w:eastAsia="ja-JP"/>
        </w:rPr>
        <w:t>is updated regularly basis provides a sound basis for governmental decisions.</w:t>
      </w:r>
    </w:p>
    <w:p w:rsidR="003D2157" w:rsidRDefault="00670DB4">
      <w:pPr>
        <w:widowControl w:val="0"/>
        <w:numPr>
          <w:ilvl w:val="0"/>
          <w:numId w:val="31"/>
        </w:numPr>
        <w:spacing w:after="120" w:line="240" w:lineRule="auto"/>
        <w:contextualSpacing/>
        <w:jc w:val="both"/>
        <w:rPr>
          <w:rFonts w:cs="Times New Roman"/>
          <w:noProof/>
          <w:sz w:val="20"/>
          <w:lang w:eastAsia="ja-JP"/>
        </w:rPr>
      </w:pPr>
      <w:r>
        <w:rPr>
          <w:rFonts w:cs="Times New Roman"/>
          <w:noProof/>
          <w:sz w:val="20"/>
          <w:lang w:eastAsia="ja-JP"/>
        </w:rPr>
        <w:t>The UK is one of the frontrunners on Green Public Procurement.</w:t>
      </w:r>
    </w:p>
    <w:p w:rsidR="003D2157" w:rsidRDefault="00670DB4">
      <w:pPr>
        <w:widowControl w:val="0"/>
        <w:numPr>
          <w:ilvl w:val="0"/>
          <w:numId w:val="31"/>
        </w:numPr>
        <w:spacing w:after="120" w:line="240" w:lineRule="auto"/>
        <w:contextualSpacing/>
        <w:jc w:val="both"/>
        <w:rPr>
          <w:rFonts w:cs="Times New Roman"/>
          <w:noProof/>
          <w:sz w:val="20"/>
          <w:lang w:eastAsia="ja-JP"/>
        </w:rPr>
      </w:pPr>
      <w:r>
        <w:rPr>
          <w:rFonts w:cs="Times New Roman"/>
          <w:noProof/>
          <w:sz w:val="20"/>
          <w:lang w:eastAsia="ja-JP"/>
        </w:rPr>
        <w:t xml:space="preserve">The UK possesses an advanced approach on natural capital accounting. </w:t>
      </w:r>
    </w:p>
    <w:p w:rsidR="003D2157" w:rsidRDefault="003D2157">
      <w:pPr>
        <w:widowControl w:val="0"/>
        <w:spacing w:after="120" w:line="240" w:lineRule="auto"/>
        <w:jc w:val="both"/>
        <w:rPr>
          <w:rFonts w:cs="Times New Roman"/>
          <w:noProof/>
          <w:sz w:val="20"/>
          <w:lang w:eastAsia="ja-JP"/>
        </w:rPr>
      </w:pPr>
    </w:p>
    <w:p w:rsidR="003D2157" w:rsidRDefault="003D2157">
      <w:pPr>
        <w:widowControl w:val="0"/>
        <w:spacing w:after="120" w:line="240" w:lineRule="auto"/>
        <w:jc w:val="both"/>
        <w:rPr>
          <w:rFonts w:cs="Times New Roman"/>
          <w:noProof/>
          <w:sz w:val="20"/>
          <w:lang w:eastAsia="ja-JP"/>
        </w:rPr>
      </w:pPr>
    </w:p>
    <w:p w:rsidR="003D2157" w:rsidRDefault="00670DB4">
      <w:pPr>
        <w:widowControl w:val="0"/>
        <w:numPr>
          <w:ilvl w:val="0"/>
          <w:numId w:val="24"/>
        </w:numPr>
        <w:spacing w:after="120" w:line="240" w:lineRule="auto"/>
        <w:contextualSpacing/>
        <w:jc w:val="both"/>
        <w:rPr>
          <w:rFonts w:cs="Times New Roman"/>
          <w:noProof/>
          <w:sz w:val="20"/>
          <w:lang w:eastAsia="ja-JP"/>
        </w:rPr>
        <w:sectPr w:rsidR="003D2157">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1440" w:right="1080" w:bottom="1440" w:left="1080" w:header="709" w:footer="709" w:gutter="0"/>
          <w:pgNumType w:fmt="lowerRoman"/>
          <w:cols w:num="2" w:space="360"/>
          <w:docGrid w:linePitch="360"/>
        </w:sectPr>
      </w:pPr>
      <w:r>
        <w:rPr>
          <w:rFonts w:cs="Times New Roman"/>
          <w:noProof/>
          <w:sz w:val="20"/>
          <w:lang w:eastAsia="ja-JP"/>
        </w:rPr>
        <w:br w:type="page"/>
      </w:r>
    </w:p>
    <w:p w:rsidR="003D2157" w:rsidRDefault="00670DB4">
      <w:pPr>
        <w:keepLines/>
        <w:widowControl w:val="0"/>
        <w:spacing w:after="0" w:line="240" w:lineRule="auto"/>
        <w:jc w:val="center"/>
        <w:outlineLvl w:val="0"/>
        <w:rPr>
          <w:rFonts w:eastAsiaTheme="majorEastAsia" w:cstheme="majorBidi"/>
          <w:b/>
          <w:bCs/>
          <w:noProof/>
          <w:color w:val="1F497D" w:themeColor="text2"/>
          <w:sz w:val="32"/>
          <w:szCs w:val="28"/>
        </w:rPr>
      </w:pPr>
      <w:bookmarkStart w:id="6" w:name="_Toc433296150"/>
      <w:bookmarkStart w:id="7" w:name="_Toc469394686"/>
      <w:r>
        <w:rPr>
          <w:rFonts w:eastAsiaTheme="majorEastAsia" w:cstheme="majorBidi"/>
          <w:b/>
          <w:bCs/>
          <w:noProof/>
          <w:color w:val="1F497D" w:themeColor="text2"/>
          <w:sz w:val="32"/>
          <w:szCs w:val="28"/>
        </w:rPr>
        <w:t>Part I: Thematic Areas</w:t>
      </w:r>
      <w:bookmarkEnd w:id="6"/>
      <w:bookmarkEnd w:id="7"/>
    </w:p>
    <w:p w:rsidR="003D2157" w:rsidRDefault="003D2157">
      <w:pPr>
        <w:widowControl w:val="0"/>
        <w:spacing w:after="120" w:line="240" w:lineRule="auto"/>
        <w:jc w:val="both"/>
        <w:rPr>
          <w:rFonts w:cs="Times New Roman"/>
          <w:noProof/>
          <w:sz w:val="20"/>
        </w:rPr>
      </w:pPr>
    </w:p>
    <w:p w:rsidR="003D2157" w:rsidRDefault="00670DB4">
      <w:pPr>
        <w:keepLines/>
        <w:widowControl w:val="0"/>
        <w:numPr>
          <w:ilvl w:val="0"/>
          <w:numId w:val="25"/>
        </w:numPr>
        <w:spacing w:before="240" w:line="240" w:lineRule="auto"/>
        <w:jc w:val="center"/>
        <w:outlineLvl w:val="0"/>
        <w:rPr>
          <w:rFonts w:eastAsiaTheme="majorEastAsia" w:cstheme="majorBidi"/>
          <w:b/>
          <w:bCs/>
          <w:noProof/>
          <w:color w:val="1F497D" w:themeColor="text2"/>
          <w:sz w:val="32"/>
          <w:szCs w:val="28"/>
        </w:rPr>
        <w:sectPr w:rsidR="003D2157">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start="5"/>
          <w:cols w:space="708"/>
          <w:docGrid w:linePitch="360"/>
        </w:sectPr>
      </w:pPr>
      <w:bookmarkStart w:id="8" w:name="_Toc433296151"/>
      <w:bookmarkStart w:id="9" w:name="_Toc469394687"/>
      <w:r>
        <w:rPr>
          <w:rFonts w:eastAsiaTheme="majorEastAsia" w:cstheme="majorBidi"/>
          <w:b/>
          <w:bCs/>
          <w:noProof/>
          <w:color w:val="1F497D" w:themeColor="text2"/>
          <w:sz w:val="32"/>
          <w:szCs w:val="28"/>
        </w:rPr>
        <w:t>Turning the EU into a circular, resource-efficient, green and competitive low-carbon economy</w:t>
      </w:r>
      <w:bookmarkEnd w:id="8"/>
      <w:bookmarkEnd w:id="9"/>
    </w:p>
    <w:p w:rsidR="003D2157" w:rsidRDefault="00670DB4">
      <w:pPr>
        <w:widowControl w:val="0"/>
        <w:spacing w:before="240" w:after="120" w:line="240" w:lineRule="auto"/>
        <w:jc w:val="both"/>
        <w:outlineLvl w:val="1"/>
        <w:rPr>
          <w:rFonts w:cs="Times New Roman"/>
          <w:b/>
          <w:noProof/>
          <w:color w:val="1F497D" w:themeColor="text2"/>
          <w:sz w:val="24"/>
        </w:rPr>
      </w:pPr>
      <w:bookmarkStart w:id="10" w:name="_Toc454812525"/>
      <w:bookmarkStart w:id="11" w:name="_Toc469394688"/>
      <w:r>
        <w:rPr>
          <w:rFonts w:cs="Times New Roman"/>
          <w:b/>
          <w:noProof/>
          <w:color w:val="1F497D" w:themeColor="text2"/>
          <w:sz w:val="24"/>
        </w:rPr>
        <w:t>Developing a circular economy and improving resource efficiency</w:t>
      </w:r>
      <w:bookmarkEnd w:id="10"/>
      <w:bookmarkEnd w:id="11"/>
    </w:p>
    <w:p w:rsidR="003D2157" w:rsidRDefault="00670DB4">
      <w:pPr>
        <w:widowControl w:val="0"/>
        <w:shd w:val="clear" w:color="auto" w:fill="4F81BD" w:themeFill="accent1"/>
        <w:spacing w:after="120" w:line="240" w:lineRule="auto"/>
        <w:jc w:val="both"/>
        <w:rPr>
          <w:rFonts w:cs="Times New Roman"/>
          <w:bCs/>
          <w:noProof/>
          <w:color w:val="FFFFFF" w:themeColor="background1"/>
          <w:sz w:val="20"/>
        </w:rPr>
      </w:pPr>
      <w:bookmarkStart w:id="12" w:name="_Toc433296152"/>
      <w:r>
        <w:rPr>
          <w:rFonts w:cs="Times New Roman"/>
          <w:bCs/>
          <w:noProof/>
          <w:color w:val="FFFFFF" w:themeColor="background1"/>
          <w:sz w:val="20"/>
        </w:rPr>
        <w:t>The 2015 Circular Economy Package emphasizes the need to move towards a lifecycle-driven ‘circular’</w:t>
      </w:r>
      <w:r>
        <w:rPr>
          <w:rFonts w:cs="Times New Roman"/>
          <w:bCs/>
          <w:noProof/>
          <w:color w:val="FFFFFF" w:themeColor="background1"/>
          <w:sz w:val="20"/>
        </w:rPr>
        <w:t xml:space="preserve"> economy, with a cascading use of resources and residual waste that is close to zero. This can be facilitated by the development of, and access to, innovative financial instruments and funding for eco-innovation.</w:t>
      </w:r>
    </w:p>
    <w:p w:rsidR="003D2157" w:rsidRDefault="00670DB4">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 xml:space="preserve">SDG 8 invites countries to promote </w:t>
      </w:r>
      <w:r>
        <w:rPr>
          <w:rFonts w:cs="Times New Roman"/>
          <w:bCs/>
          <w:noProof/>
          <w:color w:val="FFFFFF" w:themeColor="background1"/>
          <w:sz w:val="20"/>
        </w:rPr>
        <w:t>sustained, inclusive and sustainable economic growth, full and productive employment and decent work for all. SDG 9 highlights the need to build resilient infrastructure, promote inclusive and sustainable industrialization and foster innovation. SDG 12 enc</w:t>
      </w:r>
      <w:r>
        <w:rPr>
          <w:rFonts w:cs="Times New Roman"/>
          <w:bCs/>
          <w:noProof/>
          <w:color w:val="FFFFFF" w:themeColor="background1"/>
          <w:sz w:val="20"/>
        </w:rPr>
        <w:t>ourages countries to achieve the sustainable management and efficient use of natural resources by 2030.</w:t>
      </w:r>
    </w:p>
    <w:p w:rsidR="003D2157" w:rsidRDefault="00670DB4">
      <w:pPr>
        <w:widowControl w:val="0"/>
        <w:spacing w:after="120" w:line="240" w:lineRule="auto"/>
        <w:jc w:val="both"/>
        <w:outlineLvl w:val="2"/>
        <w:rPr>
          <w:rFonts w:cs="Times New Roman"/>
          <w:b/>
          <w:noProof/>
          <w:color w:val="1F497D" w:themeColor="text2"/>
        </w:rPr>
      </w:pPr>
      <w:bookmarkStart w:id="13" w:name="_Toc454543973"/>
      <w:bookmarkStart w:id="14" w:name="_Toc454552222"/>
      <w:bookmarkEnd w:id="12"/>
      <w:r>
        <w:rPr>
          <w:rFonts w:cs="Times New Roman"/>
          <w:b/>
          <w:noProof/>
          <w:color w:val="1F497D" w:themeColor="text2"/>
        </w:rPr>
        <w:t>Measures towards a circular economy</w:t>
      </w:r>
      <w:bookmarkEnd w:id="13"/>
      <w:bookmarkEnd w:id="14"/>
    </w:p>
    <w:p w:rsidR="003D2157" w:rsidRDefault="00670DB4">
      <w:pPr>
        <w:widowControl w:val="0"/>
        <w:spacing w:after="120" w:line="240" w:lineRule="auto"/>
        <w:jc w:val="both"/>
        <w:rPr>
          <w:rFonts w:cs="Times New Roman"/>
          <w:noProof/>
          <w:sz w:val="20"/>
        </w:rPr>
      </w:pPr>
      <w:r>
        <w:rPr>
          <w:rFonts w:cs="Times New Roman"/>
          <w:noProof/>
          <w:sz w:val="20"/>
        </w:rPr>
        <w:t>Transforming our economies from linear to circular offers an opportunity to reinvent them and make them more sustain</w:t>
      </w:r>
      <w:r>
        <w:rPr>
          <w:rFonts w:cs="Times New Roman"/>
          <w:noProof/>
          <w:sz w:val="20"/>
        </w:rPr>
        <w:t xml:space="preserve">able and competitive. This will stimulate investments and bring both short and long-term benefits for the economy, environment and citizens alike.  </w:t>
      </w:r>
    </w:p>
    <w:p w:rsidR="003D2157" w:rsidRDefault="00670DB4">
      <w:pPr>
        <w:widowControl w:val="0"/>
        <w:spacing w:after="120" w:line="240" w:lineRule="auto"/>
        <w:jc w:val="both"/>
        <w:rPr>
          <w:rFonts w:cs="Times New Roman"/>
          <w:noProof/>
          <w:sz w:val="20"/>
        </w:rPr>
      </w:pPr>
      <w:r>
        <w:rPr>
          <w:rFonts w:cs="Times New Roman"/>
          <w:noProof/>
          <w:sz w:val="20"/>
        </w:rPr>
        <w:t>Several systemic and transformative eco-innovations and supporting policies are emerging in the United King</w:t>
      </w:r>
      <w:r>
        <w:rPr>
          <w:rFonts w:cs="Times New Roman"/>
          <w:noProof/>
          <w:sz w:val="20"/>
        </w:rPr>
        <w:t>dom, aiming to make a complete shift in current patterns of production and consumption.</w:t>
      </w:r>
    </w:p>
    <w:p w:rsidR="003D2157" w:rsidRDefault="00670DB4">
      <w:pPr>
        <w:widowControl w:val="0"/>
        <w:spacing w:after="120" w:line="240" w:lineRule="auto"/>
        <w:jc w:val="both"/>
        <w:rPr>
          <w:rFonts w:cs="Times New Roman"/>
          <w:noProof/>
          <w:sz w:val="20"/>
        </w:rPr>
      </w:pPr>
      <w:r>
        <w:rPr>
          <w:rFonts w:cs="Times New Roman"/>
          <w:noProof/>
          <w:sz w:val="20"/>
        </w:rPr>
        <w:t>The UK government publication 'Enabling the Transition to a Green Economy: government and business working together' is a response to requests from the private sector f</w:t>
      </w:r>
      <w:r>
        <w:rPr>
          <w:rFonts w:cs="Times New Roman"/>
          <w:noProof/>
          <w:sz w:val="20"/>
        </w:rPr>
        <w:t>or greater clarity on the policies being put in place to achieve this and how they come together</w:t>
      </w:r>
      <w:r>
        <w:rPr>
          <w:rFonts w:cs="Times New Roman"/>
          <w:noProof/>
          <w:sz w:val="20"/>
          <w:vertAlign w:val="superscript"/>
        </w:rPr>
        <w:footnoteReference w:id="5"/>
      </w:r>
      <w:r>
        <w:rPr>
          <w:rFonts w:cs="Times New Roman"/>
          <w:noProof/>
          <w:sz w:val="20"/>
        </w:rPr>
        <w:t xml:space="preserve">. </w:t>
      </w:r>
    </w:p>
    <w:p w:rsidR="003D2157" w:rsidRDefault="00670DB4">
      <w:pPr>
        <w:widowControl w:val="0"/>
        <w:spacing w:after="120" w:line="240" w:lineRule="auto"/>
        <w:jc w:val="both"/>
        <w:rPr>
          <w:rFonts w:cs="Times New Roman"/>
          <w:noProof/>
          <w:sz w:val="20"/>
        </w:rPr>
      </w:pPr>
      <w:r>
        <w:rPr>
          <w:rFonts w:cs="Times New Roman"/>
          <w:noProof/>
          <w:sz w:val="20"/>
        </w:rPr>
        <w:t>In 2015, the UK Government published a report entitled “Resource management: a catalyst for growth and productivity” that highlights economic direct and ind</w:t>
      </w:r>
      <w:r>
        <w:rPr>
          <w:rFonts w:cs="Times New Roman"/>
          <w:noProof/>
          <w:sz w:val="20"/>
        </w:rPr>
        <w:t>irect benefits as well as environmental benefits brought by the waste and resource management sector to the UK economy. The report found that in 2013, the sector employed 672,000 people and generated GBP 6.8 billion gross value added, or GBP 41 billion whe</w:t>
      </w:r>
      <w:r>
        <w:rPr>
          <w:rFonts w:cs="Times New Roman"/>
          <w:noProof/>
          <w:sz w:val="20"/>
        </w:rPr>
        <w:t>n adding re-use, repair and leasing of household goods activities. Transitioning towards a more circular economy has the potential to create even more economic opportunities. In terms of environmental impacts, this means reduced carbon and water footprint,</w:t>
      </w:r>
      <w:r>
        <w:rPr>
          <w:rFonts w:cs="Times New Roman"/>
          <w:noProof/>
          <w:sz w:val="20"/>
        </w:rPr>
        <w:t xml:space="preserve"> less soil and water pollution and better human health.</w:t>
      </w:r>
    </w:p>
    <w:p w:rsidR="003D2157" w:rsidRDefault="00670DB4">
      <w:pPr>
        <w:widowControl w:val="0"/>
        <w:spacing w:after="120" w:line="240" w:lineRule="auto"/>
        <w:jc w:val="both"/>
        <w:rPr>
          <w:rFonts w:cs="Times New Roman"/>
          <w:noProof/>
          <w:sz w:val="20"/>
        </w:rPr>
      </w:pPr>
      <w:r>
        <w:rPr>
          <w:rFonts w:cs="Times New Roman"/>
          <w:noProof/>
          <w:sz w:val="20"/>
        </w:rPr>
        <w:t>The UK Government has also set up t</w:t>
      </w:r>
      <w:r>
        <w:rPr>
          <w:rFonts w:cs="Times New Roman"/>
          <w:noProof/>
          <w:color w:val="000000" w:themeColor="text1"/>
          <w:sz w:val="20"/>
        </w:rPr>
        <w:t>he Green Investment Bank (GIB) to deliver support to offshore wind, energy efficiency or onshore renewables initiatives. The GIB is in charge of attracting private i</w:t>
      </w:r>
      <w:r>
        <w:rPr>
          <w:rFonts w:cs="Times New Roman"/>
          <w:noProof/>
          <w:color w:val="000000" w:themeColor="text1"/>
          <w:sz w:val="20"/>
        </w:rPr>
        <w:t xml:space="preserve">nvestment in the green economy and demonstrating </w:t>
      </w:r>
      <w:r>
        <w:rPr>
          <w:rFonts w:cs="Times New Roman"/>
          <w:noProof/>
          <w:sz w:val="20"/>
        </w:rPr>
        <w:t xml:space="preserve">that such investment makes sound commercial sense. </w:t>
      </w:r>
      <w:r>
        <w:rPr>
          <w:rFonts w:cs="Times New Roman"/>
          <w:noProof/>
          <w:color w:val="000000" w:themeColor="text1"/>
          <w:sz w:val="20"/>
        </w:rPr>
        <w:t>To secure funding, projects must meet GIB’s investment and sustainability criteria.</w:t>
      </w:r>
    </w:p>
    <w:p w:rsidR="003D2157" w:rsidRDefault="00670DB4">
      <w:pPr>
        <w:widowControl w:val="0"/>
        <w:spacing w:after="120" w:line="240" w:lineRule="auto"/>
        <w:jc w:val="both"/>
        <w:rPr>
          <w:rFonts w:eastAsia="Trebuchet MS" w:cs="Times New Roman"/>
          <w:noProof/>
          <w:sz w:val="20"/>
        </w:rPr>
      </w:pPr>
      <w:r>
        <w:rPr>
          <w:rFonts w:eastAsia="Trebuchet MS" w:cs="Times New Roman"/>
          <w:noProof/>
          <w:sz w:val="20"/>
        </w:rPr>
        <w:t>In addition, approaches on regional level exist. The London Waste and Re</w:t>
      </w:r>
      <w:r>
        <w:rPr>
          <w:rFonts w:eastAsia="Trebuchet MS" w:cs="Times New Roman"/>
          <w:noProof/>
          <w:sz w:val="20"/>
        </w:rPr>
        <w:t>cycling Board published the ‘Towards a Circular Economy’ report</w:t>
      </w:r>
      <w:r>
        <w:rPr>
          <w:rFonts w:eastAsia="Trebuchet MS" w:cs="Times New Roman"/>
          <w:noProof/>
          <w:sz w:val="16"/>
          <w:szCs w:val="16"/>
          <w:vertAlign w:val="superscript"/>
        </w:rPr>
        <w:footnoteReference w:id="6"/>
      </w:r>
      <w:r>
        <w:rPr>
          <w:rFonts w:eastAsia="Trebuchet MS" w:cs="Times New Roman"/>
          <w:noProof/>
          <w:sz w:val="20"/>
        </w:rPr>
        <w:t>, an introduction to London’s route map to a circular economy, on 9 December 2015.</w:t>
      </w:r>
    </w:p>
    <w:p w:rsidR="003D2157" w:rsidRDefault="00670DB4">
      <w:pPr>
        <w:widowControl w:val="0"/>
        <w:spacing w:after="120" w:line="240" w:lineRule="auto"/>
        <w:jc w:val="both"/>
        <w:rPr>
          <w:rFonts w:cs="Times New Roman"/>
          <w:noProof/>
          <w:sz w:val="20"/>
        </w:rPr>
      </w:pPr>
      <w:r>
        <w:rPr>
          <w:rFonts w:cs="Times New Roman"/>
          <w:noProof/>
          <w:sz w:val="20"/>
        </w:rPr>
        <w:t>Regarding the circular economy, the Scottish Government has published its first circular economy strategy “Ma</w:t>
      </w:r>
      <w:r>
        <w:rPr>
          <w:rFonts w:cs="Times New Roman"/>
          <w:noProof/>
          <w:sz w:val="20"/>
        </w:rPr>
        <w:t>king Things Last” in February 2016, as well as a GBP 70 million investment for a new strategy for manufacturing “A Manufacturing Future for Scotland”</w:t>
      </w:r>
      <w:r>
        <w:rPr>
          <w:rFonts w:cs="Times New Roman"/>
          <w:noProof/>
          <w:sz w:val="16"/>
          <w:szCs w:val="16"/>
          <w:vertAlign w:val="superscript"/>
        </w:rPr>
        <w:footnoteReference w:id="7"/>
      </w:r>
      <w:r>
        <w:rPr>
          <w:rFonts w:cs="Times New Roman"/>
          <w:noProof/>
          <w:sz w:val="20"/>
        </w:rPr>
        <w:t>.</w:t>
      </w:r>
    </w:p>
    <w:p w:rsidR="003D2157" w:rsidRDefault="00670DB4">
      <w:pPr>
        <w:widowControl w:val="0"/>
        <w:spacing w:after="120" w:line="240" w:lineRule="auto"/>
        <w:jc w:val="both"/>
        <w:rPr>
          <w:rFonts w:cs="Times New Roman"/>
          <w:noProof/>
          <w:sz w:val="20"/>
        </w:rPr>
      </w:pPr>
      <w:r>
        <w:rPr>
          <w:rFonts w:cs="Times New Roman"/>
          <w:noProof/>
          <w:sz w:val="20"/>
        </w:rPr>
        <w:t>Another good practice example is the UK’s National Industrial Symbiosis Programme</w:t>
      </w:r>
      <w:r>
        <w:rPr>
          <w:rFonts w:cs="Times New Roman"/>
          <w:noProof/>
          <w:sz w:val="16"/>
          <w:szCs w:val="16"/>
          <w:vertAlign w:val="superscript"/>
        </w:rPr>
        <w:footnoteReference w:id="8"/>
      </w:r>
      <w:r>
        <w:rPr>
          <w:rFonts w:cs="Times New Roman"/>
          <w:noProof/>
          <w:sz w:val="16"/>
          <w:szCs w:val="16"/>
        </w:rPr>
        <w:t xml:space="preserve"> </w:t>
      </w:r>
      <w:r>
        <w:rPr>
          <w:rFonts w:cs="Times New Roman"/>
          <w:noProof/>
          <w:sz w:val="20"/>
        </w:rPr>
        <w:t>(NISP) which was roll</w:t>
      </w:r>
      <w:r>
        <w:rPr>
          <w:rFonts w:cs="Times New Roman"/>
          <w:noProof/>
          <w:sz w:val="20"/>
        </w:rPr>
        <w:t>ed out in 2005 as a free businesses opportunity and networking programme. It is a business opportunity programme that develops mutually profitable links between traditionally separate companies from all industrial sectors and of all sizes so that previousl</w:t>
      </w:r>
      <w:r>
        <w:rPr>
          <w:rFonts w:cs="Times New Roman"/>
          <w:noProof/>
          <w:sz w:val="20"/>
        </w:rPr>
        <w:t xml:space="preserve">y unused or discarded resources such as energy, water and/or materials from one company can be recovered, reprocessed and re-used by other companies in the industrial member network. </w:t>
      </w:r>
    </w:p>
    <w:p w:rsidR="003D2157" w:rsidRDefault="00670DB4">
      <w:pPr>
        <w:widowControl w:val="0"/>
        <w:spacing w:after="120" w:line="240" w:lineRule="auto"/>
        <w:jc w:val="both"/>
        <w:rPr>
          <w:rFonts w:cs="Times New Roman"/>
          <w:noProof/>
          <w:sz w:val="20"/>
        </w:rPr>
      </w:pPr>
      <w:r>
        <w:rPr>
          <w:rFonts w:cs="Times New Roman"/>
          <w:noProof/>
          <w:sz w:val="20"/>
        </w:rPr>
        <w:t>The UK government, the devolved administrations (Wales and Northern Irel</w:t>
      </w:r>
      <w:r>
        <w:rPr>
          <w:rFonts w:cs="Times New Roman"/>
          <w:noProof/>
          <w:sz w:val="20"/>
        </w:rPr>
        <w:t>and) and other backers are funding WRAP</w:t>
      </w:r>
      <w:r>
        <w:rPr>
          <w:rFonts w:cs="Times New Roman"/>
          <w:noProof/>
          <w:sz w:val="16"/>
          <w:szCs w:val="16"/>
          <w:vertAlign w:val="superscript"/>
        </w:rPr>
        <w:footnoteReference w:id="9"/>
      </w:r>
      <w:r>
        <w:rPr>
          <w:rFonts w:cs="Times New Roman"/>
          <w:noProof/>
          <w:sz w:val="20"/>
        </w:rPr>
        <w:t xml:space="preserve"> to deliver practical solutions to improve resource efficiency and reduce waste. WRAP’s aims are to re-invent the design and production of products; re-define the possibilities of re-use and recycling and rethink how</w:t>
      </w:r>
      <w:r>
        <w:rPr>
          <w:rFonts w:cs="Times New Roman"/>
          <w:noProof/>
          <w:sz w:val="20"/>
        </w:rPr>
        <w:t xml:space="preserve"> products are used and consumed. Activity is concentrated on three priority sectors; food and drink, clothing and textiles; and electricals and electronics, with collaborative action being delivered through voluntary agreements. </w:t>
      </w:r>
      <w:r>
        <w:rPr>
          <w:rFonts w:cs="Times New Roman"/>
          <w:noProof/>
          <w:sz w:val="20"/>
          <w:lang w:eastAsia="ja-JP"/>
        </w:rPr>
        <w:t xml:space="preserve">Zero Waste Scotland is the </w:t>
      </w:r>
      <w:r>
        <w:rPr>
          <w:rFonts w:cs="Times New Roman"/>
          <w:noProof/>
          <w:sz w:val="20"/>
          <w:lang w:eastAsia="ja-JP"/>
        </w:rPr>
        <w:t>Scottish Government’s delivery body and supports businesses, the public sector and consumers in Scotland on waste and resource efficiency.</w:t>
      </w:r>
      <w:r>
        <w:rPr>
          <w:rFonts w:cs="Times New Roman"/>
          <w:noProof/>
          <w:sz w:val="20"/>
        </w:rPr>
        <w:t xml:space="preserve"> </w:t>
      </w:r>
    </w:p>
    <w:p w:rsidR="003D2157" w:rsidRDefault="00670DB4">
      <w:pPr>
        <w:widowControl w:val="0"/>
        <w:spacing w:after="120" w:line="240" w:lineRule="auto"/>
        <w:jc w:val="both"/>
        <w:rPr>
          <w:rFonts w:cs="Times New Roman"/>
          <w:noProof/>
          <w:sz w:val="20"/>
        </w:rPr>
      </w:pPr>
      <w:r>
        <w:rPr>
          <w:rFonts w:cs="Times New Roman"/>
          <w:noProof/>
          <w:sz w:val="20"/>
        </w:rPr>
        <w:t>The UK itself estimates that the core waste sector alone supported 103,000 jobs in 2013</w:t>
      </w:r>
      <w:r>
        <w:rPr>
          <w:rFonts w:cs="Times New Roman"/>
          <w:noProof/>
          <w:sz w:val="16"/>
          <w:szCs w:val="16"/>
          <w:vertAlign w:val="superscript"/>
        </w:rPr>
        <w:footnoteReference w:id="10"/>
      </w:r>
      <w:r>
        <w:rPr>
          <w:rFonts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D2157">
        <w:tc>
          <w:tcPr>
            <w:tcW w:w="4909" w:type="dxa"/>
          </w:tcPr>
          <w:p w:rsidR="003D2157" w:rsidRDefault="00670DB4">
            <w:pPr>
              <w:widowControl w:val="0"/>
              <w:spacing w:after="120"/>
              <w:jc w:val="both"/>
              <w:rPr>
                <w:rFonts w:cs="Times New Roman"/>
                <w:noProof/>
                <w:sz w:val="20"/>
              </w:rPr>
            </w:pPr>
            <w:r>
              <w:rPr>
                <w:rFonts w:cs="Times New Roman"/>
                <w:noProof/>
                <w:sz w:val="20"/>
              </w:rPr>
              <w:t xml:space="preserve">The UK is among the best performing member states as regards resource efficiency (how efficiently the economy uses material resources to produce wealth), having a stable increase since 2004 with </w:t>
            </w:r>
            <w:r>
              <w:rPr>
                <w:rFonts w:cs="Times New Roman"/>
                <w:noProof/>
                <w:sz w:val="20"/>
                <w:szCs w:val="20"/>
              </w:rPr>
              <w:t>3.44 EUR</w:t>
            </w:r>
            <w:r>
              <w:rPr>
                <w:rFonts w:cs="Times New Roman"/>
                <w:noProof/>
                <w:sz w:val="20"/>
              </w:rPr>
              <w:t>/kg (EU average is 2.0) in 2015 as shown in Figure 1.</w:t>
            </w:r>
            <w:r>
              <w:rPr>
                <w:rFonts w:cs="Times New Roman"/>
                <w:noProof/>
                <w:sz w:val="20"/>
              </w:rPr>
              <w:t xml:space="preserve"> Resource productivity</w:t>
            </w:r>
            <w:r>
              <w:rPr>
                <w:rFonts w:cs="Times New Roman"/>
                <w:noProof/>
                <w:sz w:val="16"/>
                <w:szCs w:val="16"/>
                <w:vertAlign w:val="superscript"/>
              </w:rPr>
              <w:footnoteReference w:id="11"/>
            </w:r>
            <w:r>
              <w:rPr>
                <w:rFonts w:cs="Times New Roman"/>
                <w:noProof/>
                <w:sz w:val="20"/>
              </w:rPr>
              <w:t xml:space="preserve"> is higher in countries with high income and in economies with larger service sectors.</w:t>
            </w:r>
          </w:p>
          <w:p w:rsidR="003D2157" w:rsidRDefault="00670DB4">
            <w:pPr>
              <w:widowControl w:val="0"/>
              <w:spacing w:after="120"/>
              <w:jc w:val="both"/>
              <w:rPr>
                <w:rFonts w:cs="Times New Roman"/>
                <w:noProof/>
                <w:color w:val="1F497D" w:themeColor="text2"/>
                <w:sz w:val="20"/>
              </w:rPr>
            </w:pPr>
            <w:r>
              <w:rPr>
                <w:b/>
                <w:bCs/>
                <w:noProof/>
                <w:color w:val="1F497D" w:themeColor="text2"/>
                <w:sz w:val="20"/>
              </w:rPr>
              <w:t>Figure 1: Resource productivity 2003-15</w:t>
            </w:r>
            <w:r>
              <w:rPr>
                <w:b/>
                <w:bCs/>
                <w:noProof/>
                <w:color w:val="1F497D" w:themeColor="text2"/>
                <w:sz w:val="20"/>
                <w:vertAlign w:val="superscript"/>
              </w:rPr>
              <w:footnoteReference w:id="12"/>
            </w:r>
          </w:p>
        </w:tc>
      </w:tr>
      <w:tr w:rsidR="003D2157">
        <w:tc>
          <w:tcPr>
            <w:tcW w:w="4909" w:type="dxa"/>
          </w:tcPr>
          <w:p w:rsidR="003D2157" w:rsidRDefault="00670DB4">
            <w:pPr>
              <w:widowControl w:val="0"/>
              <w:spacing w:after="120"/>
              <w:jc w:val="both"/>
              <w:rPr>
                <w:rFonts w:cs="Times New Roman"/>
                <w:noProof/>
                <w:sz w:val="20"/>
              </w:rPr>
            </w:pPr>
            <w:r>
              <w:rPr>
                <w:rFonts w:cs="Times New Roman"/>
                <w:noProof/>
                <w:sz w:val="20"/>
              </w:rPr>
              <w:drawing>
                <wp:inline distT="0" distB="0" distL="0" distR="0" wp14:anchorId="5FDA67AB" wp14:editId="58C80601">
                  <wp:extent cx="3073706" cy="20404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1969" cy="2045978"/>
                          </a:xfrm>
                          <a:prstGeom prst="rect">
                            <a:avLst/>
                          </a:prstGeom>
                          <a:noFill/>
                        </pic:spPr>
                      </pic:pic>
                    </a:graphicData>
                  </a:graphic>
                </wp:inline>
              </w:drawing>
            </w:r>
          </w:p>
        </w:tc>
      </w:tr>
    </w:tbl>
    <w:p w:rsidR="003D2157" w:rsidRDefault="00670DB4">
      <w:pPr>
        <w:widowControl w:val="0"/>
        <w:spacing w:after="120" w:line="240" w:lineRule="auto"/>
        <w:jc w:val="both"/>
        <w:outlineLvl w:val="2"/>
        <w:rPr>
          <w:rFonts w:cs="Times New Roman"/>
          <w:b/>
          <w:noProof/>
          <w:color w:val="1F497D" w:themeColor="text2"/>
        </w:rPr>
      </w:pPr>
      <w:bookmarkStart w:id="15" w:name="_Toc454543974"/>
      <w:bookmarkStart w:id="16" w:name="_Toc454552223"/>
      <w:r>
        <w:rPr>
          <w:rFonts w:cs="Times New Roman"/>
          <w:b/>
          <w:noProof/>
          <w:color w:val="1F497D" w:themeColor="text2"/>
        </w:rPr>
        <w:t>SMEs and Resource efficiency</w:t>
      </w:r>
      <w:bookmarkEnd w:id="15"/>
      <w:bookmarkEnd w:id="16"/>
    </w:p>
    <w:p w:rsidR="003D2157" w:rsidRDefault="00670DB4">
      <w:pPr>
        <w:widowControl w:val="0"/>
        <w:spacing w:after="120" w:line="240" w:lineRule="auto"/>
        <w:jc w:val="both"/>
        <w:rPr>
          <w:rFonts w:cs="Times New Roman"/>
          <w:noProof/>
          <w:sz w:val="20"/>
        </w:rPr>
      </w:pPr>
      <w:r>
        <w:rPr>
          <w:rFonts w:cs="Times New Roman"/>
          <w:noProof/>
          <w:sz w:val="20"/>
        </w:rPr>
        <w:t xml:space="preserve">In general, the UK proposes a wide range of measures to support Small </w:t>
      </w:r>
      <w:r>
        <w:rPr>
          <w:rFonts w:cs="Times New Roman"/>
          <w:noProof/>
          <w:sz w:val="20"/>
        </w:rPr>
        <w:t>and Medium-sized enterprises (SMEs) in improving its resource efficiency, ranging from voluntary measures to regulatory measures. An analysis</w:t>
      </w:r>
      <w:r>
        <w:rPr>
          <w:rFonts w:cs="Times New Roman"/>
          <w:noProof/>
          <w:sz w:val="16"/>
          <w:szCs w:val="16"/>
          <w:vertAlign w:val="superscript"/>
        </w:rPr>
        <w:footnoteReference w:id="13"/>
      </w:r>
      <w:r>
        <w:rPr>
          <w:rFonts w:cs="Times New Roman"/>
          <w:noProof/>
          <w:sz w:val="20"/>
        </w:rPr>
        <w:t xml:space="preserve"> shows that UK offers nine out of ten support activities assessed in the study and belongs to the ten best perform</w:t>
      </w:r>
      <w:r>
        <w:rPr>
          <w:rFonts w:cs="Times New Roman"/>
          <w:noProof/>
          <w:sz w:val="20"/>
        </w:rPr>
        <w:t>ing member states.</w:t>
      </w:r>
    </w:p>
    <w:p w:rsidR="003D2157" w:rsidRDefault="00670DB4">
      <w:pPr>
        <w:widowControl w:val="0"/>
        <w:spacing w:after="120" w:line="240" w:lineRule="auto"/>
        <w:jc w:val="both"/>
        <w:rPr>
          <w:rFonts w:cs="Times New Roman"/>
          <w:noProof/>
          <w:sz w:val="20"/>
        </w:rPr>
      </w:pPr>
      <w:r>
        <w:rPr>
          <w:rFonts w:cs="Times New Roman"/>
          <w:noProof/>
          <w:sz w:val="20"/>
        </w:rPr>
        <w:t>Two measures could be mentioned as successful examples: In the UK, the most prominent example for incentivising audits is ENWORKS</w:t>
      </w:r>
      <w:r>
        <w:rPr>
          <w:rFonts w:cs="Times New Roman"/>
          <w:noProof/>
          <w:sz w:val="16"/>
          <w:szCs w:val="16"/>
          <w:vertAlign w:val="superscript"/>
        </w:rPr>
        <w:footnoteReference w:id="14"/>
      </w:r>
      <w:r>
        <w:rPr>
          <w:rFonts w:cs="Times New Roman"/>
          <w:noProof/>
          <w:sz w:val="20"/>
        </w:rPr>
        <w:t>, work on resource efficiency assessments in businesses. ENWORKS resource efficiency assessments aim to (i)</w:t>
      </w:r>
      <w:r>
        <w:rPr>
          <w:rFonts w:cs="Times New Roman"/>
          <w:noProof/>
          <w:sz w:val="20"/>
        </w:rPr>
        <w:t xml:space="preserve"> improve the competitiveness and productivity of companies in North West England by reducing their exposure to environmental risk and (ii) reduce CO2 emissions, water and material usage and divert waste from landfill. These goals are to be achieved through</w:t>
      </w:r>
      <w:r>
        <w:rPr>
          <w:rFonts w:cs="Times New Roman"/>
          <w:noProof/>
          <w:sz w:val="20"/>
        </w:rPr>
        <w:t xml:space="preserve"> directly working with companies, including the supply of resource efficiency assessments, and targeted information. Launched in 2001, the measure targets all interested companies, although support was prioritised to areas thought to have the greatest effe</w:t>
      </w:r>
      <w:r>
        <w:rPr>
          <w:rFonts w:cs="Times New Roman"/>
          <w:noProof/>
          <w:sz w:val="20"/>
        </w:rPr>
        <w:t>ct. From 2007 to 2010, 3,655 businesses were assisted, leading to annual cost savings of GBP 77 million, material savings of almost 200,000 tonnes and an increase in sales by GBP 35 million.</w:t>
      </w:r>
    </w:p>
    <w:p w:rsidR="003D2157" w:rsidRDefault="00670DB4">
      <w:pPr>
        <w:widowControl w:val="0"/>
        <w:spacing w:after="120" w:line="240" w:lineRule="auto"/>
        <w:jc w:val="both"/>
        <w:rPr>
          <w:rFonts w:cs="Times New Roman"/>
          <w:noProof/>
          <w:sz w:val="20"/>
        </w:rPr>
      </w:pPr>
      <w:r>
        <w:rPr>
          <w:rFonts w:cs="Times New Roman"/>
          <w:noProof/>
          <w:sz w:val="20"/>
        </w:rPr>
        <w:t xml:space="preserve">The Resource Efficient Scotland Programme funded by the Scottish </w:t>
      </w:r>
      <w:r>
        <w:rPr>
          <w:rFonts w:cs="Times New Roman"/>
          <w:noProof/>
          <w:sz w:val="20"/>
        </w:rPr>
        <w:t>Government, offers free advice and support to businesses to implement energy and resource efficiency measures that translate to cost savings, increasing their economic competitiveness. From 2013 to 2015 the programme has provided advice to over 10,000 busi</w:t>
      </w:r>
      <w:r>
        <w:rPr>
          <w:rFonts w:cs="Times New Roman"/>
          <w:noProof/>
          <w:sz w:val="20"/>
        </w:rPr>
        <w:t>nesses and generated estimated lifetime energy savings of 2,300 GWh, carbon savings of 900,000 tCO</w:t>
      </w:r>
      <w:r>
        <w:rPr>
          <w:rFonts w:cs="Times New Roman"/>
          <w:noProof/>
          <w:sz w:val="20"/>
          <w:vertAlign w:val="subscript"/>
        </w:rPr>
        <w:t>2</w:t>
      </w:r>
      <w:r>
        <w:rPr>
          <w:rFonts w:cs="Times New Roman"/>
          <w:noProof/>
          <w:sz w:val="20"/>
        </w:rPr>
        <w:t xml:space="preserve"> and cost savings of £180 million.</w:t>
      </w:r>
    </w:p>
    <w:p w:rsidR="003D2157" w:rsidRDefault="00670DB4">
      <w:pPr>
        <w:widowControl w:val="0"/>
        <w:spacing w:after="120" w:line="240" w:lineRule="auto"/>
        <w:jc w:val="both"/>
        <w:rPr>
          <w:rFonts w:cs="Times New Roman"/>
          <w:noProof/>
          <w:sz w:val="20"/>
        </w:rPr>
      </w:pPr>
      <w:r>
        <w:rPr>
          <w:rFonts w:cs="Times New Roman"/>
          <w:noProof/>
          <w:sz w:val="20"/>
        </w:rPr>
        <w:t>In the Flash 426 Eurobarometer "SMEs, resource efficiency and green markets" it is shown that 47% of UK's SMEs have invest</w:t>
      </w:r>
      <w:r>
        <w:rPr>
          <w:rFonts w:cs="Times New Roman"/>
          <w:noProof/>
          <w:sz w:val="20"/>
        </w:rPr>
        <w:t>ed up to 5% of their annual turnover in their resource efficiency actions (EU28 average 50%), 26% of them are currently offering green products and services (EU28 average 26%), 72% took measures to save energy (EU28 average 59%), 91% to minimise waste (EU2</w:t>
      </w:r>
      <w:r>
        <w:rPr>
          <w:rFonts w:cs="Times New Roman"/>
          <w:noProof/>
          <w:sz w:val="20"/>
        </w:rPr>
        <w:t>8 average 60%), 57% to save water (EU28 average 44%), and 64% to save materials (EU28 average 54%). From a circular economy perspective, 74% took measures to recycle by reusing material or waste within the company (EU28 average 40%), 26% to design products</w:t>
      </w:r>
      <w:r>
        <w:rPr>
          <w:rFonts w:cs="Times New Roman"/>
          <w:noProof/>
          <w:sz w:val="20"/>
        </w:rPr>
        <w:t xml:space="preserve"> that are easier to maintain, repair or reuse (EU28 average 22%) and 35% were able to sell their scrap material to another company (EU28 average 25%).</w:t>
      </w:r>
    </w:p>
    <w:p w:rsidR="003D2157" w:rsidRDefault="00670DB4">
      <w:pPr>
        <w:widowControl w:val="0"/>
        <w:spacing w:before="240" w:after="120" w:line="240" w:lineRule="auto"/>
        <w:jc w:val="both"/>
        <w:rPr>
          <w:rFonts w:cs="Times New Roman"/>
          <w:noProof/>
          <w:sz w:val="20"/>
        </w:rPr>
      </w:pPr>
      <w:r>
        <w:rPr>
          <w:rFonts w:cs="Times New Roman"/>
          <w:noProof/>
          <w:sz w:val="20"/>
        </w:rPr>
        <w:t>Using the full potential of resource efficiency measures, the cost savings are huge: for only four SME se</w:t>
      </w:r>
      <w:r>
        <w:rPr>
          <w:rFonts w:cs="Times New Roman"/>
          <w:noProof/>
          <w:sz w:val="20"/>
        </w:rPr>
        <w:t xml:space="preserve">ctors (food &amp; beverages; energy, power &amp; utilities; environmental technologies; construction) the savings that would strengthen their competitiveness could already amount to around EUR 6.7 billion. </w:t>
      </w:r>
    </w:p>
    <w:p w:rsidR="003D2157" w:rsidRDefault="00670DB4">
      <w:pPr>
        <w:widowControl w:val="0"/>
        <w:spacing w:after="0" w:line="240" w:lineRule="auto"/>
        <w:jc w:val="both"/>
        <w:rPr>
          <w:rFonts w:cs="Times New Roman"/>
          <w:noProof/>
          <w:sz w:val="20"/>
        </w:rPr>
      </w:pPr>
      <w:r>
        <w:rPr>
          <w:rFonts w:cs="Times New Roman"/>
          <w:noProof/>
          <w:sz w:val="20"/>
        </w:rPr>
        <w:t xml:space="preserve">About 60,000 new jobs could be created and about 173,000 </w:t>
      </w:r>
      <w:r>
        <w:rPr>
          <w:rFonts w:cs="Times New Roman"/>
          <w:noProof/>
          <w:sz w:val="20"/>
        </w:rPr>
        <w:t>jobs could be secured if all SMEs in the four sectors would fully use their potential for resource efficiency</w:t>
      </w:r>
      <w:r>
        <w:rPr>
          <w:rFonts w:cs="Times New Roman"/>
          <w:noProof/>
          <w:sz w:val="20"/>
          <w:vertAlign w:val="superscript"/>
        </w:rPr>
        <w:footnoteReference w:id="15"/>
      </w:r>
      <w:r>
        <w:rPr>
          <w:rFonts w:cs="Times New Roman"/>
          <w:noProof/>
          <w:sz w:val="20"/>
        </w:rPr>
        <w:t xml:space="preserve">. The Flash 426 Eurobarometer "SMEs, resource efficiency and green markets" shows that 27% of the SMEs in the UK have one or more full time </w:t>
      </w:r>
      <w:r>
        <w:rPr>
          <w:rFonts w:cs="Times New Roman"/>
          <w:noProof/>
          <w:sz w:val="20"/>
        </w:rPr>
        <w:t>employee working in a green job at least some of the time (EU28 average 35%). The UK has an average number of 2.0 full time green employees per SME (EU28 average 1.1%)</w:t>
      </w:r>
      <w:r>
        <w:rPr>
          <w:rFonts w:cs="Times New Roman"/>
          <w:noProof/>
          <w:sz w:val="20"/>
          <w:vertAlign w:val="superscript"/>
        </w:rPr>
        <w:footnoteReference w:id="16"/>
      </w:r>
      <w:r>
        <w:rPr>
          <w:rFonts w:cs="Times New Roman"/>
          <w:noProof/>
          <w:sz w:val="20"/>
        </w:rPr>
        <w:t>.</w:t>
      </w:r>
    </w:p>
    <w:p w:rsidR="003D2157" w:rsidRDefault="003D2157">
      <w:pPr>
        <w:widowControl w:val="0"/>
        <w:spacing w:after="0" w:line="240" w:lineRule="auto"/>
        <w:jc w:val="both"/>
        <w:rPr>
          <w:rFonts w:cs="Times New Roman"/>
          <w:noProof/>
          <w:sz w:val="20"/>
        </w:rPr>
      </w:pPr>
    </w:p>
    <w:p w:rsidR="003D2157" w:rsidRDefault="00670DB4">
      <w:pPr>
        <w:widowControl w:val="0"/>
        <w:spacing w:after="120" w:line="240" w:lineRule="auto"/>
        <w:jc w:val="both"/>
        <w:outlineLvl w:val="2"/>
        <w:rPr>
          <w:rFonts w:cs="Times New Roman"/>
          <w:b/>
          <w:noProof/>
          <w:color w:val="1F497D" w:themeColor="text2"/>
        </w:rPr>
      </w:pPr>
      <w:bookmarkStart w:id="17" w:name="_Toc454543975"/>
      <w:bookmarkStart w:id="18" w:name="_Toc454552224"/>
      <w:r>
        <w:rPr>
          <w:rFonts w:cs="Times New Roman"/>
          <w:b/>
          <w:noProof/>
          <w:color w:val="1F497D" w:themeColor="text2"/>
        </w:rPr>
        <w:t>Eco-Innovation</w:t>
      </w:r>
      <w:bookmarkEnd w:id="17"/>
      <w:bookmarkEnd w:id="18"/>
    </w:p>
    <w:p w:rsidR="003D2157" w:rsidRDefault="00670DB4">
      <w:pPr>
        <w:widowControl w:val="0"/>
        <w:spacing w:after="120" w:line="240" w:lineRule="auto"/>
        <w:jc w:val="both"/>
        <w:rPr>
          <w:rFonts w:cs="Times New Roman"/>
          <w:noProof/>
          <w:sz w:val="20"/>
        </w:rPr>
      </w:pPr>
      <w:r>
        <w:rPr>
          <w:rFonts w:cs="Times New Roman"/>
          <w:noProof/>
          <w:sz w:val="20"/>
        </w:rPr>
        <w:t>In 2015, the UK performed slightly above the EU average in terms of ec</w:t>
      </w:r>
      <w:r>
        <w:rPr>
          <w:rFonts w:cs="Times New Roman"/>
          <w:noProof/>
          <w:sz w:val="20"/>
        </w:rPr>
        <w:t>o-innovation performance according to the EIO Scoreboard, with an overall score of 106 compared to an EU average of 100. However, this represents a fall in the ranking compared to 2013 where the UK achieved a score of 122. The UK went from the 5th to the 1</w:t>
      </w:r>
      <w:r>
        <w:rPr>
          <w:rFonts w:cs="Times New Roman"/>
          <w:noProof/>
          <w:sz w:val="20"/>
        </w:rPr>
        <w:t>1th position and is approximately back to its 2012 level, when it achieved an average score of 100</w:t>
      </w:r>
      <w:r>
        <w:rPr>
          <w:rFonts w:cs="Times New Roman"/>
          <w:noProof/>
          <w:sz w:val="20"/>
          <w:vertAlign w:val="superscript"/>
        </w:rPr>
        <w:footnoteReference w:id="17"/>
      </w:r>
      <w:r>
        <w:rPr>
          <w:rFonts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D2157">
        <w:tc>
          <w:tcPr>
            <w:tcW w:w="4909" w:type="dxa"/>
          </w:tcPr>
          <w:p w:rsidR="003D2157" w:rsidRDefault="00670DB4">
            <w:pPr>
              <w:widowControl w:val="0"/>
              <w:spacing w:after="120"/>
              <w:jc w:val="both"/>
              <w:rPr>
                <w:rFonts w:cs="Times New Roman"/>
                <w:noProof/>
                <w:color w:val="1F497D" w:themeColor="text2"/>
                <w:sz w:val="20"/>
                <w:lang w:val="it-IT"/>
              </w:rPr>
            </w:pPr>
            <w:r>
              <w:rPr>
                <w:b/>
                <w:noProof/>
                <w:color w:val="1F497D" w:themeColor="text2"/>
                <w:sz w:val="20"/>
                <w:lang w:val="it-IT"/>
              </w:rPr>
              <w:t>Figure 2: Eco-Innovation Index 2015 (EU=100)</w:t>
            </w:r>
            <w:r>
              <w:rPr>
                <w:b/>
                <w:noProof/>
                <w:color w:val="1F497D" w:themeColor="text2"/>
                <w:sz w:val="20"/>
                <w:vertAlign w:val="superscript"/>
                <w:lang w:val="it-IT"/>
              </w:rPr>
              <w:footnoteReference w:id="18"/>
            </w:r>
          </w:p>
        </w:tc>
      </w:tr>
      <w:tr w:rsidR="003D2157">
        <w:tc>
          <w:tcPr>
            <w:tcW w:w="4909" w:type="dxa"/>
          </w:tcPr>
          <w:p w:rsidR="003D2157" w:rsidRDefault="00670DB4">
            <w:pPr>
              <w:widowControl w:val="0"/>
              <w:spacing w:after="120"/>
              <w:jc w:val="both"/>
              <w:rPr>
                <w:rFonts w:cs="Times New Roman"/>
                <w:noProof/>
                <w:sz w:val="20"/>
                <w:lang w:val="it-IT"/>
              </w:rPr>
            </w:pPr>
            <w:r>
              <w:rPr>
                <w:rFonts w:cs="Times New Roman"/>
                <w:noProof/>
                <w:sz w:val="20"/>
              </w:rPr>
              <w:drawing>
                <wp:inline distT="0" distB="0" distL="0" distR="0" wp14:anchorId="0C9B2A03" wp14:editId="37A759CE">
                  <wp:extent cx="2875403" cy="3918998"/>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5403" cy="3918998"/>
                          </a:xfrm>
                          <a:prstGeom prst="rect">
                            <a:avLst/>
                          </a:prstGeom>
                          <a:noFill/>
                        </pic:spPr>
                      </pic:pic>
                    </a:graphicData>
                  </a:graphic>
                </wp:inline>
              </w:drawing>
            </w:r>
          </w:p>
        </w:tc>
      </w:tr>
    </w:tbl>
    <w:p w:rsidR="003D2157" w:rsidRDefault="00670DB4">
      <w:pPr>
        <w:widowControl w:val="0"/>
        <w:spacing w:after="120" w:line="240" w:lineRule="auto"/>
        <w:jc w:val="both"/>
        <w:rPr>
          <w:rFonts w:cs="Times New Roman"/>
          <w:noProof/>
          <w:sz w:val="20"/>
        </w:rPr>
      </w:pPr>
      <w:r>
        <w:rPr>
          <w:rFonts w:cs="Times New Roman"/>
          <w:noProof/>
          <w:sz w:val="20"/>
        </w:rPr>
        <w:t xml:space="preserve">This dynamism is underlined by the existence of multiple organisations fostering systemic eco-innovation </w:t>
      </w:r>
      <w:r>
        <w:rPr>
          <w:rFonts w:cs="Times New Roman"/>
          <w:noProof/>
          <w:sz w:val="20"/>
        </w:rPr>
        <w:t>and a more circular economy, through the delivery of financial support, advice and networking opportunities to innovative SMEs and public bodies at the regional and at the national level. Such organisations include Waste and Resources Action Programme (WRA</w:t>
      </w:r>
      <w:r>
        <w:rPr>
          <w:rFonts w:cs="Times New Roman"/>
          <w:noProof/>
          <w:sz w:val="20"/>
        </w:rPr>
        <w:t>P), Innovate UK, the Knowledge Transfer Network (KTN) and the Catapult Centres.</w:t>
      </w:r>
    </w:p>
    <w:p w:rsidR="003D2157" w:rsidRDefault="00670DB4">
      <w:pPr>
        <w:widowControl w:val="0"/>
        <w:spacing w:after="120" w:line="240" w:lineRule="auto"/>
        <w:jc w:val="both"/>
        <w:rPr>
          <w:rFonts w:cs="Times New Roman"/>
          <w:noProof/>
          <w:sz w:val="20"/>
        </w:rPr>
      </w:pPr>
      <w:r>
        <w:rPr>
          <w:rFonts w:cs="Times New Roman"/>
          <w:noProof/>
          <w:sz w:val="20"/>
        </w:rPr>
        <w:t>In 2014 and 2015, particularly dynamic areas in terms of eco-innovation and the circular economy included: 1) Remanufacturing and new business models, 2) Waste management and r</w:t>
      </w:r>
      <w:r>
        <w:rPr>
          <w:rFonts w:cs="Times New Roman"/>
          <w:noProof/>
          <w:sz w:val="20"/>
        </w:rPr>
        <w:t>ecycling, 3) Sustainable use of natural resources and critical materials, 4) Low carbon transport, focussing in particular on ultra-low emission vehicles and 5) Clean and carbon abatement technologies.</w:t>
      </w:r>
    </w:p>
    <w:p w:rsidR="003D2157" w:rsidRDefault="00670DB4">
      <w:pPr>
        <w:widowControl w:val="0"/>
        <w:spacing w:after="120" w:line="240" w:lineRule="auto"/>
        <w:jc w:val="both"/>
        <w:rPr>
          <w:rFonts w:cs="Times New Roman"/>
          <w:noProof/>
          <w:sz w:val="20"/>
        </w:rPr>
      </w:pPr>
      <w:r>
        <w:rPr>
          <w:rFonts w:cs="Times New Roman"/>
          <w:noProof/>
          <w:sz w:val="20"/>
        </w:rPr>
        <w:t>National efforts to further embrace eco-innovation are</w:t>
      </w:r>
      <w:r>
        <w:rPr>
          <w:rFonts w:cs="Times New Roman"/>
          <w:noProof/>
          <w:sz w:val="20"/>
        </w:rPr>
        <w:t xml:space="preserve"> also reinforced by an ambitious international and European context promoting collaboration, transparency and long-term, wise investment. Mission Innovation is looking to accelerate global clean energy innovation to make it more widely affordable for clima</w:t>
      </w:r>
      <w:r>
        <w:rPr>
          <w:rFonts w:cs="Times New Roman"/>
          <w:noProof/>
          <w:sz w:val="20"/>
        </w:rPr>
        <w:t xml:space="preserve">te challenge, affordable and reliable energy, economic growth and energy security. Considering that clean energy technologies require very large amounts of money to bring down costs, to make them affordable and scalable, private sector investment, such as </w:t>
      </w:r>
      <w:r>
        <w:rPr>
          <w:rFonts w:cs="Times New Roman"/>
          <w:noProof/>
          <w:sz w:val="20"/>
        </w:rPr>
        <w:t>from the Breakthrough Energy Coalition which was launched alongside Mission Innovation, will be key to helping them develop.</w:t>
      </w:r>
    </w:p>
    <w:p w:rsidR="003D2157" w:rsidRDefault="00670DB4">
      <w:pPr>
        <w:widowControl w:val="0"/>
        <w:spacing w:before="360" w:after="120" w:line="240" w:lineRule="auto"/>
        <w:outlineLvl w:val="1"/>
        <w:rPr>
          <w:rFonts w:cs="Times New Roman"/>
          <w:b/>
          <w:noProof/>
          <w:color w:val="1F497D" w:themeColor="text2"/>
          <w:sz w:val="24"/>
        </w:rPr>
      </w:pPr>
      <w:bookmarkStart w:id="19" w:name="_Toc433296157"/>
      <w:bookmarkStart w:id="20" w:name="_Toc469394689"/>
      <w:r>
        <w:rPr>
          <w:rFonts w:cs="Times New Roman"/>
          <w:b/>
          <w:noProof/>
          <w:color w:val="1F497D" w:themeColor="text2"/>
          <w:sz w:val="24"/>
        </w:rPr>
        <w:t>Waste management</w:t>
      </w:r>
      <w:bookmarkEnd w:id="19"/>
      <w:bookmarkEnd w:id="20"/>
      <w:r>
        <w:rPr>
          <w:rFonts w:cs="Times New Roman"/>
          <w:b/>
          <w:noProof/>
          <w:color w:val="1F497D" w:themeColor="text2"/>
          <w:sz w:val="24"/>
        </w:rPr>
        <w:t xml:space="preserve"> </w:t>
      </w:r>
    </w:p>
    <w:p w:rsidR="003D2157" w:rsidRDefault="00670DB4">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3D2157" w:rsidRDefault="00670DB4">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Full implementation of Union waste legislation, which includes the waste </w:t>
      </w:r>
      <w:r>
        <w:rPr>
          <w:noProof/>
          <w:color w:val="FFFFFF" w:themeColor="background1"/>
          <w:sz w:val="20"/>
        </w:rPr>
        <w:t>hierarchy; the need to ensure separate collection of waste; the landfill diversion targets etc.</w:t>
      </w:r>
    </w:p>
    <w:p w:rsidR="003D2157" w:rsidRDefault="00670DB4">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3D2157" w:rsidRDefault="00670DB4">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materials and phasing out landfilling of</w:t>
      </w:r>
      <w:r>
        <w:rPr>
          <w:noProof/>
          <w:color w:val="FFFFFF" w:themeColor="background1"/>
          <w:sz w:val="20"/>
        </w:rPr>
        <w:t xml:space="preserve"> recyclable or recoverable waste.</w:t>
      </w:r>
    </w:p>
    <w:p w:rsidR="003D2157" w:rsidRDefault="00670DB4">
      <w:pPr>
        <w:widowControl w:val="0"/>
        <w:shd w:val="clear" w:color="auto" w:fill="4F81BD" w:themeFill="accent1"/>
        <w:spacing w:after="120" w:line="240" w:lineRule="auto"/>
        <w:contextualSpacing/>
        <w:jc w:val="both"/>
        <w:rPr>
          <w:rFonts w:cs="Times New Roman"/>
          <w:noProof/>
          <w:color w:val="FFFFFF" w:themeColor="background1"/>
          <w:sz w:val="20"/>
        </w:rPr>
      </w:pPr>
      <w:r>
        <w:rPr>
          <w:rFonts w:cs="Times New Roman"/>
          <w:noProof/>
          <w:color w:val="FFFFFF" w:themeColor="background1"/>
          <w:sz w:val="20"/>
        </w:rPr>
        <w:t>SDG 12 invites countries to substantially reduce waste generation through prevention, reduction, recycling and reuse, by 2030.</w:t>
      </w:r>
    </w:p>
    <w:p w:rsidR="003D2157" w:rsidRDefault="00670DB4">
      <w:pPr>
        <w:widowControl w:val="0"/>
        <w:spacing w:before="240" w:after="120" w:line="240" w:lineRule="auto"/>
        <w:jc w:val="both"/>
        <w:rPr>
          <w:noProof/>
          <w:sz w:val="20"/>
        </w:rPr>
      </w:pPr>
      <w:r>
        <w:rPr>
          <w:noProof/>
          <w:sz w:val="20"/>
        </w:rPr>
        <w:t>The EU's approach to waste management is based on the "waste hierarchy" which sets out an order</w:t>
      </w:r>
      <w:r>
        <w:rPr>
          <w:noProof/>
          <w:sz w:val="20"/>
        </w:rPr>
        <w:t xml:space="preserve"> of priority when shaping waste policy and managing waste at the operational level: prevention, (preparing for) reuse, recycling, recovery and, as the least preferred option, disposal (which includes landfilling and incineration without energy recovery).</w:t>
      </w:r>
    </w:p>
    <w:p w:rsidR="003D2157" w:rsidRDefault="00670DB4">
      <w:pPr>
        <w:widowControl w:val="0"/>
        <w:spacing w:after="120" w:line="240" w:lineRule="auto"/>
        <w:jc w:val="both"/>
        <w:rPr>
          <w:rFonts w:cs="Times New Roman"/>
          <w:noProof/>
          <w:sz w:val="20"/>
        </w:rPr>
      </w:pPr>
      <w:r>
        <w:rPr>
          <w:rFonts w:cs="Times New Roman"/>
          <w:noProof/>
          <w:sz w:val="20"/>
        </w:rPr>
        <w:t>T</w:t>
      </w:r>
      <w:r>
        <w:rPr>
          <w:rFonts w:cs="Times New Roman"/>
          <w:noProof/>
          <w:sz w:val="20"/>
        </w:rPr>
        <w:t>he progress towards reaching recycling targets and the adoption of adequate WMP/WPP</w:t>
      </w:r>
      <w:r>
        <w:rPr>
          <w:rFonts w:cs="Times New Roman"/>
          <w:noProof/>
          <w:sz w:val="20"/>
          <w:vertAlign w:val="superscript"/>
        </w:rPr>
        <w:footnoteReference w:id="19"/>
      </w:r>
      <w:r>
        <w:rPr>
          <w:rFonts w:cs="Times New Roman"/>
          <w:noProof/>
          <w:sz w:val="20"/>
        </w:rPr>
        <w:t xml:space="preserve"> should be the key items to measure the performance of Member States. This section focuses on management of municipal waste for which EU law sets mandatory recycling target</w:t>
      </w:r>
      <w:r>
        <w:rPr>
          <w:rFonts w:cs="Times New Roman"/>
          <w:noProof/>
          <w:sz w:val="20"/>
        </w:rPr>
        <w:t>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D2157">
        <w:trPr>
          <w:trHeight w:val="278"/>
        </w:trPr>
        <w:tc>
          <w:tcPr>
            <w:tcW w:w="4909" w:type="dxa"/>
          </w:tcPr>
          <w:p w:rsidR="003D2157" w:rsidRDefault="00670DB4">
            <w:pPr>
              <w:widowControl w:val="0"/>
              <w:spacing w:after="120"/>
              <w:jc w:val="both"/>
              <w:rPr>
                <w:rFonts w:cs="Times New Roman"/>
                <w:noProof/>
                <w:sz w:val="20"/>
              </w:rPr>
            </w:pPr>
            <w:r>
              <w:rPr>
                <w:rFonts w:eastAsia="Calibri" w:cs="Times New Roman"/>
                <w:noProof/>
                <w:sz w:val="20"/>
              </w:rPr>
              <w:t>Over the last years, statistics show a continuous decline in municipal waste</w:t>
            </w:r>
            <w:r>
              <w:rPr>
                <w:rFonts w:eastAsia="Calibri" w:cs="Times New Roman"/>
                <w:noProof/>
                <w:sz w:val="20"/>
                <w:vertAlign w:val="superscript"/>
              </w:rPr>
              <w:footnoteReference w:id="20"/>
            </w:r>
            <w:r>
              <w:rPr>
                <w:rFonts w:eastAsia="Calibri" w:cs="Times New Roman"/>
                <w:noProof/>
                <w:sz w:val="20"/>
              </w:rPr>
              <w:t xml:space="preserve"> generation in the UK (Figure 3). In 2014, the amount of waste generated remains the same as 2013 and it is slightly above the EU average (482 kg/y/inhabitant compared to 475kg</w:t>
            </w:r>
            <w:r>
              <w:rPr>
                <w:rFonts w:eastAsia="Calibri" w:cs="Times New Roman"/>
                <w:noProof/>
                <w:sz w:val="20"/>
              </w:rPr>
              <w:t>/y/inhabitant).</w:t>
            </w:r>
            <w:r>
              <w:rPr>
                <w:rFonts w:cs="Times New Roman"/>
                <w:noProof/>
                <w:sz w:val="16"/>
                <w:szCs w:val="16"/>
                <w:vertAlign w:val="superscript"/>
              </w:rPr>
              <w:t xml:space="preserve"> </w:t>
            </w:r>
            <w:r>
              <w:rPr>
                <w:rFonts w:cs="Times New Roman"/>
                <w:noProof/>
                <w:sz w:val="20"/>
              </w:rPr>
              <w:t>Figure 3 depicts the municipal waste by treatment in the UK in terms of kg per capita, which shows an increase in incineration and a decrease in landfilling.</w:t>
            </w:r>
          </w:p>
          <w:p w:rsidR="003D2157" w:rsidRDefault="00670DB4">
            <w:pPr>
              <w:widowControl w:val="0"/>
              <w:spacing w:after="120"/>
              <w:jc w:val="both"/>
              <w:rPr>
                <w:rFonts w:cs="Times New Roman"/>
                <w:noProof/>
                <w:color w:val="1F497D" w:themeColor="text2"/>
                <w:sz w:val="20"/>
              </w:rPr>
            </w:pPr>
            <w:r>
              <w:rPr>
                <w:rFonts w:cs="Times New Roman"/>
                <w:b/>
                <w:bCs/>
                <w:noProof/>
                <w:color w:val="1F497D" w:themeColor="text2"/>
                <w:sz w:val="20"/>
              </w:rPr>
              <w:t>Figure 3: Municipal waste by treatment in the United Kingdom 2007-14</w:t>
            </w:r>
            <w:r>
              <w:rPr>
                <w:b/>
                <w:bCs/>
                <w:noProof/>
                <w:color w:val="1F497D" w:themeColor="text2"/>
                <w:sz w:val="20"/>
                <w:vertAlign w:val="superscript"/>
              </w:rPr>
              <w:footnoteReference w:id="21"/>
            </w:r>
          </w:p>
        </w:tc>
      </w:tr>
      <w:tr w:rsidR="003D2157">
        <w:trPr>
          <w:trHeight w:val="2046"/>
        </w:trPr>
        <w:tc>
          <w:tcPr>
            <w:tcW w:w="4909" w:type="dxa"/>
          </w:tcPr>
          <w:p w:rsidR="003D2157" w:rsidRDefault="00670DB4">
            <w:pPr>
              <w:widowControl w:val="0"/>
              <w:spacing w:after="120"/>
              <w:jc w:val="both"/>
              <w:rPr>
                <w:rFonts w:cs="Times New Roman"/>
                <w:noProof/>
                <w:sz w:val="20"/>
              </w:rPr>
            </w:pPr>
            <w:r>
              <w:rPr>
                <w:rFonts w:cs="Times New Roman"/>
                <w:noProof/>
                <w:sz w:val="20"/>
              </w:rPr>
              <w:drawing>
                <wp:inline distT="0" distB="0" distL="0" distR="0" wp14:anchorId="2A2D0DD4" wp14:editId="1D783743">
                  <wp:extent cx="3051672" cy="264377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3054113" cy="2645889"/>
                          </a:xfrm>
                          <a:prstGeom prst="rect">
                            <a:avLst/>
                          </a:prstGeom>
                        </pic:spPr>
                      </pic:pic>
                    </a:graphicData>
                  </a:graphic>
                </wp:inline>
              </w:drawing>
            </w:r>
          </w:p>
        </w:tc>
      </w:tr>
    </w:tbl>
    <w:p w:rsidR="003D2157" w:rsidRDefault="00670DB4">
      <w:pPr>
        <w:widowControl w:val="0"/>
        <w:spacing w:after="120" w:line="240" w:lineRule="auto"/>
        <w:jc w:val="both"/>
        <w:rPr>
          <w:rFonts w:cs="Times New Roman"/>
          <w:noProof/>
          <w:sz w:val="20"/>
        </w:rPr>
      </w:pPr>
      <w:r>
        <w:rPr>
          <w:rFonts w:eastAsia="Calibri" w:cs="Times New Roman"/>
          <w:noProof/>
          <w:sz w:val="20"/>
        </w:rPr>
        <w:t>Recycling accounts for 45% (incl. composting which accounts for 17%) showing that the UK is on track to meet the 50% recycling target by 2020, as depicted in Figure 4</w:t>
      </w:r>
      <w:r>
        <w:rPr>
          <w:rFonts w:eastAsia="Calibri" w:cs="Times New Roman"/>
          <w:noProof/>
          <w:sz w:val="16"/>
          <w:szCs w:val="16"/>
          <w:vertAlign w:val="superscript"/>
        </w:rPr>
        <w:footnoteReference w:id="22"/>
      </w:r>
      <w:r>
        <w:rPr>
          <w:rFonts w:eastAsia="Calibri"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D2157">
        <w:tc>
          <w:tcPr>
            <w:tcW w:w="4909" w:type="dxa"/>
          </w:tcPr>
          <w:p w:rsidR="003D2157" w:rsidRDefault="00670DB4">
            <w:pPr>
              <w:widowControl w:val="0"/>
              <w:spacing w:after="120"/>
              <w:jc w:val="both"/>
              <w:rPr>
                <w:rFonts w:cs="Times New Roman"/>
                <w:noProof/>
                <w:color w:val="1F497D" w:themeColor="text2"/>
                <w:sz w:val="20"/>
              </w:rPr>
            </w:pPr>
            <w:r>
              <w:rPr>
                <w:rFonts w:cs="Times New Roman"/>
                <w:b/>
                <w:bCs/>
                <w:noProof/>
                <w:color w:val="1F497D" w:themeColor="text2"/>
                <w:sz w:val="20"/>
              </w:rPr>
              <w:t>Figure 4: Recycling rate of municipal waste 2007-14</w:t>
            </w:r>
            <w:r>
              <w:rPr>
                <w:b/>
                <w:bCs/>
                <w:noProof/>
                <w:color w:val="1F497D" w:themeColor="text2"/>
                <w:sz w:val="20"/>
                <w:vertAlign w:val="superscript"/>
              </w:rPr>
              <w:footnoteReference w:id="23"/>
            </w:r>
          </w:p>
        </w:tc>
      </w:tr>
      <w:tr w:rsidR="003D2157">
        <w:tc>
          <w:tcPr>
            <w:tcW w:w="4909" w:type="dxa"/>
          </w:tcPr>
          <w:p w:rsidR="003D2157" w:rsidRDefault="00670DB4">
            <w:pPr>
              <w:widowControl w:val="0"/>
              <w:spacing w:after="120"/>
              <w:jc w:val="both"/>
              <w:rPr>
                <w:rFonts w:cs="Times New Roman"/>
                <w:noProof/>
                <w:sz w:val="20"/>
              </w:rPr>
            </w:pPr>
            <w:r>
              <w:rPr>
                <w:rFonts w:cs="Times New Roman"/>
                <w:noProof/>
                <w:sz w:val="20"/>
              </w:rPr>
              <w:drawing>
                <wp:inline distT="0" distB="0" distL="0" distR="0" wp14:anchorId="27ECD67D" wp14:editId="43ED4862">
                  <wp:extent cx="3001091" cy="248981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1091" cy="2489812"/>
                          </a:xfrm>
                          <a:prstGeom prst="rect">
                            <a:avLst/>
                          </a:prstGeom>
                          <a:noFill/>
                        </pic:spPr>
                      </pic:pic>
                    </a:graphicData>
                  </a:graphic>
                </wp:inline>
              </w:drawing>
            </w:r>
          </w:p>
        </w:tc>
      </w:tr>
    </w:tbl>
    <w:p w:rsidR="003D2157" w:rsidRDefault="00670DB4">
      <w:pPr>
        <w:widowControl w:val="0"/>
        <w:spacing w:before="240" w:after="120" w:line="240" w:lineRule="auto"/>
        <w:jc w:val="both"/>
        <w:rPr>
          <w:rFonts w:eastAsia="Calibri" w:cs="Times New Roman"/>
          <w:noProof/>
          <w:sz w:val="20"/>
        </w:rPr>
      </w:pPr>
      <w:r>
        <w:rPr>
          <w:rFonts w:eastAsia="Calibri" w:cs="Times New Roman"/>
          <w:noProof/>
          <w:sz w:val="20"/>
        </w:rPr>
        <w:t>The UK has also met the packag</w:t>
      </w:r>
      <w:r>
        <w:rPr>
          <w:rFonts w:eastAsia="Calibri" w:cs="Times New Roman"/>
          <w:noProof/>
          <w:sz w:val="20"/>
        </w:rPr>
        <w:t>ing waste recycling target (61%). The landfill rate is the same as the EU average (28%). UK complied with both the 2006 and the 2009 landfill diversion targets</w:t>
      </w:r>
      <w:r>
        <w:rPr>
          <w:rFonts w:eastAsia="Calibri" w:cs="Times New Roman"/>
          <w:noProof/>
          <w:sz w:val="16"/>
          <w:szCs w:val="16"/>
          <w:vertAlign w:val="superscript"/>
        </w:rPr>
        <w:footnoteReference w:id="24"/>
      </w:r>
      <w:r>
        <w:rPr>
          <w:rFonts w:eastAsia="Calibri" w:cs="Times New Roman"/>
          <w:noProof/>
          <w:sz w:val="20"/>
        </w:rPr>
        <w:t xml:space="preserve">. </w:t>
      </w:r>
    </w:p>
    <w:p w:rsidR="003D2157" w:rsidRDefault="00670DB4">
      <w:pPr>
        <w:widowControl w:val="0"/>
        <w:spacing w:after="120" w:line="240" w:lineRule="auto"/>
        <w:jc w:val="both"/>
        <w:rPr>
          <w:rFonts w:cs="Times New Roman"/>
          <w:noProof/>
          <w:sz w:val="20"/>
        </w:rPr>
      </w:pPr>
      <w:r>
        <w:rPr>
          <w:rFonts w:cs="Times New Roman"/>
          <w:noProof/>
          <w:sz w:val="20"/>
        </w:rPr>
        <w:t>However, additional initiatives would be needed in order to limit landfilling to 10% of resid</w:t>
      </w:r>
      <w:r>
        <w:rPr>
          <w:rFonts w:cs="Times New Roman"/>
          <w:noProof/>
          <w:sz w:val="20"/>
        </w:rPr>
        <w:t>ual waste by 2030 (a target proposed by the Commission in 2015). Any future investments in incineration (energy recovery) or in mechanical biological treatment (MBT) plants based on mixed waste should be planned so that they do not hinder UK from meeting t</w:t>
      </w:r>
      <w:r>
        <w:rPr>
          <w:rFonts w:cs="Times New Roman"/>
          <w:noProof/>
          <w:sz w:val="20"/>
        </w:rPr>
        <w:t>he 50% recycling target in 2020, and possible future recycling targets as proposed by the Commission.</w:t>
      </w:r>
    </w:p>
    <w:p w:rsidR="003D2157" w:rsidRDefault="00670DB4">
      <w:pPr>
        <w:widowControl w:val="0"/>
        <w:spacing w:after="120" w:line="240" w:lineRule="auto"/>
        <w:jc w:val="both"/>
        <w:rPr>
          <w:rFonts w:cs="Times New Roman"/>
          <w:noProof/>
          <w:sz w:val="20"/>
        </w:rPr>
      </w:pPr>
      <w:r>
        <w:rPr>
          <w:rFonts w:cs="Times New Roman"/>
          <w:noProof/>
          <w:sz w:val="20"/>
        </w:rPr>
        <w:t xml:space="preserve">A landfill tax is in place in UK and this has begun to produce clear impacts on reducing landfilling. Limited extended producer responsibility (EPR) (few </w:t>
      </w:r>
      <w:r>
        <w:rPr>
          <w:rFonts w:cs="Times New Roman"/>
          <w:noProof/>
          <w:sz w:val="20"/>
        </w:rPr>
        <w:t>waste streams covered) or equivalent system are in place and are unable to cover the full costs of separate collection and recycling of the main waste streams.</w:t>
      </w:r>
    </w:p>
    <w:p w:rsidR="003D2157" w:rsidRDefault="00670DB4">
      <w:pPr>
        <w:widowControl w:val="0"/>
        <w:spacing w:after="120" w:line="240" w:lineRule="auto"/>
        <w:jc w:val="both"/>
        <w:rPr>
          <w:rFonts w:cs="Times New Roman"/>
          <w:noProof/>
          <w:sz w:val="20"/>
        </w:rPr>
      </w:pPr>
      <w:r>
        <w:rPr>
          <w:rFonts w:cs="Times New Roman"/>
          <w:noProof/>
          <w:sz w:val="20"/>
        </w:rPr>
        <w:t>Full implementation of the existing legislation could create more than 63,900 jobs in the UK and</w:t>
      </w:r>
      <w:r>
        <w:rPr>
          <w:rFonts w:cs="Times New Roman"/>
          <w:noProof/>
          <w:sz w:val="20"/>
        </w:rPr>
        <w:t xml:space="preserve"> increase the annual turnover of the waste sector by over EUR 6,700 million. Moving towards the targets of the Roadmap on resource efficiency, which outlines how Europe's economy can be transformed into a sustainable one by 2050, could create over 84,200 a</w:t>
      </w:r>
      <w:r>
        <w:rPr>
          <w:rFonts w:cs="Times New Roman"/>
          <w:noProof/>
          <w:sz w:val="20"/>
        </w:rPr>
        <w:t>dditional jobs and increase the annual turnover of the waste sector by over EUR 8,840 million</w:t>
      </w:r>
      <w:r>
        <w:rPr>
          <w:rFonts w:eastAsia="Calibri" w:cs="Times New Roman"/>
          <w:noProof/>
          <w:sz w:val="16"/>
          <w:szCs w:val="16"/>
          <w:vertAlign w:val="superscript"/>
        </w:rPr>
        <w:footnoteReference w:id="25"/>
      </w:r>
      <w:r>
        <w:rPr>
          <w:rFonts w:cs="Times New Roman"/>
          <w:noProof/>
          <w:sz w:val="20"/>
        </w:rPr>
        <w:t>.</w:t>
      </w:r>
    </w:p>
    <w:p w:rsidR="003D2157" w:rsidRDefault="00670DB4">
      <w:pPr>
        <w:widowControl w:val="0"/>
        <w:spacing w:after="120" w:line="240" w:lineRule="auto"/>
        <w:jc w:val="both"/>
        <w:rPr>
          <w:rFonts w:ascii="Calibri" w:hAnsi="Calibri" w:cs="Calibri"/>
          <w:noProof/>
          <w:color w:val="1F497D" w:themeColor="text2"/>
          <w:szCs w:val="26"/>
        </w:rPr>
      </w:pPr>
      <w:r>
        <w:rPr>
          <w:rFonts w:ascii="Calibri" w:hAnsi="Calibri" w:cs="Calibri"/>
          <w:noProof/>
          <w:color w:val="1F497D" w:themeColor="text2"/>
          <w:szCs w:val="26"/>
        </w:rPr>
        <w:t>Suggested action</w:t>
      </w:r>
    </w:p>
    <w:p w:rsidR="003D2157" w:rsidRDefault="00670DB4">
      <w:pPr>
        <w:pStyle w:val="NoSpacing"/>
        <w:rPr>
          <w:noProof/>
        </w:rPr>
      </w:pPr>
      <w:r>
        <w:rPr>
          <w:noProof/>
        </w:rPr>
        <w:t>Phase out landfilling of recyclable and recoverable waste. Use revenues from economic instruments to support the separate collection and altern</w:t>
      </w:r>
      <w:r>
        <w:rPr>
          <w:noProof/>
        </w:rPr>
        <w:t>ative infrastructure.</w:t>
      </w:r>
    </w:p>
    <w:p w:rsidR="003D2157" w:rsidRDefault="00670DB4">
      <w:pPr>
        <w:pStyle w:val="NoSpacing"/>
        <w:rPr>
          <w:noProof/>
        </w:rPr>
      </w:pPr>
      <w:r>
        <w:rPr>
          <w:noProof/>
        </w:rPr>
        <w:t>Introduce new economic instruments (e.g. PAYT) to implement further the waste hierarchy, i.e. promote prevention, make reuse and recycling more economically attractive, and shift reusable and recyclable waste away from incineration.</w:t>
      </w:r>
    </w:p>
    <w:p w:rsidR="003D2157" w:rsidRDefault="00670DB4">
      <w:pPr>
        <w:pStyle w:val="NoSpacing"/>
        <w:rPr>
          <w:noProof/>
        </w:rPr>
      </w:pPr>
      <w:r>
        <w:rPr>
          <w:noProof/>
        </w:rPr>
        <w:t>I</w:t>
      </w:r>
      <w:r>
        <w:rPr>
          <w:noProof/>
        </w:rPr>
        <w:t>mprove the performance of the extended producer responsibility (EPR schemes) covering the main waste streams to ensure appropriate and sustainable funding of separate collection, sorting/recycling.</w:t>
      </w:r>
    </w:p>
    <w:p w:rsidR="003D2157" w:rsidRDefault="003D2157">
      <w:pPr>
        <w:widowControl w:val="0"/>
        <w:spacing w:before="240" w:after="120" w:line="240" w:lineRule="auto"/>
        <w:jc w:val="both"/>
        <w:rPr>
          <w:rFonts w:eastAsia="Calibri" w:cs="Times New Roman"/>
          <w:noProof/>
          <w:sz w:val="20"/>
        </w:rPr>
      </w:pPr>
    </w:p>
    <w:p w:rsidR="003D2157" w:rsidRDefault="003D2157">
      <w:pPr>
        <w:widowControl w:val="0"/>
        <w:spacing w:before="240" w:after="120" w:line="240" w:lineRule="auto"/>
        <w:jc w:val="both"/>
        <w:rPr>
          <w:rFonts w:eastAsia="Calibri" w:cs="Times New Roman"/>
          <w:noProof/>
          <w:sz w:val="20"/>
        </w:rPr>
      </w:pPr>
    </w:p>
    <w:p w:rsidR="003D2157" w:rsidRDefault="003D2157">
      <w:pPr>
        <w:widowControl w:val="0"/>
        <w:spacing w:before="240" w:after="120" w:line="240" w:lineRule="auto"/>
        <w:jc w:val="both"/>
        <w:rPr>
          <w:rFonts w:cs="Times New Roman"/>
          <w:noProof/>
          <w:color w:val="FF0000"/>
          <w:sz w:val="20"/>
        </w:rPr>
      </w:pPr>
    </w:p>
    <w:p w:rsidR="003D2157" w:rsidRDefault="003D2157">
      <w:pPr>
        <w:widowControl w:val="0"/>
        <w:spacing w:before="240" w:after="120" w:line="240" w:lineRule="auto"/>
        <w:jc w:val="both"/>
        <w:rPr>
          <w:rFonts w:cs="Times New Roman"/>
          <w:noProof/>
          <w:sz w:val="20"/>
        </w:rPr>
        <w:sectPr w:rsidR="003D2157">
          <w:headerReference w:type="even" r:id="rId52"/>
          <w:headerReference w:type="default" r:id="rId53"/>
          <w:footerReference w:type="even" r:id="rId54"/>
          <w:footerReference w:type="default" r:id="rId55"/>
          <w:headerReference w:type="first" r:id="rId56"/>
          <w:footerReference w:type="first" r:id="rId57"/>
          <w:type w:val="continuous"/>
          <w:pgSz w:w="11906" w:h="16838"/>
          <w:pgMar w:top="1440" w:right="1080" w:bottom="1440" w:left="1080" w:header="708" w:footer="708" w:gutter="0"/>
          <w:cols w:num="2" w:space="360"/>
          <w:docGrid w:linePitch="360"/>
        </w:sectPr>
      </w:pPr>
    </w:p>
    <w:p w:rsidR="003D2157" w:rsidRDefault="00670DB4">
      <w:pPr>
        <w:keepLines/>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21" w:name="_Toc433296159"/>
      <w:bookmarkStart w:id="22" w:name="_Toc469394690"/>
      <w:r>
        <w:rPr>
          <w:rFonts w:eastAsiaTheme="majorEastAsia" w:cstheme="majorBidi"/>
          <w:b/>
          <w:bCs/>
          <w:noProof/>
          <w:color w:val="1F497D" w:themeColor="text2"/>
          <w:sz w:val="32"/>
          <w:szCs w:val="28"/>
        </w:rPr>
        <w:t>Protecting, conserving and enhancing natural capital</w:t>
      </w:r>
      <w:bookmarkStart w:id="23" w:name="_Toc432413878"/>
      <w:bookmarkEnd w:id="21"/>
      <w:bookmarkEnd w:id="22"/>
      <w:bookmarkEnd w:id="23"/>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sectPr w:rsidR="003D2157">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40" w:right="1080" w:bottom="1440" w:left="1080" w:header="708" w:footer="708" w:gutter="0"/>
          <w:cols w:space="566"/>
          <w:docGrid w:linePitch="360"/>
        </w:sectPr>
      </w:pPr>
    </w:p>
    <w:p w:rsidR="003D2157" w:rsidRDefault="00670DB4">
      <w:pPr>
        <w:widowControl w:val="0"/>
        <w:spacing w:before="360" w:after="120" w:line="240" w:lineRule="auto"/>
        <w:outlineLvl w:val="1"/>
        <w:rPr>
          <w:rFonts w:cs="Times New Roman"/>
          <w:b/>
          <w:noProof/>
          <w:color w:val="1F497D" w:themeColor="text2"/>
          <w:sz w:val="24"/>
        </w:rPr>
      </w:pPr>
      <w:bookmarkStart w:id="24" w:name="_Toc433296160"/>
      <w:bookmarkStart w:id="25" w:name="_Toc469394691"/>
      <w:r>
        <w:rPr>
          <w:rFonts w:cs="Times New Roman"/>
          <w:b/>
          <w:noProof/>
          <w:color w:val="1F497D" w:themeColor="text2"/>
          <w:sz w:val="24"/>
        </w:rPr>
        <w:t>Nature and Biodiversity</w:t>
      </w:r>
      <w:bookmarkEnd w:id="24"/>
      <w:bookmarkEnd w:id="25"/>
      <w:r>
        <w:rPr>
          <w:rFonts w:cs="Times New Roman"/>
          <w:b/>
          <w:noProof/>
          <w:color w:val="1F497D" w:themeColor="text2"/>
          <w:sz w:val="24"/>
        </w:rPr>
        <w:t xml:space="preserve"> </w:t>
      </w:r>
    </w:p>
    <w:p w:rsidR="003D2157" w:rsidRDefault="00670DB4">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w:t>
      </w:r>
      <w:r>
        <w:rPr>
          <w:rFonts w:cs="Times New Roman"/>
          <w:noProof/>
          <w:color w:val="FFFFFF" w:themeColor="background1"/>
          <w:sz w:val="20"/>
        </w:rPr>
        <w:t>EU Birds and Habitats Directives aim at achieving favourable conservation status of protected species and habitats.</w:t>
      </w:r>
    </w:p>
    <w:p w:rsidR="003D2157" w:rsidRDefault="00670DB4">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while SDG 15 requires countries to protect,</w:t>
      </w:r>
      <w:r>
        <w:rPr>
          <w:rFonts w:cs="Times New Roman"/>
          <w:noProof/>
          <w:color w:val="FFFFFF" w:themeColor="background1"/>
          <w:sz w:val="20"/>
        </w:rPr>
        <w:t xml:space="preserve"> restore and promote the sustainable use of terrestrial ecosystems, sustainably manage forests, combat desertification, and halt and reverse land degradation and halt biodiversity loss.</w:t>
      </w:r>
    </w:p>
    <w:p w:rsidR="003D2157" w:rsidRDefault="00670DB4">
      <w:pPr>
        <w:widowControl w:val="0"/>
        <w:spacing w:after="120" w:line="240" w:lineRule="auto"/>
        <w:jc w:val="both"/>
        <w:rPr>
          <w:rFonts w:cs="Times New Roman"/>
          <w:bCs/>
          <w:noProof/>
          <w:sz w:val="20"/>
          <w:szCs w:val="20"/>
        </w:rPr>
      </w:pPr>
      <w:r>
        <w:rPr>
          <w:rFonts w:cs="Times New Roman"/>
          <w:iCs/>
          <w:noProof/>
          <w:sz w:val="20"/>
        </w:rPr>
        <w:t xml:space="preserve">The 1992 EU Habitats Directive and the 1979 Birds Directive are the </w:t>
      </w:r>
      <w:r>
        <w:rPr>
          <w:rFonts w:cs="Times New Roman"/>
          <w:iCs/>
          <w:noProof/>
          <w:sz w:val="20"/>
          <w:szCs w:val="20"/>
        </w:rPr>
        <w:t>co</w:t>
      </w:r>
      <w:r>
        <w:rPr>
          <w:rFonts w:cs="Times New Roman"/>
          <w:iCs/>
          <w:noProof/>
          <w:sz w:val="20"/>
          <w:szCs w:val="20"/>
        </w:rPr>
        <w:t>rnerstone of the</w:t>
      </w:r>
      <w:r>
        <w:rPr>
          <w:rFonts w:cs="Times New Roman"/>
          <w:iCs/>
          <w:noProof/>
          <w:sz w:val="20"/>
        </w:rPr>
        <w:t xml:space="preserve"> European legislation aimed at the conservation of the EU's wildlife. Natura 2000, the largest coordinated network of protected areas in the world, is the key instrument to achieve and implement the Directives' objectives</w:t>
      </w:r>
      <w:r>
        <w:rPr>
          <w:rFonts w:cs="Times New Roman"/>
          <w:noProof/>
          <w:sz w:val="20"/>
        </w:rPr>
        <w:t xml:space="preserve"> to ensure the </w:t>
      </w:r>
      <w:r>
        <w:rPr>
          <w:rFonts w:cs="Times New Roman"/>
          <w:bCs/>
          <w:noProof/>
          <w:sz w:val="20"/>
        </w:rPr>
        <w:t>long</w:t>
      </w:r>
      <w:r>
        <w:rPr>
          <w:rFonts w:cs="Times New Roman"/>
          <w:bCs/>
          <w:noProof/>
          <w:sz w:val="20"/>
        </w:rPr>
        <w:t>-term protection, conservation and survival of Europe's most valuable and threatened species and habitats</w:t>
      </w:r>
      <w:r>
        <w:rPr>
          <w:rFonts w:cs="Times New Roman"/>
          <w:bCs/>
          <w:noProof/>
          <w:sz w:val="20"/>
          <w:szCs w:val="20"/>
        </w:rPr>
        <w:t xml:space="preserve"> and the ecosystems they underpin.</w:t>
      </w:r>
    </w:p>
    <w:p w:rsidR="003D2157" w:rsidRDefault="00670DB4">
      <w:pPr>
        <w:widowControl w:val="0"/>
        <w:spacing w:after="120" w:line="240" w:lineRule="auto"/>
        <w:jc w:val="both"/>
        <w:rPr>
          <w:rFonts w:cs="Times New Roman"/>
          <w:noProof/>
          <w:sz w:val="20"/>
        </w:rPr>
      </w:pPr>
      <w:r>
        <w:rPr>
          <w:rFonts w:cs="Times New Roman"/>
          <w:noProof/>
          <w:sz w:val="20"/>
        </w:rPr>
        <w:t>The adequate designation of protected sites as Special Ares of Conservation (SAC) under the Habitats Directive and a</w:t>
      </w:r>
      <w:r>
        <w:rPr>
          <w:rFonts w:cs="Times New Roman"/>
          <w:noProof/>
          <w:sz w:val="20"/>
        </w:rPr>
        <w:t xml:space="preserve">s Special Protection Areas (SPA) under the Birds Directive is a key milestone towards meeting the objectives of the Directives. 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w:t>
      </w:r>
      <w:r>
        <w:rPr>
          <w:rFonts w:cs="Times New Roman"/>
          <w:noProof/>
          <w:sz w:val="20"/>
        </w:rPr>
        <w:t>ommunity Importance (SCI)-SPA and SAC designation</w:t>
      </w:r>
      <w:r>
        <w:rPr>
          <w:rFonts w:cs="Times New Roman"/>
          <w:noProof/>
          <w:sz w:val="20"/>
          <w:vertAlign w:val="superscript"/>
        </w:rPr>
        <w:footnoteReference w:id="26"/>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items to measure the performance of Member States.</w:t>
      </w:r>
    </w:p>
    <w:p w:rsidR="003D2157" w:rsidRDefault="00670DB4">
      <w:pPr>
        <w:widowControl w:val="0"/>
        <w:spacing w:after="120" w:line="240" w:lineRule="auto"/>
        <w:jc w:val="both"/>
        <w:rPr>
          <w:rFonts w:eastAsia="Calibri" w:cs="Times New Roman"/>
          <w:noProof/>
          <w:sz w:val="20"/>
        </w:rPr>
      </w:pPr>
      <w:r>
        <w:rPr>
          <w:rFonts w:eastAsia="Calibri" w:cs="Times New Roman"/>
          <w:noProof/>
          <w:sz w:val="20"/>
        </w:rPr>
        <w:t>The UK has designated 272 SPAs under the Birds Directive and 654 sites under the Habitats Directive. By early 2</w:t>
      </w:r>
      <w:r>
        <w:rPr>
          <w:rFonts w:eastAsia="Calibri" w:cs="Times New Roman"/>
          <w:noProof/>
          <w:sz w:val="20"/>
        </w:rPr>
        <w:t xml:space="preserve">016, 8.53% of the national land area of UK was covered by Natura 2000 (EU average 18.1 %), with Birds Directive SPAs covering 6.54% (EU average 12.3 %) and Habitats Directive SCIs covering 5.35% (EU average 13.8 %). The UK has the second lowest percentage </w:t>
      </w:r>
      <w:r>
        <w:rPr>
          <w:rFonts w:eastAsia="Calibri" w:cs="Times New Roman"/>
          <w:noProof/>
          <w:sz w:val="20"/>
        </w:rPr>
        <w:t xml:space="preserve">of land designated under Natura 2000 in the EU (Denmark is the lowest at 8.34%). </w:t>
      </w:r>
    </w:p>
    <w:p w:rsidR="003D2157" w:rsidRDefault="00670DB4">
      <w:pPr>
        <w:widowControl w:val="0"/>
        <w:spacing w:after="120" w:line="240" w:lineRule="auto"/>
        <w:jc w:val="both"/>
        <w:rPr>
          <w:rFonts w:eastAsia="Calibri" w:cs="Times New Roman"/>
          <w:noProof/>
          <w:sz w:val="20"/>
        </w:rPr>
      </w:pPr>
      <w:r>
        <w:rPr>
          <w:rFonts w:eastAsia="Calibri" w:cs="Times New Roman"/>
          <w:noProof/>
          <w:sz w:val="20"/>
        </w:rPr>
        <w:t xml:space="preserve">The Commission has consistently emphasised the need for the UK to do more for species and habitats outside this limited terrestrial network. </w:t>
      </w:r>
    </w:p>
    <w:p w:rsidR="003D2157" w:rsidRDefault="00670DB4">
      <w:pPr>
        <w:widowControl w:val="0"/>
        <w:spacing w:after="120" w:line="240" w:lineRule="auto"/>
        <w:jc w:val="both"/>
        <w:rPr>
          <w:rFonts w:eastAsia="Calibri" w:cs="Times New Roman"/>
          <w:noProof/>
          <w:sz w:val="20"/>
        </w:rPr>
      </w:pPr>
      <w:r>
        <w:rPr>
          <w:rFonts w:eastAsia="Calibri" w:cs="Times New Roman"/>
          <w:noProof/>
          <w:sz w:val="20"/>
        </w:rPr>
        <w:t>Furthermore, designations are no</w:t>
      </w:r>
      <w:r>
        <w:rPr>
          <w:rFonts w:eastAsia="Calibri" w:cs="Times New Roman"/>
          <w:noProof/>
          <w:sz w:val="20"/>
        </w:rPr>
        <w:t>t equally spread all over the UK, there are significant differences as regards the percentage of designated land between the various parts of the UK (see table below). The pattern of terrestrial designation is variable across the constituent parts of the U</w:t>
      </w:r>
      <w:r>
        <w:rPr>
          <w:rFonts w:eastAsia="Calibri" w:cs="Times New Roman"/>
          <w:noProof/>
          <w:sz w:val="20"/>
        </w:rPr>
        <w:t>K:</w:t>
      </w:r>
    </w:p>
    <w:tbl>
      <w:tblPr>
        <w:tblW w:w="46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266"/>
        <w:gridCol w:w="1200"/>
        <w:gridCol w:w="1200"/>
      </w:tblGrid>
      <w:tr w:rsidR="003D2157">
        <w:trPr>
          <w:trHeight w:val="20"/>
        </w:trPr>
        <w:tc>
          <w:tcPr>
            <w:tcW w:w="992" w:type="dxa"/>
            <w:noWrap/>
            <w:vAlign w:val="center"/>
            <w:hideMark/>
          </w:tcPr>
          <w:p w:rsidR="003D2157" w:rsidRDefault="00670DB4">
            <w:pPr>
              <w:widowControl w:val="0"/>
              <w:spacing w:after="0" w:line="240" w:lineRule="auto"/>
              <w:jc w:val="both"/>
              <w:rPr>
                <w:rFonts w:eastAsia="Calibri" w:cs="Times New Roman"/>
                <w:i/>
                <w:noProof/>
                <w:sz w:val="20"/>
              </w:rPr>
            </w:pPr>
            <w:r>
              <w:rPr>
                <w:rFonts w:eastAsia="Calibri" w:cs="Times New Roman"/>
                <w:i/>
                <w:noProof/>
                <w:sz w:val="20"/>
              </w:rPr>
              <w:t>Rounded figures</w:t>
            </w:r>
          </w:p>
        </w:tc>
        <w:tc>
          <w:tcPr>
            <w:tcW w:w="1266" w:type="dxa"/>
            <w:noWrap/>
            <w:vAlign w:val="center"/>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 xml:space="preserve">Natura 2000 </w:t>
            </w:r>
          </w:p>
          <w:p w:rsidR="003D2157" w:rsidRDefault="00670DB4">
            <w:pPr>
              <w:widowControl w:val="0"/>
              <w:spacing w:after="0" w:line="240" w:lineRule="auto"/>
              <w:jc w:val="both"/>
              <w:rPr>
                <w:rFonts w:eastAsia="Calibri" w:cs="Times New Roman"/>
                <w:noProof/>
                <w:sz w:val="20"/>
              </w:rPr>
            </w:pPr>
            <w:r>
              <w:rPr>
                <w:rFonts w:eastAsia="Calibri" w:cs="Times New Roman"/>
                <w:noProof/>
                <w:sz w:val="20"/>
              </w:rPr>
              <w:t xml:space="preserve"> (terrestrial)</w:t>
            </w:r>
          </w:p>
        </w:tc>
        <w:tc>
          <w:tcPr>
            <w:tcW w:w="1200" w:type="dxa"/>
            <w:noWrap/>
            <w:vAlign w:val="center"/>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SCI/SAC</w:t>
            </w:r>
          </w:p>
          <w:p w:rsidR="003D2157" w:rsidRDefault="00670DB4">
            <w:pPr>
              <w:widowControl w:val="0"/>
              <w:spacing w:after="0" w:line="240" w:lineRule="auto"/>
              <w:jc w:val="both"/>
              <w:rPr>
                <w:rFonts w:eastAsia="Calibri" w:cs="Times New Roman"/>
                <w:noProof/>
                <w:sz w:val="20"/>
              </w:rPr>
            </w:pPr>
            <w:r>
              <w:rPr>
                <w:rFonts w:eastAsia="Calibri" w:cs="Times New Roman"/>
                <w:noProof/>
                <w:sz w:val="20"/>
              </w:rPr>
              <w:t>(terrestrial)</w:t>
            </w:r>
          </w:p>
        </w:tc>
        <w:tc>
          <w:tcPr>
            <w:tcW w:w="1200" w:type="dxa"/>
            <w:noWrap/>
            <w:vAlign w:val="center"/>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SPA</w:t>
            </w:r>
          </w:p>
          <w:p w:rsidR="003D2157" w:rsidRDefault="00670DB4">
            <w:pPr>
              <w:widowControl w:val="0"/>
              <w:spacing w:after="0" w:line="240" w:lineRule="auto"/>
              <w:jc w:val="both"/>
              <w:rPr>
                <w:rFonts w:eastAsia="Calibri" w:cs="Times New Roman"/>
                <w:noProof/>
                <w:sz w:val="20"/>
              </w:rPr>
            </w:pPr>
            <w:r>
              <w:rPr>
                <w:rFonts w:eastAsia="Calibri" w:cs="Times New Roman"/>
                <w:noProof/>
                <w:sz w:val="20"/>
              </w:rPr>
              <w:t>(terrestrial)</w:t>
            </w:r>
          </w:p>
        </w:tc>
      </w:tr>
      <w:tr w:rsidR="003D2157">
        <w:trPr>
          <w:trHeight w:val="20"/>
        </w:trPr>
        <w:tc>
          <w:tcPr>
            <w:tcW w:w="992" w:type="dxa"/>
            <w:noWrap/>
            <w:vAlign w:val="bottom"/>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England</w:t>
            </w:r>
          </w:p>
        </w:tc>
        <w:tc>
          <w:tcPr>
            <w:tcW w:w="1266" w:type="dxa"/>
            <w:noWrap/>
            <w:vAlign w:val="center"/>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5%</w:t>
            </w:r>
          </w:p>
        </w:tc>
        <w:tc>
          <w:tcPr>
            <w:tcW w:w="1200" w:type="dxa"/>
            <w:noWrap/>
            <w:vAlign w:val="center"/>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4%</w:t>
            </w:r>
          </w:p>
        </w:tc>
        <w:tc>
          <w:tcPr>
            <w:tcW w:w="1200" w:type="dxa"/>
            <w:noWrap/>
            <w:vAlign w:val="center"/>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3,7%</w:t>
            </w:r>
          </w:p>
        </w:tc>
      </w:tr>
      <w:tr w:rsidR="003D2157">
        <w:trPr>
          <w:trHeight w:val="20"/>
        </w:trPr>
        <w:tc>
          <w:tcPr>
            <w:tcW w:w="992" w:type="dxa"/>
            <w:noWrap/>
            <w:vAlign w:val="bottom"/>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Wales</w:t>
            </w:r>
          </w:p>
        </w:tc>
        <w:tc>
          <w:tcPr>
            <w:tcW w:w="1266" w:type="dxa"/>
            <w:noWrap/>
            <w:vAlign w:val="center"/>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7%</w:t>
            </w:r>
          </w:p>
        </w:tc>
        <w:tc>
          <w:tcPr>
            <w:tcW w:w="1200" w:type="dxa"/>
            <w:noWrap/>
            <w:vAlign w:val="center"/>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6%</w:t>
            </w:r>
          </w:p>
        </w:tc>
        <w:tc>
          <w:tcPr>
            <w:tcW w:w="1200" w:type="dxa"/>
            <w:noWrap/>
            <w:vAlign w:val="center"/>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4%</w:t>
            </w:r>
          </w:p>
        </w:tc>
      </w:tr>
      <w:tr w:rsidR="003D2157">
        <w:trPr>
          <w:trHeight w:val="20"/>
        </w:trPr>
        <w:tc>
          <w:tcPr>
            <w:tcW w:w="992" w:type="dxa"/>
            <w:noWrap/>
            <w:vAlign w:val="bottom"/>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Scotland</w:t>
            </w:r>
          </w:p>
        </w:tc>
        <w:tc>
          <w:tcPr>
            <w:tcW w:w="1266" w:type="dxa"/>
            <w:noWrap/>
            <w:vAlign w:val="center"/>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15%</w:t>
            </w:r>
          </w:p>
        </w:tc>
        <w:tc>
          <w:tcPr>
            <w:tcW w:w="1200" w:type="dxa"/>
            <w:noWrap/>
            <w:vAlign w:val="center"/>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7.7%</w:t>
            </w:r>
          </w:p>
        </w:tc>
        <w:tc>
          <w:tcPr>
            <w:tcW w:w="1200" w:type="dxa"/>
            <w:noWrap/>
            <w:vAlign w:val="center"/>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12%</w:t>
            </w:r>
          </w:p>
        </w:tc>
      </w:tr>
      <w:tr w:rsidR="003D2157">
        <w:trPr>
          <w:trHeight w:val="20"/>
        </w:trPr>
        <w:tc>
          <w:tcPr>
            <w:tcW w:w="992" w:type="dxa"/>
            <w:noWrap/>
            <w:vAlign w:val="bottom"/>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Northern Ireland</w:t>
            </w:r>
          </w:p>
        </w:tc>
        <w:tc>
          <w:tcPr>
            <w:tcW w:w="1266" w:type="dxa"/>
            <w:noWrap/>
            <w:vAlign w:val="center"/>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8%</w:t>
            </w:r>
          </w:p>
        </w:tc>
        <w:tc>
          <w:tcPr>
            <w:tcW w:w="1200" w:type="dxa"/>
            <w:noWrap/>
            <w:vAlign w:val="center"/>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2.6%</w:t>
            </w:r>
          </w:p>
        </w:tc>
        <w:tc>
          <w:tcPr>
            <w:tcW w:w="1200" w:type="dxa"/>
            <w:noWrap/>
            <w:vAlign w:val="center"/>
            <w:hideMark/>
          </w:tcPr>
          <w:p w:rsidR="003D2157" w:rsidRDefault="00670DB4">
            <w:pPr>
              <w:widowControl w:val="0"/>
              <w:spacing w:after="0" w:line="240" w:lineRule="auto"/>
              <w:jc w:val="both"/>
              <w:rPr>
                <w:rFonts w:eastAsia="Calibri" w:cs="Times New Roman"/>
                <w:noProof/>
                <w:sz w:val="20"/>
              </w:rPr>
            </w:pPr>
            <w:r>
              <w:rPr>
                <w:rFonts w:eastAsia="Calibri" w:cs="Times New Roman"/>
                <w:noProof/>
                <w:sz w:val="20"/>
              </w:rPr>
              <w:t>6%</w:t>
            </w:r>
          </w:p>
        </w:tc>
      </w:tr>
    </w:tbl>
    <w:p w:rsidR="003D2157" w:rsidRDefault="00670DB4">
      <w:pPr>
        <w:widowControl w:val="0"/>
        <w:spacing w:before="240" w:after="120" w:line="240" w:lineRule="auto"/>
        <w:jc w:val="both"/>
        <w:rPr>
          <w:rFonts w:cs="Times New Roman"/>
          <w:noProof/>
          <w:sz w:val="20"/>
        </w:rPr>
      </w:pPr>
      <w:r>
        <w:rPr>
          <w:rFonts w:eastAsia="Calibri" w:cs="Times New Roman"/>
          <w:noProof/>
          <w:sz w:val="20"/>
        </w:rPr>
        <w:t xml:space="preserve">UK has vast marine areas and the marine designation process, even if slow, is moving in the right direction.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D2157">
        <w:tc>
          <w:tcPr>
            <w:tcW w:w="4909" w:type="dxa"/>
          </w:tcPr>
          <w:p w:rsidR="003D2157" w:rsidRDefault="00670DB4">
            <w:pPr>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5: Sufficiency assessment of SCI networks in the United Kingdom </w:t>
            </w:r>
            <w:r>
              <w:rPr>
                <w:rFonts w:cs="Times New Roman"/>
                <w:b/>
                <w:noProof/>
                <w:color w:val="1F497D" w:themeColor="text2"/>
                <w:sz w:val="20"/>
              </w:rPr>
              <w:t xml:space="preserve">based on the situation until December 2013 </w:t>
            </w:r>
            <w:r>
              <w:rPr>
                <w:rFonts w:cs="Times New Roman"/>
                <w:b/>
                <w:bCs/>
                <w:noProof/>
                <w:color w:val="1F497D" w:themeColor="text2"/>
                <w:sz w:val="20"/>
              </w:rPr>
              <w:t>(%)</w:t>
            </w:r>
            <w:r>
              <w:rPr>
                <w:rFonts w:cs="Times New Roman"/>
                <w:b/>
                <w:bCs/>
                <w:noProof/>
                <w:color w:val="1F497D" w:themeColor="text2"/>
                <w:sz w:val="20"/>
                <w:vertAlign w:val="superscript"/>
              </w:rPr>
              <w:footnoteReference w:id="27"/>
            </w:r>
            <w:r>
              <w:rPr>
                <w:rFonts w:cs="Times New Roman"/>
                <w:b/>
                <w:bCs/>
                <w:noProof/>
                <w:color w:val="1F497D" w:themeColor="text2"/>
                <w:sz w:val="20"/>
              </w:rPr>
              <w:t xml:space="preserve"> </w:t>
            </w:r>
          </w:p>
        </w:tc>
      </w:tr>
      <w:tr w:rsidR="003D2157">
        <w:tc>
          <w:tcPr>
            <w:tcW w:w="4909" w:type="dxa"/>
          </w:tcPr>
          <w:p w:rsidR="003D2157" w:rsidRDefault="00670DB4">
            <w:pPr>
              <w:widowControl w:val="0"/>
              <w:spacing w:after="120"/>
              <w:jc w:val="both"/>
              <w:rPr>
                <w:rFonts w:cs="Times New Roman"/>
                <w:noProof/>
                <w:sz w:val="20"/>
              </w:rPr>
            </w:pPr>
            <w:r>
              <w:rPr>
                <w:rFonts w:cs="Times New Roman"/>
                <w:noProof/>
                <w:sz w:val="20"/>
              </w:rPr>
              <w:drawing>
                <wp:anchor distT="0" distB="0" distL="114300" distR="114300" simplePos="0" relativeHeight="251659264" behindDoc="0" locked="0" layoutInCell="1" allowOverlap="1" wp14:anchorId="00FEC2AE" wp14:editId="487F2FFA">
                  <wp:simplePos x="685800" y="2552700"/>
                  <wp:positionH relativeFrom="margin">
                    <wp:align>center</wp:align>
                  </wp:positionH>
                  <wp:positionV relativeFrom="margin">
                    <wp:align>bottom</wp:align>
                  </wp:positionV>
                  <wp:extent cx="2409825" cy="25044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09825" cy="250444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3D2157" w:rsidRDefault="00670DB4">
      <w:pPr>
        <w:widowControl w:val="0"/>
        <w:spacing w:after="120" w:line="240" w:lineRule="auto"/>
        <w:jc w:val="both"/>
        <w:rPr>
          <w:rFonts w:eastAsia="Calibri" w:cs="Times New Roman"/>
          <w:noProof/>
          <w:sz w:val="20"/>
        </w:rPr>
      </w:pPr>
      <w:r>
        <w:rPr>
          <w:rFonts w:eastAsia="Calibri" w:cs="Times New Roman"/>
          <w:noProof/>
          <w:sz w:val="20"/>
        </w:rPr>
        <w:t xml:space="preserve">The marine network is </w:t>
      </w:r>
      <w:r>
        <w:rPr>
          <w:rFonts w:eastAsia="Calibri" w:cs="Times New Roman"/>
          <w:noProof/>
          <w:sz w:val="20"/>
        </w:rPr>
        <w:t>still not complete</w:t>
      </w:r>
      <w:r>
        <w:rPr>
          <w:rFonts w:cs="Times New Roman"/>
          <w:noProof/>
          <w:sz w:val="20"/>
          <w:szCs w:val="20"/>
          <w:vertAlign w:val="superscript"/>
        </w:rPr>
        <w:footnoteReference w:id="28"/>
      </w:r>
      <w:r>
        <w:rPr>
          <w:rFonts w:eastAsia="Calibri" w:cs="Times New Roman"/>
          <w:noProof/>
          <w:sz w:val="20"/>
        </w:rPr>
        <w:t xml:space="preserve"> (see </w:t>
      </w:r>
      <w:r>
        <w:rPr>
          <w:rFonts w:cs="Times New Roman"/>
          <w:noProof/>
          <w:sz w:val="20"/>
        </w:rPr>
        <w:t>Figure 5</w:t>
      </w:r>
      <w:r>
        <w:rPr>
          <w:rStyle w:val="FootnoteReference"/>
          <w:rFonts w:cs="Times New Roman"/>
          <w:noProof/>
          <w:sz w:val="20"/>
        </w:rPr>
        <w:footnoteReference w:id="29"/>
      </w:r>
      <w:r>
        <w:rPr>
          <w:rFonts w:cs="Times New Roman"/>
          <w:noProof/>
          <w:sz w:val="20"/>
        </w:rPr>
        <w:t>.</w:t>
      </w:r>
      <w:r>
        <w:rPr>
          <w:rFonts w:eastAsia="Calibri" w:cs="Times New Roman"/>
          <w:noProof/>
          <w:sz w:val="20"/>
        </w:rPr>
        <w:t xml:space="preserve">): for example, </w:t>
      </w:r>
      <w:r>
        <w:rPr>
          <w:rFonts w:cs="Times New Roman"/>
          <w:noProof/>
          <w:sz w:val="20"/>
        </w:rPr>
        <w:t>sites for harbour porpoise are in spite of efforts undertaken by the UK still incomplete and this is why the Commission has recently brought the harbour porpoise case to the European Court of Justice</w:t>
      </w:r>
      <w:r>
        <w:rPr>
          <w:rFonts w:eastAsia="Calibri" w:cs="Times New Roman"/>
          <w:noProof/>
          <w:sz w:val="20"/>
        </w:rPr>
        <w:t>. Ther</w:t>
      </w:r>
      <w:r>
        <w:rPr>
          <w:rFonts w:eastAsia="Calibri" w:cs="Times New Roman"/>
          <w:noProof/>
          <w:sz w:val="20"/>
        </w:rPr>
        <w:t>e are other examples and further work is needed for several habitats, species and birds in the marine environment, but these are actively being addressed.</w:t>
      </w:r>
    </w:p>
    <w:p w:rsidR="003D2157" w:rsidRDefault="00670DB4">
      <w:pPr>
        <w:widowControl w:val="0"/>
        <w:spacing w:after="120" w:line="240" w:lineRule="auto"/>
        <w:jc w:val="both"/>
        <w:rPr>
          <w:rFonts w:eastAsia="Calibri" w:cs="Times New Roman"/>
          <w:noProof/>
          <w:sz w:val="20"/>
        </w:rPr>
      </w:pPr>
      <w:r>
        <w:rPr>
          <w:rFonts w:cs="Times New Roman"/>
          <w:noProof/>
          <w:sz w:val="20"/>
          <w:szCs w:val="20"/>
        </w:rPr>
        <w:t>The UK has designated all terrestrial sites as Special Areas of Conservation (SACs).</w:t>
      </w:r>
      <w:r>
        <w:rPr>
          <w:rFonts w:eastAsia="Calibri" w:cs="Times New Roman"/>
          <w:noProof/>
          <w:sz w:val="20"/>
        </w:rPr>
        <w:t xml:space="preserve"> Many SACs in Sco</w:t>
      </w:r>
      <w:r>
        <w:rPr>
          <w:rFonts w:eastAsia="Calibri" w:cs="Times New Roman"/>
          <w:noProof/>
          <w:sz w:val="20"/>
        </w:rPr>
        <w:t xml:space="preserve">tland and England have only high level conservation objectives. There is a programme of work in place in England to develop detailed objectives where necessary to inform the conservation measures. As regards conservation measures, these seem to be largely </w:t>
      </w:r>
      <w:r>
        <w:rPr>
          <w:rFonts w:eastAsia="Calibri" w:cs="Times New Roman"/>
          <w:noProof/>
          <w:sz w:val="20"/>
        </w:rPr>
        <w:t xml:space="preserve">in place as regards maintenance of sites, but less advanced as regards needed restoration measures, even though there are a range of successful LIFE-projects dealing with restoration of habitats and species. In general, more transparency is needed (where, </w:t>
      </w:r>
      <w:r>
        <w:rPr>
          <w:rFonts w:eastAsia="Calibri" w:cs="Times New Roman"/>
          <w:noProof/>
          <w:sz w:val="20"/>
        </w:rPr>
        <w:t>what, what for, etc.) as better access to this type of information across the UK would benefit implementation and public awareness</w:t>
      </w:r>
      <w:r>
        <w:rPr>
          <w:rFonts w:eastAsia="Calibri" w:cs="Times New Roman"/>
          <w:noProof/>
          <w:sz w:val="20"/>
          <w:vertAlign w:val="superscript"/>
        </w:rPr>
        <w:footnoteReference w:id="30"/>
      </w:r>
      <w:r>
        <w:rPr>
          <w:rFonts w:eastAsia="Calibri" w:cs="Times New Roman"/>
          <w:noProof/>
          <w:sz w:val="20"/>
        </w:rPr>
        <w:t>.</w:t>
      </w:r>
    </w:p>
    <w:p w:rsidR="003D2157" w:rsidRDefault="00670DB4">
      <w:pPr>
        <w:widowControl w:val="0"/>
        <w:spacing w:after="120" w:line="240" w:lineRule="auto"/>
        <w:jc w:val="both"/>
        <w:rPr>
          <w:rFonts w:eastAsia="Calibri" w:cs="Times New Roman"/>
          <w:noProof/>
          <w:sz w:val="20"/>
        </w:rPr>
      </w:pPr>
      <w:r>
        <w:rPr>
          <w:rFonts w:eastAsia="Calibri" w:cs="Times New Roman"/>
          <w:noProof/>
          <w:sz w:val="20"/>
        </w:rPr>
        <w:t>Continuous degradation of biodiversity is an ongoing trend in UK as in large parts of the EU. Data from the ‘State of Natur</w:t>
      </w:r>
      <w:r>
        <w:rPr>
          <w:rFonts w:eastAsia="Calibri" w:cs="Times New Roman"/>
          <w:noProof/>
          <w:sz w:val="20"/>
        </w:rPr>
        <w:t>e in the EU’ report, that is based on Member State reporting under the nature directives show that not only the conservation status</w:t>
      </w:r>
      <w:r>
        <w:rPr>
          <w:rFonts w:eastAsia="Calibri" w:cs="Times New Roman"/>
          <w:noProof/>
          <w:sz w:val="16"/>
          <w:szCs w:val="16"/>
          <w:vertAlign w:val="superscript"/>
        </w:rPr>
        <w:footnoteReference w:id="31"/>
      </w:r>
      <w:r>
        <w:rPr>
          <w:rFonts w:eastAsia="Calibri" w:cs="Times New Roman"/>
          <w:noProof/>
          <w:sz w:val="20"/>
        </w:rPr>
        <w:t xml:space="preserve"> of a substantial part of protected features is unfavourable, in particular for habitats but also that there are many negati</w:t>
      </w:r>
      <w:r>
        <w:rPr>
          <w:rFonts w:eastAsia="Calibri" w:cs="Times New Roman"/>
          <w:noProof/>
          <w:sz w:val="20"/>
        </w:rPr>
        <w:t xml:space="preserve">ve trends ongoing among the unfavourable features. Agriculture, pollution and hydrological modifications are amongst the highest ranking threats to biodiversity. </w:t>
      </w:r>
    </w:p>
    <w:p w:rsidR="003D2157" w:rsidRDefault="00670DB4">
      <w:pPr>
        <w:widowControl w:val="0"/>
        <w:spacing w:after="120" w:line="240" w:lineRule="auto"/>
        <w:jc w:val="both"/>
        <w:rPr>
          <w:rFonts w:cs="Times New Roman"/>
          <w:noProof/>
          <w:sz w:val="20"/>
          <w:szCs w:val="20"/>
        </w:rPr>
      </w:pPr>
      <w:r>
        <w:rPr>
          <w:rFonts w:eastAsia="Calibri" w:cs="Times New Roman"/>
          <w:noProof/>
          <w:sz w:val="20"/>
        </w:rPr>
        <w:t>The UK has all in all 101 species and 83 habitats of community interest. According to the lat</w:t>
      </w:r>
      <w:r>
        <w:rPr>
          <w:rFonts w:eastAsia="Calibri" w:cs="Times New Roman"/>
          <w:noProof/>
          <w:sz w:val="20"/>
        </w:rPr>
        <w:t>est report on the conservation status of habitats and species covered by the Habitats Directive</w:t>
      </w:r>
      <w:r>
        <w:rPr>
          <w:rFonts w:eastAsia="Calibri" w:cs="Times New Roman"/>
          <w:noProof/>
          <w:sz w:val="20"/>
          <w:szCs w:val="20"/>
          <w:vertAlign w:val="superscript"/>
        </w:rPr>
        <w:footnoteReference w:id="32"/>
      </w:r>
      <w:r>
        <w:rPr>
          <w:rFonts w:eastAsia="Calibri" w:cs="Times New Roman"/>
          <w:noProof/>
          <w:sz w:val="20"/>
        </w:rPr>
        <w:t xml:space="preserve">, </w:t>
      </w:r>
      <w:r>
        <w:rPr>
          <w:rFonts w:cs="Times New Roman"/>
          <w:noProof/>
          <w:sz w:val="20"/>
          <w:szCs w:val="20"/>
        </w:rPr>
        <w:t xml:space="preserve">7% of the habitats' biogeographic assessments were favourable in 2013 </w:t>
      </w:r>
      <w:r>
        <w:rPr>
          <w:rFonts w:cs="Times New Roman"/>
          <w:noProof/>
          <w:sz w:val="20"/>
        </w:rPr>
        <w:t>(EU27: 16%).</w:t>
      </w:r>
      <w:r>
        <w:rPr>
          <w:rFonts w:cs="Times New Roman"/>
          <w:noProof/>
          <w:sz w:val="20"/>
          <w:szCs w:val="20"/>
        </w:rPr>
        <w:t xml:space="preserve"> </w:t>
      </w:r>
      <w:r>
        <w:rPr>
          <w:rFonts w:cs="Times New Roman"/>
          <w:noProof/>
          <w:sz w:val="20"/>
        </w:rPr>
        <w:t>Furthermore, 18% are considered to be unfavourable–inadequate (EU27: 47%) a</w:t>
      </w:r>
      <w:r>
        <w:rPr>
          <w:rFonts w:cs="Times New Roman"/>
          <w:noProof/>
          <w:sz w:val="20"/>
        </w:rPr>
        <w:t xml:space="preserve">nd 71% are unfavourable – bad (EU27: 30%). </w:t>
      </w:r>
      <w:r>
        <w:rPr>
          <w:rFonts w:cs="Times New Roman"/>
          <w:noProof/>
          <w:sz w:val="20"/>
          <w:szCs w:val="20"/>
        </w:rPr>
        <w:t>As for the species, 43% of the assessments were favourable in 2013 (EU27: 23%) 24</w:t>
      </w:r>
      <w:r>
        <w:rPr>
          <w:rFonts w:cs="Times New Roman"/>
          <w:noProof/>
          <w:sz w:val="20"/>
        </w:rPr>
        <w:t>% at unfavourable-inadequate (EU27: 42%) and 17% unfavourable-bad status (EU27: 18%). This is depicted in Figure 6</w:t>
      </w:r>
      <w:r>
        <w:rPr>
          <w:rFonts w:cs="Times New Roman"/>
          <w:noProof/>
          <w:sz w:val="20"/>
          <w:vertAlign w:val="superscript"/>
        </w:rPr>
        <w:footnoteReference w:id="33"/>
      </w:r>
      <w:r>
        <w:rPr>
          <w:rFonts w:cs="Times New Roman"/>
          <w:noProof/>
          <w:sz w:val="20"/>
        </w:rPr>
        <w:t xml:space="preserve">. </w:t>
      </w:r>
      <w:r>
        <w:rPr>
          <w:rFonts w:eastAsia="Calibri" w:cs="Times New Roman"/>
          <w:noProof/>
          <w:sz w:val="20"/>
        </w:rPr>
        <w:t xml:space="preserve">This situation </w:t>
      </w:r>
      <w:r>
        <w:rPr>
          <w:rFonts w:eastAsia="Calibri" w:cs="Times New Roman"/>
          <w:noProof/>
          <w:sz w:val="20"/>
        </w:rPr>
        <w:t>points to a severe need for restoration work for habitats in the UK.</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D2157">
        <w:tc>
          <w:tcPr>
            <w:tcW w:w="4909" w:type="dxa"/>
          </w:tcPr>
          <w:p w:rsidR="003D2157" w:rsidRDefault="00670DB4">
            <w:pPr>
              <w:widowControl w:val="0"/>
              <w:spacing w:after="120"/>
              <w:jc w:val="both"/>
              <w:rPr>
                <w:rFonts w:cs="Times New Roman"/>
                <w:b/>
                <w:bCs/>
                <w:noProof/>
                <w:color w:val="1F497D" w:themeColor="text2"/>
                <w:sz w:val="20"/>
              </w:rPr>
            </w:pPr>
            <w:r>
              <w:rPr>
                <w:rFonts w:cs="Times New Roman"/>
                <w:b/>
                <w:bCs/>
                <w:noProof/>
                <w:color w:val="1F497D" w:themeColor="text2"/>
                <w:sz w:val="20"/>
              </w:rPr>
              <w:t>Figure 6: Conservation status of habitats and species in the United Kingdom in 2007/2013 (%)</w:t>
            </w:r>
            <w:r>
              <w:rPr>
                <w:rFonts w:cs="Times New Roman"/>
                <w:b/>
                <w:bCs/>
                <w:noProof/>
                <w:color w:val="1F497D" w:themeColor="text2"/>
                <w:sz w:val="16"/>
                <w:szCs w:val="16"/>
                <w:vertAlign w:val="superscript"/>
              </w:rPr>
              <w:footnoteReference w:id="34"/>
            </w:r>
          </w:p>
        </w:tc>
      </w:tr>
      <w:tr w:rsidR="003D2157">
        <w:tc>
          <w:tcPr>
            <w:tcW w:w="4909" w:type="dxa"/>
          </w:tcPr>
          <w:p w:rsidR="003D2157" w:rsidRDefault="00670DB4">
            <w:pPr>
              <w:widowControl w:val="0"/>
              <w:spacing w:after="120"/>
              <w:jc w:val="both"/>
              <w:rPr>
                <w:rFonts w:cs="Times New Roman"/>
                <w:noProof/>
                <w:sz w:val="20"/>
              </w:rPr>
            </w:pPr>
            <w:r>
              <w:rPr>
                <w:rFonts w:cs="Times New Roman"/>
                <w:noProof/>
                <w:sz w:val="20"/>
              </w:rPr>
              <w:drawing>
                <wp:inline distT="0" distB="0" distL="0" distR="0" wp14:anchorId="52606E73" wp14:editId="587A14E8">
                  <wp:extent cx="2941504" cy="32815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39555" cy="3279414"/>
                          </a:xfrm>
                          <a:prstGeom prst="rect">
                            <a:avLst/>
                          </a:prstGeom>
                          <a:noFill/>
                        </pic:spPr>
                      </pic:pic>
                    </a:graphicData>
                  </a:graphic>
                </wp:inline>
              </w:drawing>
            </w:r>
          </w:p>
        </w:tc>
      </w:tr>
    </w:tbl>
    <w:p w:rsidR="003D2157" w:rsidRDefault="00670DB4">
      <w:pPr>
        <w:widowControl w:val="0"/>
        <w:spacing w:after="120" w:line="240" w:lineRule="auto"/>
        <w:jc w:val="both"/>
        <w:rPr>
          <w:rFonts w:cs="Times New Roman"/>
          <w:noProof/>
          <w:sz w:val="20"/>
        </w:rPr>
      </w:pPr>
      <w:r>
        <w:rPr>
          <w:rFonts w:cs="Times New Roman"/>
          <w:noProof/>
          <w:sz w:val="20"/>
        </w:rPr>
        <w:t>During the period 1970-2012, populations of breeding farmland and woodland birds in the U</w:t>
      </w:r>
      <w:r>
        <w:rPr>
          <w:rFonts w:cs="Times New Roman"/>
          <w:noProof/>
          <w:sz w:val="20"/>
        </w:rPr>
        <w:t>K declined by 50% and 17% respectively. In 2012 the population for breeding water and wetland birds was 16% lower than in 1975.</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D2157">
        <w:tc>
          <w:tcPr>
            <w:tcW w:w="4909" w:type="dxa"/>
          </w:tcPr>
          <w:p w:rsidR="003D2157" w:rsidRDefault="00670DB4">
            <w:pPr>
              <w:widowControl w:val="0"/>
              <w:spacing w:after="120"/>
              <w:jc w:val="both"/>
              <w:rPr>
                <w:rFonts w:cs="Times New Roman"/>
                <w:noProof/>
                <w:color w:val="1F497D" w:themeColor="text2"/>
                <w:sz w:val="20"/>
              </w:rPr>
            </w:pPr>
            <w:r>
              <w:rPr>
                <w:rFonts w:cs="Times New Roman"/>
                <w:b/>
                <w:bCs/>
                <w:noProof/>
                <w:color w:val="1F497D" w:themeColor="text2"/>
                <w:sz w:val="20"/>
              </w:rPr>
              <w:t>Figure 7: Short-term population trend of breeding and wintering bird species in the United Kingdom in 2012 (%)</w:t>
            </w:r>
            <w:r>
              <w:rPr>
                <w:rFonts w:cs="Times New Roman"/>
                <w:b/>
                <w:bCs/>
                <w:noProof/>
                <w:color w:val="1F497D" w:themeColor="text2"/>
                <w:sz w:val="16"/>
                <w:szCs w:val="16"/>
                <w:vertAlign w:val="superscript"/>
              </w:rPr>
              <w:footnoteReference w:id="35"/>
            </w:r>
          </w:p>
        </w:tc>
      </w:tr>
      <w:tr w:rsidR="003D2157">
        <w:tc>
          <w:tcPr>
            <w:tcW w:w="4909" w:type="dxa"/>
          </w:tcPr>
          <w:p w:rsidR="003D2157" w:rsidRDefault="00670DB4">
            <w:pPr>
              <w:widowControl w:val="0"/>
              <w:spacing w:after="120"/>
              <w:jc w:val="both"/>
              <w:rPr>
                <w:rFonts w:cs="Times New Roman"/>
                <w:noProof/>
                <w:sz w:val="20"/>
              </w:rPr>
            </w:pPr>
            <w:r>
              <w:rPr>
                <w:rFonts w:cs="Times New Roman"/>
                <w:noProof/>
                <w:sz w:val="20"/>
              </w:rPr>
              <w:drawing>
                <wp:inline distT="0" distB="0" distL="0" distR="0" wp14:anchorId="5E80EE08" wp14:editId="13389C60">
                  <wp:extent cx="2761307" cy="19471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64348" cy="1949298"/>
                          </a:xfrm>
                          <a:prstGeom prst="rect">
                            <a:avLst/>
                          </a:prstGeom>
                          <a:noFill/>
                        </pic:spPr>
                      </pic:pic>
                    </a:graphicData>
                  </a:graphic>
                </wp:inline>
              </w:drawing>
            </w:r>
          </w:p>
        </w:tc>
      </w:tr>
    </w:tbl>
    <w:p w:rsidR="003D2157" w:rsidRDefault="00670DB4">
      <w:pPr>
        <w:widowControl w:val="0"/>
        <w:spacing w:after="120" w:line="240" w:lineRule="auto"/>
        <w:jc w:val="both"/>
        <w:rPr>
          <w:rFonts w:cs="Times New Roman"/>
          <w:noProof/>
          <w:sz w:val="20"/>
        </w:rPr>
      </w:pPr>
      <w:r>
        <w:rPr>
          <w:rFonts w:cs="Times New Roman"/>
          <w:noProof/>
          <w:sz w:val="20"/>
        </w:rPr>
        <w:t>Issues conce</w:t>
      </w:r>
      <w:r>
        <w:rPr>
          <w:rFonts w:cs="Times New Roman"/>
          <w:noProof/>
          <w:sz w:val="20"/>
        </w:rPr>
        <w:t xml:space="preserve">rning dispersed species such as bats and great crested newts have been regularly discussed over the last decade and, while some issues have been dealt with, an overall protection strategy dealing with the main impacts on these species is still lacking. In </w:t>
      </w:r>
      <w:r>
        <w:rPr>
          <w:rFonts w:cs="Times New Roman"/>
          <w:noProof/>
          <w:sz w:val="20"/>
        </w:rPr>
        <w:t>addition, structured monitoring data and sufficient data to satisfy UK-criteria for the designation of sites are party missing.</w:t>
      </w:r>
    </w:p>
    <w:p w:rsidR="003D2157" w:rsidRDefault="00670DB4">
      <w:pPr>
        <w:widowControl w:val="0"/>
        <w:spacing w:after="120" w:line="240" w:lineRule="auto"/>
        <w:jc w:val="both"/>
        <w:rPr>
          <w:rFonts w:cs="Times New Roman"/>
          <w:noProof/>
          <w:sz w:val="20"/>
        </w:rPr>
      </w:pPr>
      <w:r>
        <w:rPr>
          <w:rFonts w:cs="Times New Roman"/>
          <w:noProof/>
          <w:sz w:val="20"/>
        </w:rPr>
        <w:t xml:space="preserve">The key pressure on nature appears to come from agriculture (see reports bases on Art. 17 of the Birds Directive and Art. 12 of </w:t>
      </w:r>
      <w:r>
        <w:rPr>
          <w:rFonts w:cs="Times New Roman"/>
          <w:noProof/>
          <w:sz w:val="20"/>
        </w:rPr>
        <w:t>the Natura Directive), possibly due to too much reliance being placed on voluntary compliance.</w:t>
      </w:r>
    </w:p>
    <w:p w:rsidR="003D2157" w:rsidRDefault="00670DB4">
      <w:pPr>
        <w:widowControl w:val="0"/>
        <w:spacing w:after="120" w:line="240" w:lineRule="auto"/>
        <w:jc w:val="both"/>
        <w:rPr>
          <w:rFonts w:cs="Times New Roman"/>
          <w:noProof/>
          <w:sz w:val="20"/>
        </w:rPr>
      </w:pPr>
      <w:r>
        <w:rPr>
          <w:rFonts w:cs="Times New Roman"/>
          <w:noProof/>
          <w:sz w:val="20"/>
        </w:rPr>
        <w:t xml:space="preserve">The UK is very successful client of the LIFE-nature fund that supports conservation and restoration projects. </w:t>
      </w:r>
    </w:p>
    <w:p w:rsidR="003D2157" w:rsidRDefault="00670DB4">
      <w:pPr>
        <w:widowControl w:val="0"/>
        <w:spacing w:after="120" w:line="240" w:lineRule="auto"/>
        <w:jc w:val="both"/>
        <w:rPr>
          <w:rFonts w:cs="Times New Roman"/>
          <w:noProof/>
          <w:sz w:val="20"/>
        </w:rPr>
      </w:pPr>
      <w:r>
        <w:rPr>
          <w:rFonts w:cs="Times New Roman"/>
          <w:noProof/>
          <w:sz w:val="20"/>
        </w:rPr>
        <w:drawing>
          <wp:inline distT="0" distB="0" distL="0" distR="0" wp14:anchorId="7DD3BED3" wp14:editId="3F4CAE72">
            <wp:extent cx="2980055" cy="1993919"/>
            <wp:effectExtent l="0" t="0" r="0" b="6350"/>
            <wp:docPr id="21" name="Picture 21" descr="P:\ENV-E2\1. ENV IMPLEMENTATION REVIEW\EIR Data management\Pictures\LIFE pictures\Pictures_by_Country2\United Kingdom\LIFE08_NAT_UK_000202_18 Moo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LIFE pictures\Pictures_by_Country2\United Kingdom\LIFE08_NAT_UK_000202_18 Moorview.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80055" cy="1993919"/>
                    </a:xfrm>
                    <a:prstGeom prst="rect">
                      <a:avLst/>
                    </a:prstGeom>
                    <a:noFill/>
                    <a:ln>
                      <a:noFill/>
                    </a:ln>
                  </pic:spPr>
                </pic:pic>
              </a:graphicData>
            </a:graphic>
          </wp:inline>
        </w:drawing>
      </w:r>
      <w:r>
        <w:rPr>
          <w:rFonts w:cs="Times New Roman"/>
          <w:noProof/>
          <w:sz w:val="20"/>
        </w:rPr>
        <w:t xml:space="preserve">The rich and unique fauna and flora in the UK's </w:t>
      </w:r>
      <w:r>
        <w:rPr>
          <w:rFonts w:cs="Times New Roman"/>
          <w:noProof/>
          <w:sz w:val="20"/>
        </w:rPr>
        <w:t>Overseas Territories is not covered by Natura 2000. Targeted protection measures and adequate financial resources should be devoted to conserving the exceptional wealth of biodiversity in the overseas territories. In its conclusion of 16 December 2015 Envi</w:t>
      </w:r>
      <w:r>
        <w:rPr>
          <w:rFonts w:cs="Times New Roman"/>
          <w:noProof/>
          <w:sz w:val="20"/>
        </w:rPr>
        <w:t>ronment Council noted the results of the preparatory action on Biodiversity and Ecosystem Services in Territories of European Overseas (BEST), the funding available under the Commission's Best 2.0 Programme, and urged the Commission and the Member States t</w:t>
      </w:r>
      <w:r>
        <w:rPr>
          <w:rFonts w:cs="Times New Roman"/>
          <w:noProof/>
          <w:sz w:val="20"/>
        </w:rPr>
        <w:t>o move forward on partnerships dedicated to mobilising resources to protect the unique ecosystems and the services they provide in the EU Outermost Regions (OR) and Overseas Countries and Territories (OCT).</w:t>
      </w:r>
    </w:p>
    <w:p w:rsidR="003D2157" w:rsidRDefault="00670DB4">
      <w:pPr>
        <w:widowControl w:val="0"/>
        <w:spacing w:after="120" w:line="240" w:lineRule="auto"/>
        <w:jc w:val="both"/>
        <w:rPr>
          <w:rFonts w:ascii="Calibri" w:hAnsi="Calibri" w:cs="Calibri"/>
          <w:noProof/>
          <w:color w:val="1F497D" w:themeColor="text2"/>
          <w:szCs w:val="26"/>
        </w:rPr>
      </w:pPr>
      <w:r>
        <w:rPr>
          <w:rFonts w:ascii="Calibri" w:hAnsi="Calibri" w:cs="Calibri"/>
          <w:noProof/>
          <w:color w:val="1F497D" w:themeColor="text2"/>
          <w:szCs w:val="26"/>
        </w:rPr>
        <w:t>Suggested action</w:t>
      </w:r>
    </w:p>
    <w:p w:rsidR="003D2157" w:rsidRDefault="00670DB4">
      <w:pPr>
        <w:pStyle w:val="NoSpacing"/>
        <w:rPr>
          <w:noProof/>
        </w:rPr>
      </w:pPr>
      <w:r>
        <w:rPr>
          <w:noProof/>
        </w:rPr>
        <w:t xml:space="preserve">Complete the Natura 2000 </w:t>
      </w:r>
      <w:r>
        <w:rPr>
          <w:noProof/>
        </w:rPr>
        <w:t>designation process in particular in the UK's extensive marine waters for birds, species and habitats. Put in place clearly defined conservation objectives and the necessary conservation measures for the sites and provide adequate resources for their imple</w:t>
      </w:r>
      <w:r>
        <w:rPr>
          <w:noProof/>
        </w:rPr>
        <w:t>mentation in order to maintain/restore species and habitats of community interest to a favourable conservation status across their natural range.</w:t>
      </w:r>
    </w:p>
    <w:p w:rsidR="003D2157" w:rsidRDefault="00670DB4">
      <w:pPr>
        <w:pStyle w:val="NoSpacing"/>
        <w:rPr>
          <w:noProof/>
        </w:rPr>
      </w:pPr>
      <w:r>
        <w:rPr>
          <w:noProof/>
        </w:rPr>
        <w:t>Improve knowledge and data availability to be in a better position to implement appropriate conservation measu</w:t>
      </w:r>
      <w:r>
        <w:rPr>
          <w:noProof/>
        </w:rPr>
        <w:t xml:space="preserve">res but also allow for good quality appropriate assessments in the case of plans and projects which could have an impact on protected features. </w:t>
      </w:r>
    </w:p>
    <w:p w:rsidR="003D2157" w:rsidRDefault="00670DB4">
      <w:pPr>
        <w:pStyle w:val="NoSpacing"/>
        <w:rPr>
          <w:noProof/>
        </w:rPr>
      </w:pPr>
      <w:bookmarkStart w:id="26" w:name="_Toc433296161"/>
      <w:r>
        <w:rPr>
          <w:noProof/>
        </w:rPr>
        <w:t>Engage in a sustainable partnership for biodiversity protection in the ORs and the OCTs, building on the BEST P</w:t>
      </w:r>
      <w:r>
        <w:rPr>
          <w:noProof/>
        </w:rPr>
        <w:t>reparatory Action and the BEST 2.0 programme.</w:t>
      </w:r>
    </w:p>
    <w:p w:rsidR="003D2157" w:rsidRDefault="00670DB4">
      <w:pPr>
        <w:widowControl w:val="0"/>
        <w:spacing w:before="360" w:after="120" w:line="240" w:lineRule="auto"/>
        <w:outlineLvl w:val="1"/>
        <w:rPr>
          <w:rFonts w:cs="Times New Roman"/>
          <w:b/>
          <w:noProof/>
          <w:color w:val="1F497D" w:themeColor="text2"/>
        </w:rPr>
      </w:pPr>
      <w:bookmarkStart w:id="27" w:name="_Toc469394692"/>
      <w:r>
        <w:rPr>
          <w:rFonts w:cs="Times New Roman"/>
          <w:b/>
          <w:noProof/>
          <w:color w:val="1F497D" w:themeColor="text2"/>
        </w:rPr>
        <w:t>Estimating natural capital</w:t>
      </w:r>
      <w:bookmarkEnd w:id="27"/>
    </w:p>
    <w:p w:rsidR="003D2157" w:rsidRDefault="00670DB4">
      <w:pPr>
        <w:widowControl w:val="0"/>
        <w:spacing w:after="120" w:line="240" w:lineRule="auto"/>
        <w:jc w:val="both"/>
        <w:rPr>
          <w:rFonts w:cs="Arial"/>
          <w:noProof/>
          <w:sz w:val="20"/>
        </w:rPr>
      </w:pPr>
      <w:r>
        <w:rPr>
          <w:rFonts w:cs="Arial"/>
          <w:noProof/>
          <w:sz w:val="20"/>
        </w:rPr>
        <w:t>The EU Biodiversity Strategy to 2020 calls on the Member States to map and asses the state of ecosystems and their services in their national territory by 2014, assess the economic va</w:t>
      </w:r>
      <w:r>
        <w:rPr>
          <w:rFonts w:cs="Arial"/>
          <w:noProof/>
          <w:sz w:val="20"/>
        </w:rPr>
        <w:t>lue of such services, and promote the integration of these values into accounting and reporting systems at EU and national level by 2020.</w:t>
      </w:r>
    </w:p>
    <w:p w:rsidR="003D2157" w:rsidRDefault="00670DB4">
      <w:pPr>
        <w:widowControl w:val="0"/>
        <w:spacing w:after="120" w:line="240" w:lineRule="auto"/>
        <w:jc w:val="both"/>
        <w:rPr>
          <w:rFonts w:cs="Times New Roman"/>
          <w:noProof/>
          <w:sz w:val="20"/>
        </w:rPr>
      </w:pPr>
      <w:r>
        <w:rPr>
          <w:rFonts w:cs="Arial"/>
          <w:noProof/>
          <w:sz w:val="20"/>
        </w:rPr>
        <w:t>The UK National Ecosystem Assessment (NEA) was completed in 2012. A follow-on project to UK NEA to address implementat</w:t>
      </w:r>
      <w:r>
        <w:rPr>
          <w:rFonts w:cs="Arial"/>
          <w:noProof/>
          <w:sz w:val="20"/>
        </w:rPr>
        <w:t>ion needs was launched in 2014 to provide new information on tools required to help decision-makers across all sectors understand the wider value of ecosystem services</w:t>
      </w:r>
      <w:r>
        <w:rPr>
          <w:rFonts w:cs="Times New Roman"/>
          <w:noProof/>
          <w:sz w:val="16"/>
          <w:szCs w:val="16"/>
          <w:vertAlign w:val="superscript"/>
        </w:rPr>
        <w:footnoteReference w:id="36"/>
      </w:r>
      <w:r>
        <w:rPr>
          <w:rFonts w:eastAsia="Times New Roman" w:cs="Arial"/>
          <w:noProof/>
          <w:sz w:val="20"/>
          <w:szCs w:val="20"/>
        </w:rPr>
        <w:t xml:space="preserve">. </w:t>
      </w:r>
      <w:r>
        <w:rPr>
          <w:rFonts w:cs="Arial"/>
          <w:noProof/>
          <w:sz w:val="20"/>
        </w:rPr>
        <w:t>The Ecosystems Knowledge Network in the UK has been promoting the use of ecosystem ser</w:t>
      </w:r>
      <w:r>
        <w:rPr>
          <w:rFonts w:cs="Arial"/>
          <w:noProof/>
          <w:sz w:val="20"/>
        </w:rPr>
        <w:t xml:space="preserve">vices and ecosystem approach. This Network is providing advice to a wide range of users including businesses, local government agencies and land valuation professionals. Activities are also ongoing in Scotland and Wales. </w:t>
      </w:r>
      <w:r>
        <w:rPr>
          <w:rFonts w:cs="Times New Roman"/>
          <w:noProof/>
          <w:sz w:val="20"/>
        </w:rPr>
        <w:t>The UK is quite advanced on natural</w:t>
      </w:r>
      <w:r>
        <w:rPr>
          <w:rFonts w:cs="Times New Roman"/>
          <w:noProof/>
          <w:sz w:val="20"/>
        </w:rPr>
        <w:t xml:space="preserve"> capital accounting. A national Natural Capital Accounting 2020 Roadmap was developed and an interim review has already been carried out. The Office of National Statistics (ONS) has published natural capital accounts, including on land cover, woodlands and</w:t>
      </w:r>
      <w:r>
        <w:rPr>
          <w:rFonts w:cs="Times New Roman"/>
          <w:noProof/>
          <w:sz w:val="20"/>
        </w:rPr>
        <w:t xml:space="preserve"> fresh water. Monetary estimates have also been carried out and some partial estimates have been published</w:t>
      </w:r>
      <w:r>
        <w:rPr>
          <w:rFonts w:cs="Times New Roman"/>
          <w:noProof/>
          <w:sz w:val="16"/>
          <w:szCs w:val="16"/>
          <w:vertAlign w:val="superscript"/>
        </w:rPr>
        <w:footnoteReference w:id="37"/>
      </w:r>
      <w:r>
        <w:rPr>
          <w:rFonts w:cs="Times New Roman"/>
          <w:noProof/>
          <w:sz w:val="20"/>
        </w:rPr>
        <w:t>. In 2011 Scotland established a natural capital asset index to measure changes in the stock of natural capital, which became one of the indicators u</w:t>
      </w:r>
      <w:r>
        <w:rPr>
          <w:rFonts w:cs="Times New Roman"/>
          <w:noProof/>
          <w:sz w:val="20"/>
        </w:rPr>
        <w:t>sed in the Government’s National Performance Framework</w:t>
      </w:r>
      <w:r>
        <w:rPr>
          <w:rFonts w:cs="Arial"/>
          <w:noProof/>
          <w:sz w:val="20"/>
        </w:rPr>
        <w:t>.</w:t>
      </w:r>
    </w:p>
    <w:p w:rsidR="003D2157" w:rsidRDefault="00670DB4">
      <w:pPr>
        <w:widowControl w:val="0"/>
        <w:spacing w:before="360" w:after="120" w:line="240" w:lineRule="auto"/>
        <w:outlineLvl w:val="1"/>
        <w:rPr>
          <w:rFonts w:cs="Times New Roman"/>
          <w:b/>
          <w:noProof/>
          <w:color w:val="1F497D" w:themeColor="text2"/>
          <w:sz w:val="24"/>
        </w:rPr>
      </w:pPr>
      <w:bookmarkStart w:id="28" w:name="_Toc469394693"/>
      <w:r>
        <w:rPr>
          <w:rFonts w:cs="Times New Roman"/>
          <w:b/>
          <w:noProof/>
          <w:color w:val="1F497D" w:themeColor="text2"/>
          <w:sz w:val="24"/>
        </w:rPr>
        <w:t>Green Infrastructure</w:t>
      </w:r>
      <w:bookmarkEnd w:id="28"/>
      <w:r>
        <w:rPr>
          <w:rFonts w:cs="Times New Roman"/>
          <w:b/>
          <w:noProof/>
          <w:color w:val="1F497D" w:themeColor="text2"/>
          <w:sz w:val="24"/>
        </w:rPr>
        <w:t xml:space="preserve"> </w:t>
      </w:r>
    </w:p>
    <w:p w:rsidR="003D2157" w:rsidRDefault="00670DB4">
      <w:pPr>
        <w:widowControl w:val="0"/>
        <w:shd w:val="clear" w:color="auto" w:fill="4F81BD" w:themeFill="accent1"/>
        <w:spacing w:after="120" w:line="240" w:lineRule="auto"/>
        <w:jc w:val="both"/>
        <w:rPr>
          <w:rFonts w:ascii="Calibri" w:eastAsia="Calibri" w:hAnsi="Calibri" w:cs="Times New Roman"/>
          <w:bCs/>
          <w:noProof/>
          <w:color w:val="FFFFFF" w:themeColor="background1"/>
          <w:sz w:val="20"/>
          <w:lang w:eastAsia="ar-SA"/>
        </w:rPr>
      </w:pPr>
      <w:r>
        <w:rPr>
          <w:rFonts w:cs="Times New Roman"/>
          <w:bCs/>
          <w:noProof/>
          <w:color w:val="FFFFFF" w:themeColor="background1"/>
          <w:sz w:val="20"/>
        </w:rPr>
        <w:t>The EU strategy on green infrastructure</w:t>
      </w:r>
      <w:r>
        <w:rPr>
          <w:rFonts w:cs="Times New Roman"/>
          <w:bCs/>
          <w:noProof/>
          <w:color w:val="FFFFFF" w:themeColor="background1"/>
          <w:sz w:val="20"/>
          <w:vertAlign w:val="superscript"/>
        </w:rPr>
        <w:footnoteReference w:id="38"/>
      </w:r>
      <w:r>
        <w:rPr>
          <w:rFonts w:cs="Times New Roman"/>
          <w:bCs/>
          <w:noProof/>
          <w:color w:val="FFFFFF" w:themeColor="background1"/>
          <w:sz w:val="20"/>
        </w:rPr>
        <w:t xml:space="preserve"> promotes the </w:t>
      </w:r>
      <w:r>
        <w:rPr>
          <w:rFonts w:ascii="Calibri" w:eastAsia="Calibri" w:hAnsi="Calibri" w:cs="Times New Roman"/>
          <w:bCs/>
          <w:noProof/>
          <w:color w:val="FFFFFF" w:themeColor="background1"/>
          <w:sz w:val="20"/>
          <w:lang w:eastAsia="ar-SA"/>
        </w:rPr>
        <w:t xml:space="preserve">incorporation of green infrastructure into related plans and programmes to help overcome fragmentation of habitats and </w:t>
      </w:r>
      <w:r>
        <w:rPr>
          <w:rFonts w:ascii="Calibri" w:eastAsia="Calibri" w:hAnsi="Calibri" w:cs="Times New Roman"/>
          <w:bCs/>
          <w:noProof/>
          <w:color w:val="FFFFFF" w:themeColor="background1"/>
          <w:sz w:val="20"/>
          <w:lang w:eastAsia="ar-SA"/>
        </w:rPr>
        <w:t>preserve or restore ecological connectivity, enhance ecosystem resilience and thereby ensure the continued provision of ecosystem services.</w:t>
      </w:r>
    </w:p>
    <w:p w:rsidR="003D2157" w:rsidRDefault="00670DB4">
      <w:pPr>
        <w:widowControl w:val="0"/>
        <w:spacing w:after="120" w:line="240" w:lineRule="auto"/>
        <w:jc w:val="both"/>
        <w:rPr>
          <w:rFonts w:cs="Times New Roman"/>
          <w:noProof/>
          <w:sz w:val="20"/>
        </w:rPr>
      </w:pPr>
      <w:r>
        <w:rPr>
          <w:rFonts w:cs="Times New Roman"/>
          <w:noProof/>
          <w:sz w:val="20"/>
        </w:rPr>
        <w:t>Green Infrastructure provides ecological, economic and social benefits through natural solutions. It helps to unders</w:t>
      </w:r>
      <w:r>
        <w:rPr>
          <w:rFonts w:cs="Times New Roman"/>
          <w:noProof/>
          <w:sz w:val="20"/>
        </w:rPr>
        <w:t>tand the value of the benefits that nature provides to human society and to mobilise investments to sustain and enhance them.</w:t>
      </w:r>
    </w:p>
    <w:p w:rsidR="003D2157" w:rsidRDefault="00670DB4">
      <w:pPr>
        <w:widowControl w:val="0"/>
        <w:spacing w:after="120" w:line="240" w:lineRule="auto"/>
        <w:jc w:val="both"/>
        <w:rPr>
          <w:rFonts w:cs="Times New Roman"/>
          <w:noProof/>
          <w:sz w:val="20"/>
        </w:rPr>
      </w:pPr>
      <w:r>
        <w:rPr>
          <w:rFonts w:cs="Times New Roman"/>
          <w:noProof/>
          <w:sz w:val="20"/>
        </w:rPr>
        <w:t>The contribution that nature and landscapes can make to health and quality of life is increasingly recognised in the United Kingdo</w:t>
      </w:r>
      <w:r>
        <w:rPr>
          <w:rFonts w:cs="Times New Roman"/>
          <w:noProof/>
          <w:sz w:val="20"/>
        </w:rPr>
        <w:t xml:space="preserve">m, and the provision of good quality green space and associated green networks is an important component of policies in all four countries of the UK. The Green Belt protection of green space around major cities is a long standing and politically important </w:t>
      </w:r>
      <w:r>
        <w:rPr>
          <w:rFonts w:cs="Times New Roman"/>
          <w:noProof/>
          <w:sz w:val="20"/>
        </w:rPr>
        <w:t>framework for development. Work to restore habitats and improve ecosystem services at a landscape scale is proceeding throughout the UK. For example, 48 Local Nature Partnerships (LNPs) were established around England to provide a local approach to managin</w:t>
      </w:r>
      <w:r>
        <w:rPr>
          <w:rFonts w:cs="Times New Roman"/>
          <w:noProof/>
          <w:sz w:val="20"/>
        </w:rPr>
        <w:t>g the natural environment in a strategic and integrated way.</w:t>
      </w:r>
    </w:p>
    <w:p w:rsidR="003D2157" w:rsidRDefault="00670DB4">
      <w:pPr>
        <w:widowControl w:val="0"/>
        <w:spacing w:after="120" w:line="240" w:lineRule="auto"/>
        <w:jc w:val="both"/>
        <w:rPr>
          <w:rFonts w:cs="Times New Roman"/>
          <w:noProof/>
          <w:sz w:val="20"/>
        </w:rPr>
      </w:pPr>
      <w:r>
        <w:rPr>
          <w:rFonts w:cs="Times New Roman"/>
          <w:noProof/>
          <w:sz w:val="20"/>
        </w:rPr>
        <w:t>Following a national competition, in 2012 GBP 7.5 million funding was awarded to 12 new Nature Improvement Areas (NIAs) in England, generating significant additional investment from other sources</w:t>
      </w:r>
      <w:r>
        <w:rPr>
          <w:rFonts w:cs="Times New Roman"/>
          <w:noProof/>
          <w:sz w:val="20"/>
        </w:rPr>
        <w:t>.</w:t>
      </w:r>
    </w:p>
    <w:p w:rsidR="003D2157" w:rsidRDefault="00670DB4">
      <w:pPr>
        <w:widowControl w:val="0"/>
        <w:spacing w:after="120" w:line="240" w:lineRule="auto"/>
        <w:jc w:val="both"/>
        <w:rPr>
          <w:rFonts w:cs="Times New Roman"/>
          <w:noProof/>
          <w:sz w:val="20"/>
        </w:rPr>
      </w:pPr>
      <w:r>
        <w:rPr>
          <w:rFonts w:cs="Times New Roman"/>
          <w:noProof/>
          <w:sz w:val="20"/>
        </w:rPr>
        <w:t>The National Planning Policy Framework provides advice and guidelines for planning in England and recommends the development of green infrastructure and ecological corridors.</w:t>
      </w:r>
    </w:p>
    <w:p w:rsidR="003D2157" w:rsidRDefault="00670DB4">
      <w:pPr>
        <w:widowControl w:val="0"/>
        <w:spacing w:after="120" w:line="240" w:lineRule="auto"/>
        <w:jc w:val="both"/>
        <w:rPr>
          <w:rFonts w:cs="Times New Roman"/>
          <w:noProof/>
          <w:sz w:val="20"/>
        </w:rPr>
      </w:pPr>
      <w:r>
        <w:rPr>
          <w:rFonts w:cs="Times New Roman"/>
          <w:noProof/>
          <w:sz w:val="20"/>
        </w:rPr>
        <w:t>In Scotland, Green Networks and Green Infrastructure projects aim to improve th</w:t>
      </w:r>
      <w:r>
        <w:rPr>
          <w:rFonts w:cs="Times New Roman"/>
          <w:noProof/>
          <w:sz w:val="20"/>
        </w:rPr>
        <w:t>e environment by creating integrated habitat networks, and mapping of ecosystem health will inform targeted action. National Scottish guidance on green infrastructure promotes the key role of green infrastructure in creating distinctive and sustainable pla</w:t>
      </w:r>
      <w:r>
        <w:rPr>
          <w:rFonts w:cs="Times New Roman"/>
          <w:noProof/>
          <w:sz w:val="20"/>
        </w:rPr>
        <w:t>ces.</w:t>
      </w:r>
    </w:p>
    <w:p w:rsidR="003D2157" w:rsidRDefault="00670DB4">
      <w:pPr>
        <w:widowControl w:val="0"/>
        <w:spacing w:after="120" w:line="240" w:lineRule="auto"/>
        <w:jc w:val="both"/>
        <w:rPr>
          <w:rFonts w:cs="Times New Roman"/>
          <w:noProof/>
          <w:sz w:val="20"/>
        </w:rPr>
      </w:pPr>
      <w:r>
        <w:rPr>
          <w:noProof/>
          <w:sz w:val="18"/>
          <w:szCs w:val="18"/>
        </w:rPr>
        <w:drawing>
          <wp:inline distT="0" distB="0" distL="0" distR="0" wp14:anchorId="7BCD26C0" wp14:editId="08547DB4">
            <wp:extent cx="3006969" cy="2254491"/>
            <wp:effectExtent l="0" t="0" r="3175" b="0"/>
            <wp:docPr id="128" name="Picture 128" descr="P:\ENV-E2\1. ENV IMPLEMENTATION REVIEW\EIR Data management\Pictures\Final versions\UK yorkshire sunset iStock_86390985_LARGE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NV-E2\1. ENV IMPLEMENTATION REVIEW\EIR Data management\Pictures\Final versions\UK yorkshire sunset iStock_86390985_LARGE compressed.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26958" cy="2269478"/>
                    </a:xfrm>
                    <a:prstGeom prst="rect">
                      <a:avLst/>
                    </a:prstGeom>
                    <a:noFill/>
                    <a:ln>
                      <a:noFill/>
                    </a:ln>
                  </pic:spPr>
                </pic:pic>
              </a:graphicData>
            </a:graphic>
          </wp:inline>
        </w:drawing>
      </w:r>
    </w:p>
    <w:p w:rsidR="003D2157" w:rsidRDefault="00670DB4">
      <w:pPr>
        <w:widowControl w:val="0"/>
        <w:spacing w:before="360" w:after="120" w:line="240" w:lineRule="auto"/>
        <w:outlineLvl w:val="1"/>
        <w:rPr>
          <w:rFonts w:cs="Times New Roman"/>
          <w:b/>
          <w:noProof/>
          <w:color w:val="1F497D" w:themeColor="text2"/>
          <w:sz w:val="24"/>
        </w:rPr>
      </w:pPr>
      <w:bookmarkStart w:id="29" w:name="_Toc469394694"/>
      <w:r>
        <w:rPr>
          <w:rFonts w:cs="Times New Roman"/>
          <w:b/>
          <w:noProof/>
          <w:color w:val="1F497D" w:themeColor="text2"/>
          <w:sz w:val="24"/>
        </w:rPr>
        <w:t>Soil protection</w:t>
      </w:r>
      <w:bookmarkEnd w:id="29"/>
      <w:r>
        <w:rPr>
          <w:rFonts w:cs="Times New Roman"/>
          <w:b/>
          <w:noProof/>
          <w:color w:val="1F497D" w:themeColor="text2"/>
          <w:sz w:val="24"/>
        </w:rPr>
        <w:t xml:space="preserve"> </w:t>
      </w:r>
    </w:p>
    <w:p w:rsidR="003D2157" w:rsidRDefault="00670DB4">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The EU Soil Thematic Strategy highlights the need to ensure a sustainable use of soils. This requires the prevention of further soil degradation and the preservation of its functions, as well as the restoration of degraded soils. Th</w:t>
      </w:r>
      <w:r>
        <w:rPr>
          <w:rFonts w:cs="Times New Roman"/>
          <w:bCs/>
          <w:noProof/>
          <w:color w:val="FFFFFF" w:themeColor="background1"/>
          <w:sz w:val="20"/>
        </w:rPr>
        <w:t>e 2011 Road Map for Resource-Efficient Europe, part of Europe 2020 Strategy provides that by 2020, EU policies take into account their direct and indirect impact on land use in the EU and globally, and the rate of land take is on track with an aim to achie</w:t>
      </w:r>
      <w:r>
        <w:rPr>
          <w:rFonts w:cs="Times New Roman"/>
          <w:bCs/>
          <w:noProof/>
          <w:color w:val="FFFFFF" w:themeColor="background1"/>
          <w:sz w:val="20"/>
        </w:rPr>
        <w:t>ve no net land take by 2050.</w:t>
      </w:r>
    </w:p>
    <w:p w:rsidR="003D2157" w:rsidRDefault="00670DB4">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affected by desertification, drought and floods, and strive to achieve a land-degradation-neutral world by 2030.</w:t>
      </w:r>
    </w:p>
    <w:p w:rsidR="003D2157" w:rsidRDefault="00670DB4">
      <w:pPr>
        <w:widowControl w:val="0"/>
        <w:spacing w:before="120" w:after="120" w:line="240" w:lineRule="auto"/>
        <w:jc w:val="both"/>
        <w:rPr>
          <w:noProof/>
          <w:sz w:val="20"/>
        </w:rPr>
      </w:pPr>
      <w:r>
        <w:rPr>
          <w:noProof/>
          <w:sz w:val="20"/>
        </w:rPr>
        <w:t xml:space="preserve">Soil is an </w:t>
      </w:r>
      <w:r>
        <w:rPr>
          <w:noProof/>
          <w:sz w:val="20"/>
        </w:rPr>
        <w:t>important resource for life and the economy. It provides key ecosystem services including the provision of food, fibre and biomass for renewable energy, carbon sequestration, water purification and flood regulation, the provision of raw and building materi</w:t>
      </w:r>
      <w:r>
        <w:rPr>
          <w:noProof/>
          <w:sz w:val="20"/>
        </w:rPr>
        <w:t>al. Soil is a finite and extremely fragile resource and increasingly degrading in the EU. Land taken by urban development and infrastructure is highly unlikely to be reverted to its natural state; it consumes mostly agricultural land and increases fragment</w:t>
      </w:r>
      <w:r>
        <w:rPr>
          <w:noProof/>
          <w:sz w:val="20"/>
        </w:rPr>
        <w:t>ation of habitats. Soil protection is indirectly addressed in existing EU policies in areas such as agriculture, water, waste, chemicals, and prevention of industrial pollution.</w:t>
      </w:r>
    </w:p>
    <w:p w:rsidR="003D2157" w:rsidRDefault="00670DB4">
      <w:pPr>
        <w:widowControl w:val="0"/>
        <w:spacing w:after="120" w:line="240" w:lineRule="auto"/>
        <w:jc w:val="both"/>
        <w:rPr>
          <w:rFonts w:cs="Times New Roman"/>
          <w:noProof/>
          <w:sz w:val="20"/>
          <w:szCs w:val="20"/>
        </w:rPr>
      </w:pPr>
      <w:r>
        <w:rPr>
          <w:rFonts w:cs="Times New Roman"/>
          <w:noProof/>
          <w:sz w:val="20"/>
          <w:szCs w:val="20"/>
        </w:rPr>
        <w:t xml:space="preserve">Artificial land cover is used for settlements, production systems and infrastructure. It may itself be split between built-up areas (buildings) and non-built-up areas (such as linear transport networks and associated areas). </w:t>
      </w:r>
    </w:p>
    <w:p w:rsidR="003D2157" w:rsidRDefault="00670DB4">
      <w:pPr>
        <w:widowControl w:val="0"/>
        <w:spacing w:after="120" w:line="240" w:lineRule="auto"/>
        <w:jc w:val="both"/>
        <w:rPr>
          <w:rFonts w:cs="Times New Roman"/>
          <w:noProof/>
          <w:sz w:val="20"/>
          <w:szCs w:val="20"/>
        </w:rPr>
      </w:pPr>
      <w:r>
        <w:rPr>
          <w:rFonts w:cs="Times New Roman"/>
          <w:noProof/>
          <w:sz w:val="20"/>
          <w:szCs w:val="20"/>
        </w:rPr>
        <w:t>The annual land take rate (gro</w:t>
      </w:r>
      <w:r>
        <w:rPr>
          <w:rFonts w:cs="Times New Roman"/>
          <w:noProof/>
          <w:sz w:val="20"/>
          <w:szCs w:val="20"/>
        </w:rPr>
        <w:t xml:space="preserve">wth of artificial areas) as provided by CORINE Land Cover was 0.19% in the UK over the period 2006-12, below the EU average (0.41%). It represented 3812 hectares per year and was mainly driven by housing, services and recreation as well as mines, quarries </w:t>
      </w:r>
      <w:r>
        <w:rPr>
          <w:rFonts w:cs="Times New Roman"/>
          <w:noProof/>
          <w:sz w:val="20"/>
          <w:szCs w:val="20"/>
        </w:rPr>
        <w:t>and dump sites</w:t>
      </w:r>
      <w:r>
        <w:rPr>
          <w:rFonts w:cs="Times New Roman"/>
          <w:noProof/>
          <w:sz w:val="20"/>
          <w:szCs w:val="20"/>
          <w:vertAlign w:val="superscript"/>
        </w:rPr>
        <w:footnoteReference w:id="39"/>
      </w:r>
      <w:r>
        <w:rPr>
          <w:rFonts w:cs="Times New Roman"/>
          <w:noProof/>
          <w:sz w:val="20"/>
          <w:szCs w:val="20"/>
        </w:rPr>
        <w:t xml:space="preserve">. The percentage of built up land in 2009 was </w:t>
      </w:r>
      <w:r>
        <w:rPr>
          <w:rFonts w:cs="Times New Roman"/>
          <w:noProof/>
          <w:sz w:val="20"/>
        </w:rPr>
        <w:t>3.41</w:t>
      </w:r>
      <w:r>
        <w:rPr>
          <w:rFonts w:cs="Times New Roman"/>
          <w:noProof/>
          <w:sz w:val="20"/>
          <w:szCs w:val="20"/>
        </w:rPr>
        <w:t xml:space="preserve">%, </w:t>
      </w:r>
      <w:r>
        <w:rPr>
          <w:rFonts w:cs="Times New Roman"/>
          <w:noProof/>
          <w:sz w:val="20"/>
        </w:rPr>
        <w:t>close to</w:t>
      </w:r>
      <w:r>
        <w:rPr>
          <w:rFonts w:cs="Times New Roman"/>
          <w:noProof/>
          <w:sz w:val="20"/>
          <w:szCs w:val="20"/>
        </w:rPr>
        <w:t xml:space="preserve"> the EU average (3.23%)</w:t>
      </w:r>
      <w:r>
        <w:rPr>
          <w:rFonts w:cs="Times New Roman"/>
          <w:noProof/>
          <w:sz w:val="20"/>
          <w:szCs w:val="20"/>
          <w:vertAlign w:val="superscript"/>
        </w:rPr>
        <w:footnoteReference w:id="40"/>
      </w:r>
      <w:r>
        <w:rPr>
          <w:rFonts w:cs="Times New Roman"/>
          <w:noProof/>
          <w:sz w:val="20"/>
          <w:szCs w:val="20"/>
        </w:rPr>
        <w:t>.</w:t>
      </w:r>
    </w:p>
    <w:p w:rsidR="003D2157" w:rsidRDefault="00670DB4">
      <w:pPr>
        <w:widowControl w:val="0"/>
        <w:spacing w:after="120" w:line="240" w:lineRule="auto"/>
        <w:jc w:val="both"/>
        <w:rPr>
          <w:rFonts w:cs="Times New Roman"/>
          <w:noProof/>
          <w:sz w:val="20"/>
          <w:szCs w:val="20"/>
        </w:rPr>
      </w:pPr>
      <w:r>
        <w:rPr>
          <w:rFonts w:cs="Times New Roman"/>
          <w:noProof/>
          <w:sz w:val="20"/>
          <w:szCs w:val="20"/>
        </w:rPr>
        <w:t>The soil erosion</w:t>
      </w:r>
      <w:r>
        <w:rPr>
          <w:rFonts w:cs="Times New Roman"/>
          <w:noProof/>
          <w:sz w:val="16"/>
          <w:szCs w:val="16"/>
        </w:rPr>
        <w:t xml:space="preserve"> </w:t>
      </w:r>
      <w:r>
        <w:rPr>
          <w:rFonts w:cs="Times New Roman"/>
          <w:noProof/>
          <w:sz w:val="20"/>
          <w:szCs w:val="20"/>
        </w:rPr>
        <w:t xml:space="preserve">rate in 2010 was </w:t>
      </w:r>
      <w:r>
        <w:rPr>
          <w:rFonts w:cs="Times New Roman"/>
          <w:noProof/>
          <w:sz w:val="20"/>
        </w:rPr>
        <w:t>2.38</w:t>
      </w:r>
      <w:r>
        <w:rPr>
          <w:rFonts w:cs="Times New Roman"/>
          <w:noProof/>
          <w:sz w:val="20"/>
          <w:szCs w:val="20"/>
        </w:rPr>
        <w:t xml:space="preserve"> tonnes per ha per year, </w:t>
      </w:r>
      <w:r>
        <w:rPr>
          <w:rFonts w:cs="Times New Roman"/>
          <w:noProof/>
          <w:sz w:val="20"/>
        </w:rPr>
        <w:t>close to</w:t>
      </w:r>
      <w:r>
        <w:rPr>
          <w:rFonts w:cs="Times New Roman"/>
          <w:noProof/>
          <w:sz w:val="20"/>
          <w:szCs w:val="20"/>
        </w:rPr>
        <w:t xml:space="preserve"> EU28 average (2.46 tonnes)</w:t>
      </w:r>
      <w:r>
        <w:rPr>
          <w:rFonts w:cs="Times New Roman"/>
          <w:noProof/>
          <w:sz w:val="20"/>
          <w:szCs w:val="20"/>
          <w:vertAlign w:val="superscript"/>
        </w:rPr>
        <w:footnoteReference w:id="41"/>
      </w:r>
      <w:r>
        <w:rPr>
          <w:rFonts w:cs="Times New Roman"/>
          <w:noProof/>
          <w:sz w:val="20"/>
          <w:szCs w:val="20"/>
        </w:rPr>
        <w:t>.</w:t>
      </w:r>
    </w:p>
    <w:p w:rsidR="003D2157" w:rsidRDefault="00670DB4">
      <w:pPr>
        <w:spacing w:after="120" w:line="240" w:lineRule="auto"/>
        <w:jc w:val="both"/>
        <w:rPr>
          <w:rFonts w:cs="Times New Roman"/>
          <w:noProof/>
          <w:sz w:val="20"/>
        </w:rPr>
      </w:pPr>
      <w:r>
        <w:rPr>
          <w:rFonts w:cs="Times New Roman"/>
          <w:noProof/>
          <w:sz w:val="20"/>
        </w:rPr>
        <w:t>There are still not EU-wide datasets enabling the pro</w:t>
      </w:r>
      <w:r>
        <w:rPr>
          <w:rFonts w:cs="Times New Roman"/>
          <w:noProof/>
          <w:sz w:val="20"/>
        </w:rPr>
        <w:t xml:space="preserve">vision of benchmark indicators for soil organic matter decline, contaminated sites, pressures on soil biology and diffuse pollution. An updated inventory and assessment of soil protection policy instruments in the United Kingdom and other EU Member States </w:t>
      </w:r>
      <w:r>
        <w:rPr>
          <w:rFonts w:cs="Times New Roman"/>
          <w:noProof/>
          <w:sz w:val="20"/>
        </w:rPr>
        <w:t>is being performed by the EU Expert Group on Soil Protection.</w:t>
      </w:r>
    </w:p>
    <w:p w:rsidR="003D2157" w:rsidRDefault="00670DB4">
      <w:pPr>
        <w:widowControl w:val="0"/>
        <w:spacing w:after="120" w:line="240" w:lineRule="auto"/>
        <w:jc w:val="both"/>
        <w:rPr>
          <w:rFonts w:cs="Times New Roman"/>
          <w:noProof/>
          <w:sz w:val="20"/>
        </w:rPr>
      </w:pPr>
      <w:r>
        <w:rPr>
          <w:rFonts w:cs="Times New Roman"/>
          <w:noProof/>
          <w:sz w:val="20"/>
        </w:rPr>
        <w:t>Figure 8 shows the different land cover types in the United Kingdom in 2012.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D2157">
        <w:tc>
          <w:tcPr>
            <w:tcW w:w="4909" w:type="dxa"/>
          </w:tcPr>
          <w:p w:rsidR="003D2157" w:rsidRDefault="003D2157">
            <w:pPr>
              <w:widowControl w:val="0"/>
              <w:spacing w:after="120"/>
              <w:jc w:val="both"/>
              <w:rPr>
                <w:rFonts w:cs="Times New Roman"/>
                <w:b/>
                <w:bCs/>
                <w:noProof/>
                <w:color w:val="1F497D" w:themeColor="text2"/>
                <w:sz w:val="20"/>
                <w:szCs w:val="18"/>
              </w:rPr>
            </w:pPr>
          </w:p>
          <w:p w:rsidR="003D2157" w:rsidRDefault="00670DB4">
            <w:pPr>
              <w:widowControl w:val="0"/>
              <w:spacing w:after="120"/>
              <w:jc w:val="both"/>
              <w:rPr>
                <w:rFonts w:cs="Times New Roman"/>
                <w:b/>
                <w:bCs/>
                <w:noProof/>
                <w:color w:val="1F497D" w:themeColor="text2"/>
                <w:sz w:val="20"/>
                <w:szCs w:val="18"/>
              </w:rPr>
            </w:pPr>
            <w:r>
              <w:rPr>
                <w:rFonts w:cs="Times New Roman"/>
                <w:b/>
                <w:bCs/>
                <w:noProof/>
                <w:color w:val="1F497D" w:themeColor="text2"/>
                <w:sz w:val="20"/>
                <w:szCs w:val="18"/>
              </w:rPr>
              <w:t>Figure 8: Land Cover types in the United Kingdom 2012</w:t>
            </w:r>
            <w:r>
              <w:rPr>
                <w:rStyle w:val="FootnoteReference"/>
                <w:rFonts w:cs="Times New Roman"/>
                <w:b/>
                <w:bCs/>
                <w:noProof/>
                <w:color w:val="1F497D" w:themeColor="text2"/>
                <w:sz w:val="20"/>
                <w:szCs w:val="18"/>
              </w:rPr>
              <w:footnoteReference w:id="42"/>
            </w:r>
          </w:p>
        </w:tc>
      </w:tr>
      <w:tr w:rsidR="003D2157">
        <w:tc>
          <w:tcPr>
            <w:tcW w:w="4909" w:type="dxa"/>
          </w:tcPr>
          <w:p w:rsidR="003D2157" w:rsidRDefault="00670DB4">
            <w:pPr>
              <w:widowControl w:val="0"/>
              <w:spacing w:after="120"/>
              <w:jc w:val="both"/>
              <w:rPr>
                <w:noProof/>
                <w:sz w:val="20"/>
              </w:rPr>
            </w:pPr>
            <w:r>
              <w:rPr>
                <w:rFonts w:ascii="Arial" w:hAnsi="Arial" w:cs="Arial"/>
                <w:noProof/>
                <w:sz w:val="20"/>
                <w:szCs w:val="20"/>
              </w:rPr>
              <w:drawing>
                <wp:inline distT="0" distB="0" distL="0" distR="0" wp14:anchorId="2C670FB9" wp14:editId="08D301EE">
                  <wp:extent cx="3061970" cy="3646805"/>
                  <wp:effectExtent l="0" t="0" r="5080" b="0"/>
                  <wp:docPr id="30" name="Picture 30" descr="UK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_CS_CLC_typ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1970" cy="3646805"/>
                          </a:xfrm>
                          <a:prstGeom prst="rect">
                            <a:avLst/>
                          </a:prstGeom>
                          <a:noFill/>
                          <a:ln>
                            <a:noFill/>
                          </a:ln>
                        </pic:spPr>
                      </pic:pic>
                    </a:graphicData>
                  </a:graphic>
                </wp:inline>
              </w:drawing>
            </w:r>
          </w:p>
        </w:tc>
      </w:tr>
    </w:tbl>
    <w:p w:rsidR="003D2157" w:rsidRDefault="00670DB4">
      <w:pPr>
        <w:widowControl w:val="0"/>
        <w:spacing w:before="360" w:after="120" w:line="240" w:lineRule="auto"/>
        <w:outlineLvl w:val="1"/>
        <w:rPr>
          <w:rFonts w:cs="Times New Roman"/>
          <w:b/>
          <w:noProof/>
          <w:color w:val="1F497D" w:themeColor="text2"/>
          <w:sz w:val="24"/>
        </w:rPr>
      </w:pPr>
      <w:bookmarkStart w:id="30" w:name="_Toc469394695"/>
      <w:r>
        <w:rPr>
          <w:rFonts w:cs="Times New Roman"/>
          <w:b/>
          <w:noProof/>
          <w:color w:val="1F497D" w:themeColor="text2"/>
          <w:sz w:val="24"/>
        </w:rPr>
        <w:t>Marine protection</w:t>
      </w:r>
      <w:bookmarkEnd w:id="26"/>
      <w:bookmarkEnd w:id="30"/>
    </w:p>
    <w:p w:rsidR="003D2157" w:rsidRDefault="00670DB4">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Coastal and Marine Policy and </w:t>
      </w:r>
      <w:r>
        <w:rPr>
          <w:rFonts w:cs="Times New Roman"/>
          <w:noProof/>
          <w:color w:val="FFFFFF" w:themeColor="background1"/>
          <w:sz w:val="20"/>
        </w:rPr>
        <w:t>legislation require that by 2020 the impact of pressures on marine waters is reduced to achieve or maintain good environmental status and coastal zones are managed sustainably.</w:t>
      </w:r>
    </w:p>
    <w:p w:rsidR="003D2157" w:rsidRDefault="00670DB4">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SDG 14 requires countries to conserve and sustainably use the oceans, seas and </w:t>
      </w:r>
      <w:r>
        <w:rPr>
          <w:rFonts w:cs="Times New Roman"/>
          <w:noProof/>
          <w:color w:val="FFFFFF" w:themeColor="background1"/>
          <w:sz w:val="20"/>
        </w:rPr>
        <w:t>marine resources for sustainable development.</w:t>
      </w:r>
    </w:p>
    <w:p w:rsidR="003D2157" w:rsidRDefault="00670DB4">
      <w:pPr>
        <w:widowControl w:val="0"/>
        <w:spacing w:after="120" w:line="240" w:lineRule="auto"/>
        <w:jc w:val="both"/>
        <w:rPr>
          <w:noProof/>
          <w:sz w:val="20"/>
        </w:rPr>
      </w:pPr>
      <w:r>
        <w:rPr>
          <w:noProof/>
          <w:sz w:val="20"/>
        </w:rPr>
        <w:t>The Marine Strategy Framework Directive (MSFD)</w:t>
      </w:r>
      <w:r>
        <w:rPr>
          <w:rFonts w:cs="Times New Roman"/>
          <w:noProof/>
          <w:sz w:val="20"/>
          <w:vertAlign w:val="superscript"/>
        </w:rPr>
        <w:t xml:space="preserve"> </w:t>
      </w:r>
      <w:r>
        <w:rPr>
          <w:rFonts w:cs="Times New Roman"/>
          <w:noProof/>
          <w:sz w:val="20"/>
          <w:vertAlign w:val="superscript"/>
        </w:rPr>
        <w:footnoteReference w:id="43"/>
      </w:r>
      <w:r>
        <w:rPr>
          <w:rFonts w:cs="Times New Roman"/>
          <w:noProof/>
          <w:sz w:val="20"/>
        </w:rPr>
        <w:t xml:space="preserve"> </w:t>
      </w:r>
      <w:r>
        <w:rPr>
          <w:noProof/>
          <w:sz w:val="20"/>
        </w:rPr>
        <w:t xml:space="preserve"> aims to achieve Good Environmental Status (GES)</w:t>
      </w:r>
      <w:r>
        <w:rPr>
          <w:rFonts w:cs="Times New Roman"/>
          <w:noProof/>
          <w:sz w:val="20"/>
          <w:vertAlign w:val="superscript"/>
        </w:rPr>
        <w:footnoteReference w:id="44"/>
      </w:r>
      <w:r>
        <w:rPr>
          <w:noProof/>
          <w:sz w:val="20"/>
        </w:rPr>
        <w:t xml:space="preserve"> of the EU's marine waters by 2020 by providing an ecosystem approach to the management of human activities with</w:t>
      </w:r>
      <w:r>
        <w:rPr>
          <w:noProof/>
          <w:sz w:val="20"/>
        </w:rPr>
        <w:t xml:space="preserve"> impact on the marine environment. The Directive requires Member States to develop and implement a marine strategy for their marine waters, and cooperate with Member States sharing the same marine region or sub-region.</w:t>
      </w:r>
    </w:p>
    <w:p w:rsidR="003D2157" w:rsidRDefault="00670DB4">
      <w:pPr>
        <w:widowControl w:val="0"/>
        <w:spacing w:after="120" w:line="240" w:lineRule="auto"/>
        <w:jc w:val="both"/>
        <w:rPr>
          <w:noProof/>
          <w:sz w:val="20"/>
        </w:rPr>
      </w:pPr>
      <w:r>
        <w:rPr>
          <w:noProof/>
          <w:sz w:val="20"/>
        </w:rPr>
        <w:t>As part of their marine strategies, M</w:t>
      </w:r>
      <w:r>
        <w:rPr>
          <w:noProof/>
          <w:sz w:val="20"/>
        </w:rPr>
        <w:t>ember States had to make an initial assessment of their marine waters, determine GES and establish environmental targets by July 2012. They also had to establish monitoring programmes for the on-going assessment of their marine waters by July 2014. The nex</w:t>
      </w:r>
      <w:r>
        <w:rPr>
          <w:noProof/>
          <w:sz w:val="20"/>
        </w:rPr>
        <w:t>t element of their marine strategy was to establish a Programme of Measures, which the UK reported to the Commission in March 2016</w:t>
      </w:r>
      <w:r>
        <w:rPr>
          <w:noProof/>
          <w:sz w:val="20"/>
          <w:vertAlign w:val="superscript"/>
        </w:rPr>
        <w:footnoteReference w:id="45"/>
      </w:r>
      <w:r>
        <w:rPr>
          <w:noProof/>
          <w:sz w:val="20"/>
        </w:rPr>
        <w:t>. The Commission assesses whether these elements constitute an appropriate framework to meet the requirements of the MSFD.</w:t>
      </w:r>
    </w:p>
    <w:p w:rsidR="003D2157" w:rsidRDefault="00670DB4">
      <w:pPr>
        <w:widowControl w:val="0"/>
        <w:spacing w:after="120" w:line="240" w:lineRule="auto"/>
        <w:jc w:val="both"/>
        <w:rPr>
          <w:rFonts w:cs="Times New Roman"/>
          <w:noProof/>
          <w:sz w:val="20"/>
          <w:szCs w:val="20"/>
        </w:rPr>
      </w:pPr>
      <w:bookmarkStart w:id="31" w:name="_Toc433296162"/>
      <w:r>
        <w:rPr>
          <w:rFonts w:cs="Times New Roman"/>
          <w:noProof/>
          <w:sz w:val="20"/>
          <w:szCs w:val="20"/>
        </w:rPr>
        <w:t>UK</w:t>
      </w:r>
      <w:r>
        <w:rPr>
          <w:rFonts w:cs="Times New Roman"/>
          <w:noProof/>
          <w:sz w:val="20"/>
          <w:szCs w:val="20"/>
        </w:rPr>
        <w:t xml:space="preserve"> marine waters are part of the North-East Atlantic Ocean marine region and cover two sub-regions, the Greater North Sea and the Celtic Seas. The UK also has marine waters in the Mediterranean Sea, off the coast of Gibraltar. The United Kingdom is party to </w:t>
      </w:r>
      <w:r>
        <w:rPr>
          <w:rFonts w:cs="Times New Roman"/>
          <w:noProof/>
          <w:sz w:val="20"/>
          <w:szCs w:val="20"/>
        </w:rPr>
        <w:t>the Convention for the protection of the marine environment of the North-East Atlantic (OSPAR Convention). The North Sea is one of the busiest maritime areas in the world, with exploitation of oil and gas reserves also occurring in parallel to the importan</w:t>
      </w:r>
      <w:r>
        <w:rPr>
          <w:rFonts w:cs="Times New Roman"/>
          <w:noProof/>
          <w:sz w:val="20"/>
          <w:szCs w:val="20"/>
        </w:rPr>
        <w:t xml:space="preserve">t maritime traffic. In addition, overfishing and bottom-trawling constitute potential threats to the biodiversity in that region. </w:t>
      </w:r>
      <w:r>
        <w:rPr>
          <w:rFonts w:cs="Times New Roman"/>
          <w:noProof/>
          <w:sz w:val="20"/>
        </w:rPr>
        <w:t>Potential risks to the biodiversity in the Celtic Seas include, among others, overfishing and bottom trawling, fish farming (e</w:t>
      </w:r>
      <w:r>
        <w:rPr>
          <w:rFonts w:cs="Times New Roman"/>
          <w:noProof/>
          <w:sz w:val="20"/>
        </w:rPr>
        <w:t>stuaries) and potential pollution from fishing</w:t>
      </w:r>
      <w:r>
        <w:rPr>
          <w:rFonts w:cs="Times New Roman"/>
          <w:noProof/>
          <w:sz w:val="16"/>
          <w:szCs w:val="16"/>
          <w:vertAlign w:val="superscript"/>
        </w:rPr>
        <w:footnoteReference w:id="46"/>
      </w:r>
      <w:r>
        <w:rPr>
          <w:rFonts w:cs="Times New Roman"/>
          <w:noProof/>
          <w:sz w:val="20"/>
        </w:rPr>
        <w:t>.</w:t>
      </w:r>
    </w:p>
    <w:p w:rsidR="003D2157" w:rsidRDefault="00670DB4">
      <w:pPr>
        <w:widowControl w:val="0"/>
        <w:spacing w:after="120" w:line="240" w:lineRule="auto"/>
        <w:jc w:val="both"/>
        <w:rPr>
          <w:rFonts w:cs="Times New Roman"/>
          <w:noProof/>
          <w:sz w:val="20"/>
        </w:rPr>
      </w:pPr>
      <w:r>
        <w:rPr>
          <w:rFonts w:cs="Times New Roman"/>
          <w:noProof/>
          <w:sz w:val="20"/>
        </w:rPr>
        <w:t>When determining GES, the United Kingdom has addressed all the MSFD descriptors and used existing EU requirements as well as OSPAR standards. However, the Commission considered, in 2014, that their determina</w:t>
      </w:r>
      <w:r>
        <w:rPr>
          <w:rFonts w:cs="Times New Roman"/>
          <w:noProof/>
          <w:sz w:val="20"/>
        </w:rPr>
        <w:t>tion of GES was generally high-level, only qualitative and therefore not measurable. It was therefore too early to say whether UK waters were in good status as there were weaknesses in identifying what GES is in the first place.</w:t>
      </w:r>
    </w:p>
    <w:p w:rsidR="003D2157" w:rsidRDefault="00670DB4">
      <w:pPr>
        <w:widowControl w:val="0"/>
        <w:spacing w:after="120" w:line="240" w:lineRule="auto"/>
        <w:jc w:val="both"/>
        <w:rPr>
          <w:rFonts w:cs="Times New Roman"/>
          <w:noProof/>
          <w:sz w:val="20"/>
        </w:rPr>
      </w:pPr>
      <w:r>
        <w:rPr>
          <w:rFonts w:cs="Times New Roman"/>
          <w:noProof/>
          <w:sz w:val="20"/>
        </w:rPr>
        <w:drawing>
          <wp:inline distT="0" distB="0" distL="0" distR="0" wp14:anchorId="21FDB325" wp14:editId="1CCE6850">
            <wp:extent cx="2980055" cy="1986029"/>
            <wp:effectExtent l="0" t="0" r="0" b="0"/>
            <wp:docPr id="31" name="Picture 31" descr="P:\ENV-E2\1. ENV IMPLEMENTATION REVIEW\EIR Data management\Pictures\LIFE pictures\Pictures_by_Country2\United Kingdom\LIFE07_ENV_UK__000943-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LIFE pictures\Pictures_by_Country2\United Kingdom\LIFE07_ENV_UK__000943-Image 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80055" cy="1986029"/>
                    </a:xfrm>
                    <a:prstGeom prst="rect">
                      <a:avLst/>
                    </a:prstGeom>
                    <a:noFill/>
                    <a:ln>
                      <a:noFill/>
                    </a:ln>
                  </pic:spPr>
                </pic:pic>
              </a:graphicData>
            </a:graphic>
          </wp:inline>
        </w:drawing>
      </w:r>
      <w:r>
        <w:rPr>
          <w:rFonts w:cs="Times New Roman"/>
          <w:noProof/>
          <w:sz w:val="20"/>
        </w:rPr>
        <w:t>The United Kingdom establi</w:t>
      </w:r>
      <w:r>
        <w:rPr>
          <w:rFonts w:cs="Times New Roman"/>
          <w:noProof/>
          <w:sz w:val="20"/>
        </w:rPr>
        <w:t>shed a monitoring programme of its marine waters in 2014. However it seems that its monitoring programmes for biodiversity, non-indigenous species, hydrographical changes and marine litter need further refinement to constitute an appropriate framework</w:t>
      </w:r>
      <w:r>
        <w:rPr>
          <w:rFonts w:cs="Times New Roman"/>
          <w:noProof/>
          <w:sz w:val="20"/>
          <w:vertAlign w:val="superscript"/>
        </w:rPr>
        <w:footnoteReference w:id="47"/>
      </w:r>
      <w:r>
        <w:rPr>
          <w:rFonts w:cs="Times New Roman"/>
          <w:noProof/>
          <w:sz w:val="20"/>
        </w:rPr>
        <w:t>. In</w:t>
      </w:r>
      <w:r>
        <w:rPr>
          <w:rFonts w:cs="Times New Roman"/>
          <w:noProof/>
          <w:sz w:val="20"/>
        </w:rPr>
        <w:t xml:space="preserve"> addition, its monitoring programme should have been operational as of 2014. However, the UK reports that its monitoring programme, for a few descriptors, will not be fully operational before 2018 (for marine litter and water column monitoring) or sometime</w:t>
      </w:r>
      <w:r>
        <w:rPr>
          <w:rFonts w:cs="Times New Roman"/>
          <w:noProof/>
          <w:sz w:val="20"/>
        </w:rPr>
        <w:t>s even 2020 (for seabed habitats, fish and underwater noise monitoring).</w:t>
      </w:r>
    </w:p>
    <w:p w:rsidR="003D2157" w:rsidRDefault="00670DB4">
      <w:pPr>
        <w:widowControl w:val="0"/>
        <w:spacing w:after="120" w:line="240" w:lineRule="auto"/>
        <w:jc w:val="both"/>
        <w:rPr>
          <w:rFonts w:cs="Times New Roman"/>
          <w:noProof/>
          <w:sz w:val="20"/>
        </w:rPr>
      </w:pPr>
      <w:r>
        <w:rPr>
          <w:rFonts w:cs="Times New Roman"/>
          <w:noProof/>
          <w:sz w:val="20"/>
        </w:rPr>
        <w:t>In its reports on the implementation of the MSFD</w:t>
      </w:r>
      <w:r>
        <w:rPr>
          <w:rFonts w:cs="Times New Roman"/>
          <w:noProof/>
          <w:sz w:val="20"/>
          <w:vertAlign w:val="superscript"/>
        </w:rPr>
        <w:footnoteReference w:id="48"/>
      </w:r>
      <w:r>
        <w:rPr>
          <w:rFonts w:cs="Times New Roman"/>
          <w:noProof/>
          <w:sz w:val="20"/>
        </w:rPr>
        <w:t>, the Commission provided guidance to assist the United Kingdom in its implementation of the MSFD.</w:t>
      </w:r>
    </w:p>
    <w:p w:rsidR="003D2157" w:rsidRDefault="00670DB4">
      <w:pPr>
        <w:widowControl w:val="0"/>
        <w:spacing w:after="120" w:line="240" w:lineRule="auto"/>
        <w:jc w:val="both"/>
        <w:rPr>
          <w:rFonts w:cs="Times New Roman"/>
          <w:noProof/>
          <w:sz w:val="20"/>
          <w:lang w:val="en-US"/>
        </w:rPr>
      </w:pPr>
      <w:r>
        <w:rPr>
          <w:rFonts w:cs="Times New Roman"/>
          <w:noProof/>
          <w:sz w:val="20"/>
          <w:lang w:val="en-US"/>
        </w:rPr>
        <w:t xml:space="preserve">Marine protected areas in the UK </w:t>
      </w:r>
      <w:r>
        <w:rPr>
          <w:rFonts w:cs="Times New Roman"/>
          <w:noProof/>
          <w:sz w:val="20"/>
          <w:lang w:val="en-US"/>
        </w:rPr>
        <w:t>cover 62894.4 square kilometers of its marine waters, with 30894.4 square kilometers in its North Sea waters, 31945.2 square kilometers in its Celtic Seas waters, 54.8 square kilometers in its Western Mediterranean Sea waters</w:t>
      </w:r>
      <w:r>
        <w:rPr>
          <w:rFonts w:cs="Times New Roman"/>
          <w:noProof/>
          <w:sz w:val="16"/>
          <w:szCs w:val="16"/>
          <w:vertAlign w:val="superscript"/>
          <w:lang w:val="en-US"/>
        </w:rPr>
        <w:footnoteReference w:id="49"/>
      </w:r>
      <w:r>
        <w:rPr>
          <w:rFonts w:cs="Times New Roman"/>
          <w:noProof/>
          <w:sz w:val="20"/>
          <w:lang w:val="en-US"/>
        </w:rPr>
        <w:t>. The UK indicated that, in 20</w:t>
      </w:r>
      <w:r>
        <w:rPr>
          <w:rFonts w:cs="Times New Roman"/>
          <w:noProof/>
          <w:sz w:val="20"/>
          <w:lang w:val="en-US"/>
        </w:rPr>
        <w:t>16, marine protected areas covered around 154,000 square kilometers.</w:t>
      </w:r>
    </w:p>
    <w:p w:rsidR="003D2157" w:rsidRDefault="00670DB4">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3D2157" w:rsidRDefault="00670DB4">
      <w:pPr>
        <w:pStyle w:val="NoSpacing"/>
        <w:rPr>
          <w:noProof/>
        </w:rPr>
      </w:pPr>
      <w:r>
        <w:rPr>
          <w:noProof/>
        </w:rPr>
        <w:t>Continue work to improve its definition of GES definitions (in particular for the biodiversity descriptors), including through regional cooperation.</w:t>
      </w:r>
    </w:p>
    <w:p w:rsidR="003D2157" w:rsidRDefault="00670DB4">
      <w:pPr>
        <w:pStyle w:val="NoSpacing"/>
        <w:rPr>
          <w:noProof/>
        </w:rPr>
      </w:pPr>
      <w:r>
        <w:rPr>
          <w:noProof/>
        </w:rPr>
        <w:t>Ensure that all of it</w:t>
      </w:r>
      <w:r>
        <w:rPr>
          <w:noProof/>
        </w:rPr>
        <w:t>s monitoring programme is implemented without delay and is appropriate to monitor progress towards its GES.</w:t>
      </w:r>
    </w:p>
    <w:p w:rsidR="003D2157" w:rsidRDefault="00670DB4">
      <w:pPr>
        <w:pStyle w:val="NoSpacing"/>
        <w:rPr>
          <w:noProof/>
        </w:rPr>
      </w:pPr>
      <w:r>
        <w:rPr>
          <w:noProof/>
        </w:rPr>
        <w:t>Continue to integrate existing monitoring programmes required under other EU legislation and to implement, where they exist, joint monitoring progra</w:t>
      </w:r>
      <w:r>
        <w:rPr>
          <w:noProof/>
        </w:rPr>
        <w:t>mmes developed at (sub)regional, for instance by the Convention for the Protection of the Marine Environment of the North-East Atlantic (OSPAR). Enhance comparability and consistency of monitoring methods within the country's marine region.</w:t>
      </w:r>
    </w:p>
    <w:p w:rsidR="003D2157" w:rsidRDefault="00670DB4">
      <w:pPr>
        <w:pStyle w:val="NoSpacing"/>
        <w:rPr>
          <w:noProof/>
        </w:rPr>
      </w:pPr>
      <w:r>
        <w:rPr>
          <w:noProof/>
        </w:rPr>
        <w:t>Further develop</w:t>
      </w:r>
      <w:r>
        <w:rPr>
          <w:noProof/>
        </w:rPr>
        <w:t xml:space="preserve"> approaches assessing (and quantifying) impacts from the main pressures in order to lead to improved and more conclusive assessment results for 2018 reporting.</w:t>
      </w:r>
    </w:p>
    <w:bookmarkEnd w:id="31"/>
    <w:p w:rsidR="003D2157" w:rsidRDefault="003D2157">
      <w:pPr>
        <w:widowControl w:val="0"/>
        <w:spacing w:after="120" w:line="240" w:lineRule="auto"/>
        <w:jc w:val="both"/>
        <w:rPr>
          <w:rFonts w:cs="Times New Roman"/>
          <w:noProof/>
          <w:sz w:val="20"/>
        </w:rPr>
      </w:pPr>
    </w:p>
    <w:p w:rsidR="003D2157" w:rsidRDefault="00670DB4">
      <w:pPr>
        <w:widowControl w:val="0"/>
        <w:spacing w:after="120" w:line="240" w:lineRule="auto"/>
        <w:jc w:val="both"/>
        <w:rPr>
          <w:rFonts w:cs="Times New Roman"/>
          <w:noProof/>
          <w:sz w:val="20"/>
        </w:rPr>
      </w:pPr>
      <w:r>
        <w:rPr>
          <w:rFonts w:cs="Times New Roman"/>
          <w:noProof/>
          <w:sz w:val="20"/>
        </w:rPr>
        <w:br w:type="page"/>
      </w:r>
    </w:p>
    <w:p w:rsidR="003D2157" w:rsidRDefault="003D2157">
      <w:pPr>
        <w:widowControl w:val="0"/>
        <w:spacing w:after="120" w:line="240" w:lineRule="auto"/>
        <w:jc w:val="both"/>
        <w:rPr>
          <w:rFonts w:cs="Times New Roman"/>
          <w:noProof/>
          <w:sz w:val="20"/>
        </w:rPr>
        <w:sectPr w:rsidR="003D2157">
          <w:headerReference w:type="even" r:id="rId71"/>
          <w:headerReference w:type="default" r:id="rId72"/>
          <w:footerReference w:type="even" r:id="rId73"/>
          <w:footerReference w:type="default" r:id="rId74"/>
          <w:headerReference w:type="first" r:id="rId75"/>
          <w:footerReference w:type="first" r:id="rId76"/>
          <w:type w:val="continuous"/>
          <w:pgSz w:w="11906" w:h="16838"/>
          <w:pgMar w:top="1440" w:right="1080" w:bottom="1440" w:left="1080" w:header="708" w:footer="708" w:gutter="0"/>
          <w:cols w:num="2" w:space="360"/>
          <w:docGrid w:linePitch="360"/>
        </w:sectPr>
      </w:pPr>
    </w:p>
    <w:p w:rsidR="003D2157" w:rsidRDefault="00670DB4">
      <w:pPr>
        <w:keepLines/>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32" w:name="_Toc469394696"/>
      <w:r>
        <w:rPr>
          <w:rFonts w:eastAsiaTheme="majorEastAsia" w:cstheme="majorBidi"/>
          <w:b/>
          <w:bCs/>
          <w:noProof/>
          <w:color w:val="1F497D" w:themeColor="text2"/>
          <w:sz w:val="32"/>
          <w:szCs w:val="28"/>
        </w:rPr>
        <w:t>Ensuring citizens' health and quality of life</w:t>
      </w:r>
      <w:bookmarkEnd w:id="32"/>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sectPr w:rsidR="003D2157">
          <w:headerReference w:type="even" r:id="rId77"/>
          <w:headerReference w:type="default" r:id="rId78"/>
          <w:footerReference w:type="even" r:id="rId79"/>
          <w:footerReference w:type="default" r:id="rId80"/>
          <w:headerReference w:type="first" r:id="rId81"/>
          <w:footerReference w:type="first" r:id="rId82"/>
          <w:type w:val="continuous"/>
          <w:pgSz w:w="11906" w:h="16838"/>
          <w:pgMar w:top="1440" w:right="1080" w:bottom="1440" w:left="1080" w:header="708" w:footer="708" w:gutter="0"/>
          <w:cols w:space="566"/>
          <w:docGrid w:linePitch="360"/>
        </w:sectPr>
      </w:pPr>
    </w:p>
    <w:p w:rsidR="003D2157" w:rsidRDefault="00670DB4">
      <w:pPr>
        <w:widowControl w:val="0"/>
        <w:spacing w:after="120" w:line="240" w:lineRule="auto"/>
        <w:outlineLvl w:val="1"/>
        <w:rPr>
          <w:rFonts w:cs="Times New Roman"/>
          <w:b/>
          <w:noProof/>
          <w:color w:val="1F497D" w:themeColor="text2"/>
          <w:sz w:val="24"/>
        </w:rPr>
      </w:pPr>
      <w:bookmarkStart w:id="33" w:name="_Toc433296166"/>
      <w:bookmarkStart w:id="34" w:name="_Toc469394697"/>
      <w:r>
        <w:rPr>
          <w:rFonts w:cs="Times New Roman"/>
          <w:b/>
          <w:noProof/>
          <w:color w:val="1F497D" w:themeColor="text2"/>
          <w:sz w:val="24"/>
        </w:rPr>
        <w:t>Air quality</w:t>
      </w:r>
      <w:bookmarkEnd w:id="33"/>
      <w:bookmarkEnd w:id="34"/>
      <w:r>
        <w:rPr>
          <w:rFonts w:cs="Times New Roman"/>
          <w:b/>
          <w:noProof/>
          <w:color w:val="1F497D" w:themeColor="text2"/>
          <w:sz w:val="24"/>
        </w:rPr>
        <w:t xml:space="preserve"> </w:t>
      </w:r>
    </w:p>
    <w:tbl>
      <w:tblPr>
        <w:tblStyle w:val="TableGrid2"/>
        <w:tblpPr w:leftFromText="180" w:rightFromText="180" w:vertAnchor="text" w:horzAnchor="margin" w:tblpY="3304"/>
        <w:tblW w:w="982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7"/>
      </w:tblGrid>
      <w:tr w:rsidR="003D2157">
        <w:trPr>
          <w:trHeight w:val="328"/>
        </w:trPr>
        <w:tc>
          <w:tcPr>
            <w:tcW w:w="9827" w:type="dxa"/>
          </w:tcPr>
          <w:p w:rsidR="003D2157" w:rsidRDefault="00670DB4">
            <w:pPr>
              <w:widowControl w:val="0"/>
              <w:spacing w:before="60" w:after="120"/>
              <w:jc w:val="both"/>
              <w:rPr>
                <w:rFonts w:cs="Times New Roman"/>
                <w:b/>
                <w:bCs/>
                <w:noProof/>
                <w:color w:val="1F497D" w:themeColor="text2"/>
                <w:sz w:val="20"/>
              </w:rPr>
            </w:pPr>
            <w:r>
              <w:rPr>
                <w:rFonts w:cs="Times New Roman"/>
                <w:b/>
                <w:bCs/>
                <w:noProof/>
                <w:color w:val="1F497D" w:themeColor="text2"/>
                <w:sz w:val="20"/>
              </w:rPr>
              <w:t xml:space="preserve">Figure 9: Attainment </w:t>
            </w:r>
            <w:r>
              <w:rPr>
                <w:rFonts w:cs="Times New Roman"/>
                <w:b/>
                <w:bCs/>
                <w:noProof/>
                <w:color w:val="1F497D" w:themeColor="text2"/>
                <w:sz w:val="20"/>
              </w:rPr>
              <w:t>situation for PM</w:t>
            </w:r>
            <w:r>
              <w:rPr>
                <w:rFonts w:cs="Times New Roman"/>
                <w:b/>
                <w:bCs/>
                <w:noProof/>
                <w:color w:val="1F497D" w:themeColor="text2"/>
                <w:sz w:val="20"/>
                <w:vertAlign w:val="subscript"/>
              </w:rPr>
              <w:t>10</w:t>
            </w:r>
            <w:r>
              <w:rPr>
                <w:rFonts w:cs="Times New Roman"/>
                <w:b/>
                <w:bCs/>
                <w:noProof/>
                <w:color w:val="1F497D" w:themeColor="text2"/>
                <w:sz w:val="20"/>
              </w:rPr>
              <w:t>, NO</w:t>
            </w:r>
            <w:r>
              <w:rPr>
                <w:rFonts w:cs="Times New Roman"/>
                <w:b/>
                <w:bCs/>
                <w:noProof/>
                <w:color w:val="1F497D" w:themeColor="text2"/>
                <w:sz w:val="20"/>
                <w:vertAlign w:val="subscript"/>
              </w:rPr>
              <w:t>2</w:t>
            </w:r>
            <w:r>
              <w:rPr>
                <w:rFonts w:cs="Times New Roman"/>
                <w:b/>
                <w:bCs/>
                <w:noProof/>
                <w:color w:val="1F497D" w:themeColor="text2"/>
                <w:sz w:val="20"/>
              </w:rPr>
              <w:t xml:space="preserve"> and O</w:t>
            </w:r>
            <w:r>
              <w:rPr>
                <w:rFonts w:cs="Times New Roman"/>
                <w:b/>
                <w:bCs/>
                <w:noProof/>
                <w:color w:val="1F497D" w:themeColor="text2"/>
                <w:sz w:val="20"/>
                <w:vertAlign w:val="subscript"/>
              </w:rPr>
              <w:t>3</w:t>
            </w:r>
            <w:r>
              <w:rPr>
                <w:rFonts w:cs="Times New Roman"/>
                <w:b/>
                <w:bCs/>
                <w:noProof/>
                <w:color w:val="1F497D" w:themeColor="text2"/>
                <w:sz w:val="20"/>
              </w:rPr>
              <w:t xml:space="preserve"> in 2014</w:t>
            </w:r>
          </w:p>
        </w:tc>
      </w:tr>
      <w:tr w:rsidR="003D2157">
        <w:trPr>
          <w:trHeight w:val="4030"/>
        </w:trPr>
        <w:tc>
          <w:tcPr>
            <w:tcW w:w="9827" w:type="dxa"/>
          </w:tcPr>
          <w:p w:rsidR="003D2157" w:rsidRDefault="00670DB4">
            <w:pPr>
              <w:widowControl w:val="0"/>
              <w:spacing w:after="120"/>
              <w:jc w:val="both"/>
              <w:rPr>
                <w:rFonts w:cs="Times New Roman"/>
                <w:noProof/>
                <w:sz w:val="20"/>
              </w:rPr>
            </w:pPr>
            <w:r>
              <w:rPr>
                <w:rFonts w:cs="Times New Roman"/>
                <w:noProof/>
                <w:sz w:val="20"/>
              </w:rPr>
              <w:drawing>
                <wp:inline distT="0" distB="0" distL="0" distR="0" wp14:anchorId="35847EAF" wp14:editId="36FCCD33">
                  <wp:extent cx="6103345" cy="30163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03822" cy="3016569"/>
                          </a:xfrm>
                          <a:prstGeom prst="rect">
                            <a:avLst/>
                          </a:prstGeom>
                          <a:noFill/>
                        </pic:spPr>
                      </pic:pic>
                    </a:graphicData>
                  </a:graphic>
                </wp:inline>
              </w:drawing>
            </w:r>
          </w:p>
        </w:tc>
      </w:tr>
    </w:tbl>
    <w:p w:rsidR="003D2157" w:rsidRDefault="00670DB4">
      <w:pPr>
        <w:widowControl w:val="0"/>
        <w:shd w:val="clear" w:color="auto" w:fill="4F81BD" w:themeFill="accent1"/>
        <w:spacing w:after="120" w:line="240" w:lineRule="auto"/>
        <w:jc w:val="both"/>
        <w:rPr>
          <w:rFonts w:cs="Times New Roman"/>
          <w:bCs/>
          <w:noProof/>
          <w:color w:val="FFFFFF" w:themeColor="background1"/>
          <w:sz w:val="20"/>
          <w:szCs w:val="20"/>
        </w:rPr>
      </w:pPr>
      <w:r>
        <w:rPr>
          <w:rFonts w:cs="Times New Roman"/>
          <w:noProof/>
          <w:sz w:val="20"/>
        </w:rPr>
        <w:t xml:space="preserve"> </w:t>
      </w:r>
      <w:bookmarkStart w:id="35" w:name="_Toc469394698"/>
      <w:r>
        <w:rPr>
          <w:rFonts w:cs="Times New Roman"/>
          <w:bCs/>
          <w:noProof/>
          <w:color w:val="FFFFFF" w:themeColor="background1"/>
          <w:sz w:val="20"/>
          <w:szCs w:val="20"/>
        </w:rPr>
        <w:t xml:space="preserve">The EU Clean Air Policy and legislation require that air quality in the Union is significantly improved, moving closer to the WHO recommended levels. Air pollution and its impacts on ecosystems and biodiversity </w:t>
      </w:r>
      <w:r>
        <w:rPr>
          <w:rFonts w:cs="Times New Roman"/>
          <w:bCs/>
          <w:noProof/>
          <w:color w:val="FFFFFF" w:themeColor="background1"/>
          <w:sz w:val="20"/>
          <w:szCs w:val="20"/>
        </w:rPr>
        <w:t>should be further reduced with the long-term aim of not exceeding critical loads and levels. This requires strengthening efforts to reach full compliance with Union air quality legislation and defining strategic targets and actions beyond 2020.</w:t>
      </w:r>
    </w:p>
    <w:p w:rsidR="003D2157" w:rsidRDefault="00670DB4">
      <w:pPr>
        <w:widowControl w:val="0"/>
        <w:spacing w:after="120" w:line="240" w:lineRule="auto"/>
        <w:jc w:val="both"/>
        <w:rPr>
          <w:rFonts w:cs="Times New Roman"/>
          <w:noProof/>
          <w:sz w:val="20"/>
          <w:szCs w:val="20"/>
        </w:rPr>
      </w:pPr>
      <w:r>
        <w:rPr>
          <w:rFonts w:cs="Times New Roman"/>
          <w:noProof/>
          <w:sz w:val="20"/>
          <w:szCs w:val="20"/>
        </w:rPr>
        <w:t xml:space="preserve">The EU has </w:t>
      </w:r>
      <w:r>
        <w:rPr>
          <w:rFonts w:cs="Times New Roman"/>
          <w:noProof/>
          <w:sz w:val="20"/>
          <w:szCs w:val="20"/>
        </w:rPr>
        <w:t>developed a comprehensive suite of air quality legislation</w:t>
      </w:r>
      <w:r>
        <w:rPr>
          <w:rFonts w:cs="Times New Roman"/>
          <w:noProof/>
          <w:sz w:val="20"/>
          <w:szCs w:val="20"/>
          <w:vertAlign w:val="superscript"/>
        </w:rPr>
        <w:footnoteReference w:id="50"/>
      </w:r>
      <w:r>
        <w:rPr>
          <w:rFonts w:cs="Times New Roman"/>
          <w:noProof/>
          <w:sz w:val="20"/>
          <w:szCs w:val="20"/>
        </w:rPr>
        <w:t>, which establishes health-based standards and objectives for a number of air pollutants. As part of this, Member States are also required to ensure that up-to-date information on ambient concentra</w:t>
      </w:r>
      <w:r>
        <w:rPr>
          <w:rFonts w:cs="Times New Roman"/>
          <w:noProof/>
          <w:sz w:val="20"/>
          <w:szCs w:val="20"/>
        </w:rPr>
        <w:t>tions of different air pollutants is routinely made available to the public. In addition, the National Emission Ceilings Directive provides for emission reductions at national level that should be achieved for main pollutants.</w:t>
      </w:r>
    </w:p>
    <w:p w:rsidR="003D2157" w:rsidRDefault="00670DB4">
      <w:pPr>
        <w:widowControl w:val="0"/>
        <w:spacing w:after="120" w:line="240" w:lineRule="auto"/>
        <w:jc w:val="both"/>
        <w:rPr>
          <w:rFonts w:cs="Times New Roman"/>
          <w:noProof/>
          <w:sz w:val="20"/>
          <w:szCs w:val="20"/>
        </w:rPr>
      </w:pPr>
      <w:r>
        <w:rPr>
          <w:rFonts w:cs="Times New Roman"/>
          <w:noProof/>
          <w:sz w:val="20"/>
          <w:szCs w:val="20"/>
        </w:rPr>
        <w:t>The emission of several air p</w:t>
      </w:r>
      <w:r>
        <w:rPr>
          <w:rFonts w:cs="Times New Roman"/>
          <w:noProof/>
          <w:sz w:val="20"/>
          <w:szCs w:val="20"/>
        </w:rPr>
        <w:t>ollutants has decreased significantly in the UK</w:t>
      </w:r>
      <w:r>
        <w:rPr>
          <w:rFonts w:cs="Times New Roman"/>
          <w:noProof/>
          <w:sz w:val="20"/>
          <w:szCs w:val="20"/>
          <w:vertAlign w:val="superscript"/>
        </w:rPr>
        <w:footnoteReference w:id="51"/>
      </w:r>
      <w:r>
        <w:rPr>
          <w:rFonts w:cs="Times New Roman"/>
          <w:noProof/>
          <w:sz w:val="20"/>
          <w:szCs w:val="20"/>
        </w:rPr>
        <w:t>. Reductions between 1990 and 2014 for sulphur oxides (</w:t>
      </w:r>
      <w:r>
        <w:rPr>
          <w:rFonts w:cs="Times New Roman"/>
          <w:noProof/>
          <w:sz w:val="20"/>
          <w:szCs w:val="20"/>
        </w:rPr>
        <w:noBreakHyphen/>
        <w:t>92%), nitrogen oxides (-68%), ammonia (-13%) as well as volatile organic compounds (</w:t>
      </w:r>
      <w:r>
        <w:rPr>
          <w:rFonts w:cs="Times New Roman"/>
          <w:noProof/>
          <w:sz w:val="20"/>
          <w:szCs w:val="20"/>
        </w:rPr>
        <w:noBreakHyphen/>
        <w:t>70%) ensure air emissions for these pollutants are within the curre</w:t>
      </w:r>
      <w:r>
        <w:rPr>
          <w:rFonts w:cs="Times New Roman"/>
          <w:noProof/>
          <w:sz w:val="20"/>
          <w:szCs w:val="20"/>
        </w:rPr>
        <w:t>ntly applicable national emission ceilings.</w:t>
      </w:r>
      <w:r>
        <w:rPr>
          <w:rFonts w:cs="Times New Roman"/>
          <w:noProof/>
          <w:sz w:val="20"/>
          <w:szCs w:val="20"/>
          <w:vertAlign w:val="superscript"/>
        </w:rPr>
        <w:footnoteReference w:id="52"/>
      </w:r>
    </w:p>
    <w:p w:rsidR="003D2157" w:rsidRDefault="00670DB4">
      <w:pPr>
        <w:widowControl w:val="0"/>
        <w:spacing w:after="120" w:line="240" w:lineRule="auto"/>
        <w:jc w:val="both"/>
        <w:rPr>
          <w:rFonts w:cs="Times New Roman"/>
          <w:noProof/>
          <w:sz w:val="20"/>
          <w:szCs w:val="20"/>
        </w:rPr>
      </w:pPr>
      <w:r>
        <w:rPr>
          <w:rFonts w:cs="Times New Roman"/>
          <w:noProof/>
          <w:sz w:val="20"/>
          <w:szCs w:val="20"/>
        </w:rPr>
        <w:t xml:space="preserve">At the same time, air quality in the United Kingdom continues to give cause for concern. For the year 2013, the European Environment Agency estimated that about 37 930 premature deaths were attributable to fine </w:t>
      </w:r>
      <w:r>
        <w:rPr>
          <w:rFonts w:cs="Times New Roman"/>
          <w:noProof/>
          <w:sz w:val="20"/>
          <w:szCs w:val="20"/>
        </w:rPr>
        <w:t>particulate matter</w:t>
      </w:r>
      <w:r>
        <w:rPr>
          <w:rFonts w:cs="Times New Roman"/>
          <w:noProof/>
          <w:sz w:val="20"/>
          <w:szCs w:val="20"/>
          <w:vertAlign w:val="superscript"/>
        </w:rPr>
        <w:footnoteReference w:id="53"/>
      </w:r>
      <w:r>
        <w:rPr>
          <w:rFonts w:cs="Times New Roman"/>
          <w:noProof/>
          <w:sz w:val="20"/>
          <w:szCs w:val="20"/>
        </w:rPr>
        <w:t xml:space="preserve"> concentrations, 710 to ozone</w:t>
      </w:r>
      <w:r>
        <w:rPr>
          <w:rFonts w:cs="Times New Roman"/>
          <w:noProof/>
          <w:sz w:val="20"/>
          <w:szCs w:val="20"/>
          <w:vertAlign w:val="superscript"/>
        </w:rPr>
        <w:footnoteReference w:id="54"/>
      </w:r>
      <w:r>
        <w:rPr>
          <w:rFonts w:cs="Times New Roman"/>
          <w:noProof/>
          <w:sz w:val="20"/>
          <w:szCs w:val="20"/>
        </w:rPr>
        <w:t xml:space="preserve"> concentration and over 11 940 to nitrogen dioxide</w:t>
      </w:r>
      <w:r>
        <w:rPr>
          <w:rFonts w:cs="Times New Roman"/>
          <w:noProof/>
          <w:sz w:val="20"/>
          <w:szCs w:val="20"/>
          <w:vertAlign w:val="superscript"/>
        </w:rPr>
        <w:t xml:space="preserve"> </w:t>
      </w:r>
      <w:r>
        <w:rPr>
          <w:rFonts w:cs="Times New Roman"/>
          <w:noProof/>
          <w:sz w:val="20"/>
          <w:szCs w:val="20"/>
          <w:vertAlign w:val="superscript"/>
        </w:rPr>
        <w:footnoteReference w:id="55"/>
      </w:r>
      <w:r>
        <w:rPr>
          <w:rFonts w:cs="Times New Roman"/>
          <w:noProof/>
          <w:sz w:val="20"/>
          <w:szCs w:val="20"/>
        </w:rPr>
        <w:t xml:space="preserve"> concentrations</w:t>
      </w:r>
      <w:r>
        <w:rPr>
          <w:rFonts w:cs="Times New Roman"/>
          <w:noProof/>
          <w:sz w:val="20"/>
          <w:szCs w:val="20"/>
          <w:vertAlign w:val="superscript"/>
        </w:rPr>
        <w:footnoteReference w:id="56"/>
      </w:r>
      <w:r>
        <w:rPr>
          <w:rFonts w:cs="Times New Roman"/>
          <w:noProof/>
          <w:sz w:val="20"/>
          <w:szCs w:val="20"/>
        </w:rPr>
        <w:t>. This is due also to exceedances above the EU air quality standards such as shown in Figure 9</w:t>
      </w:r>
      <w:r>
        <w:rPr>
          <w:rFonts w:cs="Times New Roman"/>
          <w:noProof/>
          <w:sz w:val="20"/>
          <w:szCs w:val="20"/>
          <w:vertAlign w:val="superscript"/>
        </w:rPr>
        <w:footnoteReference w:id="57"/>
      </w:r>
      <w:r>
        <w:rPr>
          <w:rFonts w:cs="Times New Roman"/>
          <w:noProof/>
          <w:sz w:val="20"/>
          <w:szCs w:val="20"/>
        </w:rPr>
        <w:t xml:space="preserve">.  </w:t>
      </w:r>
    </w:p>
    <w:p w:rsidR="003D2157" w:rsidRDefault="00670DB4">
      <w:pPr>
        <w:widowControl w:val="0"/>
        <w:spacing w:after="120" w:line="240" w:lineRule="auto"/>
        <w:jc w:val="both"/>
        <w:rPr>
          <w:rFonts w:cs="Times New Roman"/>
          <w:noProof/>
          <w:sz w:val="20"/>
          <w:szCs w:val="20"/>
        </w:rPr>
      </w:pPr>
      <w:r>
        <w:rPr>
          <w:rFonts w:cs="Times New Roman"/>
          <w:noProof/>
          <w:sz w:val="20"/>
          <w:szCs w:val="20"/>
        </w:rPr>
        <w:t>For 2014, exceedances above the EU air q</w:t>
      </w:r>
      <w:r>
        <w:rPr>
          <w:rFonts w:cs="Times New Roman"/>
          <w:noProof/>
          <w:sz w:val="20"/>
          <w:szCs w:val="20"/>
        </w:rPr>
        <w:t>uality standards have been registered related to nitrogen dioxide (NO</w:t>
      </w:r>
      <w:r>
        <w:rPr>
          <w:rFonts w:cs="Times New Roman"/>
          <w:noProof/>
          <w:sz w:val="20"/>
          <w:szCs w:val="20"/>
          <w:vertAlign w:val="subscript"/>
        </w:rPr>
        <w:t>2</w:t>
      </w:r>
      <w:r>
        <w:rPr>
          <w:rFonts w:cs="Times New Roman"/>
          <w:noProof/>
          <w:sz w:val="20"/>
          <w:szCs w:val="20"/>
        </w:rPr>
        <w:t>) in 30 air quality zones. The long-term objectives regarding ozone concentrations are not being met in 32 air quality zones. In addition, target values for annual mean concentrations ha</w:t>
      </w:r>
      <w:r>
        <w:rPr>
          <w:rFonts w:cs="Times New Roman"/>
          <w:noProof/>
          <w:sz w:val="20"/>
          <w:szCs w:val="20"/>
        </w:rPr>
        <w:t>ve been exceeded in three air quality zones for nickel and in six air quality zones for benzo(a)pyrene</w:t>
      </w:r>
      <w:r>
        <w:rPr>
          <w:rFonts w:cs="Times New Roman"/>
          <w:noProof/>
          <w:sz w:val="20"/>
          <w:szCs w:val="20"/>
          <w:vertAlign w:val="superscript"/>
        </w:rPr>
        <w:footnoteReference w:id="58"/>
      </w:r>
      <w:r>
        <w:rPr>
          <w:rFonts w:cs="Times New Roman"/>
          <w:noProof/>
          <w:sz w:val="20"/>
          <w:szCs w:val="20"/>
        </w:rPr>
        <w:t>.</w:t>
      </w:r>
    </w:p>
    <w:p w:rsidR="003D2157" w:rsidRDefault="00670DB4">
      <w:pPr>
        <w:widowControl w:val="0"/>
        <w:spacing w:after="120" w:line="240" w:lineRule="auto"/>
        <w:jc w:val="both"/>
        <w:rPr>
          <w:rFonts w:cs="Times New Roman"/>
          <w:noProof/>
          <w:sz w:val="20"/>
          <w:szCs w:val="20"/>
        </w:rPr>
      </w:pPr>
      <w:r>
        <w:rPr>
          <w:rFonts w:cs="Times New Roman"/>
          <w:noProof/>
          <w:sz w:val="20"/>
          <w:szCs w:val="20"/>
        </w:rPr>
        <w:t>The persistent breaches of air quality requirements (for NO</w:t>
      </w:r>
      <w:r>
        <w:rPr>
          <w:rFonts w:cs="Times New Roman"/>
          <w:noProof/>
          <w:sz w:val="20"/>
          <w:szCs w:val="20"/>
          <w:vertAlign w:val="subscript"/>
        </w:rPr>
        <w:t>2</w:t>
      </w:r>
      <w:r>
        <w:rPr>
          <w:rFonts w:cs="Times New Roman"/>
          <w:noProof/>
          <w:sz w:val="20"/>
          <w:szCs w:val="20"/>
        </w:rPr>
        <w:t xml:space="preserve">), which have severe negative effects on health and environment, are being followed up by </w:t>
      </w:r>
      <w:r>
        <w:rPr>
          <w:rFonts w:cs="Times New Roman"/>
          <w:noProof/>
          <w:sz w:val="20"/>
          <w:szCs w:val="20"/>
        </w:rPr>
        <w:t>the European Commission through infringement procedures covering all the Member States concerned, including the United Kingdom. The aim is that adequate measures are put in place to bring all zones into compliance. In addition, national court action is und</w:t>
      </w:r>
      <w:r>
        <w:rPr>
          <w:rFonts w:cs="Times New Roman"/>
          <w:noProof/>
          <w:sz w:val="20"/>
          <w:szCs w:val="20"/>
        </w:rPr>
        <w:t>erway challenging the adequacy of the measures currently proposed by the United Kingdom to tackle this problem.</w:t>
      </w:r>
    </w:p>
    <w:p w:rsidR="003D2157" w:rsidRDefault="00670DB4">
      <w:pPr>
        <w:widowControl w:val="0"/>
        <w:spacing w:after="120" w:line="240" w:lineRule="auto"/>
        <w:jc w:val="both"/>
        <w:rPr>
          <w:rFonts w:cs="Times New Roman"/>
          <w:noProof/>
          <w:sz w:val="20"/>
          <w:szCs w:val="20"/>
        </w:rPr>
      </w:pPr>
      <w:r>
        <w:rPr>
          <w:rFonts w:cs="Times New Roman"/>
          <w:noProof/>
          <w:sz w:val="20"/>
          <w:szCs w:val="20"/>
        </w:rPr>
        <w:t>It has been estimated that the health-related external costs from air pollution in the United Kingdom are above EUR 28 billion/year (income adju</w:t>
      </w:r>
      <w:r>
        <w:rPr>
          <w:rFonts w:cs="Times New Roman"/>
          <w:noProof/>
          <w:sz w:val="20"/>
          <w:szCs w:val="20"/>
        </w:rPr>
        <w:t>sted, 2010). These direct economic costs relate to 6 million workdays lost each year due to sickness related to air pollution, with associated costs for employers of EUR 793 million/year (income adjusted, 2010), for healthcare of above EUR 101 million/year</w:t>
      </w:r>
      <w:r>
        <w:rPr>
          <w:rFonts w:cs="Times New Roman"/>
          <w:noProof/>
          <w:sz w:val="20"/>
          <w:szCs w:val="20"/>
        </w:rPr>
        <w:t xml:space="preserve"> (income adjusted, 2010), and for agriculture (crop losses) of EUR 237 million/year (2010)</w:t>
      </w:r>
      <w:r>
        <w:rPr>
          <w:rFonts w:cs="Times New Roman"/>
          <w:noProof/>
          <w:sz w:val="20"/>
          <w:szCs w:val="20"/>
          <w:vertAlign w:val="superscript"/>
        </w:rPr>
        <w:footnoteReference w:id="59"/>
      </w:r>
      <w:r>
        <w:rPr>
          <w:rFonts w:cs="Times New Roman"/>
          <w:noProof/>
          <w:sz w:val="20"/>
          <w:szCs w:val="20"/>
        </w:rPr>
        <w:t>.</w:t>
      </w:r>
    </w:p>
    <w:p w:rsidR="003D2157" w:rsidRDefault="00670DB4">
      <w:pPr>
        <w:widowControl w:val="0"/>
        <w:spacing w:after="120" w:line="240" w:lineRule="auto"/>
        <w:jc w:val="both"/>
        <w:rPr>
          <w:rFonts w:cstheme="minorHAnsi"/>
          <w:noProof/>
          <w:color w:val="1F497D" w:themeColor="text2"/>
          <w:szCs w:val="20"/>
        </w:rPr>
      </w:pPr>
      <w:r>
        <w:rPr>
          <w:rFonts w:cstheme="minorHAnsi"/>
          <w:noProof/>
          <w:color w:val="1F497D" w:themeColor="text2"/>
          <w:szCs w:val="20"/>
        </w:rPr>
        <w:t>Suggested action</w:t>
      </w:r>
    </w:p>
    <w:p w:rsidR="003D2157" w:rsidRDefault="00670DB4">
      <w:pPr>
        <w:pStyle w:val="NoSpacing"/>
        <w:rPr>
          <w:noProof/>
        </w:rPr>
      </w:pPr>
      <w:r>
        <w:rPr>
          <w:noProof/>
        </w:rPr>
        <w:t>Maintain downward emissions trends of air pollutants in order to achieve full compliance with air quality limit values - and reduce adverse air po</w:t>
      </w:r>
      <w:r>
        <w:rPr>
          <w:noProof/>
        </w:rPr>
        <w:t>llution impacts on health, environment and economy.</w:t>
      </w:r>
    </w:p>
    <w:p w:rsidR="003D2157" w:rsidRDefault="00670DB4">
      <w:pPr>
        <w:pStyle w:val="NoSpacing"/>
        <w:rPr>
          <w:noProof/>
        </w:rPr>
      </w:pPr>
      <w:r>
        <w:rPr>
          <w:noProof/>
        </w:rPr>
        <w:t>Reduce nitrogen oxide (NO</w:t>
      </w:r>
      <w:r>
        <w:rPr>
          <w:noProof/>
          <w:vertAlign w:val="subscript"/>
        </w:rPr>
        <w:t>x</w:t>
      </w:r>
      <w:r>
        <w:rPr>
          <w:noProof/>
        </w:rPr>
        <w:t>) emissions to comply with currently applicable national emission ceilings</w:t>
      </w:r>
      <w:r>
        <w:rPr>
          <w:noProof/>
          <w:vertAlign w:val="superscript"/>
        </w:rPr>
        <w:footnoteReference w:id="60"/>
      </w:r>
      <w:r>
        <w:rPr>
          <w:noProof/>
        </w:rPr>
        <w:t xml:space="preserve"> and/or to reduce nitrogen dioxide (NO</w:t>
      </w:r>
      <w:r>
        <w:rPr>
          <w:noProof/>
          <w:vertAlign w:val="subscript"/>
        </w:rPr>
        <w:t>2</w:t>
      </w:r>
      <w:r>
        <w:rPr>
          <w:noProof/>
        </w:rPr>
        <w:t xml:space="preserve">) (and ozone concentrations), inter alia, by reducing transport </w:t>
      </w:r>
      <w:r>
        <w:rPr>
          <w:noProof/>
        </w:rPr>
        <w:t>related emissions - in particular in urban areas.</w:t>
      </w:r>
    </w:p>
    <w:p w:rsidR="003D2157" w:rsidRDefault="003D2157">
      <w:pPr>
        <w:widowControl w:val="0"/>
        <w:spacing w:after="120" w:line="240" w:lineRule="auto"/>
        <w:jc w:val="both"/>
        <w:rPr>
          <w:rFonts w:cs="Times New Roman"/>
          <w:b/>
          <w:noProof/>
          <w:color w:val="1F497D" w:themeColor="text2"/>
          <w:sz w:val="24"/>
        </w:rPr>
      </w:pPr>
    </w:p>
    <w:p w:rsidR="003D2157" w:rsidRDefault="00670DB4">
      <w:pPr>
        <w:widowControl w:val="0"/>
        <w:spacing w:after="120" w:line="240" w:lineRule="auto"/>
        <w:jc w:val="both"/>
        <w:rPr>
          <w:rFonts w:cs="Times New Roman"/>
          <w:b/>
          <w:noProof/>
          <w:color w:val="1F497D" w:themeColor="text2"/>
          <w:sz w:val="24"/>
        </w:rPr>
      </w:pPr>
      <w:r>
        <w:rPr>
          <w:rFonts w:cs="Times New Roman"/>
          <w:b/>
          <w:noProof/>
          <w:color w:val="1F497D" w:themeColor="text2"/>
          <w:sz w:val="24"/>
        </w:rPr>
        <w:t>Noise</w:t>
      </w:r>
      <w:bookmarkEnd w:id="35"/>
    </w:p>
    <w:p w:rsidR="003D2157" w:rsidRDefault="00670DB4">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The Environmental Noise Directive provides for a common approach for the avoidance, prevention and reduction of harmful effects due to exposure to environmental noise.</w:t>
      </w:r>
    </w:p>
    <w:p w:rsidR="003D2157" w:rsidRDefault="00670DB4">
      <w:pPr>
        <w:widowControl w:val="0"/>
        <w:spacing w:after="120" w:line="240" w:lineRule="auto"/>
        <w:jc w:val="both"/>
        <w:rPr>
          <w:rFonts w:cs="Times New Roman"/>
          <w:noProof/>
          <w:sz w:val="20"/>
        </w:rPr>
      </w:pPr>
      <w:r>
        <w:rPr>
          <w:rFonts w:cs="Times New Roman"/>
          <w:noProof/>
          <w:sz w:val="20"/>
        </w:rPr>
        <w:t>Excessive noise is one of the m</w:t>
      </w:r>
      <w:r>
        <w:rPr>
          <w:rFonts w:cs="Times New Roman"/>
          <w:noProof/>
          <w:sz w:val="20"/>
        </w:rPr>
        <w:t>ain causes of health issues</w:t>
      </w:r>
      <w:r>
        <w:rPr>
          <w:rFonts w:eastAsia="Calibri" w:cs="Times New Roman"/>
          <w:noProof/>
          <w:sz w:val="20"/>
          <w:vertAlign w:val="superscript"/>
        </w:rPr>
        <w:footnoteReference w:id="61"/>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requirements, including assessing the exposure to environmental noise through noise mapping, ensuring that information on environmental noise and its effects is made available to the public, and adopting action plans with a view to preven</w:t>
      </w:r>
      <w:r>
        <w:rPr>
          <w:rFonts w:cs="Times New Roman"/>
          <w:noProof/>
          <w:sz w:val="20"/>
        </w:rPr>
        <w:t>ting and reducing environmental noise where necessary and to preserving the acoustic environment quality where it is good.</w:t>
      </w:r>
    </w:p>
    <w:p w:rsidR="003D2157" w:rsidRDefault="00670DB4">
      <w:pPr>
        <w:widowControl w:val="0"/>
        <w:spacing w:after="120" w:line="240" w:lineRule="auto"/>
        <w:jc w:val="both"/>
        <w:rPr>
          <w:rFonts w:cs="Times New Roman"/>
          <w:noProof/>
          <w:sz w:val="20"/>
        </w:rPr>
      </w:pPr>
      <w:r>
        <w:rPr>
          <w:rFonts w:cs="Times New Roman"/>
          <w:noProof/>
          <w:sz w:val="20"/>
        </w:rPr>
        <w:t>UK authorities have fulfilled all their obligations with regards to the Environmental Noise Directive</w:t>
      </w:r>
      <w:r>
        <w:rPr>
          <w:rFonts w:cs="Times New Roman"/>
          <w:noProof/>
          <w:sz w:val="20"/>
          <w:vertAlign w:val="superscript"/>
        </w:rPr>
        <w:footnoteReference w:id="62"/>
      </w:r>
      <w:r>
        <w:rPr>
          <w:rFonts w:cs="Times New Roman"/>
          <w:noProof/>
          <w:sz w:val="20"/>
        </w:rPr>
        <w:t xml:space="preserve"> for the current reporting period.</w:t>
      </w:r>
    </w:p>
    <w:p w:rsidR="003D2157" w:rsidRDefault="00670DB4">
      <w:pPr>
        <w:widowControl w:val="0"/>
        <w:spacing w:before="360" w:after="120" w:line="240" w:lineRule="auto"/>
        <w:outlineLvl w:val="1"/>
        <w:rPr>
          <w:rFonts w:cs="Times New Roman"/>
          <w:b/>
          <w:noProof/>
          <w:color w:val="1F497D" w:themeColor="text2"/>
          <w:sz w:val="24"/>
        </w:rPr>
      </w:pPr>
      <w:bookmarkStart w:id="36" w:name="_Toc433296167"/>
      <w:bookmarkStart w:id="37" w:name="_Toc469394699"/>
      <w:r>
        <w:rPr>
          <w:rFonts w:cs="Times New Roman"/>
          <w:b/>
          <w:noProof/>
          <w:color w:val="1F497D" w:themeColor="text2"/>
          <w:sz w:val="24"/>
        </w:rPr>
        <w:t>Water quality</w:t>
      </w:r>
      <w:bookmarkEnd w:id="36"/>
      <w:r>
        <w:rPr>
          <w:rFonts w:cs="Times New Roman"/>
          <w:b/>
          <w:noProof/>
          <w:color w:val="1F497D" w:themeColor="text2"/>
          <w:sz w:val="24"/>
        </w:rPr>
        <w:t xml:space="preserve"> and management</w:t>
      </w:r>
      <w:bookmarkEnd w:id="37"/>
    </w:p>
    <w:p w:rsidR="003D2157" w:rsidRDefault="00670DB4">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The EU water policy and legislation require that the impact of pressures on transitional, coastal and fresh waters (including surface and ground waters) is significantly reduced to achieve, ma</w:t>
      </w:r>
      <w:r>
        <w:rPr>
          <w:rFonts w:cs="Times New Roman"/>
          <w:bCs/>
          <w:noProof/>
          <w:color w:val="FFFFFF" w:themeColor="background1"/>
          <w:sz w:val="20"/>
        </w:rPr>
        <w:t>intain or enhance good status of water bodies, as defined by the Water Framework Directive; that citizens throughout the Union benefit from high standards for safe drinking and bathing water; and that the nutrient cycle (nitrogen and phosphorus) is managed</w:t>
      </w:r>
      <w:r>
        <w:rPr>
          <w:rFonts w:cs="Times New Roman"/>
          <w:bCs/>
          <w:noProof/>
          <w:color w:val="FFFFFF" w:themeColor="background1"/>
          <w:sz w:val="20"/>
        </w:rPr>
        <w:t xml:space="preserve"> in a more sustainable and resource-efficient way.</w:t>
      </w:r>
    </w:p>
    <w:p w:rsidR="003D2157" w:rsidRDefault="00670DB4">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SDG 6 encourages countries to ensure availability and sustainable management of water and sanitation for all.</w:t>
      </w:r>
    </w:p>
    <w:p w:rsidR="003D2157" w:rsidRDefault="00670DB4">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 main overall objective of EU water policy and legislation is to ensure access to good quali</w:t>
      </w:r>
      <w:r>
        <w:rPr>
          <w:rFonts w:eastAsia="Times New Roman" w:cs="Times New Roman"/>
          <w:noProof/>
          <w:color w:val="000000"/>
          <w:sz w:val="20"/>
          <w:szCs w:val="20"/>
        </w:rPr>
        <w:t xml:space="preserve">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63"/>
      </w:r>
      <w:r>
        <w:rPr>
          <w:rFonts w:eastAsia="Times New Roman" w:cs="Times New Roman"/>
          <w:noProof/>
          <w:color w:val="000000"/>
          <w:sz w:val="20"/>
          <w:szCs w:val="20"/>
        </w:rPr>
        <w:t xml:space="preserve"> seeks to ensure good status of all water bodies across Europe by addressing pollution sources (from e.g. agriculture, urban areas and industrial activities), physical and hydrological </w:t>
      </w:r>
      <w:r>
        <w:rPr>
          <w:rFonts w:eastAsia="Times New Roman" w:cs="Times New Roman"/>
          <w:noProof/>
          <w:color w:val="000000"/>
          <w:sz w:val="20"/>
          <w:szCs w:val="20"/>
        </w:rPr>
        <w:t xml:space="preserve">modifications to water bodies) and the management of risks of flooding. </w:t>
      </w:r>
    </w:p>
    <w:p w:rsidR="003D2157" w:rsidRDefault="00670DB4">
      <w:pPr>
        <w:widowControl w:val="0"/>
        <w:autoSpaceDE w:val="0"/>
        <w:spacing w:after="120" w:line="240" w:lineRule="auto"/>
        <w:jc w:val="both"/>
        <w:rPr>
          <w:rFonts w:cs="Times New Roman"/>
          <w:noProof/>
          <w:sz w:val="20"/>
        </w:rPr>
      </w:pPr>
      <w:r>
        <w:rPr>
          <w:rFonts w:cs="Times New Roman"/>
          <w:noProof/>
          <w:sz w:val="20"/>
        </w:rPr>
        <w:t>River Basin Management Plans (RBMPs) are a requirement of the Water Framework Directive and a means of achieving the protection, improvement and sustainable use of the water environme</w:t>
      </w:r>
      <w:r>
        <w:rPr>
          <w:rFonts w:cs="Times New Roman"/>
          <w:noProof/>
          <w:sz w:val="20"/>
        </w:rPr>
        <w:t>nt across Europe. This includes surface freshwaters such as lakes and rivers, groundwater, estuaries and coastal waters up to one nautical mile.</w:t>
      </w:r>
    </w:p>
    <w:p w:rsidR="003D2157" w:rsidRDefault="00670DB4">
      <w:pPr>
        <w:widowControl w:val="0"/>
        <w:autoSpaceDE w:val="0"/>
        <w:spacing w:after="120" w:line="240" w:lineRule="auto"/>
        <w:jc w:val="both"/>
        <w:rPr>
          <w:rFonts w:cs="Times New Roman"/>
          <w:noProof/>
          <w:sz w:val="20"/>
        </w:rPr>
      </w:pPr>
      <w:r>
        <w:rPr>
          <w:rFonts w:cs="Times New Roman"/>
          <w:noProof/>
          <w:sz w:val="20"/>
        </w:rPr>
        <w:t>The UK has provided information to the Commission from its second generation of RBMPs. However, as the Commissi</w:t>
      </w:r>
      <w:r>
        <w:rPr>
          <w:rFonts w:cs="Times New Roman"/>
          <w:noProof/>
          <w:sz w:val="20"/>
        </w:rPr>
        <w:t>on has not yet been able to validate this information for all Member States, it is not reported here.</w:t>
      </w:r>
    </w:p>
    <w:p w:rsidR="003D2157" w:rsidRDefault="00670DB4">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In its first generation of RBMPs the United Kingdom reported the status of 9080 rivers, 1119 lakes, 192 transitional, 570 coastal and 656 groundwater bodi</w:t>
      </w:r>
      <w:r>
        <w:rPr>
          <w:rFonts w:eastAsia="Times New Roman" w:cs="Times New Roman"/>
          <w:noProof/>
          <w:color w:val="000000"/>
          <w:sz w:val="20"/>
          <w:szCs w:val="20"/>
        </w:rPr>
        <w:t>es. Only 41% of natural surface water bodies achieve a good or high ecological status</w:t>
      </w:r>
      <w:r>
        <w:rPr>
          <w:rFonts w:eastAsia="Times New Roman" w:cs="Times New Roman"/>
          <w:noProof/>
          <w:color w:val="000000"/>
          <w:sz w:val="16"/>
          <w:szCs w:val="16"/>
          <w:vertAlign w:val="superscript"/>
        </w:rPr>
        <w:footnoteReference w:id="64"/>
      </w:r>
      <w:r>
        <w:rPr>
          <w:rFonts w:eastAsia="Times New Roman" w:cs="Times New Roman"/>
          <w:noProof/>
          <w:color w:val="000000"/>
          <w:sz w:val="20"/>
          <w:szCs w:val="20"/>
        </w:rPr>
        <w:t xml:space="preserve"> and 27% of heavily modified or artificial water bodies</w:t>
      </w:r>
      <w:r>
        <w:rPr>
          <w:rFonts w:eastAsia="Times New Roman" w:cs="Times New Roman"/>
          <w:noProof/>
          <w:color w:val="000000"/>
          <w:sz w:val="16"/>
          <w:szCs w:val="16"/>
          <w:vertAlign w:val="superscript"/>
        </w:rPr>
        <w:footnoteReference w:id="65"/>
      </w:r>
      <w:r>
        <w:rPr>
          <w:rFonts w:eastAsia="Times New Roman" w:cs="Times New Roman"/>
          <w:noProof/>
          <w:color w:val="000000"/>
          <w:sz w:val="20"/>
          <w:szCs w:val="20"/>
        </w:rPr>
        <w:t xml:space="preserve"> achieve a good or high ecological potential. Only 41% of surface water bodies (while the status of 58% is unknown), 23% of heavily modified and artificial water bodies (73% unknown) and 74% of groundwater bodies achieve good chemical status</w:t>
      </w:r>
      <w:r>
        <w:rPr>
          <w:rFonts w:eastAsia="Times New Roman" w:cs="Times New Roman"/>
          <w:noProof/>
          <w:color w:val="000000"/>
          <w:sz w:val="16"/>
          <w:szCs w:val="16"/>
          <w:vertAlign w:val="superscript"/>
        </w:rPr>
        <w:footnoteReference w:id="66"/>
      </w:r>
      <w:r>
        <w:rPr>
          <w:rFonts w:eastAsia="Times New Roman" w:cs="Times New Roman"/>
          <w:noProof/>
          <w:color w:val="000000"/>
          <w:sz w:val="20"/>
          <w:szCs w:val="20"/>
        </w:rPr>
        <w:t>. 79% of groun</w:t>
      </w:r>
      <w:r>
        <w:rPr>
          <w:rFonts w:eastAsia="Times New Roman" w:cs="Times New Roman"/>
          <w:noProof/>
          <w:color w:val="000000"/>
          <w:sz w:val="20"/>
          <w:szCs w:val="20"/>
        </w:rPr>
        <w:t>dwater bodies are in good quantitative status</w:t>
      </w:r>
      <w:r>
        <w:rPr>
          <w:rFonts w:eastAsia="Times New Roman" w:cs="Times New Roman"/>
          <w:noProof/>
          <w:color w:val="000000"/>
          <w:sz w:val="16"/>
          <w:szCs w:val="16"/>
          <w:vertAlign w:val="superscript"/>
        </w:rPr>
        <w:footnoteReference w:id="67"/>
      </w:r>
      <w:r>
        <w:rPr>
          <w:rFonts w:eastAsia="Times New Roman" w:cs="Times New Roman"/>
          <w:noProof/>
          <w:color w:val="000000"/>
          <w:sz w:val="20"/>
          <w:szCs w:val="20"/>
        </w:rPr>
        <w:t>.</w:t>
      </w:r>
    </w:p>
    <w:p w:rsidR="003D2157" w:rsidRDefault="00670DB4">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 main pressure on the UK surface waters is diffuse pollution</w:t>
      </w:r>
      <w:r>
        <w:rPr>
          <w:rFonts w:eastAsia="Times New Roman" w:cs="Times New Roman"/>
          <w:noProof/>
          <w:color w:val="000000"/>
          <w:sz w:val="20"/>
          <w:szCs w:val="20"/>
          <w:vertAlign w:val="superscript"/>
        </w:rPr>
        <w:footnoteReference w:id="68"/>
      </w:r>
      <w:r>
        <w:rPr>
          <w:rFonts w:eastAsia="Times New Roman" w:cs="Times New Roman"/>
          <w:noProof/>
          <w:color w:val="000000"/>
          <w:sz w:val="20"/>
          <w:szCs w:val="20"/>
        </w:rPr>
        <w:t xml:space="preserve"> that affects 68% of water bodies. Flow regulation and morphological alterations affect 45% followed by point sources of pollution that affect 4</w:t>
      </w:r>
      <w:r>
        <w:rPr>
          <w:rFonts w:eastAsia="Times New Roman" w:cs="Times New Roman"/>
          <w:noProof/>
          <w:color w:val="000000"/>
          <w:sz w:val="20"/>
          <w:szCs w:val="20"/>
        </w:rPr>
        <w:t xml:space="preserve">4% of water bodies. River management affects negatively 30% of water bodies and abstraction 14% of water bodies. There are some regional differences, e.g. diffuse sources of pollution affect 90% of water bodies in the Anglian river basin district but only </w:t>
      </w:r>
      <w:r>
        <w:rPr>
          <w:rFonts w:eastAsia="Times New Roman" w:cs="Times New Roman"/>
          <w:noProof/>
          <w:color w:val="000000"/>
          <w:sz w:val="20"/>
          <w:szCs w:val="20"/>
        </w:rPr>
        <w:t xml:space="preserve">16% in the Scotland river basin district. </w:t>
      </w:r>
    </w:p>
    <w:p w:rsidR="003D2157" w:rsidRDefault="00670DB4">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 UK RBMPs have some deficiencies that result in uncertainties about the status and effectiveness of Programmes of Measures. In particular there are weaknesses in ecological status assessment and the lack of eff</w:t>
      </w:r>
      <w:r>
        <w:rPr>
          <w:rFonts w:eastAsia="Times New Roman" w:cs="Times New Roman"/>
          <w:noProof/>
          <w:color w:val="000000"/>
          <w:sz w:val="20"/>
          <w:szCs w:val="20"/>
        </w:rPr>
        <w:t>ective measures to address diffuse pollution from agriculture</w:t>
      </w:r>
      <w:r>
        <w:rPr>
          <w:rFonts w:eastAsia="Times New Roman" w:cs="Times New Roman"/>
          <w:noProof/>
          <w:color w:val="000000"/>
          <w:sz w:val="20"/>
          <w:szCs w:val="20"/>
          <w:vertAlign w:val="superscript"/>
        </w:rPr>
        <w:footnoteReference w:id="69"/>
      </w:r>
      <w:r>
        <w:rPr>
          <w:rFonts w:eastAsia="Times New Roman" w:cs="Times New Roman"/>
          <w:noProof/>
          <w:color w:val="000000"/>
          <w:sz w:val="20"/>
          <w:szCs w:val="20"/>
        </w:rPr>
        <w:t>. A high number of exemptions were applied. The planned measures are expected to result in improvement of ecological status of surface water bodies by 9%. The measures should also bring improvem</w:t>
      </w:r>
      <w:r>
        <w:rPr>
          <w:rFonts w:eastAsia="Times New Roman" w:cs="Times New Roman"/>
          <w:noProof/>
          <w:color w:val="000000"/>
          <w:sz w:val="20"/>
          <w:szCs w:val="20"/>
        </w:rPr>
        <w:t>ent of ecological potential of artificial and heavily modified water bodies by 3% and chemical status by 1%. The chemical status of groundwater is expected to improve by 6% and quantitative status by 1%.</w:t>
      </w:r>
    </w:p>
    <w:p w:rsidR="003D2157" w:rsidRDefault="00670DB4">
      <w:pPr>
        <w:widowControl w:val="0"/>
        <w:autoSpaceDE w:val="0"/>
        <w:autoSpaceDN w:val="0"/>
        <w:adjustRightInd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 UK indicated phosphorus loading from agriculture</w:t>
      </w:r>
      <w:r>
        <w:rPr>
          <w:rFonts w:eastAsia="Times New Roman" w:cs="Times New Roman"/>
          <w:noProof/>
          <w:color w:val="000000"/>
          <w:sz w:val="20"/>
          <w:szCs w:val="20"/>
        </w:rPr>
        <w:t xml:space="preserve"> needs to reduce by 28-43% to meet revised phosphate standards in the second cycle of river basin management plans. Agriculture is responsible for 50-60% of the nitrogen in surface waters. The UK developed an Excel-based tool, FARM Scale Optimisation of Po</w:t>
      </w:r>
      <w:r>
        <w:rPr>
          <w:rFonts w:eastAsia="Times New Roman" w:cs="Times New Roman"/>
          <w:noProof/>
          <w:color w:val="000000"/>
          <w:sz w:val="20"/>
          <w:szCs w:val="20"/>
        </w:rPr>
        <w:t>llutant Emission Reductions (FARMSCOPER), to characterise diffuse agricultural pollutant emissions from representative farm types and quantify the expected impacts of control options on those losses to the environment. The first catchment scale application</w:t>
      </w:r>
      <w:r>
        <w:rPr>
          <w:rFonts w:eastAsia="Times New Roman" w:cs="Times New Roman"/>
          <w:noProof/>
          <w:color w:val="000000"/>
          <w:sz w:val="20"/>
          <w:szCs w:val="20"/>
        </w:rPr>
        <w:t xml:space="preserve"> of the FARMSCOPER tool suggested that technically feasible pollutant reductions on the basis of the implementation of more mitigation options could be of the order of 47% for phosphorus, 66% for sediment, 22% for nitrate and 16% for nitrous oxide (Zhang e</w:t>
      </w:r>
      <w:r>
        <w:rPr>
          <w:rFonts w:eastAsia="Times New Roman" w:cs="Times New Roman"/>
          <w:noProof/>
          <w:color w:val="000000"/>
          <w:sz w:val="20"/>
          <w:szCs w:val="20"/>
        </w:rPr>
        <w:t>t al 2012). The UK is currently reviewing the Nitrates Action Programmes applying to England, Scotland and Wales and could use the opportunity to strengthen the measures in their action programme to achieve some of the pollution reductions identified above</w:t>
      </w:r>
      <w:r>
        <w:rPr>
          <w:rFonts w:eastAsia="Times New Roman" w:cs="Times New Roman"/>
          <w:noProof/>
          <w:color w:val="000000"/>
          <w:sz w:val="20"/>
          <w:szCs w:val="20"/>
        </w:rPr>
        <w:t>. Furthermore, implementation on the ground of some measures (e.g. poor record keeping) is a challenge. Additionally, some requirements (e.g. storage capacity) have been deferred until 2012 and there is either no information or some indication of challenge</w:t>
      </w:r>
      <w:r>
        <w:rPr>
          <w:rFonts w:eastAsia="Times New Roman" w:cs="Times New Roman"/>
          <w:noProof/>
          <w:color w:val="000000"/>
          <w:sz w:val="20"/>
          <w:szCs w:val="20"/>
        </w:rPr>
        <w:t>s to comply with the requirements</w:t>
      </w:r>
      <w:r>
        <w:rPr>
          <w:rFonts w:eastAsia="Times New Roman" w:cs="Times New Roman"/>
          <w:noProof/>
          <w:color w:val="000000"/>
          <w:sz w:val="20"/>
          <w:szCs w:val="20"/>
          <w:vertAlign w:val="superscript"/>
        </w:rPr>
        <w:footnoteReference w:id="70"/>
      </w:r>
      <w:r>
        <w:rPr>
          <w:rFonts w:eastAsia="Times New Roman" w:cs="Times New Roman"/>
          <w:noProof/>
          <w:color w:val="000000"/>
          <w:sz w:val="20"/>
          <w:szCs w:val="20"/>
        </w:rPr>
        <w:t>.</w:t>
      </w:r>
    </w:p>
    <w:p w:rsidR="003D2157" w:rsidRDefault="00670DB4">
      <w:pPr>
        <w:widowControl w:val="0"/>
        <w:spacing w:after="120" w:line="240" w:lineRule="auto"/>
        <w:jc w:val="both"/>
        <w:rPr>
          <w:rFonts w:cs="Times New Roman"/>
          <w:noProof/>
          <w:sz w:val="20"/>
        </w:rPr>
      </w:pPr>
      <w:r>
        <w:rPr>
          <w:rFonts w:cs="Times New Roman"/>
          <w:noProof/>
          <w:sz w:val="20"/>
        </w:rPr>
        <w:t>As regards drinking water, the United Kingdom reaches very high compliance rates of 99-100% for microbiological, chemical and indicator parameters laid down in the Drinking Water Directive</w:t>
      </w:r>
      <w:r>
        <w:rPr>
          <w:rFonts w:cs="Times New Roman"/>
          <w:noProof/>
          <w:sz w:val="20"/>
          <w:vertAlign w:val="superscript"/>
          <w:lang w:val="en-US"/>
        </w:rPr>
        <w:footnoteReference w:id="71"/>
      </w:r>
      <w:r>
        <w:rPr>
          <w:rFonts w:cs="Times New Roman"/>
          <w:noProof/>
          <w:sz w:val="20"/>
        </w:rPr>
        <w:t>.</w:t>
      </w:r>
    </w:p>
    <w:p w:rsidR="003D2157" w:rsidRDefault="00670DB4">
      <w:pPr>
        <w:widowControl w:val="0"/>
        <w:spacing w:after="120" w:line="240" w:lineRule="auto"/>
        <w:jc w:val="both"/>
        <w:rPr>
          <w:rFonts w:cs="Arial"/>
          <w:noProof/>
          <w:sz w:val="20"/>
          <w:lang w:eastAsia="zh-CN"/>
        </w:rPr>
      </w:pPr>
      <w:r>
        <w:rPr>
          <w:rFonts w:cs="Times New Roman"/>
          <w:noProof/>
          <w:sz w:val="20"/>
        </w:rPr>
        <w:t>As shown in Figure 10, in 201</w:t>
      </w:r>
      <w:r>
        <w:rPr>
          <w:rFonts w:cs="Times New Roman"/>
          <w:noProof/>
          <w:sz w:val="20"/>
        </w:rPr>
        <w:t xml:space="preserve">5 in the United Kingdom, out of 633 bathing waters, 59.6 </w:t>
      </w:r>
      <w:r>
        <w:rPr>
          <w:rFonts w:cs="Times New Roman"/>
          <w:noProof/>
          <w:sz w:val="20"/>
          <w:lang w:val="en-US"/>
        </w:rPr>
        <w:t>% were of excellent quality, 27.5 % of good quality and 7.6 % of sufficient quality. 31</w:t>
      </w:r>
      <w:r>
        <w:rPr>
          <w:rFonts w:cs="Times New Roman"/>
          <w:noProof/>
          <w:sz w:val="20"/>
        </w:rPr>
        <w:t xml:space="preserve"> bathing waters were of poor quality or non-compliant while it was not possible to assess the remaining 3 bathin</w:t>
      </w:r>
      <w:r>
        <w:rPr>
          <w:rFonts w:cs="Times New Roman"/>
          <w:noProof/>
          <w:sz w:val="20"/>
        </w:rPr>
        <w:t>g waters.</w:t>
      </w:r>
      <w:r>
        <w:rPr>
          <w:rFonts w:cs="Times New Roman"/>
          <w:noProof/>
          <w:sz w:val="20"/>
          <w:vertAlign w:val="superscript"/>
        </w:rPr>
        <w:footnoteReference w:id="72"/>
      </w:r>
      <w:r>
        <w:rPr>
          <w:rFonts w:cs="Times New Roman"/>
          <w:noProof/>
          <w:sz w:val="20"/>
        </w:rPr>
        <w:t xml:space="preserve"> This represents a significant decrease of bathing waters with excellent quality compared to 2014, which may be partly due to the fact that the UK only started to use the new bathing water standards for the 2015 bathing water season.</w:t>
      </w:r>
      <w:r>
        <w:rPr>
          <w:rFonts w:cs="Arial"/>
          <w:noProof/>
          <w:sz w:val="20"/>
          <w:lang w:eastAsia="zh-CN"/>
        </w:rPr>
        <w:t xml:space="preserve"> </w:t>
      </w:r>
    </w:p>
    <w:p w:rsidR="003D2157" w:rsidRDefault="00670DB4">
      <w:pPr>
        <w:widowControl w:val="0"/>
        <w:spacing w:after="120" w:line="240" w:lineRule="auto"/>
        <w:jc w:val="both"/>
        <w:rPr>
          <w:rFonts w:cs="Times New Roman"/>
          <w:noProof/>
          <w:sz w:val="20"/>
        </w:rPr>
      </w:pPr>
      <w:r>
        <w:rPr>
          <w:rFonts w:cs="Arial"/>
          <w:noProof/>
          <w:sz w:val="20"/>
          <w:lang w:eastAsia="zh-CN"/>
        </w:rPr>
        <w:t>With regard</w:t>
      </w:r>
      <w:r>
        <w:rPr>
          <w:rFonts w:cs="Arial"/>
          <w:noProof/>
          <w:sz w:val="20"/>
          <w:lang w:eastAsia="zh-CN"/>
        </w:rPr>
        <w:t xml:space="preserve"> to the implementation of the Urban Waste Water Treatment Directive, the latest reported data indicate high compliance rates, even though some non-compliances still subsist</w:t>
      </w:r>
      <w:r>
        <w:rPr>
          <w:rFonts w:cs="Times New Roman"/>
          <w:noProof/>
          <w:sz w:val="16"/>
          <w:szCs w:val="16"/>
          <w:vertAlign w:val="superscript"/>
        </w:rPr>
        <w:footnoteReference w:id="73"/>
      </w:r>
      <w:r>
        <w:rPr>
          <w:rFonts w:cs="Arial"/>
          <w:noProof/>
          <w:sz w:val="20"/>
          <w:lang w:eastAsia="zh-CN"/>
        </w:rPr>
        <w:t>. The UK is still in the process of implementing a Court ruling concerning London (</w:t>
      </w:r>
      <w:r>
        <w:rPr>
          <w:rFonts w:cs="Arial"/>
          <w:noProof/>
          <w:sz w:val="20"/>
          <w:lang w:eastAsia="zh-CN"/>
        </w:rPr>
        <w:t>C-301/10, 18 October 2012) by building a tunnel under the Thames. The UK has also been struggling with storm water overflows issues, which are progressively being addressed by innovative solutions (e.g. sustainable urban drainage systems). The Commission i</w:t>
      </w:r>
      <w:r>
        <w:rPr>
          <w:rFonts w:cs="Arial"/>
          <w:noProof/>
          <w:sz w:val="20"/>
          <w:lang w:eastAsia="zh-CN"/>
        </w:rPr>
        <w:t>s following-up on the above-mentioned issues</w:t>
      </w:r>
      <w:r>
        <w:rPr>
          <w:rFonts w:cs="Times New Roman"/>
          <w:noProof/>
          <w:sz w:val="20"/>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D2157">
        <w:tc>
          <w:tcPr>
            <w:tcW w:w="4909" w:type="dxa"/>
          </w:tcPr>
          <w:p w:rsidR="003D2157" w:rsidRDefault="00670DB4">
            <w:pPr>
              <w:widowControl w:val="0"/>
              <w:spacing w:after="120"/>
              <w:jc w:val="both"/>
              <w:rPr>
                <w:rFonts w:cs="Times New Roman"/>
                <w:b/>
                <w:bCs/>
                <w:noProof/>
                <w:color w:val="1F497D" w:themeColor="text2"/>
                <w:sz w:val="20"/>
              </w:rPr>
            </w:pPr>
            <w:r>
              <w:rPr>
                <w:rFonts w:cs="Times New Roman"/>
                <w:b/>
                <w:bCs/>
                <w:noProof/>
                <w:color w:val="1F497D" w:themeColor="text2"/>
                <w:sz w:val="20"/>
              </w:rPr>
              <w:t>Figure 10: Bathing water quality 2012 – 2015</w:t>
            </w:r>
            <w:r>
              <w:rPr>
                <w:rFonts w:cs="Times New Roman"/>
                <w:b/>
                <w:bCs/>
                <w:noProof/>
                <w:color w:val="1F497D" w:themeColor="text2"/>
                <w:sz w:val="20"/>
                <w:vertAlign w:val="superscript"/>
              </w:rPr>
              <w:footnoteReference w:id="74"/>
            </w:r>
          </w:p>
        </w:tc>
      </w:tr>
      <w:tr w:rsidR="003D2157">
        <w:tc>
          <w:tcPr>
            <w:tcW w:w="4909" w:type="dxa"/>
          </w:tcPr>
          <w:p w:rsidR="003D2157" w:rsidRDefault="00670DB4">
            <w:pPr>
              <w:widowControl w:val="0"/>
              <w:spacing w:after="120"/>
              <w:jc w:val="both"/>
              <w:rPr>
                <w:rFonts w:cs="Times New Roman"/>
                <w:noProof/>
                <w:sz w:val="20"/>
              </w:rPr>
            </w:pPr>
            <w:r>
              <w:rPr>
                <w:rFonts w:cs="Times New Roman"/>
                <w:noProof/>
                <w:sz w:val="20"/>
              </w:rPr>
              <w:drawing>
                <wp:inline distT="0" distB="0" distL="0" distR="0" wp14:anchorId="1B58FE43" wp14:editId="401F16EC">
                  <wp:extent cx="3024554" cy="258029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21117" cy="2577363"/>
                          </a:xfrm>
                          <a:prstGeom prst="rect">
                            <a:avLst/>
                          </a:prstGeom>
                          <a:noFill/>
                        </pic:spPr>
                      </pic:pic>
                    </a:graphicData>
                  </a:graphic>
                </wp:inline>
              </w:drawing>
            </w:r>
          </w:p>
        </w:tc>
      </w:tr>
    </w:tbl>
    <w:p w:rsidR="003D2157" w:rsidRDefault="00670DB4">
      <w:pPr>
        <w:widowControl w:val="0"/>
        <w:spacing w:after="120" w:line="240" w:lineRule="auto"/>
        <w:jc w:val="both"/>
        <w:rPr>
          <w:rFonts w:cs="Times New Roman"/>
          <w:noProof/>
          <w:sz w:val="20"/>
        </w:rPr>
      </w:pPr>
      <w:r>
        <w:rPr>
          <w:rFonts w:cs="Times New Roman"/>
          <w:noProof/>
          <w:sz w:val="20"/>
        </w:rPr>
        <w:t xml:space="preserve">The estimated investment needs (reported by the UK under Article 17 of the Urban Waste Water Treatment Directive) to reach full compliance with the Directive </w:t>
      </w:r>
      <w:r>
        <w:rPr>
          <w:rFonts w:cs="Times New Roman"/>
          <w:noProof/>
          <w:sz w:val="20"/>
        </w:rPr>
        <w:t>are of EUR 882 million</w:t>
      </w:r>
      <w:r>
        <w:rPr>
          <w:rFonts w:cs="Times New Roman"/>
          <w:noProof/>
          <w:sz w:val="16"/>
          <w:szCs w:val="16"/>
          <w:vertAlign w:val="superscript"/>
        </w:rPr>
        <w:footnoteReference w:id="75"/>
      </w:r>
      <w:r>
        <w:rPr>
          <w:rFonts w:cs="Times New Roman"/>
          <w:noProof/>
          <w:sz w:val="20"/>
        </w:rPr>
        <w:t>.</w:t>
      </w:r>
    </w:p>
    <w:p w:rsidR="003D2157" w:rsidRDefault="00670DB4">
      <w:pPr>
        <w:spacing w:after="120" w:line="240" w:lineRule="auto"/>
        <w:jc w:val="both"/>
        <w:rPr>
          <w:rFonts w:cs="Times New Roman"/>
          <w:noProof/>
          <w:color w:val="000000"/>
          <w:sz w:val="20"/>
        </w:rPr>
      </w:pPr>
      <w:r>
        <w:rPr>
          <w:rFonts w:cs="Times New Roman"/>
          <w:noProof/>
          <w:color w:val="000000"/>
          <w:sz w:val="20"/>
        </w:rPr>
        <w:t>Flood risk areas have been identified and mapped in England. Over the last decade England has regularly experienced flooding incidents with significant economic damage costs. Approximately 1 in 6 properties in England are at risk o</w:t>
      </w:r>
      <w:r>
        <w:rPr>
          <w:rFonts w:cs="Times New Roman"/>
          <w:noProof/>
          <w:color w:val="000000"/>
          <w:sz w:val="20"/>
        </w:rPr>
        <w:t>f flooding from rivers or the sea. Between 2002 and 2013, for the 22 floods in England, 10 floods in Northern Ireland, 6 floods in Scotland and 10 floods in Wales the total direct costs amounted to EUR 23,000 million. The average cost of floods extrapolate</w:t>
      </w:r>
      <w:r>
        <w:rPr>
          <w:rFonts w:cs="Times New Roman"/>
          <w:noProof/>
          <w:color w:val="000000"/>
          <w:sz w:val="20"/>
        </w:rPr>
        <w:t>d in the UK was around EUR 480 million.</w:t>
      </w:r>
      <w:r>
        <w:rPr>
          <w:rFonts w:cs="Times New Roman"/>
          <w:noProof/>
          <w:color w:val="000000"/>
          <w:sz w:val="20"/>
          <w:vertAlign w:val="superscript"/>
        </w:rPr>
        <w:footnoteReference w:id="76"/>
      </w:r>
      <w:r>
        <w:rPr>
          <w:rFonts w:cs="Times New Roman"/>
          <w:noProof/>
          <w:color w:val="000000"/>
          <w:sz w:val="20"/>
        </w:rPr>
        <w:t xml:space="preserve">. </w:t>
      </w:r>
    </w:p>
    <w:p w:rsidR="003D2157" w:rsidRDefault="00670DB4">
      <w:pPr>
        <w:widowControl w:val="0"/>
        <w:spacing w:after="120" w:line="240" w:lineRule="auto"/>
        <w:jc w:val="both"/>
        <w:rPr>
          <w:rFonts w:cs="Times New Roman"/>
          <w:noProof/>
          <w:sz w:val="20"/>
        </w:rPr>
      </w:pPr>
      <w:r>
        <w:rPr>
          <w:rFonts w:cs="Times New Roman"/>
          <w:noProof/>
          <w:sz w:val="20"/>
        </w:rPr>
        <w:t>The management and prevention of floods is an area where the potentially more economical nature based solutions could improve resource efficiency through reducing costs and delivering multiple benefits. Within the</w:t>
      </w:r>
      <w:r>
        <w:rPr>
          <w:rFonts w:cs="Times New Roman"/>
          <w:noProof/>
          <w:sz w:val="20"/>
        </w:rPr>
        <w:t xml:space="preserve"> English ERDF programme two priorities totalling EUR 179 million include allocations for climate change adaption, risk prevention, floods and green infrastructure; out of which EUR 70 million (priority axis 5) is available for better protection from floods</w:t>
      </w:r>
      <w:r>
        <w:rPr>
          <w:rFonts w:cs="Times New Roman"/>
          <w:noProof/>
          <w:sz w:val="20"/>
        </w:rPr>
        <w:t xml:space="preserve"> and coastal risks.</w:t>
      </w:r>
    </w:p>
    <w:p w:rsidR="003D2157" w:rsidRDefault="003D2157">
      <w:pPr>
        <w:widowControl w:val="0"/>
        <w:spacing w:after="120" w:line="240" w:lineRule="auto"/>
        <w:jc w:val="both"/>
        <w:rPr>
          <w:rFonts w:cstheme="minorHAnsi"/>
          <w:noProof/>
          <w:color w:val="1F497D" w:themeColor="text2"/>
          <w:szCs w:val="26"/>
        </w:rPr>
      </w:pPr>
    </w:p>
    <w:p w:rsidR="003D2157" w:rsidRDefault="003D2157">
      <w:pPr>
        <w:widowControl w:val="0"/>
        <w:spacing w:after="120" w:line="240" w:lineRule="auto"/>
        <w:jc w:val="both"/>
        <w:rPr>
          <w:rFonts w:cstheme="minorHAnsi"/>
          <w:noProof/>
          <w:color w:val="1F497D" w:themeColor="text2"/>
          <w:szCs w:val="26"/>
        </w:rPr>
      </w:pPr>
    </w:p>
    <w:p w:rsidR="003D2157" w:rsidRDefault="00670DB4">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3D2157" w:rsidRDefault="00670DB4">
      <w:pPr>
        <w:pStyle w:val="NoSpacing"/>
        <w:rPr>
          <w:noProof/>
        </w:rPr>
      </w:pPr>
      <w:bookmarkStart w:id="38" w:name="_Toc433296168"/>
      <w:r>
        <w:rPr>
          <w:noProof/>
        </w:rPr>
        <w:t>Improve water policy in line with the intervention logic of the Water Framework Directive in the second cycle of the RBMPs.</w:t>
      </w:r>
    </w:p>
    <w:p w:rsidR="003D2157" w:rsidRDefault="00670DB4">
      <w:pPr>
        <w:pStyle w:val="NoSpacing"/>
        <w:rPr>
          <w:noProof/>
        </w:rPr>
      </w:pPr>
      <w:r>
        <w:rPr>
          <w:noProof/>
          <w:lang w:eastAsia="zh-CN"/>
        </w:rPr>
        <w:t>Scale up nitrates prevention and reduction measures to meet water quality objectives, enhance</w:t>
      </w:r>
      <w:r>
        <w:rPr>
          <w:noProof/>
          <w:lang w:eastAsia="zh-CN"/>
        </w:rPr>
        <w:t xml:space="preserve"> control measures and include eutrophication caused by phosphorus when designating nitrate vulnerable zones. </w:t>
      </w:r>
      <w:bookmarkStart w:id="39" w:name="_Toc436815691"/>
      <w:bookmarkEnd w:id="38"/>
    </w:p>
    <w:p w:rsidR="003D2157" w:rsidRDefault="00670DB4">
      <w:pPr>
        <w:widowControl w:val="0"/>
        <w:spacing w:before="360" w:after="120" w:line="240" w:lineRule="auto"/>
        <w:outlineLvl w:val="1"/>
        <w:rPr>
          <w:rFonts w:cs="Times New Roman"/>
          <w:b/>
          <w:noProof/>
          <w:color w:val="1F497D" w:themeColor="text2"/>
          <w:sz w:val="24"/>
        </w:rPr>
      </w:pPr>
      <w:bookmarkStart w:id="40" w:name="_Toc469394700"/>
      <w:r>
        <w:rPr>
          <w:rFonts w:cs="Times New Roman"/>
          <w:b/>
          <w:noProof/>
          <w:color w:val="1F497D" w:themeColor="text2"/>
          <w:sz w:val="24"/>
        </w:rPr>
        <w:t>Enhancing the sustainability of cities</w:t>
      </w:r>
      <w:bookmarkEnd w:id="39"/>
      <w:bookmarkEnd w:id="40"/>
      <w:r>
        <w:rPr>
          <w:rFonts w:cs="Times New Roman"/>
          <w:b/>
          <w:noProof/>
          <w:color w:val="1F497D" w:themeColor="text2"/>
          <w:sz w:val="24"/>
        </w:rPr>
        <w:t xml:space="preserve"> </w:t>
      </w:r>
    </w:p>
    <w:p w:rsidR="003D2157" w:rsidRDefault="00670DB4">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Policy on the urban environment encourages cities to implement policies for sustainable urban planning and design, including innovative approaches for urban public transport and mobility, sustainable buildings, energy efficiency and urban biodiversi</w:t>
      </w:r>
      <w:r>
        <w:rPr>
          <w:rFonts w:cs="Times New Roman"/>
          <w:noProof/>
          <w:color w:val="FFFFFF" w:themeColor="background1"/>
          <w:sz w:val="20"/>
        </w:rPr>
        <w:t xml:space="preserve">ty conservation. </w:t>
      </w:r>
    </w:p>
    <w:p w:rsidR="003D2157" w:rsidRDefault="00670DB4">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3D2157" w:rsidRDefault="00670DB4">
      <w:pPr>
        <w:widowControl w:val="0"/>
        <w:spacing w:after="120" w:line="240" w:lineRule="auto"/>
        <w:jc w:val="both"/>
        <w:rPr>
          <w:rFonts w:cs="Times New Roman"/>
          <w:noProof/>
          <w:sz w:val="20"/>
        </w:rPr>
      </w:pPr>
      <w:r>
        <w:rPr>
          <w:rFonts w:cs="Times New Roman"/>
          <w:noProof/>
          <w:sz w:val="20"/>
        </w:rPr>
        <w:t>Europe is a Union of cities and towns; around 75% of the EU population are living in urban areas.</w:t>
      </w:r>
      <w:r>
        <w:rPr>
          <w:rFonts w:cs="Times New Roman"/>
          <w:noProof/>
          <w:sz w:val="20"/>
          <w:vertAlign w:val="superscript"/>
        </w:rPr>
        <w:footnoteReference w:id="77"/>
      </w:r>
      <w:r>
        <w:rPr>
          <w:rFonts w:cs="Times New Roman"/>
          <w:noProof/>
          <w:sz w:val="20"/>
        </w:rPr>
        <w:t xml:space="preserve"> The urban environment poses particular challenges for the environment and human health, whilst also providing opportunities and efficiency gains in the use of resources. </w:t>
      </w:r>
    </w:p>
    <w:p w:rsidR="003D2157" w:rsidRDefault="00670DB4">
      <w:pPr>
        <w:widowControl w:val="0"/>
        <w:spacing w:after="120" w:line="240" w:lineRule="auto"/>
        <w:jc w:val="both"/>
        <w:rPr>
          <w:rFonts w:cs="Times New Roman"/>
          <w:noProof/>
          <w:sz w:val="20"/>
        </w:rPr>
      </w:pPr>
      <w:r>
        <w:rPr>
          <w:rFonts w:cs="Times New Roman"/>
          <w:noProof/>
          <w:sz w:val="20"/>
        </w:rPr>
        <w:t>The Member States, European institutions, cities and stakeholders have prepared a ne</w:t>
      </w:r>
      <w:r>
        <w:rPr>
          <w:rFonts w:cs="Times New Roman"/>
          <w:noProof/>
          <w:sz w:val="20"/>
        </w:rPr>
        <w:t>w Urban Agenda for the EU (incorporating the Smart Cities initiative) to tackle these issues in a comprehensive way, including their connections with social and economic challenges. At the heart of this Urban Agenda will be the development of twelve partne</w:t>
      </w:r>
      <w:r>
        <w:rPr>
          <w:rFonts w:cs="Times New Roman"/>
          <w:noProof/>
          <w:sz w:val="20"/>
        </w:rPr>
        <w:t>rships on the identified urban challenges, including air quality and housing</w:t>
      </w:r>
      <w:r>
        <w:rPr>
          <w:rFonts w:cs="Times New Roman"/>
          <w:noProof/>
          <w:sz w:val="20"/>
          <w:vertAlign w:val="superscript"/>
        </w:rPr>
        <w:footnoteReference w:id="78"/>
      </w:r>
      <w:r>
        <w:rPr>
          <w:rFonts w:cs="Times New Roman"/>
          <w:noProof/>
          <w:sz w:val="20"/>
        </w:rPr>
        <w:t xml:space="preserve">. </w:t>
      </w:r>
    </w:p>
    <w:p w:rsidR="003D2157" w:rsidRDefault="00670DB4">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79"/>
      </w:r>
      <w:r>
        <w:rPr>
          <w:rFonts w:cs="Times New Roman"/>
          <w:noProof/>
          <w:sz w:val="20"/>
        </w:rPr>
        <w:t>.</w:t>
      </w:r>
    </w:p>
    <w:p w:rsidR="003D2157" w:rsidRDefault="00670DB4">
      <w:pPr>
        <w:widowControl w:val="0"/>
        <w:spacing w:after="120" w:line="240" w:lineRule="auto"/>
        <w:jc w:val="both"/>
        <w:rPr>
          <w:noProof/>
          <w:sz w:val="20"/>
        </w:rPr>
      </w:pPr>
      <w:r>
        <w:rPr>
          <w:noProof/>
          <w:sz w:val="20"/>
        </w:rPr>
        <w:t>The EU stimulates green cities through awards and funding, such as the EU Green Capital Award aimed at c</w:t>
      </w:r>
      <w:r>
        <w:rPr>
          <w:noProof/>
          <w:sz w:val="20"/>
        </w:rPr>
        <w:t xml:space="preserve">ities with more than 100,000 inhabitants and the EU Green Leaf initiative aimed at cities and towns, with between 20,000 and 100,000 inhabitants. </w:t>
      </w:r>
    </w:p>
    <w:p w:rsidR="003D2157" w:rsidRDefault="00670DB4">
      <w:pPr>
        <w:widowControl w:val="0"/>
        <w:spacing w:after="120" w:line="240" w:lineRule="auto"/>
        <w:jc w:val="both"/>
        <w:rPr>
          <w:rFonts w:cs="Times New Roman"/>
          <w:noProof/>
          <w:sz w:val="20"/>
        </w:rPr>
      </w:pPr>
      <w:r>
        <w:rPr>
          <w:rFonts w:cs="Times New Roman"/>
          <w:noProof/>
          <w:sz w:val="20"/>
        </w:rPr>
        <w:t xml:space="preserve">A point of excellence that is worth noted is that Bristol was the winner of the European Green Capital Award </w:t>
      </w:r>
      <w:r>
        <w:rPr>
          <w:rFonts w:cs="Times New Roman"/>
          <w:noProof/>
          <w:sz w:val="20"/>
        </w:rPr>
        <w:t>in 2015. Having spent an amount of EUR 500 million for transport improvements and EUR 300 million for energy efficiency and renewable energy, Bristol is aiming to become a European hub for low-carbon industry</w:t>
      </w:r>
      <w:r>
        <w:rPr>
          <w:rFonts w:cs="Times New Roman"/>
          <w:noProof/>
          <w:sz w:val="16"/>
          <w:szCs w:val="16"/>
          <w:vertAlign w:val="superscript"/>
        </w:rPr>
        <w:footnoteReference w:id="80"/>
      </w:r>
      <w:r>
        <w:rPr>
          <w:rFonts w:cs="Times New Roman"/>
          <w:noProof/>
          <w:sz w:val="20"/>
        </w:rPr>
        <w:t>.</w:t>
      </w:r>
    </w:p>
    <w:p w:rsidR="003D2157" w:rsidRDefault="00670DB4">
      <w:pPr>
        <w:widowControl w:val="0"/>
        <w:spacing w:after="120" w:line="240" w:lineRule="auto"/>
        <w:jc w:val="both"/>
        <w:rPr>
          <w:rFonts w:cs="Times New Roman"/>
          <w:noProof/>
          <w:sz w:val="20"/>
        </w:rPr>
      </w:pPr>
      <w:r>
        <w:rPr>
          <w:rFonts w:cs="Times New Roman"/>
          <w:noProof/>
          <w:sz w:val="20"/>
        </w:rPr>
        <w:drawing>
          <wp:inline distT="0" distB="0" distL="0" distR="0" wp14:anchorId="03BF39A0" wp14:editId="5A125317">
            <wp:extent cx="2980055" cy="1983011"/>
            <wp:effectExtent l="0" t="0" r="0" b="0"/>
            <wp:docPr id="1" name="Picture 1" descr="P:\ENV-E2\1. ENV IMPLEMENTATION REVIEW\EIR Data management\Pictures\remaining pictures istock\clean\UK bridge iStock-47187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remaining pictures istock\clean\UK bridge iStock-471871833.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80055" cy="1983011"/>
                    </a:xfrm>
                    <a:prstGeom prst="rect">
                      <a:avLst/>
                    </a:prstGeom>
                    <a:noFill/>
                    <a:ln>
                      <a:noFill/>
                    </a:ln>
                  </pic:spPr>
                </pic:pic>
              </a:graphicData>
            </a:graphic>
          </wp:inline>
        </w:drawing>
      </w:r>
    </w:p>
    <w:p w:rsidR="003D2157" w:rsidRDefault="00670DB4">
      <w:pPr>
        <w:widowControl w:val="0"/>
        <w:spacing w:before="360" w:after="120" w:line="240" w:lineRule="auto"/>
        <w:outlineLvl w:val="1"/>
        <w:rPr>
          <w:rFonts w:cs="Times New Roman"/>
          <w:b/>
          <w:noProof/>
          <w:color w:val="1F497D" w:themeColor="text2"/>
          <w:sz w:val="24"/>
        </w:rPr>
      </w:pPr>
      <w:bookmarkStart w:id="41" w:name="_Toc453686116"/>
      <w:bookmarkStart w:id="42" w:name="_Toc469394701"/>
      <w:r>
        <w:rPr>
          <w:rFonts w:cs="Times New Roman"/>
          <w:b/>
          <w:noProof/>
          <w:color w:val="1F497D" w:themeColor="text2"/>
          <w:sz w:val="24"/>
        </w:rPr>
        <w:t>International agreements</w:t>
      </w:r>
      <w:bookmarkEnd w:id="41"/>
      <w:bookmarkEnd w:id="42"/>
      <w:r>
        <w:rPr>
          <w:rFonts w:cs="Times New Roman"/>
          <w:b/>
          <w:noProof/>
          <w:color w:val="1F497D" w:themeColor="text2"/>
          <w:sz w:val="24"/>
        </w:rPr>
        <w:t xml:space="preserve"> </w:t>
      </w:r>
    </w:p>
    <w:p w:rsidR="003D2157" w:rsidRDefault="00670DB4">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The EU Treaties r</w:t>
      </w:r>
      <w:r>
        <w:rPr>
          <w:rFonts w:cs="Times New Roman"/>
          <w:noProof/>
          <w:color w:val="FFFFFF" w:themeColor="background1"/>
          <w:sz w:val="20"/>
        </w:rPr>
        <w:t>equire that the Union policy on the environment promotes measures at the international level to deal with regional or worldwide environmental problems.</w:t>
      </w:r>
    </w:p>
    <w:p w:rsidR="003D2157" w:rsidRDefault="00670DB4">
      <w:pPr>
        <w:spacing w:after="120" w:line="240" w:lineRule="auto"/>
        <w:jc w:val="both"/>
        <w:rPr>
          <w:rFonts w:ascii="Calibri" w:hAnsi="Calibri" w:cs="Times New Roman"/>
          <w:noProof/>
          <w:sz w:val="20"/>
          <w:szCs w:val="20"/>
        </w:rPr>
      </w:pPr>
      <w:r>
        <w:rPr>
          <w:rFonts w:ascii="Calibri" w:hAnsi="Calibri" w:cs="Times New Roman"/>
          <w:noProof/>
          <w:sz w:val="20"/>
          <w:szCs w:val="20"/>
        </w:rPr>
        <w:t xml:space="preserve">Most environmental problems have a transboundary nature and often a global scope and they can only be </w:t>
      </w:r>
      <w:r>
        <w:rPr>
          <w:rFonts w:ascii="Calibri" w:hAnsi="Calibri" w:cs="Times New Roman"/>
          <w:noProof/>
          <w:sz w:val="20"/>
          <w:szCs w:val="20"/>
        </w:rPr>
        <w:t xml:space="preserve">addressed effectively through international co-operation. International environmental agreements concluded by the Union are binding upon the institutions of the Union and on its Member States. This requires the EU and the Member States to sign, ratify and </w:t>
      </w:r>
      <w:r>
        <w:rPr>
          <w:rFonts w:ascii="Calibri" w:hAnsi="Calibri" w:cs="Times New Roman"/>
          <w:noProof/>
          <w:sz w:val="20"/>
          <w:szCs w:val="20"/>
        </w:rPr>
        <w:t>effectively implement all relevant multilateral environmental agreements (MEAs) in a timely manner. This will also be an important contribution towards the achievement of the SDGs, which Member States committed to in 2015 and include many commitments conta</w:t>
      </w:r>
      <w:r>
        <w:rPr>
          <w:rFonts w:ascii="Calibri" w:hAnsi="Calibri" w:cs="Times New Roman"/>
          <w:noProof/>
          <w:sz w:val="20"/>
          <w:szCs w:val="20"/>
        </w:rPr>
        <w:t>ined already in legally binding agreements.</w:t>
      </w:r>
    </w:p>
    <w:p w:rsidR="003D2157" w:rsidRDefault="00670DB4">
      <w:pPr>
        <w:widowControl w:val="0"/>
        <w:spacing w:after="120" w:line="240" w:lineRule="auto"/>
        <w:jc w:val="both"/>
        <w:rPr>
          <w:rFonts w:cs="Times New Roman"/>
          <w:noProof/>
          <w:sz w:val="20"/>
        </w:rPr>
      </w:pPr>
      <w:r>
        <w:rPr>
          <w:rFonts w:ascii="Calibri" w:hAnsi="Calibri" w:cs="Times New Roman"/>
          <w:noProof/>
          <w:sz w:val="20"/>
          <w:szCs w:val="20"/>
        </w:rPr>
        <w:t>The fact that some Member States did not sign and/or ratify a number of MEAs compromises environmental implementation, including within the Union, as well as the Union’s credibility in related negotiations and in</w:t>
      </w:r>
      <w:r>
        <w:rPr>
          <w:rFonts w:ascii="Calibri" w:hAnsi="Calibri" w:cs="Times New Roman"/>
          <w:noProof/>
          <w:sz w:val="20"/>
          <w:szCs w:val="20"/>
        </w:rPr>
        <w:t>ternational meetings where supporting the participation of third countries to such agreements is an established EU policy objective. In agreements where voting takes place it has a direct impact on the number of votes to be cast by the EU.</w:t>
      </w:r>
    </w:p>
    <w:p w:rsidR="003D2157" w:rsidRDefault="00670DB4">
      <w:pPr>
        <w:widowControl w:val="0"/>
        <w:spacing w:after="120" w:line="240" w:lineRule="auto"/>
        <w:jc w:val="both"/>
        <w:rPr>
          <w:rFonts w:cs="Times New Roman"/>
          <w:noProof/>
          <w:sz w:val="20"/>
        </w:rPr>
      </w:pPr>
      <w:r>
        <w:rPr>
          <w:rFonts w:cs="Times New Roman"/>
          <w:noProof/>
          <w:sz w:val="20"/>
        </w:rPr>
        <w:t>The United Kingd</w:t>
      </w:r>
      <w:r>
        <w:rPr>
          <w:rFonts w:cs="Times New Roman"/>
          <w:noProof/>
          <w:sz w:val="20"/>
        </w:rPr>
        <w:t>om has signed and ratified almost all MEAs. It has signed but not yet ratified the Helsinki Convention on Watercourses and Lakes.</w:t>
      </w: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pPr>
    </w:p>
    <w:p w:rsidR="003D2157" w:rsidRDefault="00670DB4">
      <w:pPr>
        <w:widowControl w:val="0"/>
        <w:spacing w:after="120" w:line="240" w:lineRule="auto"/>
        <w:jc w:val="both"/>
        <w:rPr>
          <w:rFonts w:cs="Times New Roman"/>
          <w:noProof/>
          <w:sz w:val="20"/>
        </w:rPr>
      </w:pPr>
      <w:r>
        <w:rPr>
          <w:rFonts w:cs="Times New Roman"/>
          <w:noProof/>
          <w:sz w:val="20"/>
        </w:rPr>
        <w:br w:type="page"/>
      </w:r>
    </w:p>
    <w:p w:rsidR="003D2157" w:rsidRDefault="003D2157">
      <w:pPr>
        <w:widowControl w:val="0"/>
        <w:spacing w:after="120" w:line="240" w:lineRule="auto"/>
        <w:jc w:val="both"/>
        <w:rPr>
          <w:rFonts w:cs="Times New Roman"/>
          <w:noProof/>
          <w:sz w:val="20"/>
        </w:rPr>
        <w:sectPr w:rsidR="003D2157">
          <w:headerReference w:type="even" r:id="rId86"/>
          <w:headerReference w:type="default" r:id="rId87"/>
          <w:footerReference w:type="even" r:id="rId88"/>
          <w:footerReference w:type="default" r:id="rId89"/>
          <w:headerReference w:type="first" r:id="rId90"/>
          <w:footerReference w:type="first" r:id="rId91"/>
          <w:type w:val="continuous"/>
          <w:pgSz w:w="11906" w:h="16838"/>
          <w:pgMar w:top="1440" w:right="1080" w:bottom="1440" w:left="1080" w:header="708" w:footer="708" w:gutter="0"/>
          <w:cols w:num="2" w:space="360"/>
          <w:docGrid w:linePitch="360"/>
        </w:sectPr>
      </w:pPr>
    </w:p>
    <w:p w:rsidR="003D2157" w:rsidRDefault="00670DB4">
      <w:pPr>
        <w:keepLines/>
        <w:widowControl w:val="0"/>
        <w:spacing w:after="0" w:line="240" w:lineRule="auto"/>
        <w:jc w:val="center"/>
        <w:outlineLvl w:val="0"/>
        <w:rPr>
          <w:rFonts w:eastAsiaTheme="majorEastAsia" w:cstheme="majorBidi"/>
          <w:b/>
          <w:bCs/>
          <w:noProof/>
          <w:color w:val="1F497D" w:themeColor="text2"/>
          <w:sz w:val="32"/>
          <w:szCs w:val="28"/>
        </w:rPr>
      </w:pPr>
      <w:bookmarkStart w:id="43" w:name="_Toc433296176"/>
      <w:bookmarkStart w:id="44" w:name="_Toc469394702"/>
      <w:r>
        <w:rPr>
          <w:rFonts w:eastAsiaTheme="majorEastAsia" w:cstheme="majorBidi"/>
          <w:b/>
          <w:bCs/>
          <w:noProof/>
          <w:color w:val="1F497D" w:themeColor="text2"/>
          <w:sz w:val="32"/>
          <w:szCs w:val="28"/>
        </w:rPr>
        <w:t xml:space="preserve">Part II: </w:t>
      </w:r>
      <w:bookmarkEnd w:id="43"/>
      <w:r>
        <w:rPr>
          <w:rFonts w:eastAsiaTheme="majorEastAsia" w:cstheme="majorBidi"/>
          <w:b/>
          <w:bCs/>
          <w:noProof/>
          <w:color w:val="1F497D" w:themeColor="text2"/>
          <w:sz w:val="32"/>
          <w:szCs w:val="28"/>
        </w:rPr>
        <w:t>Enabling Framework: Implementation Tools</w:t>
      </w:r>
      <w:bookmarkEnd w:id="44"/>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sectPr w:rsidR="003D2157">
          <w:headerReference w:type="even" r:id="rId92"/>
          <w:headerReference w:type="default" r:id="rId93"/>
          <w:footerReference w:type="even" r:id="rId94"/>
          <w:footerReference w:type="default" r:id="rId95"/>
          <w:headerReference w:type="first" r:id="rId96"/>
          <w:footerReference w:type="first" r:id="rId97"/>
          <w:type w:val="continuous"/>
          <w:pgSz w:w="11906" w:h="16838"/>
          <w:pgMar w:top="1440" w:right="1080" w:bottom="1440" w:left="1080" w:header="708" w:footer="708" w:gutter="0"/>
          <w:cols w:space="566"/>
          <w:docGrid w:linePitch="360"/>
        </w:sectPr>
      </w:pPr>
    </w:p>
    <w:p w:rsidR="003D2157" w:rsidRDefault="00670DB4">
      <w:pPr>
        <w:keepLines/>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45" w:name="_Toc469394703"/>
      <w:r>
        <w:rPr>
          <w:rFonts w:eastAsiaTheme="majorEastAsia" w:cstheme="majorBidi"/>
          <w:b/>
          <w:bCs/>
          <w:noProof/>
          <w:color w:val="1F497D" w:themeColor="text2"/>
          <w:sz w:val="32"/>
          <w:szCs w:val="28"/>
        </w:rPr>
        <w:t>Market based instruments and investments</w:t>
      </w:r>
      <w:bookmarkEnd w:id="45"/>
    </w:p>
    <w:p w:rsidR="003D2157" w:rsidRDefault="003D2157">
      <w:pPr>
        <w:widowControl w:val="0"/>
        <w:spacing w:after="120" w:line="240" w:lineRule="auto"/>
        <w:jc w:val="both"/>
        <w:rPr>
          <w:rFonts w:cs="Times New Roman"/>
          <w:noProof/>
          <w:sz w:val="20"/>
        </w:rPr>
      </w:pPr>
    </w:p>
    <w:p w:rsidR="003D2157" w:rsidRDefault="003D2157">
      <w:pPr>
        <w:widowControl w:val="0"/>
        <w:spacing w:after="120" w:line="240" w:lineRule="auto"/>
        <w:jc w:val="both"/>
        <w:rPr>
          <w:rFonts w:cs="Times New Roman"/>
          <w:noProof/>
          <w:sz w:val="20"/>
        </w:rPr>
        <w:sectPr w:rsidR="003D2157">
          <w:headerReference w:type="even" r:id="rId98"/>
          <w:headerReference w:type="default" r:id="rId99"/>
          <w:footerReference w:type="even" r:id="rId100"/>
          <w:footerReference w:type="default" r:id="rId101"/>
          <w:headerReference w:type="first" r:id="rId102"/>
          <w:footerReference w:type="first" r:id="rId103"/>
          <w:type w:val="continuous"/>
          <w:pgSz w:w="11906" w:h="16838"/>
          <w:pgMar w:top="1440" w:right="1080" w:bottom="1440" w:left="1080" w:header="708" w:footer="708" w:gutter="0"/>
          <w:cols w:space="566"/>
          <w:docGrid w:linePitch="360"/>
        </w:sectPr>
      </w:pPr>
    </w:p>
    <w:p w:rsidR="003D2157" w:rsidRDefault="00670DB4">
      <w:pPr>
        <w:widowControl w:val="0"/>
        <w:spacing w:before="360" w:after="120" w:line="240" w:lineRule="auto"/>
        <w:outlineLvl w:val="1"/>
        <w:rPr>
          <w:rFonts w:cs="Times New Roman"/>
          <w:b/>
          <w:noProof/>
          <w:color w:val="1F497D" w:themeColor="text2"/>
          <w:sz w:val="24"/>
        </w:rPr>
      </w:pPr>
      <w:bookmarkStart w:id="46" w:name="_Toc469394704"/>
      <w:bookmarkStart w:id="47" w:name="_Toc433798401"/>
      <w:r>
        <w:rPr>
          <w:rFonts w:cs="Times New Roman"/>
          <w:b/>
          <w:noProof/>
          <w:color w:val="1F497D" w:themeColor="text2"/>
          <w:sz w:val="24"/>
        </w:rPr>
        <w:t>Green taxation and environmentally harmful subsidies</w:t>
      </w:r>
      <w:bookmarkEnd w:id="46"/>
      <w:r>
        <w:rPr>
          <w:rFonts w:cs="Times New Roman"/>
          <w:b/>
          <w:noProof/>
          <w:color w:val="1F497D" w:themeColor="text2"/>
          <w:sz w:val="24"/>
        </w:rPr>
        <w:t xml:space="preserve"> </w:t>
      </w:r>
    </w:p>
    <w:p w:rsidR="003D2157" w:rsidRDefault="00670DB4">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 xml:space="preserve">The Circular Economy Action Plan encourages the use of financial </w:t>
      </w:r>
      <w:r>
        <w:rPr>
          <w:rFonts w:ascii="Calibri" w:eastAsia="Calibri" w:hAnsi="Calibri" w:cs="Times New Roman"/>
          <w:noProof/>
          <w:color w:val="FFFFFF"/>
          <w:sz w:val="20"/>
          <w:lang w:eastAsia="ar-SA"/>
        </w:rPr>
        <w:t>incentives and economic instruments, such as taxation to ensure that product prices better reflect environmental costs. The phasing out of environmentally harmful subsidies is monitored in the context of the European Semester and in national reform program</w:t>
      </w:r>
      <w:r>
        <w:rPr>
          <w:rFonts w:ascii="Calibri" w:eastAsia="Calibri" w:hAnsi="Calibri" w:cs="Times New Roman"/>
          <w:noProof/>
          <w:color w:val="FFFFFF"/>
          <w:sz w:val="20"/>
          <w:lang w:eastAsia="ar-SA"/>
        </w:rPr>
        <w:t>mes submitted by Member States.</w:t>
      </w:r>
    </w:p>
    <w:p w:rsidR="003D2157" w:rsidRDefault="00670DB4">
      <w:pPr>
        <w:widowControl w:val="0"/>
        <w:spacing w:after="120" w:line="240" w:lineRule="auto"/>
        <w:jc w:val="both"/>
        <w:rPr>
          <w:rFonts w:cs="Times New Roman"/>
          <w:noProof/>
          <w:sz w:val="20"/>
        </w:rPr>
      </w:pPr>
      <w:r>
        <w:rPr>
          <w:rFonts w:cs="Times New Roman"/>
          <w:noProof/>
          <w:sz w:val="20"/>
        </w:rPr>
        <w:t>Taxing pollution and resource use can generate increased revenue and bring important social and environmental benefits.</w:t>
      </w:r>
    </w:p>
    <w:p w:rsidR="003D2157" w:rsidRDefault="00670DB4">
      <w:pPr>
        <w:widowControl w:val="0"/>
        <w:spacing w:after="120" w:line="240" w:lineRule="auto"/>
        <w:jc w:val="both"/>
        <w:rPr>
          <w:rFonts w:cs="Times New Roman"/>
          <w:noProof/>
          <w:sz w:val="20"/>
        </w:rPr>
      </w:pPr>
      <w:r>
        <w:rPr>
          <w:rFonts w:cs="Times New Roman"/>
          <w:noProof/>
          <w:sz w:val="20"/>
        </w:rPr>
        <w:t>Expressed as a proportion of GDP, in 2014 the revenue derived from environmental taxes by the United Kin</w:t>
      </w:r>
      <w:r>
        <w:rPr>
          <w:rFonts w:cs="Times New Roman"/>
          <w:noProof/>
          <w:sz w:val="20"/>
        </w:rPr>
        <w:t>gdom was with 2.48% slightly above the EU28 average (2.46%), having fluctuated over the past years, but is currently similar to the share seen in 2004 (2.51%)</w:t>
      </w:r>
      <w:r>
        <w:rPr>
          <w:rFonts w:cs="Times New Roman"/>
          <w:noProof/>
          <w:sz w:val="16"/>
          <w:szCs w:val="16"/>
          <w:vertAlign w:val="superscript"/>
        </w:rPr>
        <w:footnoteReference w:id="81"/>
      </w:r>
      <w:r>
        <w:rPr>
          <w:rFonts w:cs="Times New Roman"/>
          <w:noProof/>
          <w:sz w:val="20"/>
        </w:rPr>
        <w:t xml:space="preserve">. </w:t>
      </w:r>
    </w:p>
    <w:p w:rsidR="003D2157" w:rsidRDefault="00670DB4">
      <w:pPr>
        <w:widowControl w:val="0"/>
        <w:spacing w:after="120" w:line="240" w:lineRule="auto"/>
        <w:jc w:val="both"/>
        <w:rPr>
          <w:rFonts w:cs="Times New Roman"/>
          <w:noProof/>
          <w:sz w:val="20"/>
        </w:rPr>
      </w:pPr>
      <w:r>
        <w:rPr>
          <w:rFonts w:cs="Times New Roman"/>
          <w:noProof/>
          <w:sz w:val="20"/>
        </w:rPr>
        <w:t>Comparing the revenue generated by environmental taxation as a percentage share of GDP against</w:t>
      </w:r>
      <w:r>
        <w:rPr>
          <w:rFonts w:cs="Times New Roman"/>
          <w:noProof/>
          <w:sz w:val="20"/>
        </w:rPr>
        <w:t xml:space="preserve"> the same measure for other Member States, the United Kingdom ranked 15th in the EU28 for 2014. In the same year environmental tax revenues accounted for 7.54% of total revenues from taxes and social-security contributions</w:t>
      </w:r>
      <w:r>
        <w:rPr>
          <w:rFonts w:cs="Times New Roman"/>
          <w:noProof/>
          <w:sz w:val="16"/>
          <w:szCs w:val="16"/>
        </w:rPr>
        <w:t xml:space="preserve"> </w:t>
      </w:r>
      <w:r>
        <w:rPr>
          <w:rFonts w:cs="Times New Roman"/>
          <w:noProof/>
          <w:sz w:val="20"/>
        </w:rPr>
        <w:t>(EU28 average: 6.35%) as shown in</w:t>
      </w:r>
      <w:r>
        <w:rPr>
          <w:rFonts w:cs="Times New Roman"/>
          <w:noProof/>
          <w:sz w:val="20"/>
        </w:rPr>
        <w:t xml:space="preserve"> Figure 11.</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D2157">
        <w:tc>
          <w:tcPr>
            <w:tcW w:w="4909" w:type="dxa"/>
          </w:tcPr>
          <w:p w:rsidR="003D2157" w:rsidRDefault="00670DB4">
            <w:pPr>
              <w:spacing w:after="120"/>
              <w:jc w:val="both"/>
              <w:rPr>
                <w:rFonts w:cs="Times New Roman"/>
                <w:noProof/>
                <w:sz w:val="20"/>
              </w:rPr>
            </w:pPr>
            <w:r>
              <w:rPr>
                <w:rFonts w:cs="Times New Roman"/>
                <w:noProof/>
                <w:sz w:val="20"/>
              </w:rPr>
              <w:t>It has to be noted that besides the yearly report of the Office for National Statistics on environmental taxes based on European standards, in 2010, the UK government committed to increase the proportion of revenues from environmental taxes and</w:t>
            </w:r>
            <w:r>
              <w:rPr>
                <w:rFonts w:cs="Times New Roman"/>
                <w:noProof/>
                <w:sz w:val="20"/>
              </w:rPr>
              <w:t xml:space="preserve"> developed to this end a separate definition to measure this which was narrower than the definition of Eurostat</w:t>
            </w:r>
            <w:r>
              <w:rPr>
                <w:rFonts w:cs="Times New Roman"/>
                <w:noProof/>
                <w:sz w:val="20"/>
                <w:vertAlign w:val="superscript"/>
              </w:rPr>
              <w:footnoteReference w:id="82"/>
            </w:r>
            <w:r>
              <w:rPr>
                <w:rFonts w:cs="Times New Roman"/>
                <w:noProof/>
                <w:sz w:val="20"/>
              </w:rPr>
              <w:t>. The narrower UK definition included six taxes: climate change levy, aggregates levy, landfill tax, EU emissions trading system, carbon reducti</w:t>
            </w:r>
            <w:r>
              <w:rPr>
                <w:rFonts w:cs="Times New Roman"/>
                <w:noProof/>
                <w:sz w:val="20"/>
              </w:rPr>
              <w:t>on commitment energy efficiency scheme and carbon price floor.</w:t>
            </w:r>
          </w:p>
          <w:p w:rsidR="003D2157" w:rsidRDefault="00670DB4">
            <w:pPr>
              <w:widowControl w:val="0"/>
              <w:spacing w:after="120"/>
              <w:jc w:val="both"/>
              <w:rPr>
                <w:rFonts w:cs="Times New Roman"/>
                <w:noProof/>
                <w:sz w:val="20"/>
              </w:rPr>
            </w:pPr>
            <w:r>
              <w:rPr>
                <w:rFonts w:cs="Times New Roman"/>
                <w:noProof/>
                <w:sz w:val="20"/>
              </w:rPr>
              <w:t>A 2016 study</w:t>
            </w:r>
            <w:r>
              <w:rPr>
                <w:rStyle w:val="FootnoteReference"/>
                <w:rFonts w:cs="Times New Roman"/>
                <w:noProof/>
                <w:sz w:val="20"/>
              </w:rPr>
              <w:footnoteReference w:id="83"/>
            </w:r>
            <w:r>
              <w:rPr>
                <w:rFonts w:cs="Times New Roman"/>
                <w:noProof/>
                <w:sz w:val="20"/>
              </w:rPr>
              <w:t xml:space="preserve"> suggests that there is considerable potential for additional revenue from environmental taxes. Under a good practice scenario</w:t>
            </w:r>
            <w:r>
              <w:rPr>
                <w:rStyle w:val="FootnoteReference"/>
                <w:rFonts w:cs="Times New Roman"/>
                <w:noProof/>
                <w:sz w:val="20"/>
              </w:rPr>
              <w:footnoteReference w:id="84"/>
            </w:r>
            <w:r>
              <w:rPr>
                <w:rFonts w:cs="Times New Roman"/>
                <w:noProof/>
                <w:sz w:val="20"/>
              </w:rPr>
              <w:t xml:space="preserve"> these could generate an additional GBP 6.44 billion </w:t>
            </w:r>
            <w:r>
              <w:rPr>
                <w:rFonts w:cs="Times New Roman"/>
                <w:noProof/>
                <w:sz w:val="20"/>
              </w:rPr>
              <w:t>(EUR 8.08 billion) in 2018, rising to GBP 14.37 billion (EUR 18.02 billion) in 2030 (both in real 2015 terms). This is equivalent to an increase by 0.32% and 0.54% of GDP in 2018 and 2030, respectively</w:t>
            </w:r>
            <w:r>
              <w:rPr>
                <w:rFonts w:cs="Times New Roman"/>
                <w:noProof/>
                <w:sz w:val="16"/>
                <w:szCs w:val="16"/>
                <w:vertAlign w:val="superscript"/>
              </w:rPr>
              <w:footnoteReference w:id="85"/>
            </w:r>
            <w:r>
              <w:rPr>
                <w:rFonts w:cs="Times New Roman"/>
                <w:noProof/>
                <w:sz w:val="20"/>
              </w:rPr>
              <w:t xml:space="preserve">. </w:t>
            </w:r>
          </w:p>
          <w:p w:rsidR="003D2157" w:rsidRDefault="00670DB4">
            <w:pPr>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11: </w:t>
            </w:r>
            <w:r>
              <w:rPr>
                <w:b/>
                <w:bCs/>
                <w:noProof/>
                <w:color w:val="1F497D" w:themeColor="text2"/>
                <w:sz w:val="20"/>
              </w:rPr>
              <w:t>Environmental tax revenues as a share of</w:t>
            </w:r>
            <w:r>
              <w:rPr>
                <w:b/>
                <w:bCs/>
                <w:noProof/>
                <w:color w:val="1F497D" w:themeColor="text2"/>
                <w:sz w:val="20"/>
              </w:rPr>
              <w:t xml:space="preserve"> total revenues from taxes and social contributions (excluding imputed social contributions) in 2014</w:t>
            </w:r>
            <w:r>
              <w:rPr>
                <w:b/>
                <w:bCs/>
                <w:noProof/>
                <w:color w:val="1F497D" w:themeColor="text2"/>
                <w:sz w:val="20"/>
                <w:vertAlign w:val="superscript"/>
              </w:rPr>
              <w:footnoteReference w:id="86"/>
            </w:r>
          </w:p>
        </w:tc>
      </w:tr>
      <w:tr w:rsidR="003D2157">
        <w:tc>
          <w:tcPr>
            <w:tcW w:w="4909" w:type="dxa"/>
          </w:tcPr>
          <w:p w:rsidR="003D2157" w:rsidRDefault="00670DB4">
            <w:pPr>
              <w:widowControl w:val="0"/>
              <w:spacing w:after="120"/>
              <w:jc w:val="both"/>
              <w:rPr>
                <w:rFonts w:cs="Times New Roman"/>
                <w:noProof/>
                <w:sz w:val="20"/>
              </w:rPr>
            </w:pPr>
            <w:r>
              <w:rPr>
                <w:rFonts w:cs="Times New Roman"/>
                <w:noProof/>
                <w:sz w:val="20"/>
              </w:rPr>
              <w:drawing>
                <wp:inline distT="0" distB="0" distL="0" distR="0" wp14:anchorId="0C0A7A64" wp14:editId="09060A6D">
                  <wp:extent cx="3029638" cy="430876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30257" cy="4309649"/>
                          </a:xfrm>
                          <a:prstGeom prst="rect">
                            <a:avLst/>
                          </a:prstGeom>
                          <a:noFill/>
                        </pic:spPr>
                      </pic:pic>
                    </a:graphicData>
                  </a:graphic>
                </wp:inline>
              </w:drawing>
            </w:r>
          </w:p>
        </w:tc>
      </w:tr>
    </w:tbl>
    <w:p w:rsidR="003D2157" w:rsidRDefault="00670DB4">
      <w:pPr>
        <w:widowControl w:val="0"/>
        <w:spacing w:after="120" w:line="240" w:lineRule="auto"/>
        <w:jc w:val="both"/>
        <w:rPr>
          <w:rFonts w:cs="Times New Roman"/>
          <w:noProof/>
          <w:sz w:val="20"/>
        </w:rPr>
      </w:pPr>
      <w:r>
        <w:rPr>
          <w:rFonts w:cs="Times New Roman"/>
          <w:noProof/>
          <w:sz w:val="20"/>
        </w:rPr>
        <w:t xml:space="preserve">The largest additional source of revenue comes from the suggested harmonisation of taxes on transport fuels, generating GBP 8.96 billion in 2030 </w:t>
      </w:r>
      <w:r>
        <w:rPr>
          <w:rFonts w:cs="Times New Roman"/>
          <w:noProof/>
          <w:sz w:val="20"/>
        </w:rPr>
        <w:t>(EUR 11.24 billion) of revenue generated in 2030 (real 2015 terms), equivalent to 0.34% of GDP. The next largest contribution to revenue comes from the proposed water abstraction tax. This accounts for GBP 1.17 billion (EUR 1.46 billion) in 2030 (real 2015</w:t>
      </w:r>
      <w:r>
        <w:rPr>
          <w:rFonts w:cs="Times New Roman"/>
          <w:noProof/>
          <w:sz w:val="20"/>
        </w:rPr>
        <w:t xml:space="preserve"> terms), equivalent to 0.04% of GDP.</w:t>
      </w:r>
    </w:p>
    <w:p w:rsidR="003D2157" w:rsidRDefault="00670DB4">
      <w:pPr>
        <w:widowControl w:val="0"/>
        <w:spacing w:after="120" w:line="240" w:lineRule="auto"/>
        <w:jc w:val="both"/>
        <w:rPr>
          <w:rFonts w:cs="Times New Roman"/>
          <w:noProof/>
          <w:sz w:val="20"/>
        </w:rPr>
      </w:pPr>
      <w:r>
        <w:rPr>
          <w:rFonts w:cs="Times New Roman"/>
          <w:noProof/>
          <w:sz w:val="20"/>
        </w:rPr>
        <w:t>The UK still applies reduced VAT rates for domestic fuel and power as well as preferential excise duties for other fossil such as kerosene, what stimulates the use of fossil fuels.</w:t>
      </w:r>
    </w:p>
    <w:p w:rsidR="003D2157" w:rsidRDefault="00670DB4">
      <w:pPr>
        <w:widowControl w:val="0"/>
        <w:spacing w:before="360" w:after="120" w:line="240" w:lineRule="auto"/>
        <w:outlineLvl w:val="1"/>
        <w:rPr>
          <w:rFonts w:cs="Times New Roman"/>
          <w:b/>
          <w:noProof/>
          <w:color w:val="1F497D" w:themeColor="text2"/>
          <w:sz w:val="24"/>
        </w:rPr>
      </w:pPr>
      <w:bookmarkStart w:id="48" w:name="_Toc469394705"/>
      <w:r>
        <w:rPr>
          <w:rFonts w:cs="Times New Roman"/>
          <w:b/>
          <w:noProof/>
          <w:color w:val="1F497D" w:themeColor="text2"/>
          <w:sz w:val="24"/>
        </w:rPr>
        <w:t>Green Public Procurement</w:t>
      </w:r>
      <w:bookmarkEnd w:id="48"/>
      <w:r>
        <w:rPr>
          <w:rFonts w:cs="Times New Roman"/>
          <w:b/>
          <w:noProof/>
          <w:color w:val="1F497D" w:themeColor="text2"/>
          <w:sz w:val="24"/>
        </w:rPr>
        <w:t xml:space="preserve"> </w:t>
      </w:r>
    </w:p>
    <w:p w:rsidR="003D2157" w:rsidRDefault="00670DB4">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The EU green</w:t>
      </w:r>
      <w:r>
        <w:rPr>
          <w:rFonts w:cs="Times New Roman"/>
          <w:noProof/>
          <w:color w:val="FFFFFF" w:themeColor="background1"/>
          <w:sz w:val="20"/>
        </w:rPr>
        <w:t xml:space="preserve"> public procurement policies encourage Member States to take further steps to reach the target of applying green procurement criteria to at least 50% of public tenders.</w:t>
      </w:r>
    </w:p>
    <w:p w:rsidR="003D2157" w:rsidRDefault="00670DB4">
      <w:pPr>
        <w:widowControl w:val="0"/>
        <w:spacing w:before="240" w:after="120" w:line="240" w:lineRule="auto"/>
        <w:jc w:val="both"/>
        <w:rPr>
          <w:rFonts w:cs="Times New Roman"/>
          <w:noProof/>
          <w:sz w:val="20"/>
        </w:rPr>
      </w:pPr>
      <w:r>
        <w:rPr>
          <w:rFonts w:cs="Times New Roman"/>
          <w:noProof/>
          <w:sz w:val="20"/>
        </w:rPr>
        <w:t xml:space="preserve">Green Public Procurement (GPP) is a process whereby public authorities seek to procure </w:t>
      </w:r>
      <w:r>
        <w:rPr>
          <w:rFonts w:cs="Times New Roman"/>
          <w:noProof/>
          <w:sz w:val="20"/>
        </w:rPr>
        <w:t xml:space="preserve">goods, services and works with a reduced environmental impact throughout their life-cycle when compared to goods, services and works with the same primary function that would otherwise be procured. </w:t>
      </w:r>
    </w:p>
    <w:p w:rsidR="003D2157" w:rsidRDefault="00670DB4">
      <w:pPr>
        <w:widowControl w:val="0"/>
        <w:spacing w:after="120" w:line="240" w:lineRule="auto"/>
        <w:jc w:val="both"/>
        <w:rPr>
          <w:rFonts w:cs="Times New Roman"/>
          <w:noProof/>
          <w:sz w:val="20"/>
        </w:rPr>
      </w:pPr>
      <w:r>
        <w:rPr>
          <w:rFonts w:cs="Times New Roman"/>
          <w:noProof/>
          <w:sz w:val="20"/>
        </w:rPr>
        <w:t>The purchasing power of public procurement in the EU equa</w:t>
      </w:r>
      <w:r>
        <w:rPr>
          <w:rFonts w:cs="Times New Roman"/>
          <w:noProof/>
          <w:sz w:val="20"/>
        </w:rPr>
        <w:t>ls to approximately 14% of GDP</w:t>
      </w:r>
      <w:r>
        <w:rPr>
          <w:rFonts w:cs="Times New Roman"/>
          <w:noProof/>
          <w:sz w:val="20"/>
          <w:vertAlign w:val="superscript"/>
        </w:rPr>
        <w:footnoteReference w:id="87"/>
      </w:r>
      <w:r>
        <w:rPr>
          <w:rFonts w:cs="Times New Roman"/>
          <w:noProof/>
          <w:sz w:val="20"/>
        </w:rPr>
        <w:t>. A substantial part of this money is spent on sectors with high environmental impact such as construction or transport, so GPP can help to significantly lower the impact of public spending and foster sustainable innovative b</w:t>
      </w:r>
      <w:r>
        <w:rPr>
          <w:rFonts w:cs="Times New Roman"/>
          <w:noProof/>
          <w:sz w:val="20"/>
        </w:rPr>
        <w:t>usinesses. The Commission has proposed EU GPP criteria</w:t>
      </w:r>
      <w:r>
        <w:rPr>
          <w:rFonts w:cs="Times New Roman"/>
          <w:noProof/>
          <w:sz w:val="20"/>
          <w:vertAlign w:val="superscript"/>
        </w:rPr>
        <w:footnoteReference w:id="88"/>
      </w:r>
      <w:r>
        <w:rPr>
          <w:rFonts w:cs="Times New Roman"/>
          <w:noProof/>
          <w:sz w:val="20"/>
        </w:rPr>
        <w:t>.</w:t>
      </w:r>
    </w:p>
    <w:p w:rsidR="003D2157" w:rsidRDefault="00670DB4">
      <w:pPr>
        <w:widowControl w:val="0"/>
        <w:spacing w:after="120" w:line="240" w:lineRule="auto"/>
        <w:jc w:val="both"/>
        <w:rPr>
          <w:rFonts w:cs="Times New Roman"/>
          <w:noProof/>
          <w:sz w:val="20"/>
        </w:rPr>
      </w:pPr>
      <w:r>
        <w:rPr>
          <w:rFonts w:cs="Times New Roman"/>
          <w:noProof/>
          <w:sz w:val="20"/>
        </w:rPr>
        <w:t>The UK is one of the frontrunners on GPP. In the UK</w:t>
      </w:r>
      <w:r>
        <w:rPr>
          <w:rFonts w:cs="Times New Roman"/>
          <w:noProof/>
          <w:sz w:val="20"/>
          <w:vertAlign w:val="superscript"/>
        </w:rPr>
        <w:footnoteReference w:id="89"/>
      </w:r>
      <w:r>
        <w:rPr>
          <w:rFonts w:cs="Times New Roman"/>
          <w:noProof/>
          <w:sz w:val="20"/>
        </w:rPr>
        <w:t xml:space="preserve">, the </w:t>
      </w:r>
      <w:hyperlink r:id="rId105" w:history="1">
        <w:r>
          <w:rPr>
            <w:rFonts w:cs="Times New Roman"/>
            <w:noProof/>
            <w:sz w:val="20"/>
          </w:rPr>
          <w:t>Greening Government Commitments</w:t>
        </w:r>
      </w:hyperlink>
      <w:r>
        <w:rPr>
          <w:rFonts w:cs="Times New Roman"/>
          <w:noProof/>
          <w:sz w:val="20"/>
        </w:rPr>
        <w:t xml:space="preserve"> set out the overall policy for central Government on Greening operations including procurement for central Government and related agencies. In addition, a Local </w:t>
      </w:r>
      <w:hyperlink r:id="rId106" w:history="1">
        <w:r>
          <w:rPr>
            <w:rFonts w:cs="Times New Roman"/>
            <w:noProof/>
            <w:sz w:val="20"/>
          </w:rPr>
          <w:t>Government Sustainable Procurement Strategy</w:t>
        </w:r>
      </w:hyperlink>
      <w:r>
        <w:rPr>
          <w:rFonts w:cs="Times New Roman"/>
          <w:noProof/>
          <w:sz w:val="20"/>
        </w:rPr>
        <w:t xml:space="preserve"> and strategies for the </w:t>
      </w:r>
      <w:hyperlink r:id="rId107" w:history="1">
        <w:r>
          <w:rPr>
            <w:rFonts w:cs="Times New Roman"/>
            <w:noProof/>
            <w:sz w:val="20"/>
          </w:rPr>
          <w:t>Scottish Government</w:t>
        </w:r>
      </w:hyperlink>
      <w:r>
        <w:rPr>
          <w:rFonts w:cs="Times New Roman"/>
          <w:noProof/>
          <w:sz w:val="20"/>
        </w:rPr>
        <w:t xml:space="preserve">, the </w:t>
      </w:r>
      <w:hyperlink r:id="rId108" w:history="1">
        <w:r>
          <w:rPr>
            <w:rFonts w:cs="Times New Roman"/>
            <w:noProof/>
            <w:sz w:val="20"/>
          </w:rPr>
          <w:t>Welsh Government</w:t>
        </w:r>
      </w:hyperlink>
      <w:r>
        <w:rPr>
          <w:rFonts w:cs="Times New Roman"/>
          <w:noProof/>
          <w:sz w:val="20"/>
        </w:rPr>
        <w:t xml:space="preserve"> and the government for </w:t>
      </w:r>
      <w:hyperlink r:id="rId109" w:history="1">
        <w:r>
          <w:rPr>
            <w:rFonts w:cs="Times New Roman"/>
            <w:noProof/>
            <w:sz w:val="20"/>
          </w:rPr>
          <w:t>Northern Ireland</w:t>
        </w:r>
      </w:hyperlink>
      <w:r>
        <w:rPr>
          <w:rFonts w:cs="Times New Roman"/>
          <w:noProof/>
          <w:sz w:val="20"/>
        </w:rPr>
        <w:t xml:space="preserve"> exist. </w:t>
      </w: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t>The Greening Government Commitments apply to all Gov</w:t>
      </w:r>
      <w:r>
        <w:rPr>
          <w:rFonts w:cs="Times New Roman"/>
          <w:noProof/>
          <w:color w:val="000000" w:themeColor="text1"/>
          <w:sz w:val="20"/>
        </w:rPr>
        <w:t xml:space="preserve">ernment Departments and their related agencies. It is a political and administrative commitment, but not a legal requirement. Where centralised contracts are developed, it is mandatory for Departments to use them. </w:t>
      </w: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Currently, criteria are set for 12 major </w:t>
      </w:r>
      <w:r>
        <w:rPr>
          <w:rFonts w:cs="Times New Roman"/>
          <w:noProof/>
          <w:color w:val="000000" w:themeColor="text1"/>
          <w:sz w:val="20"/>
        </w:rPr>
        <w:t>products groups: construction, building products, cleaning products, electrical goods, food and catering, furniture, horticulture, office ICT, paper, textiles, transport, and water using products. In total, they cover around 60 products, and include criter</w:t>
      </w:r>
      <w:r>
        <w:rPr>
          <w:rFonts w:cs="Times New Roman"/>
          <w:noProof/>
          <w:color w:val="000000" w:themeColor="text1"/>
          <w:sz w:val="20"/>
        </w:rPr>
        <w:t>ia sets at 2 levels - `mandatory minimum’ and `voluntary best practice’. The GPP targets are embedded in in departmental and centralised procurement contracts through Government Buying Standards.</w:t>
      </w:r>
    </w:p>
    <w:p w:rsidR="003D2157" w:rsidRDefault="00670DB4">
      <w:pPr>
        <w:widowControl w:val="0"/>
        <w:spacing w:after="120" w:line="240" w:lineRule="auto"/>
        <w:jc w:val="both"/>
        <w:rPr>
          <w:rFonts w:cs="Times New Roman"/>
          <w:noProof/>
          <w:sz w:val="20"/>
        </w:rPr>
      </w:pPr>
      <w:r>
        <w:rPr>
          <w:rFonts w:cs="Times New Roman"/>
          <w:noProof/>
          <w:color w:val="000000" w:themeColor="text1"/>
          <w:sz w:val="20"/>
        </w:rPr>
        <w:t xml:space="preserve">According to a 2010 study, the share of UK authorities that </w:t>
      </w:r>
      <w:r>
        <w:rPr>
          <w:rFonts w:cs="Times New Roman"/>
          <w:noProof/>
          <w:color w:val="000000" w:themeColor="text1"/>
          <w:sz w:val="20"/>
        </w:rPr>
        <w:t>included GPP requirements in between 50% and 100% of their contracts was estimated between 40 and 50%, one of the highest values overal</w:t>
      </w:r>
      <w:r>
        <w:rPr>
          <w:rFonts w:cs="Times New Roman"/>
          <w:noProof/>
          <w:sz w:val="20"/>
        </w:rPr>
        <w:t>l</w:t>
      </w:r>
      <w:r>
        <w:rPr>
          <w:rFonts w:cs="Times New Roman"/>
          <w:noProof/>
          <w:sz w:val="16"/>
          <w:szCs w:val="16"/>
          <w:vertAlign w:val="superscript"/>
        </w:rPr>
        <w:footnoteReference w:id="90"/>
      </w:r>
      <w:r>
        <w:rPr>
          <w:rFonts w:cs="Times New Roman"/>
          <w:noProof/>
          <w:sz w:val="20"/>
        </w:rPr>
        <w:t>.</w:t>
      </w:r>
    </w:p>
    <w:p w:rsidR="003D2157" w:rsidRDefault="00670DB4">
      <w:pPr>
        <w:widowControl w:val="0"/>
        <w:spacing w:before="360" w:after="120" w:line="240" w:lineRule="auto"/>
        <w:outlineLvl w:val="1"/>
        <w:rPr>
          <w:rFonts w:cs="Times New Roman"/>
          <w:b/>
          <w:noProof/>
          <w:color w:val="1F497D" w:themeColor="text2"/>
          <w:sz w:val="24"/>
        </w:rPr>
      </w:pPr>
      <w:bookmarkStart w:id="49" w:name="_Toc469394706"/>
      <w:r>
        <w:rPr>
          <w:rFonts w:cs="Times New Roman"/>
          <w:b/>
          <w:noProof/>
          <w:color w:val="1F497D" w:themeColor="text2"/>
          <w:sz w:val="24"/>
        </w:rPr>
        <w:t>Investments: the contribution of EU funds</w:t>
      </w:r>
      <w:bookmarkEnd w:id="49"/>
      <w:r>
        <w:rPr>
          <w:rFonts w:cs="Times New Roman"/>
          <w:b/>
          <w:noProof/>
          <w:color w:val="1F497D" w:themeColor="text2"/>
          <w:sz w:val="24"/>
        </w:rPr>
        <w:t xml:space="preserve"> </w:t>
      </w:r>
    </w:p>
    <w:p w:rsidR="003D2157" w:rsidRDefault="00670DB4">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 xml:space="preserve">European Structural and Investment Funds Regulations provide that Member </w:t>
      </w:r>
      <w:r>
        <w:rPr>
          <w:rFonts w:cs="Times New Roman"/>
          <w:bCs/>
          <w:noProof/>
          <w:color w:val="FFFFFF" w:themeColor="background1"/>
          <w:sz w:val="20"/>
        </w:rPr>
        <w:t>States promote environment and climate objectives in their funding strategies and programmes for economic, social and territorial cohesion, rural development and maritime policy, and reinforce the capacity of implementing bodies to deliver cost-effective a</w:t>
      </w:r>
      <w:r>
        <w:rPr>
          <w:rFonts w:cs="Times New Roman"/>
          <w:bCs/>
          <w:noProof/>
          <w:color w:val="FFFFFF" w:themeColor="background1"/>
          <w:sz w:val="20"/>
        </w:rPr>
        <w:t>nd sustainable investments in these areas.</w:t>
      </w:r>
    </w:p>
    <w:p w:rsidR="003D2157" w:rsidRDefault="00670DB4">
      <w:pPr>
        <w:widowControl w:val="0"/>
        <w:spacing w:after="120" w:line="240" w:lineRule="auto"/>
        <w:jc w:val="both"/>
        <w:rPr>
          <w:rFonts w:cs="Times New Roman"/>
          <w:noProof/>
          <w:sz w:val="20"/>
        </w:rPr>
      </w:pPr>
      <w:r>
        <w:rPr>
          <w:rFonts w:cs="Times New Roman"/>
          <w:noProof/>
          <w:sz w:val="20"/>
        </w:rPr>
        <w:t xml:space="preserve">Making good use of the </w:t>
      </w:r>
      <w:r>
        <w:rPr>
          <w:rFonts w:cs="Times New Roman"/>
          <w:noProof/>
          <w:sz w:val="20"/>
          <w:szCs w:val="24"/>
        </w:rPr>
        <w:t>European Structural and Investment Funds (ESIF)</w:t>
      </w:r>
      <w:r>
        <w:rPr>
          <w:rFonts w:cs="Times New Roman"/>
          <w:noProof/>
          <w:sz w:val="20"/>
          <w:szCs w:val="24"/>
          <w:vertAlign w:val="superscript"/>
        </w:rPr>
        <w:footnoteReference w:id="91"/>
      </w:r>
      <w:r>
        <w:rPr>
          <w:rFonts w:cs="Times New Roman"/>
          <w:noProof/>
          <w:sz w:val="20"/>
          <w:szCs w:val="24"/>
        </w:rPr>
        <w:t xml:space="preserve"> </w:t>
      </w:r>
      <w:r>
        <w:rPr>
          <w:rFonts w:cs="Times New Roman"/>
          <w:noProof/>
          <w:sz w:val="20"/>
        </w:rPr>
        <w:t xml:space="preserve">is essential to achieve the environmental goals and integrate these into other policy areas. Other instruments such as the Horizon 2020, the </w:t>
      </w:r>
      <w:r>
        <w:rPr>
          <w:rFonts w:cs="Times New Roman"/>
          <w:noProof/>
          <w:sz w:val="20"/>
        </w:rPr>
        <w:t>LIFE programme and European Fund for Strategic Investment</w:t>
      </w:r>
      <w:r>
        <w:rPr>
          <w:rFonts w:cs="Times New Roman"/>
          <w:noProof/>
          <w:sz w:val="20"/>
          <w:vertAlign w:val="superscript"/>
        </w:rPr>
        <w:footnoteReference w:id="92"/>
      </w:r>
      <w:r>
        <w:rPr>
          <w:rFonts w:cs="Times New Roman"/>
          <w:noProof/>
          <w:sz w:val="20"/>
        </w:rPr>
        <w:t xml:space="preserve"> (EFSI) may also support implementation and spread off best practice.</w:t>
      </w: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t>United Kingdom benefits, through 17 national and regional programmes, from ESIF funding of EUR 16.4 billion over the period 2014</w:t>
      </w:r>
      <w:r>
        <w:rPr>
          <w:rFonts w:cs="Times New Roman"/>
          <w:noProof/>
          <w:color w:val="000000" w:themeColor="text1"/>
          <w:sz w:val="20"/>
        </w:rPr>
        <w:t>-2020</w:t>
      </w:r>
      <w:r>
        <w:rPr>
          <w:rFonts w:cs="Times New Roman"/>
          <w:noProof/>
          <w:color w:val="000000" w:themeColor="text1"/>
          <w:sz w:val="20"/>
          <w:vertAlign w:val="superscript"/>
        </w:rPr>
        <w:footnoteReference w:id="93"/>
      </w:r>
      <w:r>
        <w:rPr>
          <w:rFonts w:cs="Times New Roman"/>
          <w:noProof/>
          <w:color w:val="000000" w:themeColor="text1"/>
          <w:sz w:val="20"/>
        </w:rPr>
        <w:t>. EUR 5825.6 million (35.5%) is coming from the European Fund for Regional Development (ERDF), EUR 5199.7 million (31.7%) from the European Agricultural Fund for Rural Development (EAFRD), EUR 213.1 million (1.5%) from the European Maritime and Fishe</w:t>
      </w:r>
      <w:r>
        <w:rPr>
          <w:rFonts w:cs="Times New Roman"/>
          <w:noProof/>
          <w:color w:val="000000" w:themeColor="text1"/>
          <w:sz w:val="20"/>
        </w:rPr>
        <w:t>ries Fund (EMFF), EUR 4942.6 million (30.1%) from the European Social Fund and EUR 206.1 million (1.3%) is used for the Youth Employment Initiative (YEI).</w:t>
      </w: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In total, EUR 2191.2 million a dedicated to the Thematic objective </w:t>
      </w:r>
      <w:r>
        <w:rPr>
          <w:rFonts w:cs="Times New Roman"/>
          <w:i/>
          <w:noProof/>
          <w:color w:val="000000" w:themeColor="text1"/>
          <w:sz w:val="20"/>
        </w:rPr>
        <w:t>Environment Protection and Resourc</w:t>
      </w:r>
      <w:r>
        <w:rPr>
          <w:rFonts w:cs="Times New Roman"/>
          <w:i/>
          <w:noProof/>
          <w:color w:val="000000" w:themeColor="text1"/>
          <w:sz w:val="20"/>
        </w:rPr>
        <w:t xml:space="preserve">e efficiency </w:t>
      </w:r>
      <w:r>
        <w:rPr>
          <w:rFonts w:cs="Times New Roman"/>
          <w:noProof/>
          <w:color w:val="000000" w:themeColor="text1"/>
          <w:sz w:val="20"/>
        </w:rPr>
        <w:t>(TO6),</w:t>
      </w:r>
      <w:r>
        <w:rPr>
          <w:rFonts w:cs="Times New Roman"/>
          <w:i/>
          <w:noProof/>
          <w:color w:val="000000" w:themeColor="text1"/>
          <w:sz w:val="20"/>
        </w:rPr>
        <w:t xml:space="preserve"> </w:t>
      </w:r>
      <w:r>
        <w:rPr>
          <w:rFonts w:cs="Times New Roman"/>
          <w:noProof/>
          <w:color w:val="000000" w:themeColor="text1"/>
          <w:sz w:val="20"/>
        </w:rPr>
        <w:t>EUR 1884.4 million through the different EAFRD programmes, EUR 164.7 million through the ERDF programmes and EUR 142.1 million through the EMFF programme.</w:t>
      </w:r>
      <w:r>
        <w:rPr>
          <w:rFonts w:cs="Times New Roman"/>
          <w:noProof/>
          <w:sz w:val="20"/>
        </w:rPr>
        <w:t xml:space="preserve"> </w:t>
      </w:r>
      <w:r>
        <w:rPr>
          <w:rFonts w:cs="Times New Roman"/>
          <w:noProof/>
          <w:color w:val="000000" w:themeColor="text1"/>
          <w:sz w:val="20"/>
        </w:rPr>
        <w:t xml:space="preserve">In addition, EUR 1604.2 million is foreseen for TO4 </w:t>
      </w:r>
      <w:r>
        <w:rPr>
          <w:rFonts w:cs="Times New Roman"/>
          <w:i/>
          <w:noProof/>
          <w:color w:val="000000" w:themeColor="text1"/>
          <w:sz w:val="20"/>
        </w:rPr>
        <w:t>Low Carbon Economy</w:t>
      </w:r>
      <w:r>
        <w:rPr>
          <w:rFonts w:cs="Times New Roman"/>
          <w:noProof/>
          <w:color w:val="000000" w:themeColor="text1"/>
          <w:sz w:val="20"/>
        </w:rPr>
        <w:t xml:space="preserve"> and EUR 19</w:t>
      </w:r>
      <w:r>
        <w:rPr>
          <w:rFonts w:cs="Times New Roman"/>
          <w:noProof/>
          <w:color w:val="000000" w:themeColor="text1"/>
          <w:sz w:val="20"/>
        </w:rPr>
        <w:t xml:space="preserve">49.8 million for TO5 </w:t>
      </w:r>
      <w:r>
        <w:rPr>
          <w:rFonts w:cs="Times New Roman"/>
          <w:i/>
          <w:noProof/>
          <w:color w:val="000000" w:themeColor="text1"/>
          <w:sz w:val="20"/>
        </w:rPr>
        <w:t>Climate Change Adoption and Risk Prevention</w:t>
      </w:r>
      <w:r>
        <w:rPr>
          <w:rFonts w:cs="Times New Roman"/>
          <w:noProof/>
          <w:color w:val="000000" w:themeColor="text1"/>
          <w:sz w:val="20"/>
        </w:rPr>
        <w:t xml:space="preserve"> ( see figure 12).</w:t>
      </w: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With regard to the integration of environmental concerns into the Common Agricultural Policy (CAP), the two key areas for the United Kingdom (as for all Member States) are, </w:t>
      </w:r>
      <w:r>
        <w:rPr>
          <w:rFonts w:cs="Times New Roman"/>
          <w:noProof/>
          <w:color w:val="000000" w:themeColor="text1"/>
          <w:sz w:val="20"/>
        </w:rPr>
        <w:t xml:space="preserve">first, using Rural Development funds to pay for environmental land management and other environmental measures, while avoiding financing measures which could damage the environment; and secondly, ensuring an effective implementation of the first pillar of </w:t>
      </w:r>
      <w:r>
        <w:rPr>
          <w:rFonts w:cs="Times New Roman"/>
          <w:noProof/>
          <w:color w:val="000000" w:themeColor="text1"/>
          <w:sz w:val="20"/>
        </w:rPr>
        <w:t>the CAP with regard to cross compliance and 1st pillar 'greening'.</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D2157">
        <w:trPr>
          <w:trHeight w:val="541"/>
        </w:trPr>
        <w:tc>
          <w:tcPr>
            <w:tcW w:w="4909" w:type="dxa"/>
          </w:tcPr>
          <w:p w:rsidR="003D2157" w:rsidRDefault="00670DB4">
            <w:pPr>
              <w:spacing w:after="120"/>
              <w:jc w:val="both"/>
              <w:rPr>
                <w:rFonts w:cs="Times New Roman"/>
                <w:noProof/>
                <w:sz w:val="20"/>
              </w:rPr>
            </w:pPr>
            <w:r>
              <w:rPr>
                <w:rFonts w:cs="Times New Roman"/>
                <w:b/>
                <w:bCs/>
                <w:noProof/>
                <w:color w:val="1F497D" w:themeColor="text2"/>
                <w:sz w:val="20"/>
              </w:rPr>
              <w:t>Figure 12: European Structural and Investment Funds 2014-2020: Budget United Kingdom by theme, EUR billion</w:t>
            </w:r>
            <w:r>
              <w:rPr>
                <w:rFonts w:cs="Times New Roman"/>
                <w:noProof/>
                <w:sz w:val="20"/>
                <w:vertAlign w:val="superscript"/>
              </w:rPr>
              <w:footnoteReference w:id="94"/>
            </w:r>
          </w:p>
        </w:tc>
      </w:tr>
      <w:tr w:rsidR="003D2157">
        <w:trPr>
          <w:trHeight w:val="558"/>
        </w:trPr>
        <w:tc>
          <w:tcPr>
            <w:tcW w:w="4909" w:type="dxa"/>
          </w:tcPr>
          <w:p w:rsidR="003D2157" w:rsidRDefault="00670DB4">
            <w:pPr>
              <w:spacing w:after="120"/>
              <w:jc w:val="both"/>
              <w:rPr>
                <w:rFonts w:cs="Times New Roman"/>
                <w:noProof/>
                <w:sz w:val="20"/>
              </w:rPr>
            </w:pPr>
            <w:r>
              <w:rPr>
                <w:rFonts w:cs="Times New Roman"/>
                <w:noProof/>
                <w:sz w:val="20"/>
              </w:rPr>
              <w:drawing>
                <wp:inline distT="0" distB="0" distL="0" distR="0" wp14:anchorId="47CA9EA3" wp14:editId="43349F0B">
                  <wp:extent cx="3043285" cy="2981325"/>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41815" cy="2979885"/>
                          </a:xfrm>
                          <a:prstGeom prst="rect">
                            <a:avLst/>
                          </a:prstGeom>
                          <a:noFill/>
                        </pic:spPr>
                      </pic:pic>
                    </a:graphicData>
                  </a:graphic>
                </wp:inline>
              </w:drawing>
            </w:r>
          </w:p>
        </w:tc>
      </w:tr>
    </w:tbl>
    <w:p w:rsidR="003D2157" w:rsidRDefault="00670DB4">
      <w:pPr>
        <w:widowControl w:val="0"/>
        <w:spacing w:after="120" w:line="240" w:lineRule="auto"/>
        <w:jc w:val="both"/>
        <w:rPr>
          <w:rFonts w:cs="Times New Roman"/>
          <w:noProof/>
          <w:sz w:val="20"/>
        </w:rPr>
      </w:pPr>
      <w:r>
        <w:rPr>
          <w:rFonts w:cs="Times New Roman"/>
          <w:noProof/>
          <w:sz w:val="20"/>
        </w:rPr>
        <w:t>The total Rural Development (EAFRD) budget for the UK is EUR 2.689 million/ye</w:t>
      </w:r>
      <w:r>
        <w:rPr>
          <w:rFonts w:cs="Times New Roman"/>
          <w:noProof/>
          <w:sz w:val="20"/>
        </w:rPr>
        <w:t>ar, with 73,1 % of budget allocated to Priority 4 (the main environmental priority). The RDPs for England, Northern Ireland and Scotland have commendably high allocations to environmental and climate change measures (79-82%), but for Wales the focus on env</w:t>
      </w:r>
      <w:r>
        <w:rPr>
          <w:rFonts w:cs="Times New Roman"/>
          <w:noProof/>
          <w:sz w:val="20"/>
        </w:rPr>
        <w:t>ironment is lower (60%) and there was a substantial reduction in effort on agri-environment-climate measures (19% to 24%). To improve this situation, Wales would need to focus its AECM on higher tier measures, and incorporate the basic measures in the comp</w:t>
      </w:r>
      <w:r>
        <w:rPr>
          <w:rFonts w:cs="Times New Roman"/>
          <w:noProof/>
          <w:sz w:val="20"/>
        </w:rPr>
        <w:t xml:space="preserve">ulsory baseline. Overall there is a good focus on biodiversity, and the water measures are well targeted to achieve improvements in achieving WFD goals. </w:t>
      </w:r>
    </w:p>
    <w:p w:rsidR="003D2157" w:rsidRDefault="00670DB4">
      <w:pPr>
        <w:widowControl w:val="0"/>
        <w:spacing w:after="120" w:line="240" w:lineRule="auto"/>
        <w:jc w:val="both"/>
        <w:rPr>
          <w:rFonts w:cs="Times New Roman"/>
          <w:noProof/>
          <w:sz w:val="20"/>
        </w:rPr>
      </w:pPr>
      <w:r>
        <w:rPr>
          <w:rFonts w:cs="Times New Roman"/>
          <w:noProof/>
          <w:sz w:val="20"/>
        </w:rPr>
        <w:t>With regard to the 1</w:t>
      </w:r>
      <w:r>
        <w:rPr>
          <w:rFonts w:cs="Times New Roman"/>
          <w:noProof/>
          <w:sz w:val="20"/>
          <w:vertAlign w:val="superscript"/>
        </w:rPr>
        <w:t>st</w:t>
      </w:r>
      <w:r>
        <w:rPr>
          <w:rFonts w:cs="Times New Roman"/>
          <w:noProof/>
          <w:sz w:val="20"/>
        </w:rPr>
        <w:t xml:space="preserve"> pillar of the CAP, the UK national direct payment envelope is about EUR 3150 billion per year, of which the 30 % allocated for greening is about EUR 950 billion/year.) 50-60% of farms and farm area are covered by the greening. Over 60% of the EFA is fallo</w:t>
      </w:r>
      <w:r>
        <w:rPr>
          <w:rFonts w:cs="Times New Roman"/>
          <w:noProof/>
          <w:sz w:val="20"/>
        </w:rPr>
        <w:t>w land, landscape features (hedges) and buffer strips; the rest is largely nitrogen fixing crops.</w:t>
      </w:r>
    </w:p>
    <w:p w:rsidR="003D2157" w:rsidRDefault="00670DB4">
      <w:pPr>
        <w:widowControl w:val="0"/>
        <w:spacing w:after="120" w:line="240" w:lineRule="auto"/>
        <w:jc w:val="both"/>
        <w:rPr>
          <w:rFonts w:cs="Times New Roman"/>
          <w:bCs/>
          <w:iCs/>
          <w:noProof/>
          <w:color w:val="000000" w:themeColor="text1"/>
          <w:sz w:val="20"/>
        </w:rPr>
      </w:pPr>
      <w:r>
        <w:rPr>
          <w:rFonts w:cs="Times New Roman"/>
          <w:bCs/>
          <w:iCs/>
          <w:noProof/>
          <w:color w:val="000000" w:themeColor="text1"/>
          <w:sz w:val="20"/>
        </w:rPr>
        <w:t xml:space="preserve">It is too early to draw meaningful conclusions as regards the use and results of ESIF funds for the period 2014-2020, as the relevant programmes are still in </w:t>
      </w:r>
      <w:r>
        <w:rPr>
          <w:rFonts w:cs="Times New Roman"/>
          <w:bCs/>
          <w:iCs/>
          <w:noProof/>
          <w:color w:val="000000" w:themeColor="text1"/>
          <w:sz w:val="20"/>
        </w:rPr>
        <w:t>an early stage of their implementation.</w:t>
      </w: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t>Current data suggest that the EU funds for the 2007-2013 period were almost sully spent</w:t>
      </w:r>
      <w:r>
        <w:rPr>
          <w:rFonts w:cs="Times New Roman"/>
          <w:noProof/>
          <w:color w:val="000000" w:themeColor="text1"/>
          <w:sz w:val="20"/>
          <w:vertAlign w:val="superscript"/>
        </w:rPr>
        <w:footnoteReference w:id="95"/>
      </w:r>
      <w:r>
        <w:rPr>
          <w:rFonts w:cs="Times New Roman"/>
          <w:noProof/>
          <w:color w:val="000000" w:themeColor="text1"/>
          <w:sz w:val="20"/>
        </w:rPr>
        <w:t>.</w:t>
      </w: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t>The UK provides with its National infrastructure pipeline</w:t>
      </w:r>
      <w:r>
        <w:rPr>
          <w:rFonts w:cs="Times New Roman"/>
          <w:noProof/>
          <w:color w:val="000000" w:themeColor="text1"/>
          <w:sz w:val="16"/>
          <w:szCs w:val="16"/>
          <w:vertAlign w:val="superscript"/>
        </w:rPr>
        <w:footnoteReference w:id="96"/>
      </w:r>
      <w:r>
        <w:rPr>
          <w:rFonts w:cs="Times New Roman"/>
          <w:noProof/>
          <w:color w:val="000000" w:themeColor="text1"/>
          <w:sz w:val="20"/>
        </w:rPr>
        <w:t xml:space="preserve"> an overall picture of planned investment in infrastructure, across </w:t>
      </w:r>
      <w:r>
        <w:rPr>
          <w:rFonts w:cs="Times New Roman"/>
          <w:noProof/>
          <w:color w:val="000000" w:themeColor="text1"/>
          <w:sz w:val="20"/>
        </w:rPr>
        <w:t>both public and private sectors, to 2020 and beyond. The pipeline includes large capital projects and programmes of investment worth GBP50 million or more across communications, energy, flood defences, science &amp; research, transport, waste and water.</w:t>
      </w: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t>The UK</w:t>
      </w:r>
      <w:r>
        <w:rPr>
          <w:rFonts w:cs="Times New Roman"/>
          <w:noProof/>
          <w:color w:val="000000" w:themeColor="text1"/>
          <w:sz w:val="20"/>
        </w:rPr>
        <w:t xml:space="preserve"> announced that it will contribute EUR 8.5 billion to projects benefiting from the European Funds for </w:t>
      </w:r>
      <w:hyperlink r:id="rId111" w:history="1">
        <w:r>
          <w:rPr>
            <w:rFonts w:cs="Times New Roman"/>
            <w:noProof/>
            <w:sz w:val="20"/>
          </w:rPr>
          <w:t>Strategic Investments</w:t>
        </w:r>
      </w:hyperlink>
      <w:r>
        <w:rPr>
          <w:rFonts w:cs="Times New Roman"/>
          <w:noProof/>
          <w:color w:val="000000" w:themeColor="text1"/>
          <w:sz w:val="20"/>
        </w:rPr>
        <w:t xml:space="preserve"> (EFSI)</w:t>
      </w:r>
      <w:r>
        <w:rPr>
          <w:rFonts w:cs="Times New Roman"/>
          <w:noProof/>
          <w:color w:val="000000" w:themeColor="text1"/>
          <w:sz w:val="20"/>
          <w:vertAlign w:val="superscript"/>
        </w:rPr>
        <w:footnoteReference w:id="97"/>
      </w:r>
      <w:r>
        <w:rPr>
          <w:rFonts w:cs="Times New Roman"/>
          <w:noProof/>
          <w:color w:val="000000" w:themeColor="text1"/>
          <w:sz w:val="20"/>
        </w:rPr>
        <w:t xml:space="preserve">. The 16 approved projects </w:t>
      </w:r>
      <w:r>
        <w:rPr>
          <w:rFonts w:cs="Times New Roman"/>
          <w:noProof/>
          <w:color w:val="000000" w:themeColor="text1"/>
          <w:sz w:val="20"/>
        </w:rPr>
        <w:t>amount to over EUR 2.8 billion in European Investment Bank (EIB) financing under the European Fund for Strategic Investments (EFSI). This is expected to trigger nearly EUR 16.8 billion in investments</w:t>
      </w:r>
      <w:r>
        <w:rPr>
          <w:rFonts w:cs="Times New Roman"/>
          <w:noProof/>
          <w:color w:val="000000" w:themeColor="text1"/>
          <w:sz w:val="16"/>
          <w:szCs w:val="16"/>
          <w:vertAlign w:val="superscript"/>
        </w:rPr>
        <w:footnoteReference w:id="98"/>
      </w:r>
      <w:r>
        <w:rPr>
          <w:rFonts w:cs="Times New Roman"/>
          <w:noProof/>
          <w:color w:val="000000" w:themeColor="text1"/>
          <w:sz w:val="20"/>
        </w:rPr>
        <w:t>. Several of these projects will have favourable environ</w:t>
      </w:r>
      <w:r>
        <w:rPr>
          <w:rFonts w:cs="Times New Roman"/>
          <w:noProof/>
          <w:color w:val="000000" w:themeColor="text1"/>
          <w:sz w:val="20"/>
        </w:rPr>
        <w:t xml:space="preserve">mental impacts, like the projects </w:t>
      </w:r>
      <w:r>
        <w:rPr>
          <w:rFonts w:cs="Times New Roman"/>
          <w:i/>
          <w:noProof/>
          <w:color w:val="000000" w:themeColor="text1"/>
          <w:sz w:val="20"/>
        </w:rPr>
        <w:t>Smart Meters</w:t>
      </w:r>
      <w:r>
        <w:rPr>
          <w:rFonts w:cs="Times New Roman"/>
          <w:noProof/>
          <w:color w:val="000000" w:themeColor="text1"/>
          <w:sz w:val="20"/>
        </w:rPr>
        <w:t>, and the two energy efficiency funds and one renewable energy equity fund.</w:t>
      </w: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t>An Integrated LIFE Project (EUR 20 million)</w:t>
      </w:r>
      <w:r>
        <w:rPr>
          <w:rFonts w:cs="Times New Roman"/>
          <w:noProof/>
          <w:color w:val="000000" w:themeColor="text1"/>
          <w:sz w:val="16"/>
          <w:szCs w:val="16"/>
          <w:vertAlign w:val="superscript"/>
        </w:rPr>
        <w:footnoteReference w:id="99"/>
      </w:r>
      <w:r>
        <w:rPr>
          <w:rFonts w:cs="Times New Roman"/>
          <w:noProof/>
          <w:color w:val="000000" w:themeColor="text1"/>
          <w:sz w:val="20"/>
        </w:rPr>
        <w:t xml:space="preserve"> will contribute to the implementation of River Basin Management Plans in the North West R</w:t>
      </w:r>
      <w:r>
        <w:rPr>
          <w:rFonts w:cs="Times New Roman"/>
          <w:noProof/>
          <w:color w:val="000000" w:themeColor="text1"/>
          <w:sz w:val="20"/>
        </w:rPr>
        <w:t>iver Basin District in England and Wales.</w:t>
      </w:r>
    </w:p>
    <w:p w:rsidR="003D2157" w:rsidRDefault="003D2157">
      <w:pPr>
        <w:widowControl w:val="0"/>
        <w:spacing w:after="120" w:line="240" w:lineRule="auto"/>
        <w:jc w:val="both"/>
        <w:rPr>
          <w:rFonts w:cs="Times New Roman"/>
          <w:noProof/>
          <w:sz w:val="20"/>
        </w:rPr>
      </w:pPr>
    </w:p>
    <w:bookmarkEnd w:id="47"/>
    <w:p w:rsidR="003D2157" w:rsidRDefault="003D2157">
      <w:pPr>
        <w:widowControl w:val="0"/>
        <w:spacing w:after="120" w:line="240" w:lineRule="auto"/>
        <w:jc w:val="both"/>
        <w:rPr>
          <w:rFonts w:cs="Times New Roman"/>
          <w:noProof/>
          <w:sz w:val="20"/>
        </w:rPr>
        <w:sectPr w:rsidR="003D2157">
          <w:headerReference w:type="even" r:id="rId112"/>
          <w:headerReference w:type="default" r:id="rId113"/>
          <w:footerReference w:type="even" r:id="rId114"/>
          <w:footerReference w:type="default" r:id="rId115"/>
          <w:headerReference w:type="first" r:id="rId116"/>
          <w:footerReference w:type="first" r:id="rId117"/>
          <w:type w:val="continuous"/>
          <w:pgSz w:w="11906" w:h="16838"/>
          <w:pgMar w:top="1440" w:right="1080" w:bottom="1440" w:left="1080" w:header="708" w:footer="708" w:gutter="0"/>
          <w:cols w:num="2" w:space="360"/>
          <w:docGrid w:linePitch="360"/>
        </w:sectPr>
      </w:pPr>
    </w:p>
    <w:p w:rsidR="003D2157" w:rsidRDefault="00670DB4">
      <w:pPr>
        <w:keepLines/>
        <w:widowControl w:val="0"/>
        <w:numPr>
          <w:ilvl w:val="0"/>
          <w:numId w:val="25"/>
        </w:numPr>
        <w:spacing w:after="0" w:line="240" w:lineRule="auto"/>
        <w:jc w:val="center"/>
        <w:outlineLvl w:val="0"/>
        <w:rPr>
          <w:rFonts w:eastAsiaTheme="majorEastAsia" w:cstheme="majorBidi"/>
          <w:b/>
          <w:bCs/>
          <w:noProof/>
          <w:color w:val="1F497D" w:themeColor="text2"/>
          <w:sz w:val="32"/>
          <w:szCs w:val="28"/>
        </w:rPr>
      </w:pPr>
      <w:bookmarkStart w:id="50" w:name="_Toc469394707"/>
      <w:bookmarkStart w:id="51" w:name="_Toc433296178"/>
      <w:bookmarkStart w:id="52" w:name="_Toc433296181"/>
      <w:r>
        <w:rPr>
          <w:rFonts w:eastAsiaTheme="majorEastAsia" w:cstheme="majorBidi"/>
          <w:b/>
          <w:bCs/>
          <w:noProof/>
          <w:color w:val="1F497D" w:themeColor="text2"/>
          <w:sz w:val="32"/>
          <w:szCs w:val="28"/>
        </w:rPr>
        <w:t>Effective governance and knowledge</w:t>
      </w:r>
      <w:bookmarkEnd w:id="50"/>
    </w:p>
    <w:p w:rsidR="003D2157" w:rsidRDefault="003D2157">
      <w:pPr>
        <w:widowControl w:val="0"/>
        <w:spacing w:after="120"/>
        <w:rPr>
          <w:rFonts w:cs="Times New Roman"/>
          <w:noProof/>
          <w:sz w:val="20"/>
        </w:rPr>
      </w:pPr>
    </w:p>
    <w:p w:rsidR="003D2157" w:rsidRDefault="003D2157">
      <w:pPr>
        <w:widowControl w:val="0"/>
        <w:spacing w:after="120"/>
        <w:rPr>
          <w:rFonts w:cs="Times New Roman"/>
          <w:noProof/>
          <w:sz w:val="20"/>
        </w:rPr>
        <w:sectPr w:rsidR="003D2157">
          <w:headerReference w:type="even" r:id="rId118"/>
          <w:headerReference w:type="default" r:id="rId119"/>
          <w:footerReference w:type="even" r:id="rId120"/>
          <w:footerReference w:type="default" r:id="rId121"/>
          <w:headerReference w:type="first" r:id="rId122"/>
          <w:footerReference w:type="first" r:id="rId123"/>
          <w:type w:val="continuous"/>
          <w:pgSz w:w="11906" w:h="16838" w:code="9"/>
          <w:pgMar w:top="1080" w:right="1440" w:bottom="1080" w:left="1440" w:header="709" w:footer="709" w:gutter="0"/>
          <w:cols w:space="566"/>
          <w:docGrid w:linePitch="360"/>
        </w:sectPr>
      </w:pPr>
    </w:p>
    <w:p w:rsidR="003D2157" w:rsidRDefault="00670DB4">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 xml:space="preserve">SDG 16 aims at providing access to justice and building effective, accountable and inclusive institutions at all levels. SDG 17 aims at better implementation, improving </w:t>
      </w:r>
      <w:r>
        <w:rPr>
          <w:rFonts w:cs="Times New Roman"/>
          <w:bCs/>
          <w:noProof/>
          <w:color w:val="FFFFFF" w:themeColor="background1"/>
          <w:sz w:val="20"/>
        </w:rPr>
        <w:t>policy coordination and policy coherence, stimulating science, technology and innovation, establishing partnerships and developing measurements of progress.</w:t>
      </w:r>
    </w:p>
    <w:p w:rsidR="003D2157" w:rsidRDefault="00670DB4">
      <w:pPr>
        <w:widowControl w:val="0"/>
        <w:spacing w:after="120" w:line="240" w:lineRule="auto"/>
        <w:jc w:val="both"/>
        <w:rPr>
          <w:rFonts w:cs="Times New Roman"/>
          <w:noProof/>
          <w:sz w:val="20"/>
        </w:rPr>
      </w:pPr>
      <w:r>
        <w:rPr>
          <w:rFonts w:cs="Times New Roman"/>
          <w:noProof/>
          <w:sz w:val="20"/>
        </w:rPr>
        <w:t>Effective governance of EU environmental legislation and policies requires having an appropriate in</w:t>
      </w:r>
      <w:r>
        <w:rPr>
          <w:rFonts w:cs="Times New Roman"/>
          <w:noProof/>
          <w:sz w:val="20"/>
        </w:rPr>
        <w:t>stitutional framework, policy coherence and coordination, applying legal and non-legal instruments, engaging with non-governmental stakeholders, and having adequate levels of knowledge and skills</w:t>
      </w:r>
      <w:r>
        <w:rPr>
          <w:rFonts w:cs="Times New Roman"/>
          <w:noProof/>
          <w:sz w:val="20"/>
          <w:vertAlign w:val="superscript"/>
        </w:rPr>
        <w:footnoteReference w:id="100"/>
      </w:r>
      <w:r>
        <w:rPr>
          <w:rFonts w:cs="Times New Roman"/>
          <w:noProof/>
          <w:sz w:val="20"/>
        </w:rPr>
        <w:t>. Successful implementation depends, to a large extent, on c</w:t>
      </w:r>
      <w:r>
        <w:rPr>
          <w:rFonts w:cs="Times New Roman"/>
          <w:noProof/>
          <w:sz w:val="20"/>
        </w:rPr>
        <w:t>entral, regional and local government fulfilling key legislative and administrative tasks, notably adoption of sound implementing legislation, co-ordinated action to meet environmental objectives and correct decision-making on matters such as industrial pe</w:t>
      </w:r>
      <w:r>
        <w:rPr>
          <w:rFonts w:cs="Times New Roman"/>
          <w:noProof/>
          <w:sz w:val="20"/>
        </w:rPr>
        <w:t>rmits. Beyond fulfilment of these tasks, government must intervene to ensure day-to-day compliance by economic operators, utilities and individuals ("compliance assurance"). Civil society also has a role to play, including through legal action. To underpin</w:t>
      </w:r>
      <w:r>
        <w:rPr>
          <w:rFonts w:cs="Times New Roman"/>
          <w:noProof/>
          <w:sz w:val="20"/>
        </w:rPr>
        <w:t xml:space="preserve"> the roles of all actors, it is crucial to collect and share knowledge and evidence on the state of the environment and on environmental pressures, drivers and impacts.</w:t>
      </w:r>
    </w:p>
    <w:p w:rsidR="003D2157" w:rsidRDefault="00670DB4">
      <w:pPr>
        <w:widowControl w:val="0"/>
        <w:spacing w:after="120" w:line="240" w:lineRule="auto"/>
        <w:jc w:val="both"/>
        <w:rPr>
          <w:rFonts w:cs="Times New Roman"/>
          <w:noProof/>
          <w:sz w:val="20"/>
        </w:rPr>
      </w:pPr>
      <w:r>
        <w:rPr>
          <w:rFonts w:cs="Times New Roman"/>
          <w:noProof/>
          <w:sz w:val="20"/>
          <w:szCs w:val="20"/>
          <w:lang w:val="en-US"/>
        </w:rPr>
        <w:t>Equally, effective governance of EU environmental legislation and policies benefits fro</w:t>
      </w:r>
      <w:r>
        <w:rPr>
          <w:rFonts w:cs="Times New Roman"/>
          <w:noProof/>
          <w:sz w:val="20"/>
          <w:szCs w:val="20"/>
          <w:lang w:val="en-US"/>
        </w:rPr>
        <w:t>m a dialogue within Member States and between Member States and the Commission on whether the current EU environmental legislation is fit for purpose. Legislation can only be properly implemented when it takes into account experiences at Member State level</w:t>
      </w:r>
      <w:r>
        <w:rPr>
          <w:rFonts w:cs="Times New Roman"/>
          <w:noProof/>
          <w:sz w:val="20"/>
          <w:szCs w:val="20"/>
          <w:lang w:val="en-US"/>
        </w:rPr>
        <w:t xml:space="preserve"> with putting EU commitments into effect. The Make it Work initiative, a Member State driven project, established in 2014, organizes a discussion on how the clarity, coherence and structure of EU environmental legislation can be improved without lowering e</w:t>
      </w:r>
      <w:r>
        <w:rPr>
          <w:rFonts w:cs="Times New Roman"/>
          <w:noProof/>
          <w:sz w:val="20"/>
          <w:szCs w:val="20"/>
          <w:lang w:val="en-US"/>
        </w:rPr>
        <w:t>xisting protection standards.</w:t>
      </w:r>
    </w:p>
    <w:p w:rsidR="003D2157" w:rsidRDefault="00670DB4">
      <w:pPr>
        <w:widowControl w:val="0"/>
        <w:spacing w:after="120" w:line="240" w:lineRule="auto"/>
        <w:outlineLvl w:val="1"/>
        <w:rPr>
          <w:rFonts w:cs="Times New Roman"/>
          <w:b/>
          <w:noProof/>
          <w:color w:val="1F497D" w:themeColor="text2"/>
          <w:sz w:val="24"/>
        </w:rPr>
      </w:pPr>
      <w:bookmarkStart w:id="53" w:name="_Toc455589321"/>
      <w:bookmarkStart w:id="54" w:name="_Toc469394708"/>
      <w:r>
        <w:rPr>
          <w:rFonts w:cs="Times New Roman"/>
          <w:b/>
          <w:noProof/>
          <w:color w:val="1F497D" w:themeColor="text2"/>
          <w:sz w:val="24"/>
        </w:rPr>
        <w:t>Effective governance within central, regional and local government</w:t>
      </w:r>
      <w:bookmarkEnd w:id="53"/>
      <w:bookmarkEnd w:id="54"/>
    </w:p>
    <w:p w:rsidR="003D2157" w:rsidRDefault="00670DB4">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Those involved in implementing environment legislation at Union, national, regional and local levels need to be equipped with the knowledge, tools and capacity</w:t>
      </w:r>
      <w:r>
        <w:rPr>
          <w:rFonts w:cs="Times New Roman"/>
          <w:noProof/>
          <w:color w:val="FFFFFF" w:themeColor="background1"/>
          <w:sz w:val="20"/>
        </w:rPr>
        <w:t xml:space="preserve"> to improve the delivery of benefits from that legislation, and the governance of the enforcement process.</w:t>
      </w:r>
    </w:p>
    <w:p w:rsidR="003D2157" w:rsidRDefault="00670DB4">
      <w:pPr>
        <w:widowControl w:val="0"/>
        <w:spacing w:after="120" w:line="240" w:lineRule="auto"/>
        <w:jc w:val="both"/>
        <w:outlineLvl w:val="2"/>
        <w:rPr>
          <w:rFonts w:cs="Times New Roman"/>
          <w:b/>
          <w:noProof/>
          <w:color w:val="1F497D" w:themeColor="text2"/>
        </w:rPr>
      </w:pPr>
      <w:r>
        <w:rPr>
          <w:rFonts w:cs="Times New Roman"/>
          <w:b/>
          <w:noProof/>
          <w:color w:val="1F497D" w:themeColor="text2"/>
        </w:rPr>
        <w:t>Capacity to implement rules</w:t>
      </w: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t>It is crucial that central, regional and local administrations have the necessary capacities and skills and training to c</w:t>
      </w:r>
      <w:r>
        <w:rPr>
          <w:rFonts w:cs="Times New Roman"/>
          <w:noProof/>
          <w:color w:val="000000" w:themeColor="text1"/>
          <w:sz w:val="20"/>
        </w:rPr>
        <w:t>arry out their own tasks and co-operate and co-ordinate effectively with each other, within a system of multi-level governance.</w:t>
      </w: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t>The transposition of the revised EIA Directive</w:t>
      </w:r>
      <w:r>
        <w:rPr>
          <w:rStyle w:val="FootnoteReference"/>
          <w:rFonts w:cs="Times New Roman"/>
          <w:noProof/>
          <w:color w:val="000000" w:themeColor="text1"/>
          <w:sz w:val="20"/>
        </w:rPr>
        <w:footnoteReference w:id="101"/>
      </w:r>
      <w:r>
        <w:rPr>
          <w:rFonts w:cs="Times New Roman"/>
          <w:noProof/>
          <w:color w:val="000000" w:themeColor="text1"/>
          <w:sz w:val="20"/>
        </w:rPr>
        <w:t xml:space="preserve"> will be an opportunity to streamline the regulatory framework on environmental a</w:t>
      </w:r>
      <w:r>
        <w:rPr>
          <w:rFonts w:cs="Times New Roman"/>
          <w:noProof/>
          <w:color w:val="000000" w:themeColor="text1"/>
          <w:sz w:val="20"/>
        </w:rPr>
        <w:t>ssessments. The Commission encourages the streamlining of the environmental assessments because this approach reduces duplication and avoids unnecessary overlaps in environmental assessments applicable for a particular project. Moreover, streamlining helps</w:t>
      </w:r>
      <w:r>
        <w:rPr>
          <w:rFonts w:cs="Times New Roman"/>
          <w:noProof/>
          <w:color w:val="000000" w:themeColor="text1"/>
          <w:sz w:val="20"/>
        </w:rPr>
        <w:t xml:space="preserve"> reducing unnecessary administrative burden and accelerates decision-making, without compromising the quality of the environmental assessment procedure. The Commission has issued a guidance document in 2016 regarding the setting up of coordinated and/or jo</w:t>
      </w:r>
      <w:r>
        <w:rPr>
          <w:rFonts w:cs="Times New Roman"/>
          <w:noProof/>
          <w:color w:val="000000" w:themeColor="text1"/>
          <w:sz w:val="20"/>
        </w:rPr>
        <w:t>int procedures that are simultaneously subject to assessments under the EIA Directive, Habitats Directive, Water Framework Directive, and the Industrial Emissions Directive</w:t>
      </w:r>
      <w:r>
        <w:rPr>
          <w:rFonts w:cs="Times New Roman"/>
          <w:noProof/>
          <w:color w:val="000000" w:themeColor="text1"/>
          <w:sz w:val="20"/>
          <w:vertAlign w:val="superscript"/>
        </w:rPr>
        <w:footnoteReference w:id="102"/>
      </w:r>
      <w:r>
        <w:rPr>
          <w:rFonts w:cs="Times New Roman"/>
          <w:noProof/>
          <w:color w:val="000000" w:themeColor="text1"/>
          <w:sz w:val="20"/>
        </w:rPr>
        <w:t>. The implementation of this new Directive is also an opportunity that the UK autho</w:t>
      </w:r>
      <w:r>
        <w:rPr>
          <w:rFonts w:cs="Times New Roman"/>
          <w:noProof/>
          <w:color w:val="000000" w:themeColor="text1"/>
          <w:sz w:val="20"/>
        </w:rPr>
        <w:t xml:space="preserve">rities should use to ensure that previous practices of granting development consent and allowing construction to go ahead before all environmental permitting processes are completed are not repeated in future. </w:t>
      </w: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drawing>
          <wp:inline distT="0" distB="0" distL="0" distR="0" wp14:anchorId="54C63BF1" wp14:editId="53F66950">
            <wp:extent cx="2962275" cy="1994211"/>
            <wp:effectExtent l="0" t="0" r="0" b="6350"/>
            <wp:docPr id="37" name="Picture 37" descr="P:\ENV-E2\1. ENV IMPLEMENTATION REVIEW\EIR Data management\Pictures\3rd batch to Luciano\UK stock-photo-82910733-big-ben-and-the-houses-of-parliament-in-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V-E2\1. ENV IMPLEMENTATION REVIEW\EIR Data management\Pictures\3rd batch to Luciano\UK stock-photo-82910733-big-ben-and-the-houses-of-parliament-in-london.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62275" cy="1994211"/>
                    </a:xfrm>
                    <a:prstGeom prst="rect">
                      <a:avLst/>
                    </a:prstGeom>
                    <a:noFill/>
                    <a:ln>
                      <a:noFill/>
                    </a:ln>
                  </pic:spPr>
                </pic:pic>
              </a:graphicData>
            </a:graphic>
          </wp:inline>
        </w:drawing>
      </w: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t>With regard to so-called Strategic Environm</w:t>
      </w:r>
      <w:r>
        <w:rPr>
          <w:rFonts w:cs="Times New Roman"/>
          <w:noProof/>
          <w:color w:val="000000" w:themeColor="text1"/>
          <w:sz w:val="20"/>
        </w:rPr>
        <w:t>ental Assessment (SEA) Directive</w:t>
      </w:r>
      <w:r>
        <w:rPr>
          <w:rFonts w:cs="Times New Roman"/>
          <w:noProof/>
          <w:color w:val="000000" w:themeColor="text1"/>
          <w:sz w:val="16"/>
          <w:szCs w:val="16"/>
          <w:vertAlign w:val="superscript"/>
        </w:rPr>
        <w:footnoteReference w:id="103"/>
      </w:r>
      <w:r>
        <w:rPr>
          <w:rFonts w:cs="Times New Roman"/>
          <w:noProof/>
          <w:color w:val="000000" w:themeColor="text1"/>
          <w:sz w:val="20"/>
        </w:rPr>
        <w:t>, the UK has generally transposed this Directive well. However, the Commission has received a number of complaints that the Directive is not fully applied to certain large transport infrastructure projects. This is a matter</w:t>
      </w:r>
      <w:r>
        <w:rPr>
          <w:rFonts w:cs="Times New Roman"/>
          <w:noProof/>
          <w:color w:val="000000" w:themeColor="text1"/>
          <w:sz w:val="20"/>
        </w:rPr>
        <w:t xml:space="preserve"> that the UK authorities should try to clarify for future decisions on developments such as high speed rail expansion. The SEA Directive provides a key opportunity for the environmental impacts of alternatives to a proposed project to be fully assessed and</w:t>
      </w:r>
      <w:r>
        <w:rPr>
          <w:rFonts w:cs="Times New Roman"/>
          <w:noProof/>
          <w:color w:val="000000" w:themeColor="text1"/>
          <w:sz w:val="20"/>
        </w:rPr>
        <w:t xml:space="preserve"> for the public to comment. </w:t>
      </w: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t>In general the UK has a good record for communicating new implementing legislation on time. However, a UK trend, in particular in England, of transposing by reference is likely to lead to increased numbers of non-conformity cas</w:t>
      </w:r>
      <w:r>
        <w:rPr>
          <w:rFonts w:cs="Times New Roman"/>
          <w:noProof/>
          <w:color w:val="000000" w:themeColor="text1"/>
          <w:sz w:val="20"/>
        </w:rPr>
        <w:t>es in the future. Whilst there is no inherent objection to the practice of such transposition techniques, if the process is used in excess it leaves the national legislation failing to explain the full scope of the obligations and how they should be applie</w:t>
      </w:r>
      <w:r>
        <w:rPr>
          <w:rFonts w:cs="Times New Roman"/>
          <w:noProof/>
          <w:color w:val="000000" w:themeColor="text1"/>
          <w:sz w:val="20"/>
        </w:rPr>
        <w:t>d by national decision makers, operators and members of the public.</w:t>
      </w: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t>There are currently 11 infringements in the following areas:</w:t>
      </w:r>
    </w:p>
    <w:p w:rsidR="003D2157" w:rsidRDefault="00670DB4">
      <w:pPr>
        <w:widowControl w:val="0"/>
        <w:numPr>
          <w:ilvl w:val="0"/>
          <w:numId w:val="26"/>
        </w:numPr>
        <w:spacing w:after="120" w:line="240" w:lineRule="auto"/>
        <w:contextualSpacing/>
        <w:jc w:val="both"/>
        <w:rPr>
          <w:rFonts w:cs="Times New Roman"/>
          <w:noProof/>
          <w:color w:val="000000" w:themeColor="text1"/>
          <w:sz w:val="20"/>
        </w:rPr>
      </w:pPr>
      <w:r>
        <w:rPr>
          <w:rFonts w:cs="Times New Roman"/>
          <w:noProof/>
          <w:color w:val="000000" w:themeColor="text1"/>
          <w:sz w:val="20"/>
        </w:rPr>
        <w:t>Directive 91/271/EEC on Urban Waste Water Treatment (2 cases).</w:t>
      </w:r>
    </w:p>
    <w:p w:rsidR="003D2157" w:rsidRDefault="00670DB4">
      <w:pPr>
        <w:widowControl w:val="0"/>
        <w:numPr>
          <w:ilvl w:val="0"/>
          <w:numId w:val="26"/>
        </w:numPr>
        <w:spacing w:after="120" w:line="240" w:lineRule="auto"/>
        <w:contextualSpacing/>
        <w:jc w:val="both"/>
        <w:rPr>
          <w:rFonts w:cs="Times New Roman"/>
          <w:noProof/>
          <w:color w:val="000000" w:themeColor="text1"/>
          <w:sz w:val="20"/>
        </w:rPr>
      </w:pPr>
      <w:r>
        <w:rPr>
          <w:rFonts w:cs="Times New Roman"/>
          <w:noProof/>
          <w:color w:val="000000" w:themeColor="text1"/>
          <w:sz w:val="20"/>
        </w:rPr>
        <w:t>Directive 2001/80/EC on the limitation of emissions of certain p</w:t>
      </w:r>
      <w:r>
        <w:rPr>
          <w:rFonts w:cs="Times New Roman"/>
          <w:noProof/>
          <w:color w:val="000000" w:themeColor="text1"/>
          <w:sz w:val="20"/>
        </w:rPr>
        <w:t>ollutants into the air from large combustion plants.</w:t>
      </w:r>
    </w:p>
    <w:p w:rsidR="003D2157" w:rsidRDefault="00670DB4">
      <w:pPr>
        <w:widowControl w:val="0"/>
        <w:numPr>
          <w:ilvl w:val="0"/>
          <w:numId w:val="26"/>
        </w:numPr>
        <w:spacing w:after="120" w:line="240" w:lineRule="auto"/>
        <w:contextualSpacing/>
        <w:jc w:val="both"/>
        <w:rPr>
          <w:rFonts w:cs="Times New Roman"/>
          <w:noProof/>
          <w:color w:val="000000" w:themeColor="text1"/>
          <w:sz w:val="20"/>
        </w:rPr>
      </w:pPr>
      <w:r>
        <w:rPr>
          <w:rFonts w:cs="Times New Roman"/>
          <w:noProof/>
          <w:color w:val="000000" w:themeColor="text1"/>
          <w:sz w:val="20"/>
        </w:rPr>
        <w:t xml:space="preserve">Directive 2008/50/EC on ambient air quality and cleaner air for Europe. </w:t>
      </w:r>
    </w:p>
    <w:p w:rsidR="003D2157" w:rsidRDefault="00670DB4">
      <w:pPr>
        <w:widowControl w:val="0"/>
        <w:numPr>
          <w:ilvl w:val="0"/>
          <w:numId w:val="26"/>
        </w:numPr>
        <w:spacing w:after="120" w:line="240" w:lineRule="auto"/>
        <w:contextualSpacing/>
        <w:jc w:val="both"/>
        <w:rPr>
          <w:rFonts w:cs="Times New Roman"/>
          <w:noProof/>
          <w:color w:val="000000" w:themeColor="text1"/>
          <w:sz w:val="20"/>
        </w:rPr>
      </w:pPr>
      <w:r>
        <w:rPr>
          <w:rFonts w:cs="Times New Roman"/>
          <w:noProof/>
          <w:color w:val="000000" w:themeColor="text1"/>
          <w:sz w:val="20"/>
        </w:rPr>
        <w:t xml:space="preserve">Directive 85/337/EEC on the assessment of the effects of certain public and private projects on the environment (case also concerns Natura 2000 and IPPC breaches). </w:t>
      </w:r>
    </w:p>
    <w:p w:rsidR="003D2157" w:rsidRDefault="00670DB4">
      <w:pPr>
        <w:widowControl w:val="0"/>
        <w:numPr>
          <w:ilvl w:val="0"/>
          <w:numId w:val="26"/>
        </w:numPr>
        <w:spacing w:after="120" w:line="240" w:lineRule="auto"/>
        <w:contextualSpacing/>
        <w:jc w:val="both"/>
        <w:rPr>
          <w:rFonts w:cs="Times New Roman"/>
          <w:noProof/>
          <w:color w:val="000000" w:themeColor="text1"/>
          <w:sz w:val="20"/>
        </w:rPr>
      </w:pPr>
      <w:r>
        <w:rPr>
          <w:rFonts w:cs="Times New Roman"/>
          <w:noProof/>
          <w:color w:val="000000" w:themeColor="text1"/>
          <w:sz w:val="20"/>
        </w:rPr>
        <w:t xml:space="preserve">Directive 92/43/EEC on the conservation of natural habitats and of wild fauna and flora (3 </w:t>
      </w:r>
      <w:r>
        <w:rPr>
          <w:rFonts w:cs="Times New Roman"/>
          <w:noProof/>
          <w:color w:val="000000" w:themeColor="text1"/>
          <w:sz w:val="20"/>
        </w:rPr>
        <w:t xml:space="preserve">cases). </w:t>
      </w:r>
    </w:p>
    <w:p w:rsidR="003D2157" w:rsidRDefault="00670DB4">
      <w:pPr>
        <w:widowControl w:val="0"/>
        <w:numPr>
          <w:ilvl w:val="0"/>
          <w:numId w:val="26"/>
        </w:numPr>
        <w:spacing w:after="120" w:line="240" w:lineRule="auto"/>
        <w:contextualSpacing/>
        <w:jc w:val="both"/>
        <w:rPr>
          <w:rFonts w:cs="Times New Roman"/>
          <w:noProof/>
          <w:color w:val="000000" w:themeColor="text1"/>
          <w:sz w:val="20"/>
        </w:rPr>
      </w:pPr>
      <w:r>
        <w:rPr>
          <w:rFonts w:cs="Times New Roman"/>
          <w:noProof/>
          <w:color w:val="000000" w:themeColor="text1"/>
          <w:sz w:val="20"/>
        </w:rPr>
        <w:t xml:space="preserve">Directive 2003/35/EEC providing for public participation in respect of the drawing up of certain plans and programmes relating to the environment and amending with regard to public participation and access to justice Council Directives 85/337/EEC </w:t>
      </w:r>
      <w:r>
        <w:rPr>
          <w:rFonts w:cs="Times New Roman"/>
          <w:noProof/>
          <w:color w:val="000000" w:themeColor="text1"/>
          <w:sz w:val="20"/>
        </w:rPr>
        <w:t xml:space="preserve">and 96/61/EC.  </w:t>
      </w:r>
    </w:p>
    <w:p w:rsidR="003D2157" w:rsidRDefault="00670DB4">
      <w:pPr>
        <w:widowControl w:val="0"/>
        <w:numPr>
          <w:ilvl w:val="0"/>
          <w:numId w:val="26"/>
        </w:numPr>
        <w:spacing w:after="120" w:line="240" w:lineRule="auto"/>
        <w:contextualSpacing/>
        <w:jc w:val="both"/>
        <w:rPr>
          <w:rFonts w:cs="Times New Roman"/>
          <w:noProof/>
          <w:color w:val="000000" w:themeColor="text1"/>
          <w:sz w:val="20"/>
        </w:rPr>
      </w:pPr>
      <w:r>
        <w:rPr>
          <w:rFonts w:cs="Times New Roman"/>
          <w:noProof/>
          <w:color w:val="000000" w:themeColor="text1"/>
          <w:sz w:val="20"/>
        </w:rPr>
        <w:t>Directive 2000/60/EU establishing a framework for Community action in the field of water policy (non-conformity).</w:t>
      </w:r>
    </w:p>
    <w:p w:rsidR="003D2157" w:rsidRDefault="00670DB4">
      <w:pPr>
        <w:widowControl w:val="0"/>
        <w:numPr>
          <w:ilvl w:val="0"/>
          <w:numId w:val="26"/>
        </w:numPr>
        <w:spacing w:after="120" w:line="240" w:lineRule="auto"/>
        <w:contextualSpacing/>
        <w:jc w:val="both"/>
        <w:rPr>
          <w:rFonts w:cs="Times New Roman"/>
          <w:noProof/>
          <w:color w:val="000000" w:themeColor="text1"/>
          <w:sz w:val="20"/>
        </w:rPr>
      </w:pPr>
      <w:r>
        <w:rPr>
          <w:rFonts w:cs="Times New Roman"/>
          <w:noProof/>
          <w:color w:val="000000" w:themeColor="text1"/>
          <w:sz w:val="20"/>
        </w:rPr>
        <w:t>Directive 2006/21 EC on the management of waste from extractive industries (non-conformity).</w:t>
      </w:r>
    </w:p>
    <w:p w:rsidR="003D2157" w:rsidRDefault="00670DB4">
      <w:pPr>
        <w:widowControl w:val="0"/>
        <w:spacing w:before="240" w:after="120" w:line="240" w:lineRule="auto"/>
        <w:jc w:val="both"/>
        <w:rPr>
          <w:rFonts w:cs="Times New Roman"/>
          <w:noProof/>
          <w:color w:val="1F497D"/>
          <w:sz w:val="20"/>
        </w:rPr>
      </w:pPr>
      <w:r>
        <w:rPr>
          <w:rFonts w:cs="Times New Roman"/>
          <w:noProof/>
          <w:sz w:val="20"/>
        </w:rPr>
        <w:t xml:space="preserve">In some of the environmental </w:t>
      </w:r>
      <w:r>
        <w:rPr>
          <w:rFonts w:cs="Times New Roman"/>
          <w:noProof/>
          <w:sz w:val="20"/>
        </w:rPr>
        <w:t>cases where individuals or NGOs have gained access before the national courts over the past years, the UK judges referred several requests for preliminary rulings to the Court of Justice of the EU. This represented a valuable contribution to the developmen</w:t>
      </w:r>
      <w:r>
        <w:rPr>
          <w:rFonts w:cs="Times New Roman"/>
          <w:noProof/>
          <w:sz w:val="20"/>
        </w:rPr>
        <w:t>t of EU environment law, since preliminary rulings enable the Court of Justice to give a coherent interpretation of the EU law.</w:t>
      </w:r>
    </w:p>
    <w:p w:rsidR="003D2157" w:rsidRDefault="00670DB4">
      <w:pPr>
        <w:widowControl w:val="0"/>
        <w:spacing w:before="360" w:after="120" w:line="240" w:lineRule="auto"/>
        <w:outlineLvl w:val="1"/>
        <w:rPr>
          <w:rFonts w:cs="Times New Roman"/>
          <w:b/>
          <w:noProof/>
          <w:color w:val="1F497D" w:themeColor="text2"/>
          <w:sz w:val="24"/>
        </w:rPr>
      </w:pPr>
      <w:bookmarkStart w:id="55" w:name="_Toc469394709"/>
      <w:r>
        <w:rPr>
          <w:rFonts w:cs="Times New Roman"/>
          <w:b/>
          <w:noProof/>
          <w:color w:val="1F497D" w:themeColor="text2"/>
          <w:sz w:val="24"/>
        </w:rPr>
        <w:t>Compliance assurance</w:t>
      </w:r>
      <w:bookmarkEnd w:id="55"/>
    </w:p>
    <w:p w:rsidR="003D2157" w:rsidRDefault="00670DB4">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EU law generally and specific provisions on inspections, other checks, penalties and environmental liabilit</w:t>
      </w:r>
      <w:r>
        <w:rPr>
          <w:rFonts w:cs="Times New Roman"/>
          <w:bCs/>
          <w:noProof/>
          <w:color w:val="FFFFFF" w:themeColor="background1"/>
          <w:sz w:val="20"/>
        </w:rPr>
        <w:t>y help lay the basis for the systems Member States need to have in place to secure compliance with EU environmental rules.</w:t>
      </w:r>
    </w:p>
    <w:p w:rsidR="003D2157" w:rsidRDefault="00670DB4">
      <w:pPr>
        <w:widowControl w:val="0"/>
        <w:spacing w:after="120" w:line="240" w:lineRule="auto"/>
        <w:jc w:val="both"/>
        <w:rPr>
          <w:noProof/>
          <w:sz w:val="20"/>
        </w:rPr>
      </w:pPr>
      <w:r>
        <w:rPr>
          <w:noProof/>
          <w:sz w:val="20"/>
        </w:rPr>
        <w:t>Public authorities help ensure accountability of duty-holders by monitoring and promoting compliance and by taking credible follow-up</w:t>
      </w:r>
      <w:r>
        <w:rPr>
          <w:noProof/>
          <w:sz w:val="20"/>
        </w:rPr>
        <w:t xml:space="preserve"> action (i.e. enforcement) when breaches occur or liabilities arise. Compliance monitoring can be done both on the initiative of authorities themselves and in response to citizen complaints. It can involve using various kinds of checks, including inspectio</w:t>
      </w:r>
      <w:r>
        <w:rPr>
          <w:noProof/>
          <w:sz w:val="20"/>
        </w:rPr>
        <w:t>ns for permitted activities, surveillance for possible illegal activities, investigations for crimes and audits for systemic weaknesses. Similarly, there is a range of means to promote compliance, including awareness-raising campaigns and use of guidance d</w:t>
      </w:r>
      <w:r>
        <w:rPr>
          <w:noProof/>
          <w:sz w:val="20"/>
        </w:rPr>
        <w:t>ocuments and online information tools. Follow-up to breaches and liabilities can include administrative action (e.g. withdrawal of a permit), use of criminal law</w:t>
      </w:r>
      <w:r>
        <w:rPr>
          <w:noProof/>
          <w:sz w:val="16"/>
          <w:szCs w:val="16"/>
          <w:vertAlign w:val="superscript"/>
        </w:rPr>
        <w:footnoteReference w:id="104"/>
      </w:r>
      <w:r>
        <w:rPr>
          <w:noProof/>
          <w:sz w:val="20"/>
        </w:rPr>
        <w:t xml:space="preserve"> and action under liability law (e.g. required remediation after damage from an accident using</w:t>
      </w:r>
      <w:r>
        <w:rPr>
          <w:noProof/>
          <w:sz w:val="20"/>
        </w:rPr>
        <w:t xml:space="preserve"> liability rules) and contractual law (e.g. measures to require compliance with nature conservation contracts). Taken together, all of these interventions represent "compliance assurance" as shown in Figure 13.</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3D2157">
        <w:trPr>
          <w:trHeight w:val="261"/>
        </w:trPr>
        <w:tc>
          <w:tcPr>
            <w:tcW w:w="4909" w:type="dxa"/>
          </w:tcPr>
          <w:p w:rsidR="003D2157" w:rsidRDefault="00670DB4">
            <w:pPr>
              <w:widowControl w:val="0"/>
              <w:spacing w:after="120"/>
              <w:jc w:val="both"/>
              <w:rPr>
                <w:rFonts w:cs="Times New Roman"/>
                <w:b/>
                <w:bCs/>
                <w:noProof/>
                <w:color w:val="1F497D" w:themeColor="text2"/>
                <w:sz w:val="20"/>
              </w:rPr>
            </w:pPr>
            <w:r>
              <w:rPr>
                <w:rFonts w:cs="Times New Roman"/>
                <w:b/>
                <w:bCs/>
                <w:noProof/>
                <w:color w:val="1F497D" w:themeColor="text2"/>
                <w:sz w:val="20"/>
              </w:rPr>
              <w:t>Figure 13: Environmental compliance assurance</w:t>
            </w:r>
          </w:p>
        </w:tc>
      </w:tr>
      <w:tr w:rsidR="003D2157">
        <w:trPr>
          <w:trHeight w:val="3156"/>
        </w:trPr>
        <w:tc>
          <w:tcPr>
            <w:tcW w:w="4909" w:type="dxa"/>
          </w:tcPr>
          <w:p w:rsidR="003D2157" w:rsidRDefault="00670DB4">
            <w:pPr>
              <w:widowControl w:val="0"/>
              <w:spacing w:after="120"/>
              <w:jc w:val="both"/>
              <w:rPr>
                <w:rFonts w:cs="Times New Roman"/>
                <w:noProof/>
                <w:sz w:val="20"/>
              </w:rPr>
            </w:pPr>
            <w:r>
              <w:rPr>
                <w:rFonts w:cs="Times New Roman"/>
                <w:noProof/>
                <w:sz w:val="20"/>
              </w:rPr>
              <w:drawing>
                <wp:inline distT="0" distB="0" distL="0" distR="0" wp14:anchorId="2F32F6F5" wp14:editId="5138E720">
                  <wp:extent cx="2980055" cy="21056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3D2157" w:rsidRDefault="00670DB4">
      <w:pPr>
        <w:widowControl w:val="0"/>
        <w:spacing w:after="120" w:line="240" w:lineRule="auto"/>
        <w:jc w:val="both"/>
        <w:rPr>
          <w:noProof/>
          <w:sz w:val="20"/>
        </w:rPr>
      </w:pPr>
      <w:r>
        <w:rPr>
          <w:noProof/>
          <w:sz w:val="20"/>
        </w:rPr>
        <w:t xml:space="preserve">Best practice has moved towards a risk-based approach at strategic and operational levels in which the best mix of compliance monitoring, promotion and enforcement is directed at the most serious problems. Best practice also recognises the need for </w:t>
      </w:r>
      <w:r>
        <w:rPr>
          <w:noProof/>
          <w:sz w:val="20"/>
        </w:rPr>
        <w:t>coordination and cooperation between different authorities to ensure consistency, avoid duplication of work and reduce administrative burden. Active participation in established pan-European networks of inspectors, police, prosecutors and judges, such as</w:t>
      </w:r>
      <w:r>
        <w:rPr>
          <w:i/>
          <w:noProof/>
          <w:sz w:val="20"/>
        </w:rPr>
        <w:t xml:space="preserve"> I</w:t>
      </w:r>
      <w:r>
        <w:rPr>
          <w:i/>
          <w:noProof/>
          <w:sz w:val="20"/>
        </w:rPr>
        <w:t>MPEL</w:t>
      </w:r>
      <w:r>
        <w:rPr>
          <w:i/>
          <w:noProof/>
          <w:sz w:val="20"/>
          <w:vertAlign w:val="superscript"/>
        </w:rPr>
        <w:footnoteReference w:id="105"/>
      </w:r>
      <w:r>
        <w:rPr>
          <w:i/>
          <w:noProof/>
          <w:sz w:val="20"/>
        </w:rPr>
        <w:t>, EUFJE</w:t>
      </w:r>
      <w:r>
        <w:rPr>
          <w:i/>
          <w:noProof/>
          <w:sz w:val="20"/>
          <w:vertAlign w:val="superscript"/>
        </w:rPr>
        <w:footnoteReference w:id="106"/>
      </w:r>
      <w:r>
        <w:rPr>
          <w:i/>
          <w:noProof/>
          <w:sz w:val="20"/>
        </w:rPr>
        <w:t>, ENPE</w:t>
      </w:r>
      <w:r>
        <w:rPr>
          <w:i/>
          <w:noProof/>
          <w:sz w:val="20"/>
          <w:vertAlign w:val="superscript"/>
        </w:rPr>
        <w:footnoteReference w:id="107"/>
      </w:r>
      <w:r>
        <w:rPr>
          <w:i/>
          <w:noProof/>
          <w:sz w:val="20"/>
        </w:rPr>
        <w:t xml:space="preserve"> and EnviCrimeNet</w:t>
      </w:r>
      <w:r>
        <w:rPr>
          <w:i/>
          <w:noProof/>
          <w:sz w:val="20"/>
          <w:vertAlign w:val="superscript"/>
        </w:rPr>
        <w:footnoteReference w:id="108"/>
      </w:r>
      <w:r>
        <w:rPr>
          <w:noProof/>
          <w:sz w:val="20"/>
        </w:rPr>
        <w:t>, is a valuable tool for sharing experience and good practices.</w:t>
      </w:r>
    </w:p>
    <w:p w:rsidR="003D2157" w:rsidRDefault="00670DB4">
      <w:pPr>
        <w:widowControl w:val="0"/>
        <w:spacing w:after="120" w:line="240" w:lineRule="auto"/>
        <w:jc w:val="both"/>
        <w:rPr>
          <w:noProof/>
          <w:sz w:val="20"/>
        </w:rPr>
      </w:pPr>
      <w:r>
        <w:rPr>
          <w:noProof/>
          <w:sz w:val="20"/>
        </w:rPr>
        <w:t>Currently, there exist a number of sectoral obligations on inspections and the EU directive on environmental liability (ELD)</w:t>
      </w:r>
      <w:r>
        <w:rPr>
          <w:noProof/>
          <w:sz w:val="16"/>
          <w:szCs w:val="16"/>
          <w:vertAlign w:val="superscript"/>
        </w:rPr>
        <w:footnoteReference w:id="109"/>
      </w:r>
      <w:r>
        <w:rPr>
          <w:noProof/>
          <w:sz w:val="20"/>
        </w:rPr>
        <w:t xml:space="preserve"> provides a means of ensuring</w:t>
      </w:r>
      <w:r>
        <w:rPr>
          <w:noProof/>
          <w:sz w:val="20"/>
        </w:rPr>
        <w:t xml:space="preserve"> that the "polluter-pays principle" is applied when there are accidents and incidents that harm the environment. There is also publically available information giving insights into existing strengths and weaknesses in each Member State. </w:t>
      </w:r>
    </w:p>
    <w:p w:rsidR="003D2157" w:rsidRDefault="00670DB4">
      <w:pPr>
        <w:widowControl w:val="0"/>
        <w:spacing w:after="120" w:line="240" w:lineRule="auto"/>
        <w:jc w:val="both"/>
        <w:rPr>
          <w:noProof/>
          <w:sz w:val="20"/>
        </w:rPr>
      </w:pPr>
      <w:r>
        <w:rPr>
          <w:noProof/>
          <w:sz w:val="20"/>
        </w:rPr>
        <w:t>For each Member St</w:t>
      </w:r>
      <w:r>
        <w:rPr>
          <w:noProof/>
          <w:sz w:val="20"/>
        </w:rPr>
        <w:t>ate, the following were therefore reviewed: use of risk-based compliance assurance; coordination and co-operation between authorities and participation in pan-European networks; and key aspects of implementation of the ELD based on the Commission's recentl</w:t>
      </w:r>
      <w:r>
        <w:rPr>
          <w:noProof/>
          <w:sz w:val="20"/>
        </w:rPr>
        <w:t>y published implementation report and REFIT evaluation</w:t>
      </w:r>
      <w:r>
        <w:rPr>
          <w:noProof/>
          <w:sz w:val="16"/>
          <w:szCs w:val="16"/>
          <w:vertAlign w:val="superscript"/>
        </w:rPr>
        <w:footnoteReference w:id="110"/>
      </w:r>
      <w:r>
        <w:rPr>
          <w:noProof/>
          <w:sz w:val="20"/>
        </w:rPr>
        <w:t xml:space="preserve">. </w:t>
      </w: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In the United Kingdom, risk-based methods and a related broad mix of compliance assurance interventions are evident at strategic and operational levels: </w:t>
      </w:r>
    </w:p>
    <w:p w:rsidR="003D2157" w:rsidRDefault="00670DB4">
      <w:pPr>
        <w:widowControl w:val="0"/>
        <w:numPr>
          <w:ilvl w:val="0"/>
          <w:numId w:val="27"/>
        </w:numPr>
        <w:spacing w:after="0" w:line="240" w:lineRule="auto"/>
        <w:jc w:val="both"/>
        <w:rPr>
          <w:rFonts w:cs="Times New Roman"/>
          <w:bCs/>
          <w:noProof/>
          <w:color w:val="000000" w:themeColor="text1"/>
          <w:sz w:val="20"/>
        </w:rPr>
      </w:pPr>
      <w:r>
        <w:rPr>
          <w:rFonts w:cs="Times New Roman"/>
          <w:noProof/>
          <w:color w:val="000000" w:themeColor="text1"/>
          <w:sz w:val="20"/>
        </w:rPr>
        <w:t>The UK has established good compliance promo</w:t>
      </w:r>
      <w:r>
        <w:rPr>
          <w:rFonts w:cs="Times New Roman"/>
          <w:noProof/>
          <w:color w:val="000000" w:themeColor="text1"/>
          <w:sz w:val="20"/>
        </w:rPr>
        <w:t xml:space="preserve">tion practices. These include structured dialogues with the regulated community and systematic use of the </w:t>
      </w:r>
      <w:r>
        <w:rPr>
          <w:rFonts w:cs="Times New Roman"/>
          <w:bCs/>
          <w:noProof/>
          <w:color w:val="000000" w:themeColor="text1"/>
          <w:sz w:val="20"/>
        </w:rPr>
        <w:t>Internet-based NetRegs compliance assistance tool</w:t>
      </w:r>
      <w:r>
        <w:rPr>
          <w:rFonts w:cs="Times New Roman"/>
          <w:noProof/>
          <w:color w:val="000000" w:themeColor="text1"/>
          <w:sz w:val="20"/>
        </w:rPr>
        <w:t xml:space="preserve"> created in partnership between the Northern Ireland Environmental Agency (NIEA) and the SEPA in Scot</w:t>
      </w:r>
      <w:r>
        <w:rPr>
          <w:rFonts w:cs="Times New Roman"/>
          <w:noProof/>
          <w:color w:val="000000" w:themeColor="text1"/>
          <w:sz w:val="20"/>
        </w:rPr>
        <w:t>land to provide free environmental guidance to small and medium-sized businesses</w:t>
      </w:r>
      <w:r>
        <w:rPr>
          <w:rFonts w:cs="Times New Roman"/>
          <w:noProof/>
          <w:color w:val="000000" w:themeColor="text1"/>
          <w:sz w:val="20"/>
          <w:vertAlign w:val="superscript"/>
        </w:rPr>
        <w:footnoteReference w:id="111"/>
      </w:r>
      <w:r>
        <w:rPr>
          <w:rFonts w:cs="Times New Roman"/>
          <w:noProof/>
          <w:color w:val="000000" w:themeColor="text1"/>
          <w:sz w:val="20"/>
        </w:rPr>
        <w:t>. Similar web-based tools are provided also by the Environment Agency in England</w:t>
      </w:r>
      <w:r>
        <w:rPr>
          <w:rFonts w:cs="Times New Roman"/>
          <w:noProof/>
          <w:color w:val="000000" w:themeColor="text1"/>
          <w:sz w:val="16"/>
          <w:szCs w:val="16"/>
          <w:vertAlign w:val="superscript"/>
        </w:rPr>
        <w:footnoteReference w:id="112"/>
      </w:r>
      <w:r>
        <w:rPr>
          <w:rFonts w:cs="Times New Roman"/>
          <w:noProof/>
          <w:color w:val="000000" w:themeColor="text1"/>
          <w:sz w:val="20"/>
        </w:rPr>
        <w:t xml:space="preserve">; </w:t>
      </w:r>
    </w:p>
    <w:p w:rsidR="003D2157" w:rsidRDefault="00670DB4">
      <w:pPr>
        <w:widowControl w:val="0"/>
        <w:numPr>
          <w:ilvl w:val="0"/>
          <w:numId w:val="27"/>
        </w:numPr>
        <w:spacing w:after="0" w:line="240" w:lineRule="auto"/>
        <w:jc w:val="both"/>
        <w:rPr>
          <w:rFonts w:cs="Times New Roman"/>
          <w:i/>
          <w:iCs/>
          <w:noProof/>
          <w:color w:val="000000" w:themeColor="text1"/>
          <w:sz w:val="20"/>
        </w:rPr>
      </w:pPr>
      <w:r>
        <w:rPr>
          <w:rFonts w:cs="Times New Roman"/>
          <w:noProof/>
          <w:color w:val="000000" w:themeColor="text1"/>
          <w:sz w:val="20"/>
        </w:rPr>
        <w:t>Risk based assessments to classify sectors, target inspection work and inform inspection fr</w:t>
      </w:r>
      <w:r>
        <w:rPr>
          <w:rFonts w:cs="Times New Roman"/>
          <w:noProof/>
          <w:color w:val="000000" w:themeColor="text1"/>
          <w:sz w:val="20"/>
        </w:rPr>
        <w:t xml:space="preserve">equencies are widely used. The Environment Agency of England, for instance, has developed the </w:t>
      </w:r>
      <w:r>
        <w:rPr>
          <w:rFonts w:cs="Times New Roman"/>
          <w:i/>
          <w:iCs/>
          <w:noProof/>
          <w:color w:val="000000" w:themeColor="text1"/>
          <w:sz w:val="20"/>
        </w:rPr>
        <w:t xml:space="preserve">Operational Risk Appraisal (Opra) </w:t>
      </w:r>
      <w:r>
        <w:rPr>
          <w:rFonts w:cs="Times New Roman"/>
          <w:noProof/>
          <w:color w:val="000000" w:themeColor="text1"/>
          <w:sz w:val="20"/>
        </w:rPr>
        <w:t>scheme to enable a common approach to regulation and to target those industries that pose the greatest risk to the environment</w:t>
      </w:r>
      <w:r>
        <w:rPr>
          <w:rFonts w:cs="Times New Roman"/>
          <w:noProof/>
          <w:color w:val="000000" w:themeColor="text1"/>
          <w:sz w:val="16"/>
          <w:szCs w:val="16"/>
          <w:vertAlign w:val="superscript"/>
        </w:rPr>
        <w:footnoteReference w:id="113"/>
      </w:r>
      <w:r>
        <w:rPr>
          <w:rFonts w:cs="Times New Roman"/>
          <w:noProof/>
          <w:color w:val="000000" w:themeColor="text1"/>
          <w:sz w:val="20"/>
        </w:rPr>
        <w:t xml:space="preserve">; </w:t>
      </w:r>
    </w:p>
    <w:p w:rsidR="003D2157" w:rsidRDefault="00670DB4">
      <w:pPr>
        <w:widowControl w:val="0"/>
        <w:numPr>
          <w:ilvl w:val="0"/>
          <w:numId w:val="27"/>
        </w:numPr>
        <w:spacing w:after="0" w:line="240" w:lineRule="auto"/>
        <w:jc w:val="both"/>
        <w:rPr>
          <w:rFonts w:cs="Times New Roman"/>
          <w:i/>
          <w:iCs/>
          <w:noProof/>
          <w:color w:val="000000" w:themeColor="text1"/>
          <w:sz w:val="20"/>
        </w:rPr>
      </w:pPr>
      <w:r>
        <w:rPr>
          <w:rFonts w:cs="Times New Roman"/>
          <w:bCs/>
          <w:noProof/>
          <w:color w:val="000000" w:themeColor="text1"/>
          <w:sz w:val="20"/>
        </w:rPr>
        <w:t xml:space="preserve">Tools, such as the Scottish Environmental Protection Agency (SEPA) Compliance Spectrum Model, have been developed for analysis of causes of non-compliance to enable proper selection of regulatory interventions to tackle different types of non-compliant </w:t>
      </w:r>
      <w:r>
        <w:rPr>
          <w:rFonts w:cs="Times New Roman"/>
          <w:bCs/>
          <w:noProof/>
          <w:color w:val="000000" w:themeColor="text1"/>
          <w:sz w:val="20"/>
        </w:rPr>
        <w:t xml:space="preserve">behaviour; </w:t>
      </w:r>
    </w:p>
    <w:p w:rsidR="003D2157" w:rsidRDefault="00670DB4">
      <w:pPr>
        <w:widowControl w:val="0"/>
        <w:numPr>
          <w:ilvl w:val="0"/>
          <w:numId w:val="27"/>
        </w:numPr>
        <w:spacing w:after="0" w:line="240" w:lineRule="auto"/>
        <w:jc w:val="both"/>
        <w:rPr>
          <w:rFonts w:cs="Times New Roman"/>
          <w:bCs/>
          <w:noProof/>
          <w:color w:val="000000" w:themeColor="text1"/>
          <w:sz w:val="20"/>
        </w:rPr>
      </w:pPr>
      <w:r>
        <w:rPr>
          <w:rFonts w:cs="Times New Roman"/>
          <w:bCs/>
          <w:noProof/>
          <w:color w:val="000000" w:themeColor="text1"/>
          <w:sz w:val="20"/>
        </w:rPr>
        <w:t>Use of audit to evaluate performance strategically</w:t>
      </w:r>
      <w:r>
        <w:rPr>
          <w:rFonts w:cs="Times New Roman"/>
          <w:bCs/>
          <w:noProof/>
          <w:color w:val="000000" w:themeColor="text1"/>
          <w:sz w:val="16"/>
          <w:szCs w:val="16"/>
          <w:vertAlign w:val="superscript"/>
        </w:rPr>
        <w:footnoteReference w:id="114"/>
      </w:r>
      <w:r>
        <w:rPr>
          <w:rFonts w:cs="Times New Roman"/>
          <w:bCs/>
          <w:noProof/>
          <w:color w:val="000000" w:themeColor="text1"/>
          <w:sz w:val="20"/>
        </w:rPr>
        <w:t>;</w:t>
      </w:r>
    </w:p>
    <w:p w:rsidR="003D2157" w:rsidRDefault="00670DB4">
      <w:pPr>
        <w:widowControl w:val="0"/>
        <w:numPr>
          <w:ilvl w:val="0"/>
          <w:numId w:val="27"/>
        </w:numPr>
        <w:spacing w:after="0" w:line="240" w:lineRule="auto"/>
        <w:jc w:val="both"/>
        <w:rPr>
          <w:rFonts w:cs="Times New Roman"/>
          <w:bCs/>
          <w:noProof/>
          <w:color w:val="000000" w:themeColor="text1"/>
          <w:sz w:val="20"/>
        </w:rPr>
      </w:pPr>
      <w:r>
        <w:rPr>
          <w:rFonts w:cs="Times New Roman"/>
          <w:bCs/>
          <w:noProof/>
          <w:color w:val="000000" w:themeColor="text1"/>
          <w:sz w:val="20"/>
        </w:rPr>
        <w:t>The UK Sentencing Council has developed guidance on the penalties for environmental crimes to make the enforcement system more effective and proportionate</w:t>
      </w:r>
      <w:r>
        <w:rPr>
          <w:rFonts w:cs="Times New Roman"/>
          <w:bCs/>
          <w:noProof/>
          <w:color w:val="000000" w:themeColor="text1"/>
          <w:sz w:val="16"/>
          <w:szCs w:val="16"/>
          <w:vertAlign w:val="superscript"/>
        </w:rPr>
        <w:footnoteReference w:id="115"/>
      </w:r>
      <w:r>
        <w:rPr>
          <w:rFonts w:cs="Times New Roman"/>
          <w:bCs/>
          <w:noProof/>
          <w:color w:val="000000" w:themeColor="text1"/>
          <w:sz w:val="20"/>
        </w:rPr>
        <w:t xml:space="preserve">. </w:t>
      </w:r>
    </w:p>
    <w:p w:rsidR="003D2157" w:rsidRDefault="003D2157">
      <w:pPr>
        <w:widowControl w:val="0"/>
        <w:spacing w:after="0" w:line="240" w:lineRule="auto"/>
        <w:ind w:left="360"/>
        <w:jc w:val="both"/>
        <w:rPr>
          <w:rFonts w:cs="Times New Roman"/>
          <w:bCs/>
          <w:noProof/>
          <w:color w:val="000000" w:themeColor="text1"/>
          <w:sz w:val="20"/>
        </w:rPr>
      </w:pPr>
    </w:p>
    <w:p w:rsidR="003D2157" w:rsidRDefault="00670DB4">
      <w:pPr>
        <w:widowControl w:val="0"/>
        <w:spacing w:after="120" w:line="240" w:lineRule="auto"/>
        <w:jc w:val="both"/>
        <w:rPr>
          <w:rFonts w:cs="Times New Roman"/>
          <w:noProof/>
          <w:color w:val="000000" w:themeColor="text1"/>
          <w:sz w:val="20"/>
        </w:rPr>
      </w:pPr>
      <w:r>
        <w:rPr>
          <w:rFonts w:cs="Times New Roman"/>
          <w:noProof/>
          <w:color w:val="000000" w:themeColor="text1"/>
          <w:sz w:val="20"/>
        </w:rPr>
        <w:t>Up-to-date information is nevert</w:t>
      </w:r>
      <w:r>
        <w:rPr>
          <w:rFonts w:cs="Times New Roman"/>
          <w:noProof/>
          <w:color w:val="000000" w:themeColor="text1"/>
          <w:sz w:val="20"/>
        </w:rPr>
        <w:t>heless lacking in relation to the following:</w:t>
      </w:r>
    </w:p>
    <w:p w:rsidR="003D2157" w:rsidRDefault="00670DB4">
      <w:pPr>
        <w:widowControl w:val="0"/>
        <w:numPr>
          <w:ilvl w:val="0"/>
          <w:numId w:val="28"/>
        </w:numPr>
        <w:spacing w:after="0" w:line="240" w:lineRule="auto"/>
        <w:jc w:val="both"/>
        <w:rPr>
          <w:rFonts w:cs="Times New Roman"/>
          <w:noProof/>
          <w:color w:val="000000" w:themeColor="text1"/>
          <w:sz w:val="20"/>
        </w:rPr>
      </w:pPr>
      <w:r>
        <w:rPr>
          <w:rFonts w:cs="Times New Roman"/>
          <w:noProof/>
          <w:color w:val="000000" w:themeColor="text1"/>
          <w:sz w:val="20"/>
        </w:rPr>
        <w:t>data collection arrangements to track the use and effectiveness of different compliance assurance interventions.</w:t>
      </w:r>
    </w:p>
    <w:p w:rsidR="003D2157" w:rsidRDefault="00670DB4">
      <w:pPr>
        <w:widowControl w:val="0"/>
        <w:numPr>
          <w:ilvl w:val="0"/>
          <w:numId w:val="28"/>
        </w:numPr>
        <w:spacing w:after="0" w:line="240" w:lineRule="auto"/>
        <w:jc w:val="both"/>
        <w:rPr>
          <w:rFonts w:cs="Times New Roman"/>
          <w:noProof/>
          <w:color w:val="000000" w:themeColor="text1"/>
          <w:sz w:val="20"/>
        </w:rPr>
      </w:pPr>
      <w:r>
        <w:rPr>
          <w:rFonts w:cs="Times New Roman"/>
          <w:noProof/>
          <w:color w:val="000000" w:themeColor="text1"/>
          <w:sz w:val="20"/>
        </w:rPr>
        <w:t>the extent to which risk-based methods are used to direct compliance assurance in specific problem</w:t>
      </w:r>
      <w:r>
        <w:rPr>
          <w:rFonts w:cs="Times New Roman"/>
          <w:noProof/>
          <w:color w:val="000000" w:themeColor="text1"/>
          <w:sz w:val="20"/>
        </w:rPr>
        <w:t>-areas highlighted elsewhere in this Country Report, in particular the unfavourable conservation status of many habitat types and species, air quality breaches and the pressures on water quality from diffuse water pollution.</w:t>
      </w:r>
    </w:p>
    <w:p w:rsidR="003D2157" w:rsidRDefault="00670DB4">
      <w:pPr>
        <w:spacing w:before="240" w:after="120" w:line="240" w:lineRule="auto"/>
        <w:jc w:val="both"/>
        <w:rPr>
          <w:rFonts w:cs="Times New Roman"/>
          <w:noProof/>
          <w:sz w:val="20"/>
        </w:rPr>
      </w:pPr>
      <w:r>
        <w:rPr>
          <w:rFonts w:cs="Times New Roman"/>
          <w:noProof/>
          <w:sz w:val="20"/>
        </w:rPr>
        <w:t>As a founding member, UK is one</w:t>
      </w:r>
      <w:r>
        <w:rPr>
          <w:rFonts w:cs="Times New Roman"/>
          <w:noProof/>
          <w:sz w:val="20"/>
        </w:rPr>
        <w:t xml:space="preserve"> of the main driving forces of the IMPEL network, taking leadership for many individual projects and contributing to the internal network governance. It is actively involved also in the work of other networks, such as ENPE, EUFJE and NEPA. Environmental ne</w:t>
      </w:r>
      <w:r>
        <w:rPr>
          <w:rFonts w:cs="Times New Roman"/>
          <w:noProof/>
          <w:sz w:val="20"/>
        </w:rPr>
        <w:t>tworks have also been established at national level to ensure better cooperation and coordination: for instance, a Partnership for Action against Wildlife Crime (PAW) was established to bring together representatives of all organisations involved in wildli</w:t>
      </w:r>
      <w:r>
        <w:rPr>
          <w:rFonts w:cs="Times New Roman"/>
          <w:noProof/>
          <w:sz w:val="20"/>
        </w:rPr>
        <w:t>fe law enforcement and to set joint priorities</w:t>
      </w:r>
      <w:r>
        <w:rPr>
          <w:rFonts w:cs="Times New Roman"/>
          <w:noProof/>
          <w:sz w:val="20"/>
          <w:vertAlign w:val="superscript"/>
        </w:rPr>
        <w:footnoteReference w:id="116"/>
      </w:r>
      <w:r>
        <w:rPr>
          <w:rFonts w:cs="Times New Roman"/>
          <w:noProof/>
          <w:sz w:val="20"/>
        </w:rPr>
        <w:t xml:space="preserve"> and a waste crime task force has been established by the Environmental Agency.</w:t>
      </w:r>
    </w:p>
    <w:p w:rsidR="003D2157" w:rsidRDefault="00670DB4">
      <w:pPr>
        <w:spacing w:after="120" w:line="240" w:lineRule="auto"/>
        <w:jc w:val="both"/>
        <w:rPr>
          <w:rFonts w:cs="Times New Roman"/>
          <w:noProof/>
          <w:sz w:val="20"/>
        </w:rPr>
      </w:pPr>
      <w:r>
        <w:rPr>
          <w:rFonts w:cs="Times New Roman"/>
          <w:noProof/>
          <w:sz w:val="20"/>
        </w:rPr>
        <w:t>Together with The Netherlands, Germany and other Member States, the United Kingdom prepared in the framework of the 'Make it Work</w:t>
      </w:r>
      <w:r>
        <w:rPr>
          <w:rFonts w:cs="Times New Roman"/>
          <w:noProof/>
          <w:sz w:val="20"/>
        </w:rPr>
        <w:t>' project principles for drafting provisions on compliance assurance in EU Environmental law</w:t>
      </w:r>
      <w:r>
        <w:rPr>
          <w:rFonts w:cs="Times New Roman"/>
          <w:noProof/>
          <w:sz w:val="20"/>
          <w:vertAlign w:val="superscript"/>
        </w:rPr>
        <w:footnoteReference w:id="117"/>
      </w:r>
      <w:r>
        <w:rPr>
          <w:rFonts w:cs="Times New Roman"/>
          <w:noProof/>
          <w:sz w:val="20"/>
        </w:rPr>
        <w:t>.</w:t>
      </w:r>
    </w:p>
    <w:p w:rsidR="003D2157" w:rsidRDefault="00670DB4">
      <w:pPr>
        <w:widowControl w:val="0"/>
        <w:spacing w:after="120" w:line="240" w:lineRule="auto"/>
        <w:jc w:val="both"/>
        <w:rPr>
          <w:rFonts w:cs="Times New Roman"/>
          <w:noProof/>
          <w:sz w:val="20"/>
        </w:rPr>
      </w:pPr>
      <w:r>
        <w:rPr>
          <w:rFonts w:cs="Times New Roman"/>
          <w:noProof/>
          <w:sz w:val="20"/>
        </w:rPr>
        <w:t>The United Kingdom is among the only nine Member States which have issued national guidelines on the interpretation of the transposing legislation. It also opera</w:t>
      </w:r>
      <w:r>
        <w:rPr>
          <w:rFonts w:cs="Times New Roman"/>
          <w:noProof/>
          <w:sz w:val="20"/>
        </w:rPr>
        <w:t>tes a public register of cases falling under the Environmental Liability Directive, containing useful information about the application of the Directive in the UK. Although it has a reasonable number of cases regarding the EU directive on environmental lia</w:t>
      </w:r>
      <w:r>
        <w:rPr>
          <w:rFonts w:cs="Times New Roman"/>
          <w:noProof/>
          <w:sz w:val="20"/>
        </w:rPr>
        <w:t>bility (20 in the period between 2007 and 2013), this number could be higher if the threshold interpreted by the UK authorities for the 'significance of a damage' was not that high, given the many instances of damage to natural resources treated under nati</w:t>
      </w:r>
      <w:r>
        <w:rPr>
          <w:rFonts w:cs="Times New Roman"/>
          <w:noProof/>
          <w:sz w:val="20"/>
        </w:rPr>
        <w:t>onal legislation (for example around 400 for damage to water on annual average).</w:t>
      </w:r>
    </w:p>
    <w:p w:rsidR="003D2157" w:rsidRDefault="00670DB4">
      <w:pPr>
        <w:widowControl w:val="0"/>
        <w:spacing w:after="60" w:line="240" w:lineRule="auto"/>
        <w:jc w:val="both"/>
        <w:rPr>
          <w:rFonts w:cstheme="minorHAnsi"/>
          <w:noProof/>
          <w:color w:val="1F497D" w:themeColor="text2"/>
          <w:szCs w:val="26"/>
        </w:rPr>
      </w:pPr>
      <w:r>
        <w:rPr>
          <w:rFonts w:cstheme="minorHAnsi"/>
          <w:noProof/>
          <w:color w:val="1F497D" w:themeColor="text2"/>
          <w:szCs w:val="26"/>
        </w:rPr>
        <w:t>Suggested action</w:t>
      </w:r>
    </w:p>
    <w:p w:rsidR="003D2157" w:rsidRDefault="00670DB4">
      <w:pPr>
        <w:pStyle w:val="NoSpacing"/>
        <w:rPr>
          <w:noProof/>
        </w:rPr>
      </w:pPr>
      <w:r>
        <w:rPr>
          <w:noProof/>
        </w:rPr>
        <w:t xml:space="preserve">Improve transparency on the organisation and functioning of compliance assurance and on how significant risks are addressed. </w:t>
      </w:r>
    </w:p>
    <w:p w:rsidR="003D2157" w:rsidRDefault="00670DB4">
      <w:pPr>
        <w:pStyle w:val="NoSpacing"/>
        <w:rPr>
          <w:noProof/>
        </w:rPr>
      </w:pPr>
      <w:r>
        <w:rPr>
          <w:noProof/>
        </w:rPr>
        <w:t xml:space="preserve">Take further steps to ensure an </w:t>
      </w:r>
      <w:r>
        <w:rPr>
          <w:noProof/>
        </w:rPr>
        <w:t>effective system of financial security for environmental liabilities (so that operators not only have insurance cover available to them but actually take it up).</w:t>
      </w:r>
    </w:p>
    <w:p w:rsidR="003D2157" w:rsidRDefault="00670DB4">
      <w:pPr>
        <w:widowControl w:val="0"/>
        <w:spacing w:before="360" w:after="120" w:line="240" w:lineRule="auto"/>
        <w:outlineLvl w:val="1"/>
        <w:rPr>
          <w:rFonts w:cs="Times New Roman"/>
          <w:b/>
          <w:noProof/>
          <w:color w:val="1F497D" w:themeColor="text2"/>
          <w:sz w:val="24"/>
        </w:rPr>
      </w:pPr>
      <w:bookmarkStart w:id="56" w:name="_Toc469394710"/>
      <w:r>
        <w:rPr>
          <w:rFonts w:cs="Times New Roman"/>
          <w:b/>
          <w:noProof/>
          <w:color w:val="1F497D" w:themeColor="text2"/>
          <w:sz w:val="24"/>
        </w:rPr>
        <w:t>Public participation and access to justice</w:t>
      </w:r>
      <w:bookmarkEnd w:id="56"/>
    </w:p>
    <w:p w:rsidR="003D2157" w:rsidRDefault="00670DB4">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related EU legislation on pu</w:t>
      </w:r>
      <w:r>
        <w:rPr>
          <w:rFonts w:cs="Times New Roman"/>
          <w:noProof/>
          <w:color w:val="FFFFFF" w:themeColor="background1"/>
          <w:sz w:val="20"/>
        </w:rPr>
        <w:t>blic participation and environmental impact assessment, and the case-law of the Court of Justice require that citizens and their associations should be able to participate in decision-making on projects and plans and should enjoy effective environmental ac</w:t>
      </w:r>
      <w:r>
        <w:rPr>
          <w:rFonts w:cs="Times New Roman"/>
          <w:noProof/>
          <w:color w:val="FFFFFF" w:themeColor="background1"/>
          <w:sz w:val="20"/>
        </w:rPr>
        <w:t>cess to justice.</w:t>
      </w:r>
    </w:p>
    <w:p w:rsidR="003D2157" w:rsidRDefault="00670DB4">
      <w:pPr>
        <w:widowControl w:val="0"/>
        <w:spacing w:after="120" w:line="240" w:lineRule="auto"/>
        <w:jc w:val="both"/>
        <w:rPr>
          <w:rFonts w:cs="Times New Roman"/>
          <w:noProof/>
          <w:sz w:val="20"/>
        </w:rPr>
      </w:pPr>
      <w:r>
        <w:rPr>
          <w:rFonts w:cs="Times New Roman"/>
          <w:noProof/>
          <w:color w:val="000000" w:themeColor="text1"/>
          <w:sz w:val="20"/>
        </w:rPr>
        <w:t>Citizens can more effectively protect the environment if they can rely on the three "pillars" of the</w:t>
      </w:r>
      <w:r>
        <w:rPr>
          <w:rFonts w:cs="Times New Roman"/>
          <w:noProof/>
          <w:sz w:val="20"/>
        </w:rPr>
        <w:t xml:space="preserve"> Convention on Access to Information, Public Participation in Decision-making and Access to Justice in Environmental Matters ("the</w:t>
      </w:r>
      <w:r>
        <w:rPr>
          <w:rFonts w:cs="Times New Roman"/>
          <w:b/>
          <w:noProof/>
          <w:sz w:val="20"/>
        </w:rPr>
        <w:t xml:space="preserve"> </w:t>
      </w:r>
      <w:r>
        <w:rPr>
          <w:rFonts w:cs="Times New Roman"/>
          <w:noProof/>
          <w:color w:val="000000" w:themeColor="text1"/>
          <w:sz w:val="20"/>
        </w:rPr>
        <w:t>Aarhus C</w:t>
      </w:r>
      <w:r>
        <w:rPr>
          <w:rFonts w:cs="Times New Roman"/>
          <w:noProof/>
          <w:color w:val="000000" w:themeColor="text1"/>
          <w:sz w:val="20"/>
        </w:rPr>
        <w:t xml:space="preserve">onvention"). </w:t>
      </w:r>
      <w:r>
        <w:rPr>
          <w:rFonts w:cs="Times New Roman"/>
          <w:noProof/>
          <w:sz w:val="20"/>
        </w:rPr>
        <w:t>Public participation in the administrative decision making process is an important element to ensure that the authority takes its decision on the best possible basis. The Commission intends to examine compliance with mandatory public participa</w:t>
      </w:r>
      <w:r>
        <w:rPr>
          <w:rFonts w:cs="Times New Roman"/>
          <w:noProof/>
          <w:sz w:val="20"/>
        </w:rPr>
        <w:t>tion requirements more systematically at a later stage.</w:t>
      </w:r>
    </w:p>
    <w:p w:rsidR="003D2157" w:rsidRDefault="00670DB4">
      <w:pPr>
        <w:widowControl w:val="0"/>
        <w:spacing w:after="120" w:line="240" w:lineRule="auto"/>
        <w:jc w:val="both"/>
        <w:rPr>
          <w:rFonts w:cs="Times New Roman"/>
          <w:noProof/>
          <w:sz w:val="20"/>
        </w:rPr>
      </w:pPr>
      <w:r>
        <w:rPr>
          <w:rFonts w:cs="Times New Roman"/>
          <w:noProof/>
          <w:sz w:val="20"/>
        </w:rPr>
        <w:t>Access to justice in environmental matters is a set of guarantees that allows citizens and their associations to challenge acts or omissions of the public administration before a court. It is a tool f</w:t>
      </w:r>
      <w:r>
        <w:rPr>
          <w:rFonts w:cs="Times New Roman"/>
          <w:noProof/>
          <w:sz w:val="20"/>
        </w:rPr>
        <w:t>or decentralised implementation of EU environmental law.</w:t>
      </w:r>
    </w:p>
    <w:p w:rsidR="003D2157" w:rsidRDefault="00670DB4">
      <w:pPr>
        <w:widowControl w:val="0"/>
        <w:spacing w:after="120" w:line="240" w:lineRule="auto"/>
        <w:jc w:val="both"/>
        <w:rPr>
          <w:rFonts w:cs="Times New Roman"/>
          <w:noProof/>
          <w:sz w:val="20"/>
        </w:rPr>
      </w:pPr>
      <w:r>
        <w:rPr>
          <w:rFonts w:cs="Times New Roman"/>
          <w:noProof/>
          <w:sz w:val="20"/>
        </w:rPr>
        <w:t>For each Member State, two crucial elements for effective access to justice have been systematically reviewed: the legal standing for the public, including NGOs and the extent to which prohibitive co</w:t>
      </w:r>
      <w:r>
        <w:rPr>
          <w:rFonts w:cs="Times New Roman"/>
          <w:noProof/>
          <w:sz w:val="20"/>
        </w:rPr>
        <w:t>sts represent a barrier.</w:t>
      </w:r>
    </w:p>
    <w:p w:rsidR="003D2157" w:rsidRDefault="00670DB4">
      <w:pPr>
        <w:widowControl w:val="0"/>
        <w:spacing w:after="120" w:line="240" w:lineRule="auto"/>
        <w:jc w:val="both"/>
        <w:rPr>
          <w:rFonts w:cs="Times New Roman"/>
          <w:noProof/>
          <w:sz w:val="20"/>
        </w:rPr>
      </w:pPr>
      <w:r>
        <w:rPr>
          <w:rFonts w:cs="Times New Roman"/>
          <w:noProof/>
          <w:sz w:val="20"/>
        </w:rPr>
        <w:t>The UK has a legal system which allows for the pubic, including environmental NGOs, to take environmental cases to the courts. However, the high costs for litigation before the UK courts, remains one of the biggest deterrent in sec</w:t>
      </w:r>
      <w:r>
        <w:rPr>
          <w:rFonts w:cs="Times New Roman"/>
          <w:noProof/>
          <w:sz w:val="20"/>
        </w:rPr>
        <w:t>uring access to environmental justice across the UK</w:t>
      </w:r>
      <w:r>
        <w:rPr>
          <w:rFonts w:cs="Times New Roman"/>
          <w:noProof/>
          <w:sz w:val="20"/>
          <w:vertAlign w:val="superscript"/>
        </w:rPr>
        <w:footnoteReference w:id="118"/>
      </w:r>
      <w:r>
        <w:rPr>
          <w:rFonts w:cs="Times New Roman"/>
          <w:noProof/>
          <w:sz w:val="20"/>
        </w:rPr>
        <w:t>. The UK’s jurisdictions introduced costs protection rules for environmental challenges in 2013 and are in the process of reviewing those rules</w:t>
      </w:r>
      <w:r>
        <w:rPr>
          <w:rFonts w:cs="Times New Roman"/>
          <w:noProof/>
          <w:sz w:val="20"/>
          <w:vertAlign w:val="superscript"/>
        </w:rPr>
        <w:footnoteReference w:id="119"/>
      </w:r>
      <w:r>
        <w:rPr>
          <w:rFonts w:cs="Times New Roman"/>
          <w:noProof/>
          <w:sz w:val="20"/>
        </w:rPr>
        <w:t xml:space="preserve">. </w:t>
      </w:r>
    </w:p>
    <w:p w:rsidR="003D2157" w:rsidRDefault="00670DB4">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3D2157" w:rsidRDefault="00670DB4">
      <w:pPr>
        <w:pStyle w:val="NoSpacing"/>
        <w:rPr>
          <w:noProof/>
        </w:rPr>
      </w:pPr>
      <w:r>
        <w:rPr>
          <w:noProof/>
        </w:rPr>
        <w:t>Ensure that the costs of legal challenge</w:t>
      </w:r>
      <w:r>
        <w:rPr>
          <w:noProof/>
        </w:rPr>
        <w:t xml:space="preserve">s involving EU environmental law are not prohibitively expensive, and in line with the requirements of EU law as well as the Aarhus Convention. </w:t>
      </w:r>
    </w:p>
    <w:p w:rsidR="003D2157" w:rsidRDefault="00670DB4">
      <w:pPr>
        <w:widowControl w:val="0"/>
        <w:spacing w:before="360" w:after="120" w:line="240" w:lineRule="auto"/>
        <w:outlineLvl w:val="1"/>
        <w:rPr>
          <w:rFonts w:cs="Times New Roman"/>
          <w:b/>
          <w:noProof/>
          <w:color w:val="1F497D" w:themeColor="text2"/>
          <w:sz w:val="24"/>
        </w:rPr>
      </w:pPr>
      <w:bookmarkStart w:id="57" w:name="_Toc469394711"/>
      <w:r>
        <w:rPr>
          <w:rFonts w:cs="Times New Roman"/>
          <w:b/>
          <w:noProof/>
          <w:color w:val="1F497D" w:themeColor="text2"/>
          <w:sz w:val="24"/>
        </w:rPr>
        <w:t>Access to Information, knowledge and evidence</w:t>
      </w:r>
      <w:bookmarkEnd w:id="57"/>
    </w:p>
    <w:p w:rsidR="003D2157" w:rsidRDefault="00670DB4">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and related EU legislation on access to inf</w:t>
      </w:r>
      <w:r>
        <w:rPr>
          <w:rFonts w:cs="Times New Roman"/>
          <w:noProof/>
          <w:color w:val="FFFFFF" w:themeColor="background1"/>
          <w:sz w:val="20"/>
        </w:rPr>
        <w:t>ormation and the sharing of spatial data require that the public has access to clear information on the environment, including on how Union environmental law is being implemented.</w:t>
      </w:r>
    </w:p>
    <w:p w:rsidR="003D2157" w:rsidRDefault="00670DB4">
      <w:pPr>
        <w:widowControl w:val="0"/>
        <w:spacing w:after="120" w:line="240" w:lineRule="auto"/>
        <w:jc w:val="both"/>
        <w:rPr>
          <w:rFonts w:cs="Times New Roman"/>
          <w:noProof/>
          <w:sz w:val="20"/>
        </w:rPr>
      </w:pPr>
      <w:r>
        <w:rPr>
          <w:rFonts w:cs="Times New Roman"/>
          <w:noProof/>
          <w:sz w:val="20"/>
        </w:rPr>
        <w:t>It is of crucial importance to public authorities, the public and business t</w:t>
      </w:r>
      <w:r>
        <w:rPr>
          <w:rFonts w:cs="Times New Roman"/>
          <w:noProof/>
          <w:sz w:val="20"/>
        </w:rPr>
        <w:t>hat environmental information is shared in an efficient and effective way. This covers reporting by businesses and public authorities and active dissemination to the public, increasingly through electronic means.</w:t>
      </w:r>
    </w:p>
    <w:p w:rsidR="003D2157" w:rsidRDefault="00670DB4">
      <w:pPr>
        <w:widowControl w:val="0"/>
        <w:spacing w:after="120" w:line="240" w:lineRule="auto"/>
        <w:jc w:val="both"/>
        <w:rPr>
          <w:rFonts w:cs="Times New Roman"/>
          <w:noProof/>
          <w:sz w:val="20"/>
        </w:rPr>
      </w:pPr>
      <w:r>
        <w:rPr>
          <w:rFonts w:cs="Times New Roman"/>
          <w:noProof/>
          <w:sz w:val="20"/>
        </w:rPr>
        <w:t>The Aarhus Convention</w:t>
      </w:r>
      <w:r>
        <w:rPr>
          <w:rFonts w:cs="Times New Roman"/>
          <w:noProof/>
          <w:sz w:val="16"/>
          <w:szCs w:val="16"/>
          <w:vertAlign w:val="superscript"/>
        </w:rPr>
        <w:footnoteReference w:id="120"/>
      </w:r>
      <w:r>
        <w:rPr>
          <w:rFonts w:cs="Times New Roman"/>
          <w:noProof/>
          <w:sz w:val="20"/>
        </w:rPr>
        <w:t>, the Access to Envir</w:t>
      </w:r>
      <w:r>
        <w:rPr>
          <w:rFonts w:cs="Times New Roman"/>
          <w:noProof/>
          <w:sz w:val="20"/>
        </w:rPr>
        <w:t>onmental Information Directive</w:t>
      </w:r>
      <w:r>
        <w:rPr>
          <w:rFonts w:cs="Times New Roman"/>
          <w:noProof/>
          <w:sz w:val="16"/>
          <w:szCs w:val="16"/>
          <w:vertAlign w:val="superscript"/>
        </w:rPr>
        <w:footnoteReference w:id="121"/>
      </w:r>
      <w:r>
        <w:rPr>
          <w:rFonts w:cs="Times New Roman"/>
          <w:noProof/>
          <w:sz w:val="20"/>
        </w:rPr>
        <w:t xml:space="preserve"> and the INSPIRE Directive</w:t>
      </w:r>
      <w:r>
        <w:rPr>
          <w:rFonts w:cs="Times New Roman"/>
          <w:noProof/>
          <w:sz w:val="16"/>
          <w:szCs w:val="16"/>
          <w:vertAlign w:val="superscript"/>
        </w:rPr>
        <w:footnoteReference w:id="122"/>
      </w:r>
      <w:r>
        <w:rPr>
          <w:rFonts w:cs="Times New Roman"/>
          <w:noProof/>
          <w:sz w:val="16"/>
          <w:szCs w:val="16"/>
        </w:rPr>
        <w:t xml:space="preserve"> </w:t>
      </w:r>
      <w:r>
        <w:rPr>
          <w:rFonts w:cs="Times New Roman"/>
          <w:noProof/>
          <w:sz w:val="20"/>
        </w:rPr>
        <w:t xml:space="preserve">together create a legal foundation for the sharing of environmental information between public authorities and with the public. They also represent the green part of the ongoing EU e-Government </w:t>
      </w:r>
      <w:r>
        <w:rPr>
          <w:rFonts w:cs="Times New Roman"/>
          <w:noProof/>
          <w:sz w:val="20"/>
        </w:rPr>
        <w:t>Action Plan</w:t>
      </w:r>
      <w:r>
        <w:rPr>
          <w:rFonts w:cs="Times New Roman"/>
          <w:noProof/>
          <w:sz w:val="16"/>
          <w:szCs w:val="16"/>
          <w:vertAlign w:val="superscript"/>
        </w:rPr>
        <w:footnoteReference w:id="123"/>
      </w:r>
      <w:r>
        <w:rPr>
          <w:rFonts w:cs="Times New Roman"/>
          <w:noProof/>
          <w:sz w:val="20"/>
        </w:rPr>
        <w:t>. The first two instruments create obligations to provide information to the public, both on request and actively. The INSPIRE Directive is a pioneering instrument for electronic data-sharing between public authorities who can vary in their dat</w:t>
      </w:r>
      <w:r>
        <w:rPr>
          <w:rFonts w:cs="Times New Roman"/>
          <w:noProof/>
          <w:sz w:val="20"/>
        </w:rPr>
        <w:t xml:space="preserve">a-sharing policies, e.g. on whether access to data is for free. The INSPIRE Directive sets up a geoportal which indicates the level of shared spatial data in each Member State – i.e. data related to specific locations, such as air quality monitoring data. </w:t>
      </w:r>
      <w:r>
        <w:rPr>
          <w:rFonts w:cs="Times New Roman"/>
          <w:noProof/>
          <w:sz w:val="20"/>
        </w:rPr>
        <w:t xml:space="preserve">Amongst other benefits it facilitates the public authorities' reporting obligations. </w:t>
      </w:r>
    </w:p>
    <w:p w:rsidR="003D2157" w:rsidRDefault="00670DB4">
      <w:pPr>
        <w:widowControl w:val="0"/>
        <w:spacing w:after="120" w:line="240" w:lineRule="auto"/>
        <w:jc w:val="both"/>
        <w:rPr>
          <w:rFonts w:cs="Times New Roman"/>
          <w:noProof/>
          <w:sz w:val="20"/>
        </w:rPr>
      </w:pPr>
      <w:r>
        <w:rPr>
          <w:rFonts w:cs="Times New Roman"/>
          <w:noProof/>
          <w:sz w:val="20"/>
        </w:rPr>
        <w:t>For each Member State, the accessibility of environmental data (based on what the INSPIRE Directive envisages) as well as data-sharing policies ('open data') have been sy</w:t>
      </w:r>
      <w:r>
        <w:rPr>
          <w:rFonts w:cs="Times New Roman"/>
          <w:noProof/>
          <w:sz w:val="20"/>
        </w:rPr>
        <w:t xml:space="preserve">stematically reviewed. </w:t>
      </w:r>
    </w:p>
    <w:p w:rsidR="003D2157" w:rsidRDefault="00670DB4">
      <w:pPr>
        <w:widowControl w:val="0"/>
        <w:spacing w:after="120" w:line="240" w:lineRule="auto"/>
        <w:jc w:val="both"/>
        <w:rPr>
          <w:rFonts w:cs="Times New Roman"/>
          <w:noProof/>
          <w:sz w:val="20"/>
        </w:rPr>
      </w:pPr>
      <w:r>
        <w:rPr>
          <w:rFonts w:cs="Times New Roman"/>
          <w:noProof/>
          <w:sz w:val="20"/>
        </w:rPr>
        <w:t>United Kingdom's performance on the implementation of the INSPIRE Directive as enabling framework to actively disseminate environmental information to the public is good, but leaves room for improvement. United Kingdom has indicated</w:t>
      </w:r>
      <w:r>
        <w:rPr>
          <w:rFonts w:cs="Times New Roman"/>
          <w:noProof/>
          <w:sz w:val="20"/>
        </w:rPr>
        <w:t xml:space="preserve"> in the 3-yearly INSPIRE implementation report</w:t>
      </w:r>
      <w:r>
        <w:rPr>
          <w:rFonts w:cs="Times New Roman"/>
          <w:noProof/>
          <w:sz w:val="20"/>
          <w:vertAlign w:val="superscript"/>
        </w:rPr>
        <w:footnoteReference w:id="124"/>
      </w:r>
      <w:r>
        <w:rPr>
          <w:rFonts w:cs="Times New Roman"/>
          <w:noProof/>
          <w:sz w:val="20"/>
        </w:rPr>
        <w:t xml:space="preserve"> that the necessary data-sharing policies allowing access and use of spatial data by national administrations, other Member States' administrations and EU institutions without procedural obstacles are availabl</w:t>
      </w:r>
      <w:r>
        <w:rPr>
          <w:rFonts w:cs="Times New Roman"/>
          <w:noProof/>
          <w:sz w:val="20"/>
        </w:rPr>
        <w:t xml:space="preserve">e and implemented. The UK simplified its licensing arrangements and the Open Government Licence, promoted for use by public bodies, is now widely used. </w:t>
      </w:r>
    </w:p>
    <w:p w:rsidR="003D2157" w:rsidRDefault="00670DB4">
      <w:pPr>
        <w:widowControl w:val="0"/>
        <w:spacing w:after="120" w:line="240" w:lineRule="auto"/>
        <w:jc w:val="both"/>
        <w:rPr>
          <w:rFonts w:cs="Times New Roman"/>
          <w:noProof/>
          <w:sz w:val="20"/>
        </w:rPr>
      </w:pPr>
      <w:r>
        <w:rPr>
          <w:rFonts w:cs="Times New Roman"/>
          <w:noProof/>
          <w:sz w:val="20"/>
        </w:rPr>
        <w:t>Assessments of monitoring reports</w:t>
      </w:r>
      <w:r>
        <w:rPr>
          <w:rFonts w:cs="Times New Roman"/>
          <w:noProof/>
          <w:sz w:val="16"/>
          <w:szCs w:val="16"/>
          <w:vertAlign w:val="superscript"/>
        </w:rPr>
        <w:footnoteReference w:id="125"/>
      </w:r>
      <w:r>
        <w:rPr>
          <w:rFonts w:cs="Times New Roman"/>
          <w:noProof/>
          <w:sz w:val="20"/>
        </w:rPr>
        <w:t xml:space="preserve"> issued by United Kingdom and the spatial information that United Kingdom has published on the INSPIRE geoportal</w:t>
      </w:r>
      <w:r>
        <w:rPr>
          <w:rFonts w:cs="Times New Roman"/>
          <w:noProof/>
          <w:sz w:val="20"/>
          <w:vertAlign w:val="superscript"/>
        </w:rPr>
        <w:footnoteReference w:id="126"/>
      </w:r>
      <w:r>
        <w:rPr>
          <w:rFonts w:cs="Times New Roman"/>
          <w:noProof/>
          <w:sz w:val="20"/>
        </w:rPr>
        <w:t xml:space="preserve"> indicate that not all spatial information needed for the evaluation and implementation of EU environmental law has been made available or is a</w:t>
      </w:r>
      <w:r>
        <w:rPr>
          <w:rFonts w:cs="Times New Roman"/>
          <w:noProof/>
          <w:sz w:val="20"/>
        </w:rPr>
        <w:t>ccessible. The larger part of this missing spatial information consists of the environmental data required to be made available under the existing reporting and monitoring regulations of EU environmental law.</w:t>
      </w:r>
    </w:p>
    <w:p w:rsidR="003D2157" w:rsidRDefault="00670DB4">
      <w:pPr>
        <w:widowControl w:val="0"/>
        <w:spacing w:after="0" w:line="240" w:lineRule="auto"/>
        <w:jc w:val="both"/>
        <w:rPr>
          <w:rFonts w:cstheme="minorHAnsi"/>
          <w:noProof/>
          <w:color w:val="1F497D" w:themeColor="text2"/>
          <w:szCs w:val="26"/>
        </w:rPr>
      </w:pPr>
      <w:r>
        <w:rPr>
          <w:rFonts w:cstheme="minorHAnsi"/>
          <w:noProof/>
          <w:color w:val="1F497D" w:themeColor="text2"/>
          <w:szCs w:val="26"/>
        </w:rPr>
        <w:t>Suggested action</w:t>
      </w:r>
    </w:p>
    <w:p w:rsidR="003D2157" w:rsidRDefault="00670DB4">
      <w:pPr>
        <w:pStyle w:val="NoSpacing"/>
        <w:rPr>
          <w:noProof/>
        </w:rPr>
      </w:pPr>
      <w:r>
        <w:rPr>
          <w:noProof/>
        </w:rPr>
        <w:t>Identify and document all spat</w:t>
      </w:r>
      <w:r>
        <w:rPr>
          <w:noProof/>
        </w:rPr>
        <w:t>ial data sets required for the implementation of environmental law, and make the data and documentation at least accessible 'as is' to other public authorities and the public through the digital services foreseen in the INSPIRE Directive.</w:t>
      </w:r>
      <w:bookmarkEnd w:id="51"/>
      <w:bookmarkEnd w:id="52"/>
    </w:p>
    <w:p w:rsidR="003D2157" w:rsidRDefault="003D2157">
      <w:pPr>
        <w:widowControl w:val="0"/>
        <w:suppressLineNumbers/>
        <w:jc w:val="center"/>
        <w:rPr>
          <w:noProof/>
        </w:rPr>
      </w:pPr>
    </w:p>
    <w:sectPr w:rsidR="003D2157">
      <w:headerReference w:type="even" r:id="rId126"/>
      <w:headerReference w:type="default" r:id="rId127"/>
      <w:footerReference w:type="even" r:id="rId128"/>
      <w:footerReference w:type="default" r:id="rId129"/>
      <w:headerReference w:type="first" r:id="rId130"/>
      <w:footerReference w:type="first" r:id="rId131"/>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157" w:rsidRDefault="00670DB4">
      <w:pPr>
        <w:spacing w:after="0" w:line="240" w:lineRule="auto"/>
      </w:pPr>
      <w:r>
        <w:separator/>
      </w:r>
    </w:p>
  </w:endnote>
  <w:endnote w:type="continuationSeparator" w:id="0">
    <w:p w:rsidR="003D2157" w:rsidRDefault="00670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B4" w:rsidRPr="00670DB4" w:rsidRDefault="00670DB4" w:rsidP="00670DB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670DB4">
    <w:pPr>
      <w:pStyle w:val="Footer"/>
      <w:jc w:val="center"/>
    </w:pPr>
    <w:r>
      <w:t xml:space="preserve">Environmental Implementation </w:t>
    </w:r>
    <w:r>
      <w:t>Report – United Kingdom</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670DB4">
    <w:pPr>
      <w:pStyle w:val="Footer"/>
      <w:jc w:val="center"/>
    </w:pPr>
    <w:r>
      <w:t>Environmental Implementation Report 2016 – United Kingdom</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670DB4">
    <w:pPr>
      <w:pStyle w:val="Footer"/>
      <w:jc w:val="center"/>
    </w:pPr>
    <w:r>
      <w:t>Environmental Implementation Report – United Kingdom</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B4" w:rsidRPr="00670DB4" w:rsidRDefault="00670DB4" w:rsidP="00670DB4">
    <w:pPr>
      <w:pStyle w:val="FooterCoverPage"/>
      <w:rPr>
        <w:rFonts w:ascii="Arial" w:hAnsi="Arial" w:cs="Arial"/>
        <w:b/>
        <w:sz w:val="48"/>
      </w:rPr>
    </w:pPr>
    <w:r w:rsidRPr="00670DB4">
      <w:rPr>
        <w:rFonts w:ascii="Arial" w:hAnsi="Arial" w:cs="Arial"/>
        <w:b/>
        <w:sz w:val="48"/>
      </w:rPr>
      <w:t>EN</w:t>
    </w:r>
    <w:r w:rsidRPr="00670DB4">
      <w:rPr>
        <w:rFonts w:ascii="Arial" w:hAnsi="Arial" w:cs="Arial"/>
        <w:b/>
        <w:sz w:val="48"/>
      </w:rPr>
      <w:tab/>
    </w:r>
    <w:r w:rsidRPr="00670DB4">
      <w:rPr>
        <w:rFonts w:ascii="Arial" w:hAnsi="Arial" w:cs="Arial"/>
        <w:b/>
        <w:sz w:val="48"/>
      </w:rPr>
      <w:tab/>
    </w:r>
    <w:fldSimple w:instr=" DOCVARIABLE &quot;LW_Confidence&quot; \* MERGEFORMAT ">
      <w:r>
        <w:t xml:space="preserve"> </w:t>
      </w:r>
    </w:fldSimple>
    <w:r w:rsidRPr="00670DB4">
      <w:tab/>
    </w:r>
    <w:r w:rsidRPr="00670DB4">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670DB4">
    <w:pPr>
      <w:pStyle w:val="Footer"/>
      <w:jc w:val="center"/>
    </w:pPr>
    <w:r>
      <w:t>Environmental Implementation Report – United Kingdom</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670DB4">
    <w:pPr>
      <w:pStyle w:val="Footer"/>
      <w:jc w:val="center"/>
    </w:pPr>
    <w:r>
      <w:t>Environmental Implementation Report – United Kingdom</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670DB4">
    <w:pPr>
      <w:pStyle w:val="Footer"/>
      <w:jc w:val="center"/>
    </w:pPr>
    <w:r>
      <w:t xml:space="preserve">Environmental Implementation Report – United </w:t>
    </w:r>
    <w:r>
      <w:t>Kingdom</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670DB4">
    <w:pPr>
      <w:pStyle w:val="Footer"/>
      <w:jc w:val="center"/>
    </w:pPr>
    <w:r>
      <w:t>Environmental Implementation Report – United Kingdom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B4" w:rsidRPr="00670DB4" w:rsidRDefault="00670DB4" w:rsidP="00670DB4">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670DB4">
    <w:pPr>
      <w:pStyle w:val="Footer"/>
      <w:jc w:val="center"/>
    </w:pPr>
    <w:r>
      <w:t>Environmental Implementation Report – United Kingdom</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670DB4">
    <w:pPr>
      <w:pStyle w:val="Footer"/>
      <w:jc w:val="center"/>
    </w:pPr>
    <w:r>
      <w:t>Environmental Implementation Report – United Kingdom</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670DB4">
    <w:pPr>
      <w:pStyle w:val="Footer"/>
      <w:jc w:val="center"/>
    </w:pPr>
    <w:r>
      <w:t>Environmental Implementation Report 2016 – United Kingdom</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670DB4">
    <w:pPr>
      <w:pStyle w:val="Footer"/>
      <w:jc w:val="center"/>
    </w:pPr>
    <w:r>
      <w:t>Environmental Implementation Report – United Kingdom</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670DB4">
    <w:pPr>
      <w:pStyle w:val="Footer"/>
      <w:jc w:val="center"/>
    </w:pPr>
    <w:r>
      <w:t>Environmental Implementation Report – United Kingdom</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670DB4">
    <w:pPr>
      <w:pStyle w:val="Footer"/>
      <w:jc w:val="center"/>
    </w:pPr>
    <w:r>
      <w:t>Environmental Implementation Report – United Kingdom</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670DB4">
    <w:pPr>
      <w:pStyle w:val="Footer"/>
      <w:jc w:val="center"/>
    </w:pPr>
    <w:r>
      <w:t>Environmental Implementation Report – United Kingdom</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157" w:rsidRDefault="00670DB4">
      <w:pPr>
        <w:spacing w:after="0" w:line="240" w:lineRule="auto"/>
      </w:pPr>
      <w:r>
        <w:separator/>
      </w:r>
    </w:p>
  </w:footnote>
  <w:footnote w:type="continuationSeparator" w:id="0">
    <w:p w:rsidR="003D2157" w:rsidRDefault="00670DB4">
      <w:pPr>
        <w:spacing w:after="0" w:line="240" w:lineRule="auto"/>
      </w:pPr>
      <w:r>
        <w:continuationSeparator/>
      </w:r>
    </w:p>
  </w:footnote>
  <w:footnote w:id="1">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
  </w:footnote>
  <w:footnote w:id="2">
    <w:p w:rsidR="003D2157" w:rsidRDefault="00670DB4">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Decision No. 1386/2013/EU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
  </w:footnote>
  <w:footnote w:id="3">
    <w:p w:rsidR="003D2157" w:rsidRDefault="00670DB4">
      <w:pPr>
        <w:pStyle w:val="FootnoteText"/>
        <w:keepLines/>
        <w:widowControl w:val="0"/>
        <w:tabs>
          <w:tab w:val="left" w:pos="142"/>
        </w:tabs>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United Nations, 2015.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3D2157" w:rsidRDefault="00670DB4">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EIR report do</w:t>
      </w:r>
      <w:r>
        <w:rPr>
          <w:rFonts w:asciiTheme="minorHAnsi" w:hAnsiTheme="minorHAnsi"/>
          <w:sz w:val="16"/>
          <w:szCs w:val="16"/>
        </w:rPr>
        <w:t>es not cover climate change, chemicals and energy.</w:t>
      </w:r>
    </w:p>
  </w:footnote>
  <w:footnote w:id="5">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Eco-innovation Observatory, 2013.  </w:t>
      </w:r>
      <w:hyperlink r:id="rId4" w:history="1">
        <w:r>
          <w:rPr>
            <w:rStyle w:val="Hyperlink"/>
            <w:rFonts w:asciiTheme="minorHAnsi" w:hAnsiTheme="minorHAnsi"/>
            <w:sz w:val="16"/>
            <w:szCs w:val="16"/>
          </w:rPr>
          <w:t>Eco-innovation in United Kingdom</w:t>
        </w:r>
      </w:hyperlink>
      <w:r>
        <w:rPr>
          <w:rFonts w:asciiTheme="minorHAnsi" w:hAnsiTheme="minorHAnsi"/>
          <w:sz w:val="16"/>
          <w:szCs w:val="16"/>
        </w:rPr>
        <w:t xml:space="preserve"> </w:t>
      </w:r>
    </w:p>
  </w:footnote>
  <w:footnote w:id="6">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London Waste &amp; Recycling Board, 20</w:t>
      </w:r>
      <w:r>
        <w:rPr>
          <w:rFonts w:asciiTheme="minorHAnsi" w:hAnsiTheme="minorHAnsi"/>
          <w:sz w:val="16"/>
          <w:szCs w:val="16"/>
        </w:rPr>
        <w:t xml:space="preserve">15. </w:t>
      </w:r>
      <w:hyperlink r:id="rId5" w:history="1">
        <w:r>
          <w:rPr>
            <w:rStyle w:val="Hyperlink"/>
            <w:rFonts w:asciiTheme="minorHAnsi" w:hAnsiTheme="minorHAnsi"/>
            <w:sz w:val="16"/>
            <w:szCs w:val="16"/>
          </w:rPr>
          <w:t>Towards a Circular Economy</w:t>
        </w:r>
      </w:hyperlink>
    </w:p>
  </w:footnote>
  <w:footnote w:id="7">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Scottish Government, 2016. </w:t>
      </w:r>
      <w:hyperlink r:id="rId6" w:history="1">
        <w:r>
          <w:rPr>
            <w:rStyle w:val="Hyperlink"/>
            <w:rFonts w:asciiTheme="minorHAnsi" w:hAnsiTheme="minorHAnsi"/>
            <w:sz w:val="16"/>
            <w:szCs w:val="16"/>
          </w:rPr>
          <w:t>Manufacturing Plan to boost industry.</w:t>
        </w:r>
      </w:hyperlink>
    </w:p>
  </w:footnote>
  <w:footnote w:id="8">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 w:history="1">
        <w:r>
          <w:rPr>
            <w:rStyle w:val="Hyperlink"/>
            <w:rFonts w:asciiTheme="minorHAnsi" w:hAnsiTheme="minorHAnsi"/>
            <w:sz w:val="16"/>
            <w:szCs w:val="16"/>
          </w:rPr>
          <w:t>National Industrial Symbiosis Programme, 2016</w:t>
        </w:r>
      </w:hyperlink>
      <w:r>
        <w:rPr>
          <w:rFonts w:asciiTheme="minorHAnsi" w:hAnsiTheme="minorHAnsi"/>
          <w:sz w:val="16"/>
          <w:szCs w:val="16"/>
        </w:rPr>
        <w:t xml:space="preserve">. </w:t>
      </w:r>
    </w:p>
  </w:footnote>
  <w:footnote w:id="9">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WRAP programme, 2016. </w:t>
      </w:r>
      <w:hyperlink r:id="rId8" w:history="1">
        <w:r>
          <w:rPr>
            <w:rStyle w:val="Hyperlink"/>
            <w:rFonts w:asciiTheme="minorHAnsi" w:hAnsiTheme="minorHAnsi"/>
            <w:sz w:val="16"/>
            <w:szCs w:val="16"/>
          </w:rPr>
          <w:t>Resource Revolution : Creating the Future</w:t>
        </w:r>
      </w:hyperlink>
    </w:p>
  </w:footnote>
  <w:footnote w:id="10">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UK Government, 2015. </w:t>
      </w:r>
      <w:hyperlink r:id="rId9" w:history="1">
        <w:r>
          <w:rPr>
            <w:rStyle w:val="Hyperlink"/>
            <w:rFonts w:asciiTheme="minorHAnsi" w:hAnsiTheme="minorHAnsi"/>
            <w:sz w:val="16"/>
            <w:szCs w:val="16"/>
          </w:rPr>
          <w:t>DEFRA Resource Management: a catalyst for</w:t>
        </w:r>
        <w:r>
          <w:rPr>
            <w:rStyle w:val="Hyperlink"/>
            <w:rFonts w:asciiTheme="minorHAnsi" w:hAnsiTheme="minorHAnsi"/>
            <w:sz w:val="16"/>
            <w:szCs w:val="16"/>
          </w:rPr>
          <w:t xml:space="preserve"> growth and productivity</w:t>
        </w:r>
      </w:hyperlink>
    </w:p>
  </w:footnote>
  <w:footnote w:id="11">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Resource productivity is defined as the ratio between gross domestic product (GDP) and domestic material consumption (DMC)</w:t>
      </w:r>
    </w:p>
  </w:footnote>
  <w:footnote w:id="12">
    <w:p w:rsidR="003D2157" w:rsidRDefault="00670DB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0" w:history="1">
        <w:r>
          <w:rPr>
            <w:rStyle w:val="Hyperlink"/>
            <w:rFonts w:cstheme="minorHAnsi"/>
            <w:sz w:val="16"/>
            <w:szCs w:val="16"/>
          </w:rPr>
          <w:t>Resource productivity</w:t>
        </w:r>
      </w:hyperlink>
      <w:r>
        <w:rPr>
          <w:rFonts w:cstheme="minorHAnsi"/>
          <w:sz w:val="16"/>
          <w:szCs w:val="16"/>
        </w:rPr>
        <w:t>,</w:t>
      </w:r>
      <w:r>
        <w:rPr>
          <w:rStyle w:val="Hyperlink"/>
          <w:rFonts w:cstheme="minorHAnsi"/>
          <w:sz w:val="16"/>
          <w:szCs w:val="16"/>
        </w:rPr>
        <w:t xml:space="preserve"> </w:t>
      </w:r>
      <w:r>
        <w:rPr>
          <w:rStyle w:val="Hyperlink"/>
          <w:rFonts w:cstheme="minorHAnsi"/>
          <w:color w:val="auto"/>
          <w:sz w:val="16"/>
          <w:szCs w:val="16"/>
          <w:u w:val="none"/>
        </w:rPr>
        <w:t>accessed October 2016</w:t>
      </w:r>
    </w:p>
  </w:footnote>
  <w:footnote w:id="13">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Ecologic, IEEP, Bio by deloitte, 2015. </w:t>
      </w:r>
      <w:hyperlink r:id="rId11" w:history="1">
        <w:r>
          <w:rPr>
            <w:rStyle w:val="Hyperlink"/>
            <w:rFonts w:asciiTheme="minorHAnsi" w:hAnsiTheme="minorHAnsi"/>
            <w:sz w:val="16"/>
            <w:szCs w:val="16"/>
          </w:rPr>
          <w:t>A framework for Member Sta</w:t>
        </w:r>
        <w:r>
          <w:rPr>
            <w:rStyle w:val="Hyperlink"/>
            <w:rFonts w:asciiTheme="minorHAnsi" w:hAnsiTheme="minorHAnsi"/>
            <w:sz w:val="16"/>
            <w:szCs w:val="16"/>
          </w:rPr>
          <w:t>tes to support business in improving its resource efficiency</w:t>
        </w:r>
      </w:hyperlink>
      <w:r>
        <w:rPr>
          <w:rFonts w:asciiTheme="minorHAnsi" w:hAnsiTheme="minorHAnsi"/>
          <w:sz w:val="16"/>
          <w:szCs w:val="16"/>
        </w:rPr>
        <w:t>, Study for the European Commission, p. 59</w:t>
      </w:r>
    </w:p>
  </w:footnote>
  <w:footnote w:id="14">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ENWORKS: </w:t>
      </w:r>
      <w:hyperlink r:id="rId12" w:history="1">
        <w:r>
          <w:rPr>
            <w:rStyle w:val="Hyperlink"/>
            <w:rFonts w:asciiTheme="minorHAnsi" w:hAnsiTheme="minorHAnsi"/>
            <w:sz w:val="16"/>
            <w:szCs w:val="16"/>
          </w:rPr>
          <w:t>http://www.enworks.com/</w:t>
        </w:r>
      </w:hyperlink>
    </w:p>
  </w:footnote>
  <w:footnote w:id="15">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RPA, 2015. </w:t>
      </w:r>
      <w:hyperlink r:id="rId13" w:history="1">
        <w:r>
          <w:rPr>
            <w:rStyle w:val="Hyperlink"/>
            <w:rFonts w:asciiTheme="minorHAnsi" w:hAnsiTheme="minorHAnsi"/>
            <w:bCs/>
            <w:sz w:val="16"/>
            <w:szCs w:val="16"/>
          </w:rPr>
          <w:t>Assessing the Potential Cost Savings and Resource Savings of Investments in 4 SME sectors</w:t>
        </w:r>
      </w:hyperlink>
      <w:r>
        <w:rPr>
          <w:rFonts w:asciiTheme="minorHAnsi" w:hAnsiTheme="minorHAnsi"/>
          <w:bCs/>
          <w:sz w:val="16"/>
          <w:szCs w:val="16"/>
        </w:rPr>
        <w:t>, study for European Commission</w:t>
      </w:r>
    </w:p>
  </w:footnote>
  <w:footnote w:id="16">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Flash 426 Eurobarometer "SMEs, resource efficiency and green mar</w:t>
      </w:r>
      <w:r>
        <w:rPr>
          <w:rFonts w:asciiTheme="minorHAnsi" w:hAnsiTheme="minorHAnsi"/>
          <w:sz w:val="16"/>
          <w:szCs w:val="16"/>
        </w:rPr>
        <w:t>kets" defines "green job" as a job that directly deals with information, technologies, or materials that preserves or restores environmental quality. This requires specialised skills, knowledge, training, or experience (e.g. verifying compliance with envir</w:t>
      </w:r>
      <w:r>
        <w:rPr>
          <w:rFonts w:asciiTheme="minorHAnsi" w:hAnsiTheme="minorHAnsi"/>
          <w:sz w:val="16"/>
          <w:szCs w:val="16"/>
        </w:rPr>
        <w:t>onmental legislation, monitoring resource efficiency within the company, promoting and selling green products and services).</w:t>
      </w:r>
    </w:p>
  </w:footnote>
  <w:footnote w:id="17">
    <w:p w:rsidR="003D2157" w:rsidRDefault="00670DB4">
      <w:pPr>
        <w:pStyle w:val="FootnoteText"/>
        <w:ind w:left="170" w:hanging="170"/>
        <w:rPr>
          <w:rFonts w:asciiTheme="minorHAnsi" w:hAnsiTheme="minorHAnsi"/>
          <w:sz w:val="16"/>
          <w:szCs w:val="16"/>
          <w:lang w:val="it-IT"/>
        </w:rPr>
      </w:pPr>
      <w:r>
        <w:rPr>
          <w:rStyle w:val="FootnoteReference"/>
          <w:rFonts w:asciiTheme="minorHAnsi" w:hAnsiTheme="minorHAnsi"/>
          <w:sz w:val="16"/>
          <w:szCs w:val="16"/>
        </w:rPr>
        <w:footnoteRef/>
      </w:r>
      <w:r>
        <w:rPr>
          <w:rFonts w:asciiTheme="minorHAnsi" w:hAnsiTheme="minorHAnsi"/>
          <w:sz w:val="16"/>
          <w:szCs w:val="16"/>
          <w:lang w:val="it-IT"/>
        </w:rPr>
        <w:t xml:space="preserve"> Eco-Innovation Observatory, </w:t>
      </w:r>
      <w:hyperlink r:id="rId14" w:history="1">
        <w:r>
          <w:rPr>
            <w:rStyle w:val="Hyperlink"/>
            <w:rFonts w:asciiTheme="minorHAnsi" w:hAnsiTheme="minorHAnsi"/>
            <w:sz w:val="16"/>
            <w:szCs w:val="16"/>
            <w:lang w:val="it-IT"/>
          </w:rPr>
          <w:t>2015: Eco-Innovation in UK</w:t>
        </w:r>
      </w:hyperlink>
    </w:p>
  </w:footnote>
  <w:footnote w:id="18">
    <w:p w:rsidR="003D2157" w:rsidRDefault="00670DB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Eco-innovation Observatory: </w:t>
      </w:r>
      <w:hyperlink r:id="rId15" w:history="1">
        <w:r>
          <w:rPr>
            <w:rStyle w:val="Hyperlink"/>
            <w:rFonts w:asciiTheme="minorHAnsi" w:hAnsiTheme="minorHAnsi"/>
            <w:sz w:val="16"/>
            <w:szCs w:val="16"/>
          </w:rPr>
          <w:t>Eco-Innovation scoreboard 2015</w:t>
        </w:r>
      </w:hyperlink>
    </w:p>
  </w:footnote>
  <w:footnote w:id="19">
    <w:p w:rsidR="003D2157" w:rsidRDefault="00670DB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Waste Management Plans/Waste Prevention Programmes</w:t>
      </w:r>
    </w:p>
  </w:footnote>
  <w:footnote w:id="20">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Municipal waste consists of waste collected by or on behalf of municipal authorities, or directly by the private sector (business or private non-profit institutions) not on behalf of municipalities (2014)</w:t>
      </w:r>
    </w:p>
  </w:footnote>
  <w:footnote w:id="21">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6" w:history="1">
        <w:r>
          <w:rPr>
            <w:rStyle w:val="Hyperlink"/>
            <w:sz w:val="16"/>
            <w:szCs w:val="16"/>
          </w:rPr>
          <w:t>Municipal waste and treatment, by type of treatment method,</w:t>
        </w:r>
      </w:hyperlink>
      <w:r>
        <w:rPr>
          <w:sz w:val="16"/>
          <w:szCs w:val="16"/>
        </w:rPr>
        <w:t xml:space="preserve"> accessed October 2016</w:t>
      </w:r>
    </w:p>
  </w:footnote>
  <w:footnote w:id="22">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Member States may choose a different method than the one used by ESTAT (and referred to in this rep</w:t>
      </w:r>
      <w:r>
        <w:rPr>
          <w:rFonts w:asciiTheme="minorHAnsi" w:hAnsiTheme="minorHAnsi"/>
          <w:sz w:val="16"/>
          <w:szCs w:val="16"/>
        </w:rPr>
        <w:t>ort) to calculate their recycling rates and track compliance with the 2020 target of 50% recycling of municipal waste.</w:t>
      </w:r>
    </w:p>
  </w:footnote>
  <w:footnote w:id="23">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7" w:history="1">
        <w:r>
          <w:rPr>
            <w:rStyle w:val="Hyperlink"/>
            <w:sz w:val="16"/>
            <w:szCs w:val="16"/>
          </w:rPr>
          <w:t>Recycling r</w:t>
        </w:r>
        <w:r>
          <w:rPr>
            <w:rStyle w:val="Hyperlink"/>
            <w:sz w:val="16"/>
            <w:szCs w:val="16"/>
          </w:rPr>
          <w:t>ate of municipal waste</w:t>
        </w:r>
      </w:hyperlink>
      <w:r>
        <w:rPr>
          <w:sz w:val="16"/>
          <w:szCs w:val="16"/>
        </w:rPr>
        <w:t xml:space="preserve">, accessed </w:t>
      </w:r>
      <w:r>
        <w:rPr>
          <w:rStyle w:val="Hyperlink"/>
          <w:rFonts w:cstheme="minorHAnsi"/>
          <w:color w:val="auto"/>
          <w:sz w:val="16"/>
          <w:szCs w:val="16"/>
          <w:u w:val="none"/>
        </w:rPr>
        <w:t>October 2016</w:t>
      </w:r>
    </w:p>
  </w:footnote>
  <w:footnote w:id="24">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UK secured four year derogation from the landfill directive targets, meaning that the target years are 2010, 2013 and 2016.</w:t>
      </w:r>
    </w:p>
  </w:footnote>
  <w:footnote w:id="25">
    <w:p w:rsidR="003D2157" w:rsidRDefault="00670DB4">
      <w:pPr>
        <w:pStyle w:val="FootnoteText"/>
        <w:ind w:left="170" w:hanging="170"/>
        <w:rPr>
          <w:rStyle w:val="Hyperlink"/>
          <w:rFonts w:asciiTheme="minorHAnsi" w:hAnsiTheme="minorHAnsi"/>
          <w:bCs/>
          <w:sz w:val="16"/>
          <w:szCs w:val="16"/>
        </w:rPr>
      </w:pPr>
      <w:r>
        <w:rPr>
          <w:rStyle w:val="FootnoteReference"/>
          <w:rFonts w:asciiTheme="minorHAnsi" w:hAnsiTheme="minorHAnsi"/>
          <w:sz w:val="16"/>
          <w:szCs w:val="16"/>
        </w:rPr>
        <w:footnoteRef/>
      </w:r>
      <w:r>
        <w:rPr>
          <w:rFonts w:asciiTheme="minorHAnsi" w:hAnsiTheme="minorHAnsi"/>
          <w:sz w:val="16"/>
          <w:szCs w:val="16"/>
        </w:rPr>
        <w:t xml:space="preserve"> Bio Intelligence service, 2011. </w:t>
      </w:r>
      <w:hyperlink r:id="rId18" w:history="1">
        <w:r>
          <w:rPr>
            <w:rStyle w:val="Hyperlink"/>
            <w:rFonts w:asciiTheme="minorHAnsi" w:hAnsiTheme="minorHAnsi"/>
            <w:sz w:val="16"/>
            <w:szCs w:val="16"/>
          </w:rPr>
          <w:t>Implementing EU Waste legislation for Green Growth</w:t>
        </w:r>
      </w:hyperlink>
      <w:r>
        <w:rPr>
          <w:rFonts w:asciiTheme="minorHAnsi" w:hAnsiTheme="minorHAnsi"/>
          <w:sz w:val="16"/>
          <w:szCs w:val="16"/>
        </w:rPr>
        <w:t>, study for European Commission. The breakdown per country on job creation was made by the consultant on Commission demand but was not included in the publish</w:t>
      </w:r>
      <w:r>
        <w:rPr>
          <w:rFonts w:asciiTheme="minorHAnsi" w:hAnsiTheme="minorHAnsi"/>
          <w:sz w:val="16"/>
          <w:szCs w:val="16"/>
        </w:rPr>
        <w:t>ed document.</w:t>
      </w:r>
      <w:r>
        <w:rPr>
          <w:rStyle w:val="Hyperlink"/>
          <w:rFonts w:asciiTheme="minorHAnsi" w:hAnsiTheme="minorHAnsi"/>
          <w:color w:val="auto"/>
          <w:sz w:val="16"/>
          <w:szCs w:val="16"/>
        </w:rPr>
        <w:t xml:space="preserve">  </w:t>
      </w:r>
    </w:p>
  </w:footnote>
  <w:footnote w:id="26">
    <w:p w:rsidR="003D2157" w:rsidRDefault="00670DB4">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Sites of Community Importance (SCIs) are designated pursuant to the Habitats Directive whereas Special Areas of Protection (SPAs) are designated pursuant to the Birds Directive; figures of coverage do not add up due to the fact that some S</w:t>
      </w:r>
      <w:r>
        <w:rPr>
          <w:rFonts w:asciiTheme="minorHAnsi" w:hAnsiTheme="minorHAnsi"/>
          <w:sz w:val="16"/>
          <w:szCs w:val="16"/>
        </w:rPr>
        <w:t>CIs and SPAs overlap. Special Areas of Conservation (SACs) means a SCI designated by the Member States.</w:t>
      </w:r>
    </w:p>
  </w:footnote>
  <w:footnote w:id="27">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internal assessment.</w:t>
      </w:r>
    </w:p>
  </w:footnote>
  <w:footnote w:id="28">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each Member State, the Commission assesses whether the species and habitat types on Annexes I and II of the Habitats Directive, are sufficiently represented by the sites designated to date. This is expressed as a percentage of species and habitats for</w:t>
      </w:r>
      <w:r>
        <w:rPr>
          <w:rFonts w:asciiTheme="minorHAnsi" w:hAnsiTheme="minorHAnsi"/>
          <w:sz w:val="16"/>
          <w:szCs w:val="16"/>
        </w:rPr>
        <w:t xml:space="preserve"> which further areas need to be designated in order to complete the network in that country. </w:t>
      </w:r>
      <w:hyperlink r:id="rId19" w:history="1">
        <w:r>
          <w:rPr>
            <w:rStyle w:val="Hyperlink"/>
            <w:rFonts w:asciiTheme="minorHAnsi" w:hAnsiTheme="minorHAnsi"/>
            <w:sz w:val="16"/>
            <w:szCs w:val="16"/>
          </w:rPr>
          <w:t>The current data</w:t>
        </w:r>
      </w:hyperlink>
      <w:r>
        <w:rPr>
          <w:rFonts w:asciiTheme="minorHAnsi" w:hAnsiTheme="minorHAnsi"/>
          <w:sz w:val="16"/>
          <w:szCs w:val="16"/>
        </w:rPr>
        <w:t>, which were assessed in 2014-2015, reflect the sit</w:t>
      </w:r>
      <w:r>
        <w:rPr>
          <w:rFonts w:asciiTheme="minorHAnsi" w:hAnsiTheme="minorHAnsi"/>
          <w:sz w:val="16"/>
          <w:szCs w:val="16"/>
        </w:rPr>
        <w:t>uation up until December 2013.</w:t>
      </w:r>
    </w:p>
  </w:footnote>
  <w:footnote w:id="29">
    <w:p w:rsidR="003D2157" w:rsidRDefault="00670DB4">
      <w:pPr>
        <w:pStyle w:val="FootnoteText"/>
        <w:ind w:left="170" w:hanging="170"/>
        <w:rPr>
          <w:sz w:val="16"/>
          <w:szCs w:val="16"/>
          <w:vertAlign w:val="superscript"/>
        </w:rPr>
      </w:pPr>
      <w:r>
        <w:rPr>
          <w:rStyle w:val="FootnoteReference"/>
          <w:sz w:val="16"/>
          <w:szCs w:val="16"/>
        </w:rPr>
        <w:footnoteRef/>
      </w:r>
      <w:r>
        <w:rPr>
          <w:sz w:val="16"/>
          <w:szCs w:val="16"/>
          <w:vertAlign w:val="superscript"/>
        </w:rPr>
        <w:t xml:space="preserve"> </w:t>
      </w:r>
      <w:r>
        <w:rPr>
          <w:sz w:val="16"/>
          <w:szCs w:val="16"/>
        </w:rPr>
        <w:t>The percentages in Figure 5 refer to percentages of the total number of assessments (one assessment covering 1 species or 1 habitat in a given biographical region with the Member State); if a habitat type or a species occur</w:t>
      </w:r>
      <w:r>
        <w:rPr>
          <w:sz w:val="16"/>
          <w:szCs w:val="16"/>
        </w:rPr>
        <w:t>s in more than 1 Biogeographic region within a given Member State, there will be as many individual assessments as there are Biogeographic regions with an occurrence of that species or habitat in this Member State.</w:t>
      </w:r>
    </w:p>
  </w:footnote>
  <w:footnote w:id="30">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An interesting initiative in this direc</w:t>
      </w:r>
      <w:r>
        <w:rPr>
          <w:rFonts w:asciiTheme="minorHAnsi" w:hAnsiTheme="minorHAnsi"/>
          <w:sz w:val="16"/>
          <w:szCs w:val="16"/>
        </w:rPr>
        <w:t>tion has been taken by the IPENS project which shows the objectives actions that are needed are linked and that these are publicly available.</w:t>
      </w:r>
    </w:p>
  </w:footnote>
  <w:footnote w:id="31">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Conservation status is assessed using a standard methodology as being either ‘favourable’, ‘unfavourable-inadequ</w:t>
      </w:r>
      <w:r>
        <w:rPr>
          <w:rFonts w:asciiTheme="minorHAnsi" w:hAnsiTheme="minorHAnsi"/>
          <w:sz w:val="16"/>
          <w:szCs w:val="16"/>
        </w:rPr>
        <w:t>ate’ and ‘unfavourable-bad’, based on four parameters as defined in Article 1 of the Habitats Directive.</w:t>
      </w:r>
    </w:p>
  </w:footnote>
  <w:footnote w:id="32">
    <w:p w:rsidR="003D2157" w:rsidRDefault="00670DB4">
      <w:pPr>
        <w:spacing w:after="0" w:line="240" w:lineRule="auto"/>
        <w:ind w:left="170" w:hanging="170"/>
        <w:rPr>
          <w:sz w:val="16"/>
          <w:szCs w:val="16"/>
        </w:rPr>
      </w:pPr>
      <w:r>
        <w:rPr>
          <w:rStyle w:val="FootnoteReference"/>
          <w:sz w:val="16"/>
          <w:szCs w:val="16"/>
        </w:rPr>
        <w:footnoteRef/>
      </w:r>
      <w:r>
        <w:rPr>
          <w:sz w:val="16"/>
          <w:szCs w:val="16"/>
        </w:rPr>
        <w:t xml:space="preserve"> The core of the ‘Article 17’ report is the assessment of conservation status of the habitats and species targeted by the Habitats Directive.</w:t>
      </w:r>
    </w:p>
  </w:footnote>
  <w:footnote w:id="33">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Please note that a direct comparison between 2007 and 2013 data is complicated by the fact that Bulgaria and Romania were not covered by the 2007 reporting cycle, that the ‘unknown’ assessments have strongly diminished particularly for species, and that s</w:t>
      </w:r>
      <w:r>
        <w:rPr>
          <w:rFonts w:asciiTheme="minorHAnsi" w:hAnsiTheme="minorHAnsi"/>
          <w:sz w:val="16"/>
          <w:szCs w:val="16"/>
        </w:rPr>
        <w:t>ome reported changes are not genuine as they result from improved data / monitoring methods.</w:t>
      </w:r>
    </w:p>
  </w:footnote>
  <w:footnote w:id="34">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iCs/>
          <w:sz w:val="16"/>
          <w:szCs w:val="16"/>
        </w:rPr>
        <w:t xml:space="preserve">These figures show the percentage of biogeographical assessments in each category of conservation status for habitats and species </w:t>
      </w:r>
      <w:r>
        <w:rPr>
          <w:sz w:val="16"/>
          <w:szCs w:val="16"/>
        </w:rPr>
        <w:t>(one assessment covering 1 spec</w:t>
      </w:r>
      <w:r>
        <w:rPr>
          <w:sz w:val="16"/>
          <w:szCs w:val="16"/>
        </w:rPr>
        <w:t>ies or 1 habitat in a given biographical region with the Member State)</w:t>
      </w:r>
      <w:r>
        <w:rPr>
          <w:rFonts w:asciiTheme="minorHAnsi" w:hAnsiTheme="minorHAnsi" w:cstheme="minorHAnsi"/>
          <w:iCs/>
          <w:sz w:val="16"/>
          <w:szCs w:val="16"/>
        </w:rPr>
        <w:t>, respectively.</w:t>
      </w:r>
      <w:r>
        <w:rPr>
          <w:rFonts w:asciiTheme="minorHAnsi" w:hAnsiTheme="minorHAnsi"/>
          <w:sz w:val="16"/>
          <w:szCs w:val="16"/>
        </w:rPr>
        <w:t xml:space="preserve">  The information is based on Article 17 of the Habitats Directive reporting - </w:t>
      </w:r>
      <w:hyperlink r:id="rId20" w:history="1">
        <w:r>
          <w:rPr>
            <w:rStyle w:val="Hyperlink"/>
            <w:rFonts w:asciiTheme="minorHAnsi" w:hAnsiTheme="minorHAnsi"/>
            <w:sz w:val="16"/>
            <w:szCs w:val="16"/>
          </w:rPr>
          <w:t>national summary of the United Kingdom</w:t>
        </w:r>
      </w:hyperlink>
    </w:p>
  </w:footnote>
  <w:footnote w:id="35">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reporting - </w:t>
      </w:r>
      <w:hyperlink r:id="rId21" w:history="1">
        <w:r>
          <w:rPr>
            <w:rStyle w:val="Hyperlink"/>
            <w:rFonts w:asciiTheme="minorHAnsi" w:hAnsiTheme="minorHAnsi"/>
            <w:sz w:val="16"/>
            <w:szCs w:val="16"/>
          </w:rPr>
          <w:t>national summary of the United Kingdom</w:t>
        </w:r>
      </w:hyperlink>
    </w:p>
  </w:footnote>
  <w:footnote w:id="36">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Ecosystem services are benefi</w:t>
      </w:r>
      <w:r>
        <w:rPr>
          <w:rFonts w:asciiTheme="minorHAnsi" w:hAnsiTheme="minorHAnsi"/>
          <w:sz w:val="16"/>
          <w:szCs w:val="16"/>
        </w:rPr>
        <w:t>ts provided by nature such as food, clean water and pollination on which human society depends.</w:t>
      </w:r>
    </w:p>
  </w:footnote>
  <w:footnote w:id="37">
    <w:p w:rsidR="003D2157" w:rsidRDefault="00670DB4">
      <w:pPr>
        <w:pStyle w:val="FootnoteText"/>
        <w:ind w:left="170" w:hanging="170"/>
        <w:rPr>
          <w:rStyle w:val="Hyperlink"/>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ONS website, 2016.</w:t>
      </w:r>
      <w:hyperlink r:id="rId22" w:history="1">
        <w:r>
          <w:rPr>
            <w:rStyle w:val="Hyperlink"/>
            <w:rFonts w:asciiTheme="minorHAnsi" w:hAnsiTheme="minorHAnsi"/>
            <w:sz w:val="16"/>
            <w:szCs w:val="16"/>
          </w:rPr>
          <w:t xml:space="preserve">UK Natural Capital </w:t>
        </w:r>
      </w:hyperlink>
      <w:r>
        <w:rPr>
          <w:rFonts w:asciiTheme="minorHAnsi" w:hAnsiTheme="minorHAnsi"/>
          <w:sz w:val="16"/>
          <w:szCs w:val="16"/>
        </w:rPr>
        <w:t xml:space="preserve"> </w:t>
      </w:r>
    </w:p>
  </w:footnote>
  <w:footnote w:id="38">
    <w:p w:rsidR="003D2157" w:rsidRDefault="00670DB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Green Infrastructure — Enhancing Europe’s Natural Capital, </w:t>
      </w:r>
      <w:hyperlink r:id="rId23" w:history="1">
        <w:r>
          <w:rPr>
            <w:rStyle w:val="Hyperlink"/>
            <w:rFonts w:asciiTheme="minorHAnsi" w:hAnsiTheme="minorHAnsi"/>
            <w:sz w:val="16"/>
            <w:szCs w:val="16"/>
          </w:rPr>
          <w:t>COM/2013/0249</w:t>
        </w:r>
      </w:hyperlink>
    </w:p>
  </w:footnote>
  <w:footnote w:id="39">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24" w:history="1">
        <w:r>
          <w:rPr>
            <w:rStyle w:val="Hyperlink"/>
            <w:rFonts w:asciiTheme="minorHAnsi" w:hAnsiTheme="minorHAnsi"/>
            <w:sz w:val="16"/>
            <w:szCs w:val="16"/>
          </w:rPr>
          <w:t>Draft results of CORINE Land Cover (CLC) inventory 2012</w:t>
        </w:r>
      </w:hyperlink>
      <w:r>
        <w:rPr>
          <w:rStyle w:val="Hyperlink"/>
          <w:rFonts w:asciiTheme="minorHAnsi" w:hAnsiTheme="minorHAnsi"/>
          <w:sz w:val="16"/>
          <w:szCs w:val="16"/>
        </w:rPr>
        <w:t xml:space="preserve">; </w:t>
      </w:r>
      <w:r>
        <w:rPr>
          <w:rFonts w:asciiTheme="minorHAnsi" w:hAnsiTheme="minorHAnsi"/>
          <w:sz w:val="16"/>
          <w:szCs w:val="16"/>
        </w:rPr>
        <w:t>mean annual land take 2006-12 as a % of 2006 artificial land.</w:t>
      </w:r>
    </w:p>
  </w:footnote>
  <w:footnote w:id="40">
    <w:p w:rsidR="003D2157" w:rsidRDefault="00670DB4">
      <w:pPr>
        <w:pStyle w:val="FootnoteText"/>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 </w:t>
      </w:r>
      <w:hyperlink r:id="rId25" w:history="1">
        <w:r>
          <w:rPr>
            <w:rStyle w:val="Hyperlink"/>
            <w:rFonts w:asciiTheme="minorHAnsi" w:hAnsiTheme="minorHAnsi"/>
            <w:sz w:val="16"/>
            <w:szCs w:val="16"/>
          </w:rPr>
          <w:t>Imperviousness and imperviousness change</w:t>
        </w:r>
      </w:hyperlink>
    </w:p>
  </w:footnote>
  <w:footnote w:id="41">
    <w:p w:rsidR="003D2157" w:rsidRDefault="00670DB4">
      <w:pPr>
        <w:pStyle w:val="FootnoteText"/>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Eurostat,</w:t>
      </w:r>
      <w:hyperlink r:id="rId26" w:history="1">
        <w:r>
          <w:rPr>
            <w:rStyle w:val="Hyperlink"/>
            <w:sz w:val="16"/>
            <w:szCs w:val="16"/>
          </w:rPr>
          <w:t xml:space="preserve"> Soil water erosion rate</w:t>
        </w:r>
      </w:hyperlink>
      <w:r>
        <w:rPr>
          <w:sz w:val="16"/>
          <w:szCs w:val="16"/>
        </w:rPr>
        <w:t>, Figure 2, accessed November 2016</w:t>
      </w:r>
    </w:p>
  </w:footnote>
  <w:footnote w:id="42">
    <w:p w:rsidR="003D2157" w:rsidRDefault="00670DB4">
      <w:pPr>
        <w:pStyle w:val="FootnoteText"/>
      </w:pPr>
      <w:r>
        <w:rPr>
          <w:rStyle w:val="FootnoteReference"/>
          <w:sz w:val="16"/>
        </w:rPr>
        <w:footnoteRef/>
      </w:r>
      <w:r>
        <w:rPr>
          <w:sz w:val="16"/>
        </w:rPr>
        <w:t xml:space="preserve"> </w:t>
      </w:r>
      <w:r>
        <w:rPr>
          <w:sz w:val="16"/>
          <w:szCs w:val="16"/>
        </w:rPr>
        <w:t>European Environment Agency. Land cover 2012 and changes country analysis [publication forthcoming]</w:t>
      </w:r>
    </w:p>
  </w:footnote>
  <w:footnote w:id="43">
    <w:p w:rsidR="003D2157" w:rsidRDefault="00670DB4">
      <w:pPr>
        <w:pStyle w:val="FootnoteText"/>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27" w:history="1">
        <w:r>
          <w:rPr>
            <w:rStyle w:val="Hyperlink"/>
            <w:rFonts w:asciiTheme="minorHAnsi" w:hAnsiTheme="minorHAnsi"/>
            <w:sz w:val="16"/>
            <w:szCs w:val="16"/>
          </w:rPr>
          <w:t>Marine Strategy Framework Directive 2008/56/EC</w:t>
        </w:r>
      </w:hyperlink>
    </w:p>
  </w:footnote>
  <w:footnote w:id="44">
    <w:p w:rsidR="003D2157" w:rsidRDefault="00670DB4">
      <w:pPr>
        <w:pStyle w:val="FootnoteText"/>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MSFD defines Good Environmental Status (GES) in Article 3 as: “The environmental status of marine waters where these provide ecologically diverse and dynamic oceans and seas which are clean</w:t>
      </w:r>
      <w:r>
        <w:rPr>
          <w:rFonts w:asciiTheme="minorHAnsi" w:hAnsiTheme="minorHAnsi"/>
          <w:sz w:val="16"/>
          <w:szCs w:val="16"/>
        </w:rPr>
        <w:t xml:space="preserve">, healthy and productive” </w:t>
      </w:r>
    </w:p>
  </w:footnote>
  <w:footnote w:id="45">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Except for marine waters surrounding Gibraltar in the Western Mediterranean sea region</w:t>
      </w:r>
    </w:p>
  </w:footnote>
  <w:footnote w:id="46">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Environmental Agency, 2016. </w:t>
      </w:r>
      <w:hyperlink r:id="rId28" w:history="1">
        <w:r>
          <w:rPr>
            <w:rStyle w:val="Hyperlink"/>
            <w:rFonts w:asciiTheme="minorHAnsi" w:hAnsiTheme="minorHAnsi"/>
            <w:sz w:val="16"/>
            <w:szCs w:val="16"/>
          </w:rPr>
          <w:t>The North-east Atlantic Ocean</w:t>
        </w:r>
      </w:hyperlink>
      <w:r>
        <w:rPr>
          <w:rFonts w:asciiTheme="minorHAnsi" w:hAnsiTheme="minorHAnsi"/>
          <w:sz w:val="16"/>
          <w:szCs w:val="16"/>
        </w:rPr>
        <w:t xml:space="preserve"> </w:t>
      </w:r>
    </w:p>
  </w:footnote>
  <w:footnote w:id="47">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Accompanying the Commission Report assessing Member States' monitoring programmes under the Marine Strategy Framework Directive (COM(2017)3 and SWD(2017)1 final)</w:t>
      </w:r>
    </w:p>
  </w:footnote>
  <w:footnote w:id="48">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Report </w:t>
      </w:r>
      <w:r>
        <w:rPr>
          <w:rFonts w:asciiTheme="minorHAnsi" w:hAnsiTheme="minorHAnsi"/>
          <w:sz w:val="16"/>
          <w:szCs w:val="16"/>
        </w:rPr>
        <w:t xml:space="preserve">from the Commission "The first phase of implementation of the Marine Strategy Framework Directive (2008/56/EC) - The European Commission's assessment and guidance" </w:t>
      </w:r>
      <w:hyperlink r:id="rId29" w:history="1">
        <w:r>
          <w:rPr>
            <w:rStyle w:val="Hyperlink"/>
            <w:rFonts w:asciiTheme="minorHAnsi" w:hAnsiTheme="minorHAnsi"/>
            <w:sz w:val="16"/>
            <w:szCs w:val="16"/>
          </w:rPr>
          <w:t>COM(2014)097</w:t>
        </w:r>
      </w:hyperlink>
      <w:r>
        <w:rPr>
          <w:rStyle w:val="Hyperlink"/>
          <w:rFonts w:asciiTheme="minorHAnsi" w:hAnsiTheme="minorHAnsi"/>
          <w:sz w:val="16"/>
          <w:szCs w:val="16"/>
        </w:rPr>
        <w:t xml:space="preserve"> </w:t>
      </w:r>
    </w:p>
  </w:footnote>
  <w:footnote w:id="49">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2012 Data provided by the European Environmental Agency – No</w:t>
      </w:r>
      <w:r>
        <w:rPr>
          <w:rFonts w:asciiTheme="minorHAnsi" w:hAnsiTheme="minorHAnsi"/>
          <w:sz w:val="16"/>
          <w:szCs w:val="16"/>
        </w:rPr>
        <w:t>t published</w:t>
      </w:r>
    </w:p>
  </w:footnote>
  <w:footnote w:id="50">
    <w:p w:rsidR="003D2157" w:rsidRDefault="00670DB4">
      <w:pPr>
        <w:pStyle w:val="FootnoteText"/>
        <w:ind w:left="113" w:hanging="113"/>
        <w:rPr>
          <w:sz w:val="16"/>
          <w:szCs w:val="16"/>
        </w:rPr>
      </w:pPr>
      <w:r>
        <w:rPr>
          <w:rStyle w:val="FootnoteReference"/>
          <w:sz w:val="16"/>
          <w:szCs w:val="16"/>
        </w:rPr>
        <w:footnoteRef/>
      </w:r>
      <w:r>
        <w:rPr>
          <w:sz w:val="16"/>
          <w:szCs w:val="16"/>
        </w:rPr>
        <w:t xml:space="preserve"> European Commission, 2016. </w:t>
      </w:r>
      <w:hyperlink r:id="rId30" w:history="1">
        <w:r>
          <w:rPr>
            <w:rStyle w:val="Hyperlink"/>
            <w:sz w:val="16"/>
            <w:szCs w:val="16"/>
          </w:rPr>
          <w:t>Air Quality Standards</w:t>
        </w:r>
      </w:hyperlink>
    </w:p>
  </w:footnote>
  <w:footnote w:id="51">
    <w:p w:rsidR="003D2157" w:rsidRDefault="00670DB4">
      <w:pPr>
        <w:pStyle w:val="FootnoteText"/>
        <w:ind w:left="113" w:hanging="113"/>
        <w:rPr>
          <w:sz w:val="16"/>
          <w:szCs w:val="16"/>
        </w:rPr>
      </w:pPr>
      <w:r>
        <w:rPr>
          <w:rStyle w:val="FootnoteReference"/>
          <w:sz w:val="16"/>
          <w:szCs w:val="16"/>
        </w:rPr>
        <w:footnoteRef/>
      </w:r>
      <w:r>
        <w:rPr>
          <w:sz w:val="16"/>
          <w:szCs w:val="16"/>
        </w:rPr>
        <w:t xml:space="preserve"> See </w:t>
      </w:r>
      <w:hyperlink r:id="rId31" w:history="1">
        <w:r>
          <w:rPr>
            <w:rStyle w:val="Hyperlink"/>
            <w:sz w:val="16"/>
            <w:szCs w:val="16"/>
          </w:rPr>
          <w:t>EIONET Central Data Repository</w:t>
        </w:r>
      </w:hyperlink>
      <w:r>
        <w:rPr>
          <w:sz w:val="16"/>
          <w:szCs w:val="16"/>
        </w:rPr>
        <w:t xml:space="preserve"> and </w:t>
      </w:r>
      <w:hyperlink r:id="rId32" w:history="1">
        <w:r>
          <w:rPr>
            <w:rStyle w:val="Hyperlink"/>
            <w:sz w:val="16"/>
            <w:szCs w:val="16"/>
          </w:rPr>
          <w:t>Air pollutant emissions data viewer (NEC Directive)</w:t>
        </w:r>
      </w:hyperlink>
    </w:p>
  </w:footnote>
  <w:footnote w:id="52">
    <w:p w:rsidR="003D2157" w:rsidRDefault="00670DB4">
      <w:pPr>
        <w:pStyle w:val="FootnoteText"/>
        <w:widowControl w:val="0"/>
        <w:ind w:left="113" w:hanging="113"/>
        <w:rPr>
          <w:sz w:val="16"/>
          <w:szCs w:val="16"/>
        </w:rPr>
      </w:pPr>
      <w:r>
        <w:rPr>
          <w:rStyle w:val="FootnoteReference"/>
          <w:sz w:val="16"/>
          <w:szCs w:val="16"/>
        </w:rPr>
        <w:footnoteRef/>
      </w:r>
      <w:r>
        <w:rPr>
          <w:sz w:val="16"/>
          <w:szCs w:val="16"/>
        </w:rPr>
        <w:t xml:space="preserve"> </w:t>
      </w:r>
      <w:r>
        <w:rPr>
          <w:rFonts w:asciiTheme="minorHAnsi" w:hAnsiTheme="minorHAnsi"/>
          <w:sz w:val="16"/>
          <w:szCs w:val="16"/>
        </w:rPr>
        <w:t>The current national emission ceilings apply since 2010 (</w:t>
      </w:r>
      <w:hyperlink r:id="rId33"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34" w:history="1">
        <w:r>
          <w:rPr>
            <w:rStyle w:val="Hyperlink"/>
            <w:rFonts w:asciiTheme="minorHAnsi" w:hAnsiTheme="minorHAnsi"/>
            <w:sz w:val="16"/>
            <w:szCs w:val="16"/>
          </w:rPr>
          <w:t>Directive (EU</w:t>
        </w:r>
        <w:r>
          <w:rPr>
            <w:rStyle w:val="Hyperlink"/>
            <w:rFonts w:asciiTheme="minorHAnsi" w:hAnsiTheme="minorHAnsi"/>
            <w:sz w:val="16"/>
            <w:szCs w:val="16"/>
          </w:rPr>
          <w:t>)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53">
    <w:p w:rsidR="003D2157" w:rsidRDefault="00670DB4">
      <w:pPr>
        <w:pStyle w:val="FootnoteText"/>
        <w:ind w:left="113" w:hanging="113"/>
        <w:rPr>
          <w:sz w:val="16"/>
          <w:szCs w:val="16"/>
        </w:rPr>
      </w:pPr>
      <w:r>
        <w:rPr>
          <w:rStyle w:val="FootnoteReference"/>
          <w:sz w:val="16"/>
          <w:szCs w:val="16"/>
        </w:rPr>
        <w:footnoteRef/>
      </w:r>
      <w:r>
        <w:rPr>
          <w:sz w:val="16"/>
          <w:szCs w:val="16"/>
        </w:rPr>
        <w:t xml:space="preserve"> Particulate matter (PM) is a mixture of aerosol particles (solid and liquid) covering a wide range of sizes and chemical compositions. PM10 (PM2.5) refers to particles with a diameter of 10 (2.5) micrometres or less. PM is emitted from many human sources,</w:t>
      </w:r>
      <w:r>
        <w:rPr>
          <w:sz w:val="16"/>
          <w:szCs w:val="16"/>
        </w:rPr>
        <w:t xml:space="preserve"> including combustion.</w:t>
      </w:r>
    </w:p>
  </w:footnote>
  <w:footnote w:id="54">
    <w:p w:rsidR="003D2157" w:rsidRDefault="00670DB4">
      <w:pPr>
        <w:pStyle w:val="FootnoteText"/>
        <w:ind w:left="113" w:hanging="113"/>
        <w:rPr>
          <w:sz w:val="16"/>
          <w:szCs w:val="16"/>
        </w:rPr>
      </w:pPr>
      <w:r>
        <w:rPr>
          <w:rStyle w:val="FootnoteReference"/>
          <w:sz w:val="16"/>
          <w:szCs w:val="16"/>
        </w:rPr>
        <w:footnoteRef/>
      </w:r>
      <w:r>
        <w:rPr>
          <w:sz w:val="16"/>
          <w:szCs w:val="16"/>
        </w:rPr>
        <w:t xml:space="preserve"> Low level ozone is produced by photochemical action on pollution and it is also a greenhouse gas.</w:t>
      </w:r>
    </w:p>
  </w:footnote>
  <w:footnote w:id="55">
    <w:p w:rsidR="003D2157" w:rsidRDefault="00670DB4">
      <w:pPr>
        <w:pStyle w:val="FootnoteText"/>
        <w:ind w:left="113" w:hanging="113"/>
        <w:rPr>
          <w:sz w:val="16"/>
          <w:szCs w:val="16"/>
        </w:rPr>
      </w:pPr>
      <w:r>
        <w:rPr>
          <w:rStyle w:val="FootnoteReference"/>
          <w:sz w:val="16"/>
          <w:szCs w:val="16"/>
        </w:rPr>
        <w:footnoteRef/>
      </w:r>
      <w:r>
        <w:rPr>
          <w:sz w:val="16"/>
          <w:szCs w:val="16"/>
        </w:rPr>
        <w:t xml:space="preserve"> NOx is emitted during fuel combustion e.g. from industrial facilities and the road transport sector. NOx is a group of gases compri</w:t>
      </w:r>
      <w:r>
        <w:rPr>
          <w:sz w:val="16"/>
          <w:szCs w:val="16"/>
        </w:rPr>
        <w:t>sing nitrogen monoxide (NO) and nitrogen dioxide (NO2).</w:t>
      </w:r>
    </w:p>
  </w:footnote>
  <w:footnote w:id="56">
    <w:p w:rsidR="003D2157" w:rsidRDefault="00670DB4">
      <w:pPr>
        <w:pStyle w:val="FootnoteText"/>
        <w:ind w:left="113" w:hanging="113"/>
        <w:rPr>
          <w:sz w:val="16"/>
          <w:szCs w:val="16"/>
        </w:rPr>
      </w:pPr>
      <w:r>
        <w:rPr>
          <w:rStyle w:val="FootnoteReference"/>
          <w:sz w:val="16"/>
          <w:szCs w:val="16"/>
        </w:rPr>
        <w:footnoteRef/>
      </w:r>
      <w:r>
        <w:rPr>
          <w:sz w:val="16"/>
          <w:szCs w:val="16"/>
        </w:rPr>
        <w:t xml:space="preserve"> </w:t>
      </w:r>
      <w:r>
        <w:rPr>
          <w:rFonts w:cstheme="minorHAnsi"/>
          <w:sz w:val="16"/>
          <w:szCs w:val="16"/>
        </w:rPr>
        <w:t xml:space="preserve">European Environment Agency, 2016. </w:t>
      </w:r>
      <w:hyperlink r:id="rId35" w:history="1">
        <w:r>
          <w:rPr>
            <w:rStyle w:val="Hyperlink"/>
            <w:sz w:val="16"/>
            <w:szCs w:val="16"/>
          </w:rPr>
          <w:t>Air Quality in Europe – 2016 Report</w:t>
        </w:r>
      </w:hyperlink>
      <w:r>
        <w:rPr>
          <w:rFonts w:cstheme="minorHAnsi"/>
          <w:sz w:val="16"/>
          <w:szCs w:val="16"/>
        </w:rPr>
        <w:t>. (Table 10.2, please see details in this repor</w:t>
      </w:r>
      <w:r>
        <w:rPr>
          <w:rFonts w:cstheme="minorHAnsi"/>
          <w:sz w:val="16"/>
          <w:szCs w:val="16"/>
        </w:rPr>
        <w:t>t as regards the underpinning methodology).</w:t>
      </w:r>
    </w:p>
  </w:footnote>
  <w:footnote w:id="57">
    <w:p w:rsidR="003D2157" w:rsidRDefault="00670DB4">
      <w:pPr>
        <w:pStyle w:val="FootnoteText"/>
        <w:ind w:left="113" w:hanging="113"/>
        <w:rPr>
          <w:sz w:val="16"/>
          <w:szCs w:val="16"/>
        </w:rPr>
      </w:pPr>
      <w:r>
        <w:rPr>
          <w:rStyle w:val="FootnoteReference"/>
          <w:sz w:val="16"/>
          <w:szCs w:val="16"/>
        </w:rPr>
        <w:footnoteRef/>
      </w:r>
      <w:r>
        <w:rPr>
          <w:sz w:val="16"/>
          <w:szCs w:val="16"/>
        </w:rPr>
        <w:t xml:space="preserve"> </w:t>
      </w:r>
      <w:r>
        <w:rPr>
          <w:rFonts w:cstheme="minorHAnsi"/>
          <w:sz w:val="16"/>
          <w:szCs w:val="16"/>
        </w:rPr>
        <w:t xml:space="preserve">Based on European Environment Agency, 2016. </w:t>
      </w:r>
      <w:hyperlink r:id="rId36" w:history="1">
        <w:r>
          <w:rPr>
            <w:rStyle w:val="Hyperlink"/>
            <w:sz w:val="16"/>
            <w:szCs w:val="16"/>
          </w:rPr>
          <w:t>Air Quality in Europe – 2016 Report</w:t>
        </w:r>
      </w:hyperlink>
      <w:r>
        <w:rPr>
          <w:rFonts w:cstheme="minorHAnsi"/>
          <w:sz w:val="16"/>
          <w:szCs w:val="16"/>
        </w:rPr>
        <w:t>. (Figures 4.1, 5.1 and 6.1)</w:t>
      </w:r>
    </w:p>
  </w:footnote>
  <w:footnote w:id="58">
    <w:p w:rsidR="003D2157" w:rsidRDefault="00670DB4">
      <w:pPr>
        <w:pStyle w:val="FootnoteText"/>
        <w:ind w:left="113" w:hanging="113"/>
        <w:outlineLvl w:val="4"/>
        <w:rPr>
          <w:sz w:val="16"/>
          <w:szCs w:val="16"/>
        </w:rPr>
      </w:pPr>
      <w:r>
        <w:rPr>
          <w:rStyle w:val="FootnoteReference"/>
          <w:sz w:val="16"/>
          <w:szCs w:val="16"/>
        </w:rPr>
        <w:footnoteRef/>
      </w:r>
      <w:r>
        <w:rPr>
          <w:sz w:val="16"/>
          <w:szCs w:val="16"/>
        </w:rPr>
        <w:t xml:space="preserve"> See </w:t>
      </w:r>
      <w:hyperlink r:id="rId37" w:history="1">
        <w:r>
          <w:rPr>
            <w:rStyle w:val="Hyperlink"/>
            <w:sz w:val="16"/>
            <w:szCs w:val="16"/>
          </w:rPr>
          <w:t>The EEA/Eionet Air Quality Portal</w:t>
        </w:r>
      </w:hyperlink>
      <w:r>
        <w:rPr>
          <w:sz w:val="16"/>
          <w:szCs w:val="16"/>
        </w:rPr>
        <w:t xml:space="preserve"> and the related Central Data Repository</w:t>
      </w:r>
    </w:p>
  </w:footnote>
  <w:footnote w:id="59">
    <w:p w:rsidR="003D2157" w:rsidRDefault="00670DB4">
      <w:pPr>
        <w:pStyle w:val="FootnoteText"/>
        <w:ind w:left="170" w:hanging="170"/>
        <w:rPr>
          <w:sz w:val="16"/>
          <w:szCs w:val="16"/>
        </w:rPr>
      </w:pPr>
      <w:r>
        <w:rPr>
          <w:rStyle w:val="FootnoteReference"/>
          <w:sz w:val="16"/>
          <w:szCs w:val="16"/>
        </w:rPr>
        <w:footnoteRef/>
      </w:r>
      <w:r>
        <w:rPr>
          <w:sz w:val="16"/>
          <w:szCs w:val="16"/>
        </w:rPr>
        <w:t xml:space="preserve"> These figures are based on the </w:t>
      </w:r>
      <w:hyperlink r:id="rId38" w:history="1">
        <w:r>
          <w:rPr>
            <w:rStyle w:val="Hyperlink"/>
            <w:sz w:val="16"/>
            <w:szCs w:val="16"/>
          </w:rPr>
          <w:t>Impact Assessment</w:t>
        </w:r>
      </w:hyperlink>
      <w:r>
        <w:rPr>
          <w:sz w:val="16"/>
          <w:szCs w:val="16"/>
        </w:rPr>
        <w:t xml:space="preserve"> for</w:t>
      </w:r>
      <w:r>
        <w:rPr>
          <w:sz w:val="16"/>
          <w:szCs w:val="16"/>
        </w:rPr>
        <w:t xml:space="preserve"> the European Commission Integrated Clean Air Package (2013)</w:t>
      </w:r>
    </w:p>
  </w:footnote>
  <w:footnote w:id="60">
    <w:p w:rsidR="003D2157" w:rsidRDefault="00670DB4">
      <w:pPr>
        <w:pStyle w:val="FootnoteText"/>
        <w:ind w:left="170" w:hanging="170"/>
      </w:pPr>
      <w:r>
        <w:rPr>
          <w:rStyle w:val="FootnoteReference"/>
        </w:rPr>
        <w:footnoteRef/>
      </w:r>
      <w:r>
        <w:t xml:space="preserve"> </w:t>
      </w:r>
      <w:r>
        <w:rPr>
          <w:sz w:val="16"/>
          <w:szCs w:val="16"/>
        </w:rPr>
        <w:t xml:space="preserve">Under the provisions of the revised National Emission Ceilings Directive, Member States now may apply for emission inventory adjustments. Pending evaluation of any adjustment application, </w:t>
      </w:r>
      <w:r>
        <w:rPr>
          <w:sz w:val="16"/>
          <w:szCs w:val="16"/>
        </w:rPr>
        <w:t>Member States should keep emissions under close control with a view to further reductions.</w:t>
      </w:r>
    </w:p>
  </w:footnote>
  <w:footnote w:id="61">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WHO/JRC, 2011, Burden of disease from environmental noise, Fritschi, L., Brown, A.L., Kim, R., Schwela, D., Kephalopoulos, S. (eds), </w:t>
      </w:r>
      <w:hyperlink r:id="rId39" w:history="1">
        <w:r>
          <w:rPr>
            <w:rStyle w:val="Hyperlink"/>
            <w:rFonts w:asciiTheme="minorHAnsi" w:hAnsiTheme="minorHAnsi"/>
            <w:sz w:val="16"/>
            <w:szCs w:val="16"/>
          </w:rPr>
          <w:t>World Health Organization, Regional Office for Europe</w:t>
        </w:r>
      </w:hyperlink>
      <w:r>
        <w:rPr>
          <w:rFonts w:asciiTheme="minorHAnsi" w:hAnsiTheme="minorHAnsi"/>
          <w:sz w:val="16"/>
          <w:szCs w:val="16"/>
        </w:rPr>
        <w:t>, Copenhagen, Denmark</w:t>
      </w:r>
    </w:p>
  </w:footnote>
  <w:footnote w:id="62">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Noise Directive requires Member States to </w:t>
      </w:r>
      <w:r>
        <w:rPr>
          <w:rFonts w:asciiTheme="minorHAnsi" w:hAnsiTheme="minorHAnsi"/>
          <w:sz w:val="16"/>
          <w:szCs w:val="16"/>
        </w:rPr>
        <w:t>prepare and publish, every 5 years, noise maps and noise management action plans for agglomerations with more than 100,000 inhabitants, and for major roads, railways and airports.</w:t>
      </w:r>
    </w:p>
  </w:footnote>
  <w:footnote w:id="63">
    <w:p w:rsidR="003D2157" w:rsidRDefault="00670DB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includes the </w:t>
      </w:r>
      <w:hyperlink r:id="rId40"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41" w:history="1">
        <w:r>
          <w:rPr>
            <w:rStyle w:val="Hyperlink"/>
            <w:rFonts w:asciiTheme="minorHAnsi" w:hAnsiTheme="minorHAnsi"/>
            <w:sz w:val="16"/>
            <w:szCs w:val="16"/>
          </w:rPr>
          <w:t>Urban Waste Water Treatment Directive (91/271/EEC)</w:t>
        </w:r>
      </w:hyperlink>
      <w:r>
        <w:rPr>
          <w:rFonts w:asciiTheme="minorHAnsi" w:hAnsiTheme="minorHAnsi"/>
          <w:sz w:val="16"/>
          <w:szCs w:val="16"/>
        </w:rPr>
        <w:t xml:space="preserve"> concerning discharges of munici</w:t>
      </w:r>
      <w:r>
        <w:rPr>
          <w:rFonts w:asciiTheme="minorHAnsi" w:hAnsiTheme="minorHAnsi"/>
          <w:sz w:val="16"/>
          <w:szCs w:val="16"/>
        </w:rPr>
        <w:t xml:space="preserve">pal and some industrial waste waters; the </w:t>
      </w:r>
      <w:hyperlink r:id="rId42"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43"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44"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45" w:history="1">
        <w:r>
          <w:rPr>
            <w:rStyle w:val="Hyperlink"/>
            <w:rFonts w:asciiTheme="minorHAnsi" w:hAnsiTheme="minorHAnsi"/>
            <w:sz w:val="16"/>
            <w:szCs w:val="16"/>
          </w:rPr>
          <w:t>Floods Directive (2007/60/EC)</w:t>
        </w:r>
      </w:hyperlink>
    </w:p>
  </w:footnote>
  <w:footnote w:id="64">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ecological status is defined in the Water Framework Directive referring to the quality of the biological community, the hydrological ch</w:t>
      </w:r>
      <w:r>
        <w:rPr>
          <w:rFonts w:asciiTheme="minorHAnsi" w:hAnsiTheme="minorHAnsi"/>
          <w:sz w:val="16"/>
          <w:szCs w:val="16"/>
        </w:rPr>
        <w:t>aracteristics and the chemical characteristics.</w:t>
      </w:r>
    </w:p>
  </w:footnote>
  <w:footnote w:id="65">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Many European river basins and waters have been altered by human activities, such as land drainage, flood protection, and building of dams to create reservoirs.</w:t>
      </w:r>
    </w:p>
  </w:footnote>
  <w:footnote w:id="66">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chemical status is defined in the Wate</w:t>
      </w:r>
      <w:r>
        <w:rPr>
          <w:rFonts w:asciiTheme="minorHAnsi" w:hAnsiTheme="minorHAnsi"/>
          <w:sz w:val="16"/>
          <w:szCs w:val="16"/>
        </w:rPr>
        <w:t>r Framework Directive referring to compliance with all the quality standards established for chemical substances at European level.</w:t>
      </w:r>
    </w:p>
  </w:footnote>
  <w:footnote w:id="67">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groundwater, a precautionary approach has been taken that comprises a prohibition on direct discharges to groundwater,</w:t>
      </w:r>
      <w:r>
        <w:rPr>
          <w:rFonts w:asciiTheme="minorHAnsi" w:hAnsiTheme="minorHAnsi"/>
          <w:sz w:val="16"/>
          <w:szCs w:val="16"/>
        </w:rPr>
        <w:t xml:space="preserve"> and a requirement to monitor groundwater bodies.</w:t>
      </w:r>
    </w:p>
  </w:footnote>
  <w:footnote w:id="68">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Diffuse pollution comes from widespread activities with no one discrete source.</w:t>
      </w:r>
    </w:p>
  </w:footnote>
  <w:footnote w:id="69">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According to the UK authorities issues have been resolved in the revised RBMPs.</w:t>
      </w:r>
    </w:p>
  </w:footnote>
  <w:footnote w:id="70">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UK report to the Commission on the state</w:t>
      </w:r>
      <w:r>
        <w:rPr>
          <w:rFonts w:asciiTheme="minorHAnsi" w:hAnsiTheme="minorHAnsi"/>
          <w:sz w:val="16"/>
          <w:szCs w:val="16"/>
        </w:rPr>
        <w:t xml:space="preserve"> of implementation of the Nitrates Directive in the United Kingdom 2007-11</w:t>
      </w:r>
    </w:p>
  </w:footnote>
  <w:footnote w:id="71">
    <w:p w:rsidR="003D2157" w:rsidRDefault="00670DB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46" w:history="1">
        <w:r>
          <w:rPr>
            <w:rStyle w:val="Hyperlink"/>
            <w:rFonts w:asciiTheme="minorHAnsi" w:hAnsiTheme="minorHAnsi"/>
            <w:sz w:val="16"/>
            <w:szCs w:val="16"/>
          </w:rPr>
          <w:t>Commission's Synthesis Report on the Quality of Drinking Water in the Union</w:t>
        </w:r>
      </w:hyperlink>
      <w:r>
        <w:rPr>
          <w:rFonts w:asciiTheme="minorHAnsi" w:hAnsiTheme="minorHAnsi"/>
          <w:sz w:val="16"/>
          <w:szCs w:val="16"/>
        </w:rPr>
        <w:t xml:space="preserve"> examining Member St</w:t>
      </w:r>
      <w:r>
        <w:rPr>
          <w:rFonts w:asciiTheme="minorHAnsi" w:hAnsiTheme="minorHAnsi"/>
          <w:sz w:val="16"/>
          <w:szCs w:val="16"/>
        </w:rPr>
        <w:t>ates' reports for the 2011-2013 period, foreseen under Article 13(5) of Directive 98/83/EC; COM(2016)666</w:t>
      </w:r>
    </w:p>
  </w:footnote>
  <w:footnote w:id="72">
    <w:p w:rsidR="003D2157" w:rsidRDefault="00670DB4">
      <w:pPr>
        <w:pStyle w:val="FootnoteText"/>
        <w:ind w:left="170" w:hanging="170"/>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 </w:t>
      </w:r>
      <w:hyperlink r:id="rId47" w:history="1">
        <w:r>
          <w:rPr>
            <w:rStyle w:val="Hyperlink"/>
            <w:rFonts w:asciiTheme="minorHAnsi" w:hAnsiTheme="minorHAnsi"/>
            <w:sz w:val="16"/>
            <w:szCs w:val="16"/>
          </w:rPr>
          <w:t xml:space="preserve">European bathing water </w:t>
        </w:r>
        <w:r>
          <w:rPr>
            <w:rStyle w:val="Hyperlink"/>
            <w:rFonts w:asciiTheme="minorHAnsi" w:hAnsiTheme="minorHAnsi"/>
            <w:sz w:val="16"/>
            <w:szCs w:val="16"/>
          </w:rPr>
          <w:t>quality in 2015</w:t>
        </w:r>
      </w:hyperlink>
      <w:r>
        <w:rPr>
          <w:rFonts w:asciiTheme="minorHAnsi" w:hAnsiTheme="minorHAnsi"/>
          <w:color w:val="1F497D"/>
          <w:sz w:val="16"/>
          <w:szCs w:val="16"/>
        </w:rPr>
        <w:t xml:space="preserve">, </w:t>
      </w:r>
      <w:r>
        <w:rPr>
          <w:rFonts w:asciiTheme="minorHAnsi" w:hAnsiTheme="minorHAnsi"/>
          <w:sz w:val="16"/>
          <w:szCs w:val="16"/>
        </w:rPr>
        <w:t>p. 26</w:t>
      </w:r>
    </w:p>
  </w:footnote>
  <w:footnote w:id="73">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Eighth Report on the Implementation Status and the Programmes for Implementation of the Urban Waste Water Directive </w:t>
      </w:r>
      <w:hyperlink r:id="rId48" w:history="1">
        <w:r>
          <w:rPr>
            <w:rStyle w:val="Hyperlink"/>
            <w:rFonts w:asciiTheme="minorHAnsi" w:hAnsiTheme="minorHAnsi"/>
            <w:sz w:val="16"/>
            <w:szCs w:val="16"/>
          </w:rPr>
          <w:t>(COM (2</w:t>
        </w:r>
        <w:r>
          <w:rPr>
            <w:rStyle w:val="Hyperlink"/>
            <w:rFonts w:asciiTheme="minorHAnsi" w:hAnsiTheme="minorHAnsi"/>
            <w:sz w:val="16"/>
            <w:szCs w:val="16"/>
          </w:rPr>
          <w:t>016)105 final)</w:t>
        </w:r>
      </w:hyperlink>
      <w:r>
        <w:rPr>
          <w:rFonts w:asciiTheme="minorHAnsi" w:hAnsiTheme="minorHAnsi"/>
          <w:sz w:val="16"/>
          <w:szCs w:val="16"/>
        </w:rPr>
        <w:t xml:space="preserve"> and Commission Staff Working Document accompanying the report </w:t>
      </w:r>
      <w:hyperlink r:id="rId49" w:history="1">
        <w:r>
          <w:rPr>
            <w:rStyle w:val="Hyperlink"/>
            <w:rFonts w:asciiTheme="minorHAnsi" w:hAnsiTheme="minorHAnsi"/>
            <w:sz w:val="16"/>
            <w:szCs w:val="16"/>
          </w:rPr>
          <w:t>(SWD(2016)45 final</w:t>
        </w:r>
      </w:hyperlink>
      <w:r>
        <w:rPr>
          <w:rFonts w:asciiTheme="minorHAnsi" w:hAnsiTheme="minorHAnsi"/>
          <w:sz w:val="16"/>
          <w:szCs w:val="16"/>
        </w:rPr>
        <w:t>).</w:t>
      </w:r>
    </w:p>
  </w:footnote>
  <w:footnote w:id="74">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50" w:history="1">
        <w:r>
          <w:rPr>
            <w:rStyle w:val="Hyperlink"/>
            <w:rFonts w:asciiTheme="minorHAnsi" w:hAnsiTheme="minorHAnsi"/>
            <w:sz w:val="16"/>
            <w:szCs w:val="16"/>
          </w:rPr>
          <w:t>State of bathing water</w:t>
        </w:r>
      </w:hyperlink>
      <w:r>
        <w:rPr>
          <w:rFonts w:asciiTheme="minorHAnsi" w:hAnsiTheme="minorHAnsi"/>
          <w:sz w:val="16"/>
          <w:szCs w:val="16"/>
        </w:rPr>
        <w:t>, 2016</w:t>
      </w:r>
    </w:p>
  </w:footnote>
  <w:footnote w:id="75">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Eighth Report on the Implementation Status and the Programmes for Implementation of the Urban Waste Water Directive </w:t>
      </w:r>
      <w:hyperlink r:id="rId51" w:history="1">
        <w:r>
          <w:rPr>
            <w:rStyle w:val="Hyperlink"/>
            <w:rFonts w:asciiTheme="minorHAnsi" w:hAnsiTheme="minorHAnsi"/>
            <w:sz w:val="16"/>
            <w:szCs w:val="16"/>
          </w:rPr>
          <w:t>(COM (2016)105 final)</w:t>
        </w:r>
      </w:hyperlink>
      <w:r>
        <w:rPr>
          <w:rFonts w:asciiTheme="minorHAnsi" w:hAnsiTheme="minorHAnsi"/>
          <w:sz w:val="16"/>
          <w:szCs w:val="16"/>
        </w:rPr>
        <w:t xml:space="preserve"> and Commission Staff Working Document accompanying the report </w:t>
      </w:r>
      <w:hyperlink r:id="rId52" w:history="1">
        <w:r>
          <w:rPr>
            <w:rStyle w:val="Hyperlink"/>
            <w:rFonts w:asciiTheme="minorHAnsi" w:hAnsiTheme="minorHAnsi"/>
            <w:sz w:val="16"/>
            <w:szCs w:val="16"/>
          </w:rPr>
          <w:t>(SWD(2016)45 final</w:t>
        </w:r>
      </w:hyperlink>
      <w:r>
        <w:rPr>
          <w:rFonts w:asciiTheme="minorHAnsi" w:hAnsiTheme="minorHAnsi"/>
          <w:sz w:val="16"/>
          <w:szCs w:val="16"/>
        </w:rPr>
        <w:t>).</w:t>
      </w:r>
    </w:p>
  </w:footnote>
  <w:footnote w:id="76">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Study on</w:t>
      </w:r>
      <w:r>
        <w:rPr>
          <w:rFonts w:asciiTheme="minorHAnsi" w:hAnsiTheme="minorHAnsi"/>
          <w:sz w:val="16"/>
          <w:szCs w:val="16"/>
        </w:rPr>
        <w:t xml:space="preserve"> Economic and Social Benefits of Environmental Protection and Resource Efficiency Related to the European Semester. Study for the European Commission, Annex 1: Country fiches.</w:t>
      </w:r>
    </w:p>
  </w:footnote>
  <w:footnote w:id="77">
    <w:p w:rsidR="003D2157" w:rsidRDefault="00670DB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53" w:history="1">
        <w:r>
          <w:rPr>
            <w:rStyle w:val="Hyperlink"/>
            <w:rFonts w:asciiTheme="minorHAnsi" w:hAnsiTheme="minorHAnsi"/>
            <w:sz w:val="16"/>
            <w:szCs w:val="16"/>
          </w:rPr>
          <w:t>Urban environment</w:t>
        </w:r>
      </w:hyperlink>
    </w:p>
  </w:footnote>
  <w:footnote w:id="78">
    <w:p w:rsidR="003D2157" w:rsidRDefault="00670DB4">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54" w:history="1">
        <w:r>
          <w:rPr>
            <w:rStyle w:val="Hyperlink"/>
            <w:rFonts w:asciiTheme="minorHAnsi" w:hAnsiTheme="minorHAnsi"/>
            <w:sz w:val="16"/>
            <w:szCs w:val="16"/>
          </w:rPr>
          <w:t>http://urbanagendaforthe.eu/</w:t>
        </w:r>
      </w:hyperlink>
    </w:p>
  </w:footnote>
  <w:footnote w:id="79">
    <w:p w:rsidR="003D2157" w:rsidRDefault="00670DB4">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55" w:history="1">
        <w:r>
          <w:rPr>
            <w:rStyle w:val="Hyperlink"/>
            <w:rFonts w:asciiTheme="minorHAnsi" w:hAnsiTheme="minorHAnsi"/>
            <w:sz w:val="16"/>
            <w:szCs w:val="16"/>
          </w:rPr>
          <w:t xml:space="preserve">Urban </w:t>
        </w:r>
        <w:r>
          <w:rPr>
            <w:rStyle w:val="Hyperlink"/>
            <w:rFonts w:asciiTheme="minorHAnsi" w:hAnsiTheme="minorHAnsi"/>
            <w:sz w:val="16"/>
            <w:szCs w:val="16"/>
          </w:rPr>
          <w:t>Benchmarking and Monitoring ('UBaM') tool</w:t>
        </w:r>
      </w:hyperlink>
      <w:r>
        <w:rPr>
          <w:rFonts w:asciiTheme="minorHAnsi" w:hAnsiTheme="minorHAnsi"/>
          <w:sz w:val="16"/>
          <w:szCs w:val="16"/>
        </w:rPr>
        <w:t xml:space="preserve"> to be launched in 2017. Best practices emerge and these will be better disseminated via the app featuring the UBaM tool, and increasingly via e.g. EUROCITIES, ICLEI, CEMR, Committee of the Regions, Covenant of Mayo</w:t>
      </w:r>
      <w:r>
        <w:rPr>
          <w:rFonts w:asciiTheme="minorHAnsi" w:hAnsiTheme="minorHAnsi"/>
          <w:sz w:val="16"/>
          <w:szCs w:val="16"/>
        </w:rPr>
        <w:t>rs and others.</w:t>
      </w:r>
    </w:p>
  </w:footnote>
  <w:footnote w:id="80">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 </w:t>
      </w:r>
      <w:hyperlink r:id="rId56" w:history="1">
        <w:r>
          <w:rPr>
            <w:rStyle w:val="Hyperlink"/>
            <w:rFonts w:asciiTheme="minorHAnsi" w:hAnsiTheme="minorHAnsi"/>
            <w:sz w:val="16"/>
            <w:szCs w:val="16"/>
          </w:rPr>
          <w:t>European Green Capital Award Bristol</w:t>
        </w:r>
      </w:hyperlink>
      <w:r>
        <w:rPr>
          <w:rFonts w:asciiTheme="minorHAnsi" w:hAnsiTheme="minorHAnsi"/>
          <w:sz w:val="16"/>
          <w:szCs w:val="16"/>
        </w:rPr>
        <w:t xml:space="preserve"> </w:t>
      </w:r>
    </w:p>
  </w:footnote>
  <w:footnote w:id="81">
    <w:p w:rsidR="003D2157" w:rsidRDefault="00670DB4">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Eurostat, </w:t>
      </w:r>
      <w:hyperlink r:id="rId57" w:history="1">
        <w:r>
          <w:rPr>
            <w:rStyle w:val="Hyperlink"/>
            <w:rFonts w:asciiTheme="minorHAnsi" w:hAnsiTheme="minorHAnsi"/>
            <w:sz w:val="16"/>
            <w:szCs w:val="16"/>
            <w:lang w:val="fr-BE"/>
          </w:rPr>
          <w:t>Environmental tax revenues</w:t>
        </w:r>
      </w:hyperlink>
      <w:r>
        <w:rPr>
          <w:rFonts w:asciiTheme="minorHAnsi" w:hAnsiTheme="minorHAnsi"/>
          <w:sz w:val="16"/>
          <w:szCs w:val="16"/>
          <w:lang w:val="fr-BE"/>
        </w:rPr>
        <w:t>, accessed June 2016</w:t>
      </w:r>
    </w:p>
  </w:footnote>
  <w:footnote w:id="82">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lang w:val="fr-BE"/>
        </w:rPr>
        <w:t xml:space="preserve"> The narrower UK definition included six taxes: climate change levy, aggregates levy, landfill tax, EU emissions trading system, carbon reduction commitment energy efficiency scheme and ca</w:t>
      </w:r>
      <w:r>
        <w:rPr>
          <w:rFonts w:asciiTheme="minorHAnsi" w:hAnsiTheme="minorHAnsi"/>
          <w:sz w:val="16"/>
          <w:szCs w:val="16"/>
          <w:lang w:val="fr-BE"/>
        </w:rPr>
        <w:t xml:space="preserve">rbon price floor. </w:t>
      </w:r>
      <w:hyperlink r:id="rId58" w:history="1">
        <w:r>
          <w:rPr>
            <w:rStyle w:val="Hyperlink"/>
            <w:rFonts w:asciiTheme="minorHAnsi" w:hAnsiTheme="minorHAnsi"/>
            <w:sz w:val="16"/>
            <w:szCs w:val="16"/>
          </w:rPr>
          <w:t>UK government's definition of environmental taxes</w:t>
        </w:r>
      </w:hyperlink>
    </w:p>
  </w:footnote>
  <w:footnote w:id="83">
    <w:p w:rsidR="003D2157" w:rsidRDefault="00670DB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Eunomia Research and Consulting, IEEP, Aarhus University, ENT, 2016. </w:t>
      </w:r>
      <w:hyperlink r:id="rId59" w:history="1">
        <w:r>
          <w:rPr>
            <w:rStyle w:val="Hyperlink"/>
            <w:rFonts w:asciiTheme="minorHAnsi" w:hAnsiTheme="minorHAnsi"/>
            <w:sz w:val="16"/>
            <w:szCs w:val="16"/>
          </w:rPr>
          <w:t>Study on Assessing the Environmental Fiscal Reform Potential for the EU28</w:t>
        </w:r>
      </w:hyperlink>
      <w:r>
        <w:rPr>
          <w:rFonts w:asciiTheme="minorHAnsi" w:hAnsiTheme="minorHAnsi"/>
          <w:color w:val="0000FF"/>
          <w:sz w:val="16"/>
          <w:szCs w:val="16"/>
        </w:rPr>
        <w:t xml:space="preserve">. </w:t>
      </w:r>
      <w:r>
        <w:rPr>
          <w:rFonts w:asciiTheme="minorHAnsi" w:hAnsiTheme="minorHAnsi"/>
          <w:sz w:val="16"/>
          <w:szCs w:val="16"/>
        </w:rPr>
        <w:t xml:space="preserve">N.B. National governments are responsible for setting tax rates within the </w:t>
      </w:r>
      <w:r>
        <w:rPr>
          <w:rFonts w:asciiTheme="minorHAnsi" w:hAnsiTheme="minorHAnsi"/>
          <w:sz w:val="16"/>
          <w:szCs w:val="16"/>
        </w:rPr>
        <w:t xml:space="preserve">EU Single Market rules and this report is not suggesting concrete changes as to the level of environmental taxation. It merely presents the findings of the 2016 study by Eunomia </w:t>
      </w:r>
      <w:r>
        <w:rPr>
          <w:rFonts w:asciiTheme="minorHAnsi" w:hAnsiTheme="minorHAnsi"/>
          <w:i/>
          <w:iCs/>
          <w:sz w:val="16"/>
          <w:szCs w:val="16"/>
        </w:rPr>
        <w:t>et al</w:t>
      </w:r>
      <w:r>
        <w:rPr>
          <w:rFonts w:asciiTheme="minorHAnsi" w:hAnsiTheme="minorHAnsi"/>
          <w:sz w:val="16"/>
          <w:szCs w:val="16"/>
        </w:rPr>
        <w:t xml:space="preserve"> on the potential benefits various environmental taxes could bring. It is</w:t>
      </w:r>
      <w:r>
        <w:rPr>
          <w:rFonts w:asciiTheme="minorHAnsi" w:hAnsiTheme="minorHAnsi"/>
          <w:sz w:val="16"/>
          <w:szCs w:val="16"/>
        </w:rPr>
        <w:t xml:space="preserve"> then for the national authorities to assess this study and their concrete impacts in the national context. A first step in this respect, already done by a number of Member States, is to set up expert groups to assess these and make specific proposals.</w:t>
      </w:r>
    </w:p>
    <w:p w:rsidR="003D2157" w:rsidRDefault="003D2157">
      <w:pPr>
        <w:pStyle w:val="FootnoteText"/>
        <w:ind w:left="170" w:hanging="170"/>
        <w:rPr>
          <w:rFonts w:asciiTheme="minorHAnsi" w:hAnsiTheme="minorHAnsi"/>
          <w:sz w:val="16"/>
          <w:szCs w:val="16"/>
        </w:rPr>
      </w:pPr>
    </w:p>
  </w:footnote>
  <w:footnote w:id="84">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rPr>
        <w:t>The good practice scenario means benchmarking to a successful taxation practice in another Member State.</w:t>
      </w:r>
    </w:p>
  </w:footnote>
  <w:footnote w:id="85">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Eunomia Research and Consulting, IEEP, Aarhus University, ENT, 2016. </w:t>
      </w:r>
      <w:hyperlink r:id="rId60" w:history="1">
        <w:r>
          <w:rPr>
            <w:rStyle w:val="Hyperlink"/>
            <w:rFonts w:asciiTheme="minorHAnsi" w:hAnsiTheme="minorHAnsi"/>
            <w:sz w:val="16"/>
            <w:szCs w:val="16"/>
          </w:rPr>
          <w:t>Study on Assessing the Environmental Fiscal Reform Potential for the EU28</w:t>
        </w:r>
      </w:hyperlink>
    </w:p>
  </w:footnote>
  <w:footnote w:id="86">
    <w:p w:rsidR="003D2157" w:rsidRDefault="00670DB4">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Eurostat, </w:t>
      </w:r>
      <w:hyperlink r:id="rId61" w:history="1">
        <w:r>
          <w:rPr>
            <w:rStyle w:val="Hyperlink"/>
            <w:rFonts w:asciiTheme="minorHAnsi" w:hAnsiTheme="minorHAnsi"/>
            <w:sz w:val="16"/>
            <w:szCs w:val="16"/>
            <w:lang w:val="fr-BE"/>
          </w:rPr>
          <w:t>Environmental tax revenues</w:t>
        </w:r>
      </w:hyperlink>
      <w:r>
        <w:rPr>
          <w:rFonts w:asciiTheme="minorHAnsi" w:hAnsiTheme="minorHAnsi"/>
          <w:sz w:val="16"/>
          <w:szCs w:val="16"/>
          <w:lang w:val="fr-BE"/>
        </w:rPr>
        <w:t>, accessed October 2016</w:t>
      </w:r>
    </w:p>
  </w:footnote>
  <w:footnote w:id="87">
    <w:p w:rsidR="003D2157" w:rsidRDefault="00670DB4">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European Commission, 2015</w:t>
      </w:r>
      <w:r>
        <w:rPr>
          <w:rFonts w:asciiTheme="minorHAnsi" w:hAnsiTheme="minorHAnsi"/>
          <w:sz w:val="16"/>
          <w:szCs w:val="16"/>
        </w:rPr>
        <w:t xml:space="preserve">. </w:t>
      </w:r>
      <w:hyperlink r:id="rId62" w:history="1">
        <w:r>
          <w:rPr>
            <w:rStyle w:val="Hyperlink"/>
            <w:rFonts w:asciiTheme="minorHAnsi" w:hAnsiTheme="minorHAnsi"/>
            <w:sz w:val="16"/>
            <w:szCs w:val="16"/>
          </w:rPr>
          <w:t>Public procurement</w:t>
        </w:r>
      </w:hyperlink>
    </w:p>
  </w:footnote>
  <w:footnote w:id="88">
    <w:p w:rsidR="003D2157" w:rsidRDefault="00670DB4">
      <w:pPr>
        <w:pStyle w:val="FootnoteText"/>
        <w:widowControl w:val="0"/>
        <w:ind w:left="113" w:hanging="113"/>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 xml:space="preserve">In the Communication “Public procurement for a better environment” </w:t>
      </w:r>
      <w:hyperlink r:id="rId63" w:history="1">
        <w:r>
          <w:rPr>
            <w:rStyle w:val="Hyperlink"/>
            <w:sz w:val="16"/>
            <w:szCs w:val="16"/>
            <w:lang w:val="en"/>
          </w:rPr>
          <w:t>(COM /2008/400)</w:t>
        </w:r>
      </w:hyperlink>
      <w:r>
        <w:rPr>
          <w:sz w:val="16"/>
          <w:szCs w:val="16"/>
          <w:lang w:val="en"/>
        </w:rPr>
        <w:t xml:space="preserve"> the Commission recommended the creation of a process for setting common GPP criteria. The basic concept of GPP relies on having cl</w:t>
      </w:r>
      <w:r>
        <w:rPr>
          <w:sz w:val="16"/>
          <w:szCs w:val="16"/>
          <w:lang w:val="en"/>
        </w:rPr>
        <w:t>ear, verifiable, justifiable and ambitious environmental criteria for products and services, based on a life-cycle approach and scientific evidence base.</w:t>
      </w:r>
    </w:p>
  </w:footnote>
  <w:footnote w:id="89">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 </w:t>
      </w:r>
      <w:hyperlink r:id="rId64" w:history="1">
        <w:r>
          <w:rPr>
            <w:rStyle w:val="Hyperlink"/>
            <w:rFonts w:asciiTheme="minorHAnsi" w:hAnsiTheme="minorHAnsi"/>
            <w:sz w:val="16"/>
            <w:szCs w:val="16"/>
          </w:rPr>
          <w:t>Do</w:t>
        </w:r>
        <w:r>
          <w:rPr>
            <w:rStyle w:val="Hyperlink"/>
            <w:rFonts w:asciiTheme="minorHAnsi" w:hAnsiTheme="minorHAnsi"/>
            <w:sz w:val="16"/>
            <w:szCs w:val="16"/>
          </w:rPr>
          <w:t>cumentation on National GPP Action Plans</w:t>
        </w:r>
      </w:hyperlink>
      <w:r>
        <w:rPr>
          <w:rFonts w:asciiTheme="minorHAnsi" w:hAnsiTheme="minorHAnsi"/>
          <w:sz w:val="16"/>
          <w:szCs w:val="16"/>
        </w:rPr>
        <w:t xml:space="preserve"> </w:t>
      </w:r>
    </w:p>
  </w:footnote>
  <w:footnote w:id="90">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Adelphi et al., 2011. </w:t>
      </w:r>
      <w:hyperlink r:id="rId65" w:history="1">
        <w:r>
          <w:rPr>
            <w:rStyle w:val="Hyperlink"/>
            <w:rFonts w:asciiTheme="minorHAnsi" w:hAnsiTheme="minorHAnsi"/>
            <w:sz w:val="16"/>
            <w:szCs w:val="16"/>
          </w:rPr>
          <w:t>Strategic Use of Public Procurement in Europe</w:t>
        </w:r>
      </w:hyperlink>
    </w:p>
  </w:footnote>
  <w:footnote w:id="91">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ESIF comprises five funds – the European Regional Development Funds (ERDF), the Cohesion Fund (CF), the European Social Fund (ESF), the European Agricultural Fund for Rural Development (EAFRD), and the European Maritime and Fisheries Fund (EMFF). The ERDF</w:t>
      </w:r>
      <w:r>
        <w:rPr>
          <w:rFonts w:asciiTheme="minorHAnsi" w:hAnsiTheme="minorHAnsi"/>
          <w:sz w:val="16"/>
          <w:szCs w:val="16"/>
        </w:rPr>
        <w:t>, the CF and the ESF together form the Cohesion Policy funds.</w:t>
      </w:r>
    </w:p>
  </w:footnote>
  <w:footnote w:id="92">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EIB: </w:t>
      </w:r>
      <w:hyperlink r:id="rId66" w:history="1">
        <w:r>
          <w:rPr>
            <w:rStyle w:val="Hyperlink"/>
            <w:rFonts w:asciiTheme="minorHAnsi" w:hAnsiTheme="minorHAnsi"/>
            <w:sz w:val="16"/>
            <w:szCs w:val="16"/>
          </w:rPr>
          <w:t>European Fund for Strategic Investments</w:t>
        </w:r>
      </w:hyperlink>
    </w:p>
  </w:footnote>
  <w:footnote w:id="93">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 European Structural and Investment Funds </w:t>
      </w:r>
      <w:hyperlink r:id="rId67" w:history="1">
        <w:r>
          <w:rPr>
            <w:rStyle w:val="Hyperlink"/>
            <w:rFonts w:asciiTheme="minorHAnsi" w:hAnsiTheme="minorHAnsi"/>
            <w:sz w:val="16"/>
            <w:szCs w:val="16"/>
          </w:rPr>
          <w:t>Country Data for UK</w:t>
        </w:r>
      </w:hyperlink>
    </w:p>
  </w:footnote>
  <w:footnote w:id="94">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68" w:history="1">
        <w:r>
          <w:rPr>
            <w:rStyle w:val="Hyperlink"/>
            <w:rFonts w:asciiTheme="minorHAnsi" w:hAnsiTheme="minorHAnsi"/>
            <w:sz w:val="16"/>
            <w:szCs w:val="16"/>
          </w:rPr>
          <w:t>European Structural and Investment Funds Data By Country</w:t>
        </w:r>
      </w:hyperlink>
    </w:p>
  </w:footnote>
  <w:footnote w:id="95">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Final data of the 2007-2013 period will only be available at the end 201</w:t>
      </w:r>
      <w:r>
        <w:rPr>
          <w:rFonts w:asciiTheme="minorHAnsi" w:hAnsiTheme="minorHAnsi"/>
          <w:sz w:val="16"/>
          <w:szCs w:val="16"/>
        </w:rPr>
        <w:t>7.</w:t>
      </w:r>
    </w:p>
  </w:footnote>
  <w:footnote w:id="96">
    <w:p w:rsidR="003D2157" w:rsidRDefault="00670DB4">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hyperlink r:id="rId69" w:history="1">
        <w:r>
          <w:rPr>
            <w:rStyle w:val="Hyperlink"/>
            <w:rFonts w:asciiTheme="minorHAnsi" w:hAnsiTheme="minorHAnsi"/>
            <w:sz w:val="16"/>
            <w:szCs w:val="16"/>
            <w:lang w:val="fr-BE"/>
          </w:rPr>
          <w:t>UK National Infrastructure Pipeline</w:t>
        </w:r>
      </w:hyperlink>
      <w:r>
        <w:rPr>
          <w:rFonts w:asciiTheme="minorHAnsi" w:hAnsiTheme="minorHAnsi"/>
          <w:sz w:val="16"/>
          <w:szCs w:val="16"/>
          <w:lang w:val="fr-BE"/>
        </w:rPr>
        <w:t xml:space="preserve"> </w:t>
      </w:r>
    </w:p>
  </w:footnote>
  <w:footnote w:id="97">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lang w:val="fr-BE"/>
        </w:rPr>
        <w:t xml:space="preserve"> European Commission, 2015. </w:t>
      </w:r>
      <w:hyperlink r:id="rId70" w:history="1">
        <w:r>
          <w:rPr>
            <w:rStyle w:val="Hyperlink"/>
            <w:rFonts w:asciiTheme="minorHAnsi" w:hAnsiTheme="minorHAnsi"/>
            <w:sz w:val="16"/>
            <w:szCs w:val="16"/>
          </w:rPr>
          <w:t>Investment Plan for Europe</w:t>
        </w:r>
      </w:hyperlink>
      <w:r>
        <w:rPr>
          <w:rFonts w:asciiTheme="minorHAnsi" w:hAnsiTheme="minorHAnsi"/>
          <w:sz w:val="16"/>
          <w:szCs w:val="16"/>
        </w:rPr>
        <w:t>: European Fund for Strategic Investments</w:t>
      </w:r>
    </w:p>
  </w:footnote>
  <w:footnote w:id="98">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 </w:t>
      </w:r>
      <w:hyperlink r:id="rId71" w:history="1">
        <w:r>
          <w:rPr>
            <w:rStyle w:val="Hyperlink"/>
            <w:rFonts w:asciiTheme="minorHAnsi" w:hAnsiTheme="minorHAnsi"/>
            <w:sz w:val="16"/>
            <w:szCs w:val="16"/>
          </w:rPr>
          <w:t>Investment Plan - State of play</w:t>
        </w:r>
      </w:hyperlink>
      <w:r>
        <w:rPr>
          <w:rFonts w:asciiTheme="minorHAnsi" w:hAnsiTheme="minorHAnsi"/>
          <w:sz w:val="16"/>
          <w:szCs w:val="16"/>
        </w:rPr>
        <w:t xml:space="preserve"> </w:t>
      </w:r>
    </w:p>
  </w:footnote>
  <w:footnote w:id="99">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LIFE Programme – </w:t>
      </w:r>
      <w:hyperlink r:id="rId72" w:history="1">
        <w:r>
          <w:rPr>
            <w:rStyle w:val="Hyperlink"/>
            <w:rFonts w:asciiTheme="minorHAnsi" w:hAnsiTheme="minorHAnsi"/>
            <w:sz w:val="16"/>
            <w:szCs w:val="16"/>
          </w:rPr>
          <w:t>integrated LIFE projects</w:t>
        </w:r>
      </w:hyperlink>
      <w:r>
        <w:rPr>
          <w:rFonts w:asciiTheme="minorHAnsi" w:hAnsiTheme="minorHAnsi"/>
          <w:sz w:val="16"/>
          <w:szCs w:val="16"/>
        </w:rPr>
        <w:t xml:space="preserve"> (Feb 2016)</w:t>
      </w:r>
    </w:p>
  </w:footnote>
  <w:footnote w:id="100">
    <w:p w:rsidR="003D2157" w:rsidRDefault="00670DB4">
      <w:pPr>
        <w:spacing w:after="0" w:line="240" w:lineRule="auto"/>
        <w:ind w:left="170" w:hanging="170"/>
        <w:rPr>
          <w:b/>
          <w:sz w:val="16"/>
          <w:szCs w:val="16"/>
        </w:rPr>
      </w:pPr>
      <w:r>
        <w:rPr>
          <w:rStyle w:val="FootnoteReference"/>
          <w:sz w:val="16"/>
          <w:szCs w:val="16"/>
        </w:rPr>
        <w:footnoteRef/>
      </w:r>
      <w:r>
        <w:rPr>
          <w:sz w:val="16"/>
          <w:szCs w:val="16"/>
        </w:rPr>
        <w:t xml:space="preserve"> The Commission has work ongoing to improve the country-specific knowledge about quality and functioning of the administrative systems of Member States.</w:t>
      </w:r>
    </w:p>
  </w:footnote>
  <w:footnote w:id="101">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transposition of Directive 2014/52/EU is due in May 2017.</w:t>
      </w:r>
    </w:p>
  </w:footnote>
  <w:footnote w:id="102">
    <w:p w:rsidR="003D2157" w:rsidRDefault="00670DB4">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 </w:t>
      </w:r>
      <w:hyperlink r:id="rId73" w:history="1">
        <w:r>
          <w:rPr>
            <w:rStyle w:val="Hyperlink"/>
            <w:rFonts w:asciiTheme="minorHAnsi" w:hAnsiTheme="minorHAnsi"/>
            <w:sz w:val="16"/>
            <w:szCs w:val="16"/>
          </w:rPr>
          <w:t>Guidance document on streamlining environmental assessments conducted under Article 2(3) of the Environmental Impact Assessment Directive.</w:t>
        </w:r>
      </w:hyperlink>
    </w:p>
  </w:footnote>
  <w:footnote w:id="103">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74" w:history="1">
        <w:r>
          <w:rPr>
            <w:rStyle w:val="Hyperlink"/>
            <w:rFonts w:asciiTheme="minorHAnsi" w:hAnsiTheme="minorHAnsi"/>
            <w:sz w:val="16"/>
            <w:szCs w:val="16"/>
          </w:rPr>
          <w:t>Strategic Environmental  Assessment Directive 2001/42/EC</w:t>
        </w:r>
      </w:hyperlink>
      <w:r>
        <w:rPr>
          <w:rFonts w:asciiTheme="minorHAnsi" w:hAnsiTheme="minorHAnsi"/>
          <w:sz w:val="16"/>
          <w:szCs w:val="16"/>
        </w:rPr>
        <w:t xml:space="preserve"> </w:t>
      </w:r>
    </w:p>
  </w:footnote>
  <w:footnote w:id="104">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75" w:history="1">
        <w:r>
          <w:rPr>
            <w:rStyle w:val="Hyperlink"/>
            <w:rFonts w:asciiTheme="minorHAnsi" w:hAnsiTheme="minorHAnsi"/>
            <w:sz w:val="16"/>
            <w:szCs w:val="16"/>
          </w:rPr>
          <w:t>Environmental Crime Directive 2008/99/EC</w:t>
        </w:r>
      </w:hyperlink>
    </w:p>
  </w:footnote>
  <w:footnote w:id="105">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6" w:history="1">
        <w:r>
          <w:rPr>
            <w:rStyle w:val="Hyperlink"/>
            <w:rFonts w:asciiTheme="minorHAnsi" w:hAnsiTheme="minorHAnsi"/>
            <w:sz w:val="16"/>
            <w:szCs w:val="16"/>
          </w:rPr>
          <w:t>European Union Network for the Implementation and Enforcement of Environmental Law</w:t>
        </w:r>
      </w:hyperlink>
    </w:p>
  </w:footnote>
  <w:footnote w:id="106">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7" w:history="1">
        <w:r>
          <w:rPr>
            <w:rStyle w:val="Hyperlink"/>
            <w:rFonts w:asciiTheme="minorHAnsi" w:hAnsiTheme="minorHAnsi"/>
            <w:sz w:val="16"/>
            <w:szCs w:val="16"/>
          </w:rPr>
          <w:t xml:space="preserve">European Union Forum of judges for the </w:t>
        </w:r>
        <w:r>
          <w:rPr>
            <w:rStyle w:val="Hyperlink"/>
            <w:rFonts w:asciiTheme="minorHAnsi" w:hAnsiTheme="minorHAnsi"/>
            <w:sz w:val="16"/>
            <w:szCs w:val="16"/>
          </w:rPr>
          <w:t>environment</w:t>
        </w:r>
      </w:hyperlink>
    </w:p>
  </w:footnote>
  <w:footnote w:id="107">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8" w:history="1">
        <w:r>
          <w:rPr>
            <w:rStyle w:val="Hyperlink"/>
            <w:rFonts w:asciiTheme="minorHAnsi" w:hAnsiTheme="minorHAnsi"/>
            <w:sz w:val="16"/>
            <w:szCs w:val="16"/>
          </w:rPr>
          <w:t>The European Network of Prosecutors for the Environment</w:t>
        </w:r>
      </w:hyperlink>
    </w:p>
  </w:footnote>
  <w:footnote w:id="108">
    <w:p w:rsidR="003D2157" w:rsidRDefault="00670DB4">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hyperlink r:id="rId79" w:history="1">
        <w:r>
          <w:rPr>
            <w:rStyle w:val="Hyperlink"/>
            <w:rFonts w:asciiTheme="minorHAnsi" w:hAnsiTheme="minorHAnsi"/>
            <w:sz w:val="16"/>
            <w:szCs w:val="16"/>
            <w:lang w:val="fr-BE"/>
          </w:rPr>
          <w:t>EnviCrimeNet</w:t>
        </w:r>
      </w:hyperlink>
      <w:r>
        <w:rPr>
          <w:rStyle w:val="Hyperlink"/>
          <w:rFonts w:asciiTheme="minorHAnsi" w:hAnsiTheme="minorHAnsi"/>
          <w:sz w:val="16"/>
          <w:szCs w:val="16"/>
          <w:lang w:val="fr-BE"/>
        </w:rPr>
        <w:t xml:space="preserve"> </w:t>
      </w:r>
    </w:p>
  </w:footnote>
  <w:footnote w:id="109">
    <w:p w:rsidR="003D2157" w:rsidRDefault="00670DB4">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European Union, </w:t>
      </w:r>
      <w:hyperlink r:id="rId80" w:history="1">
        <w:r>
          <w:rPr>
            <w:rStyle w:val="Hyperlink"/>
            <w:rFonts w:asciiTheme="minorHAnsi" w:hAnsiTheme="minorHAnsi"/>
            <w:sz w:val="16"/>
            <w:szCs w:val="16"/>
            <w:lang w:val="fr-BE"/>
          </w:rPr>
          <w:t>Environmental Liability Directive 2004/35/CE</w:t>
        </w:r>
      </w:hyperlink>
    </w:p>
  </w:footnote>
  <w:footnote w:id="110">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1" w:history="1">
        <w:r>
          <w:rPr>
            <w:rStyle w:val="Hyperlink"/>
            <w:rFonts w:asciiTheme="minorHAnsi" w:hAnsiTheme="minorHAnsi"/>
            <w:sz w:val="16"/>
            <w:szCs w:val="16"/>
          </w:rPr>
          <w:t>COM(2016)204 final</w:t>
        </w:r>
      </w:hyperlink>
      <w:r>
        <w:rPr>
          <w:rFonts w:asciiTheme="minorHAnsi" w:hAnsiTheme="minorHAnsi"/>
          <w:sz w:val="16"/>
          <w:szCs w:val="16"/>
        </w:rPr>
        <w:t xml:space="preserve"> and </w:t>
      </w:r>
      <w:hyperlink r:id="rId82" w:history="1">
        <w:r>
          <w:rPr>
            <w:rStyle w:val="Hyperlink"/>
            <w:rFonts w:asciiTheme="minorHAnsi" w:hAnsiTheme="minorHAnsi"/>
            <w:sz w:val="16"/>
            <w:szCs w:val="16"/>
          </w:rPr>
          <w:t>COM(2016)121 final</w:t>
        </w:r>
      </w:hyperlink>
      <w:r>
        <w:rPr>
          <w:rFonts w:asciiTheme="minorHAnsi" w:hAnsiTheme="minorHAnsi"/>
          <w:sz w:val="16"/>
          <w:szCs w:val="16"/>
        </w:rPr>
        <w:t xml:space="preserve"> of 14.4.2016. This highlighted the need for better evidence on how the directive is used in practice; for tools to support its implementation, such as g</w:t>
      </w:r>
      <w:r>
        <w:rPr>
          <w:rFonts w:asciiTheme="minorHAnsi" w:hAnsiTheme="minorHAnsi"/>
          <w:sz w:val="16"/>
          <w:szCs w:val="16"/>
        </w:rPr>
        <w:t>uidance, training and ELD registers; and for financial security to be available in case events or incidents generate remediation costs.</w:t>
      </w:r>
    </w:p>
  </w:footnote>
  <w:footnote w:id="111">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NetRegs, </w:t>
      </w:r>
      <w:hyperlink r:id="rId83" w:history="1">
        <w:r>
          <w:rPr>
            <w:rStyle w:val="Hyperlink"/>
            <w:rFonts w:asciiTheme="minorHAnsi" w:hAnsiTheme="minorHAnsi"/>
            <w:sz w:val="16"/>
            <w:szCs w:val="16"/>
          </w:rPr>
          <w:t>Environmental Guidance For Your Business in Northern I</w:t>
        </w:r>
        <w:r>
          <w:rPr>
            <w:rStyle w:val="Hyperlink"/>
            <w:rFonts w:asciiTheme="minorHAnsi" w:hAnsiTheme="minorHAnsi"/>
            <w:sz w:val="16"/>
            <w:szCs w:val="16"/>
          </w:rPr>
          <w:t>reland and Scotland</w:t>
        </w:r>
      </w:hyperlink>
    </w:p>
  </w:footnote>
  <w:footnote w:id="112">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Detailed information on the Environment Agency is available</w:t>
      </w:r>
      <w:hyperlink r:id="rId84" w:history="1">
        <w:r>
          <w:rPr>
            <w:rStyle w:val="Hyperlink"/>
            <w:rFonts w:asciiTheme="minorHAnsi" w:hAnsiTheme="minorHAnsi"/>
            <w:sz w:val="16"/>
            <w:szCs w:val="16"/>
          </w:rPr>
          <w:t xml:space="preserve"> here</w:t>
        </w:r>
      </w:hyperlink>
      <w:r>
        <w:rPr>
          <w:rFonts w:asciiTheme="minorHAnsi" w:hAnsiTheme="minorHAnsi"/>
          <w:sz w:val="16"/>
          <w:szCs w:val="16"/>
        </w:rPr>
        <w:t xml:space="preserve">: </w:t>
      </w:r>
      <w:hyperlink r:id="rId85" w:history="1">
        <w:r>
          <w:rPr>
            <w:rStyle w:val="Hyperlink"/>
            <w:rFonts w:asciiTheme="minorHAnsi" w:hAnsiTheme="minorHAnsi"/>
            <w:sz w:val="16"/>
            <w:szCs w:val="16"/>
          </w:rPr>
          <w:t>https://www.gov.uk/government/organisations/environment-agency/services-information</w:t>
        </w:r>
      </w:hyperlink>
    </w:p>
  </w:footnote>
  <w:footnote w:id="113">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Opra currently covers installations subject to the Environmental Permitting Regulations (large industri</w:t>
      </w:r>
      <w:r>
        <w:rPr>
          <w:rFonts w:asciiTheme="minorHAnsi" w:hAnsiTheme="minorHAnsi"/>
          <w:sz w:val="16"/>
          <w:szCs w:val="16"/>
        </w:rPr>
        <w:t>al and waste management facilities). It is a software-supported tool designed to score operators on the basis of environmental hazard of a regulated facility (its complexity in terms of multimedia impacts, location with respect to urban and environmentally</w:t>
      </w:r>
      <w:r>
        <w:rPr>
          <w:rFonts w:asciiTheme="minorHAnsi" w:hAnsiTheme="minorHAnsi"/>
          <w:sz w:val="16"/>
          <w:szCs w:val="16"/>
        </w:rPr>
        <w:t xml:space="preserve"> sensitive areas, volume of pollution releases) and its operator’s performance (compliance record and environmental management practices). Opra also helps to calculate administrative charges for such facilities. Source: </w:t>
      </w:r>
      <w:hyperlink r:id="rId86" w:history="1">
        <w:r>
          <w:rPr>
            <w:rStyle w:val="Hyperlink"/>
            <w:rFonts w:asciiTheme="minorHAnsi" w:hAnsiTheme="minorHAnsi"/>
            <w:sz w:val="16"/>
            <w:szCs w:val="16"/>
          </w:rPr>
          <w:t>Environment Agency</w:t>
        </w:r>
      </w:hyperlink>
    </w:p>
  </w:footnote>
  <w:footnote w:id="114">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for instance the report of the </w:t>
      </w:r>
      <w:r>
        <w:rPr>
          <w:rFonts w:asciiTheme="minorHAnsi" w:hAnsiTheme="minorHAnsi"/>
          <w:bCs/>
          <w:sz w:val="16"/>
          <w:szCs w:val="16"/>
        </w:rPr>
        <w:t xml:space="preserve">National Audit Office of UK in relation to diffuse agricultural pollution. </w:t>
      </w:r>
    </w:p>
  </w:footnote>
  <w:footnote w:id="115">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recently revised sentencing guidelines have led to the </w:t>
      </w:r>
      <w:r>
        <w:rPr>
          <w:rFonts w:asciiTheme="minorHAnsi" w:hAnsiTheme="minorHAnsi"/>
          <w:sz w:val="16"/>
          <w:szCs w:val="16"/>
        </w:rPr>
        <w:t xml:space="preserve">English Environment Agency securing a number of 6 and 7 figure fines in quick succession. In January 2016, a privatised water company was fined GBP 1 million (approximately EUR 1.4 million) for water pollution offences. </w:t>
      </w:r>
    </w:p>
  </w:footnote>
  <w:footnote w:id="116">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PAW includes statutory wildlife b</w:t>
      </w:r>
      <w:r>
        <w:rPr>
          <w:rFonts w:asciiTheme="minorHAnsi" w:hAnsiTheme="minorHAnsi"/>
          <w:sz w:val="16"/>
          <w:szCs w:val="16"/>
        </w:rPr>
        <w:t>odies, such as the conservation agencies, with the police and customs. It also includes non-governmental bodies, which are important partners. The PAW steering group sets the overall objectives for tackling wildlife crime, setting priorities. A Task and Co</w:t>
      </w:r>
      <w:r>
        <w:rPr>
          <w:rFonts w:asciiTheme="minorHAnsi" w:hAnsiTheme="minorHAnsi"/>
          <w:sz w:val="16"/>
          <w:szCs w:val="16"/>
        </w:rPr>
        <w:t xml:space="preserve">-ordination Group oversees that action is taken to meet the priorities. </w:t>
      </w:r>
    </w:p>
  </w:footnote>
  <w:footnote w:id="117">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7" w:history="1">
        <w:r>
          <w:rPr>
            <w:rStyle w:val="Hyperlink"/>
            <w:rFonts w:asciiTheme="minorHAnsi" w:hAnsiTheme="minorHAnsi"/>
            <w:sz w:val="16"/>
            <w:szCs w:val="16"/>
          </w:rPr>
          <w:t>Make it Work Principles on Drafting Provisions on Compliance Assurance</w:t>
        </w:r>
      </w:hyperlink>
      <w:r>
        <w:rPr>
          <w:rFonts w:asciiTheme="minorHAnsi" w:hAnsiTheme="minorHAnsi"/>
          <w:sz w:val="16"/>
          <w:szCs w:val="16"/>
        </w:rPr>
        <w:t xml:space="preserve"> </w:t>
      </w:r>
    </w:p>
  </w:footnote>
  <w:footnote w:id="118">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88" w:history="1">
        <w:r>
          <w:rPr>
            <w:rStyle w:val="Hyperlink"/>
            <w:rFonts w:asciiTheme="minorHAnsi" w:hAnsiTheme="minorHAnsi"/>
            <w:sz w:val="16"/>
            <w:szCs w:val="16"/>
          </w:rPr>
          <w:t>2012/2013 access to justice in environmental matters in the UK</w:t>
        </w:r>
      </w:hyperlink>
    </w:p>
  </w:footnote>
  <w:footnote w:id="119">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UNECE, 1998. </w:t>
      </w:r>
      <w:hyperlink r:id="rId89" w:history="1">
        <w:r>
          <w:rPr>
            <w:rStyle w:val="Hyperlink"/>
            <w:rFonts w:asciiTheme="minorHAnsi" w:hAnsiTheme="minorHAnsi"/>
            <w:sz w:val="16"/>
            <w:szCs w:val="16"/>
          </w:rPr>
          <w:t>Co</w:t>
        </w:r>
        <w:r>
          <w:rPr>
            <w:rStyle w:val="Hyperlink"/>
            <w:rFonts w:asciiTheme="minorHAnsi" w:hAnsiTheme="minorHAnsi"/>
            <w:sz w:val="16"/>
            <w:szCs w:val="16"/>
          </w:rPr>
          <w:t>nvention on Access to Information, Public Participation in Decision-Making and Access to Justice in Environmental Matters</w:t>
        </w:r>
      </w:hyperlink>
    </w:p>
  </w:footnote>
  <w:footnote w:id="120">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
  </w:footnote>
  <w:footnote w:id="121">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90" w:history="1">
        <w:r>
          <w:rPr>
            <w:rStyle w:val="Hyperlink"/>
            <w:rFonts w:asciiTheme="minorHAnsi" w:hAnsiTheme="minorHAnsi"/>
            <w:sz w:val="16"/>
            <w:szCs w:val="16"/>
          </w:rPr>
          <w:t xml:space="preserve">Directive 2003/4/EC on public </w:t>
        </w:r>
        <w:r>
          <w:rPr>
            <w:rStyle w:val="Hyperlink"/>
            <w:rFonts w:asciiTheme="minorHAnsi" w:hAnsiTheme="minorHAnsi"/>
            <w:sz w:val="16"/>
            <w:szCs w:val="16"/>
          </w:rPr>
          <w:t>access to environmental information</w:t>
        </w:r>
      </w:hyperlink>
      <w:r>
        <w:rPr>
          <w:rFonts w:asciiTheme="minorHAnsi" w:hAnsiTheme="minorHAnsi"/>
          <w:sz w:val="16"/>
          <w:szCs w:val="16"/>
        </w:rPr>
        <w:t xml:space="preserve"> </w:t>
      </w:r>
    </w:p>
  </w:footnote>
  <w:footnote w:id="122">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91" w:history="1">
        <w:r>
          <w:rPr>
            <w:rStyle w:val="Hyperlink"/>
            <w:rFonts w:asciiTheme="minorHAnsi" w:hAnsiTheme="minorHAnsi"/>
            <w:sz w:val="16"/>
            <w:szCs w:val="16"/>
          </w:rPr>
          <w:t>INSPIRE Directive 2007/2/EC</w:t>
        </w:r>
      </w:hyperlink>
      <w:r>
        <w:rPr>
          <w:rFonts w:asciiTheme="minorHAnsi" w:hAnsiTheme="minorHAnsi"/>
          <w:sz w:val="16"/>
          <w:szCs w:val="16"/>
        </w:rPr>
        <w:t xml:space="preserve"> </w:t>
      </w:r>
    </w:p>
  </w:footnote>
  <w:footnote w:id="123">
    <w:p w:rsidR="003D2157" w:rsidRDefault="00670DB4">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EU eGovernment Action Plan 2016-2020 - Accelerating the digit</w:t>
      </w:r>
      <w:r>
        <w:rPr>
          <w:rFonts w:asciiTheme="minorHAnsi" w:hAnsiTheme="minorHAnsi"/>
          <w:sz w:val="16"/>
          <w:szCs w:val="16"/>
        </w:rPr>
        <w:t xml:space="preserve">al transformation of government </w:t>
      </w:r>
      <w:hyperlink r:id="rId92" w:history="1">
        <w:r>
          <w:rPr>
            <w:rStyle w:val="Hyperlink"/>
            <w:rFonts w:asciiTheme="minorHAnsi" w:hAnsiTheme="minorHAnsi"/>
            <w:sz w:val="16"/>
            <w:szCs w:val="16"/>
          </w:rPr>
          <w:t>COM(2016) 179</w:t>
        </w:r>
      </w:hyperlink>
      <w:r>
        <w:rPr>
          <w:rFonts w:asciiTheme="minorHAnsi" w:hAnsiTheme="minorHAnsi"/>
          <w:sz w:val="16"/>
          <w:szCs w:val="16"/>
        </w:rPr>
        <w:t xml:space="preserve"> final</w:t>
      </w:r>
    </w:p>
  </w:footnote>
  <w:footnote w:id="124">
    <w:p w:rsidR="003D2157" w:rsidRDefault="00670DB4">
      <w:pPr>
        <w:pStyle w:val="FootnoteText"/>
        <w:ind w:left="170" w:hanging="170"/>
        <w:rPr>
          <w:rFonts w:asciiTheme="minorHAnsi" w:hAnsiTheme="minorHAnsi"/>
          <w:sz w:val="16"/>
          <w:szCs w:val="16"/>
          <w:lang w:val="it-IT"/>
        </w:rPr>
      </w:pPr>
      <w:r>
        <w:rPr>
          <w:rStyle w:val="FootnoteReference"/>
          <w:rFonts w:asciiTheme="minorHAnsi" w:hAnsiTheme="minorHAnsi"/>
          <w:sz w:val="16"/>
          <w:szCs w:val="16"/>
        </w:rPr>
        <w:footnoteRef/>
      </w:r>
      <w:r>
        <w:rPr>
          <w:rFonts w:asciiTheme="minorHAnsi" w:hAnsiTheme="minorHAnsi"/>
          <w:sz w:val="16"/>
          <w:szCs w:val="16"/>
          <w:lang w:val="it-IT"/>
        </w:rPr>
        <w:t xml:space="preserve"> </w:t>
      </w:r>
      <w:r>
        <w:rPr>
          <w:rFonts w:asciiTheme="minorHAnsi" w:hAnsiTheme="minorHAnsi"/>
          <w:sz w:val="16"/>
          <w:szCs w:val="16"/>
        </w:rPr>
        <w:t xml:space="preserve">European Commission, </w:t>
      </w:r>
      <w:hyperlink r:id="rId93" w:history="1">
        <w:r>
          <w:rPr>
            <w:rStyle w:val="Hyperlink"/>
            <w:rFonts w:asciiTheme="minorHAnsi" w:hAnsiTheme="minorHAnsi"/>
            <w:sz w:val="16"/>
            <w:szCs w:val="16"/>
          </w:rPr>
          <w:t>INSPIRE reports</w:t>
        </w:r>
      </w:hyperlink>
    </w:p>
  </w:footnote>
  <w:footnote w:id="125">
    <w:p w:rsidR="003D2157" w:rsidRDefault="00670DB4">
      <w:pPr>
        <w:pStyle w:val="FootnoteText"/>
        <w:ind w:left="170" w:hanging="170"/>
        <w:rPr>
          <w:rStyle w:val="Hyperlink"/>
          <w:rFonts w:asciiTheme="minorHAnsi" w:hAnsiTheme="minorHAnsi"/>
          <w:sz w:val="16"/>
          <w:szCs w:val="16"/>
          <w:lang w:val="it-IT"/>
        </w:rPr>
      </w:pPr>
      <w:r>
        <w:rPr>
          <w:rStyle w:val="FootnoteReference"/>
          <w:rFonts w:asciiTheme="minorHAnsi" w:hAnsiTheme="minorHAnsi"/>
          <w:sz w:val="16"/>
          <w:szCs w:val="16"/>
        </w:rPr>
        <w:footnoteRef/>
      </w:r>
      <w:r>
        <w:rPr>
          <w:rFonts w:asciiTheme="minorHAnsi" w:hAnsiTheme="minorHAnsi"/>
          <w:sz w:val="16"/>
          <w:szCs w:val="16"/>
          <w:lang w:val="it-IT"/>
        </w:rPr>
        <w:t xml:space="preserve"> </w:t>
      </w:r>
      <w:hyperlink r:id="rId94" w:history="1">
        <w:r>
          <w:rPr>
            <w:rStyle w:val="Hyperlink"/>
            <w:rFonts w:asciiTheme="minorHAnsi" w:hAnsiTheme="minorHAnsi"/>
            <w:sz w:val="16"/>
            <w:szCs w:val="16"/>
          </w:rPr>
          <w:t>Inspire indicator trends</w:t>
        </w:r>
      </w:hyperlink>
      <w:r>
        <w:rPr>
          <w:rFonts w:asciiTheme="minorHAnsi" w:hAnsiTheme="minorHAnsi"/>
          <w:sz w:val="16"/>
          <w:szCs w:val="16"/>
        </w:rPr>
        <w:t xml:space="preserve"> </w:t>
      </w:r>
    </w:p>
  </w:footnote>
  <w:footnote w:id="126">
    <w:p w:rsidR="003D2157" w:rsidRDefault="00670DB4">
      <w:pPr>
        <w:pStyle w:val="FootnoteText"/>
        <w:ind w:left="170" w:hanging="170"/>
        <w:rPr>
          <w:rFonts w:asciiTheme="minorHAnsi" w:hAnsiTheme="minorHAnsi"/>
          <w:sz w:val="16"/>
          <w:szCs w:val="16"/>
          <w:lang w:val="it-IT"/>
        </w:rPr>
      </w:pPr>
      <w:r>
        <w:rPr>
          <w:rStyle w:val="FootnoteReference"/>
          <w:rFonts w:asciiTheme="minorHAnsi" w:hAnsiTheme="minorHAnsi"/>
          <w:sz w:val="16"/>
          <w:szCs w:val="16"/>
        </w:rPr>
        <w:footnoteRef/>
      </w:r>
      <w:r>
        <w:rPr>
          <w:rFonts w:asciiTheme="minorHAnsi" w:hAnsiTheme="minorHAnsi"/>
          <w:sz w:val="16"/>
          <w:szCs w:val="16"/>
        </w:rPr>
        <w:t xml:space="preserve"> </w:t>
      </w:r>
      <w:hyperlink r:id="rId95" w:history="1">
        <w:r>
          <w:rPr>
            <w:rStyle w:val="Hyperlink"/>
            <w:rFonts w:asciiTheme="minorHAnsi" w:hAnsiTheme="minorHAnsi"/>
            <w:sz w:val="16"/>
            <w:szCs w:val="16"/>
          </w:rPr>
          <w:t>Inspire Resources Summary Report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B4" w:rsidRPr="00670DB4" w:rsidRDefault="00670DB4" w:rsidP="00670DB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3D2157">
      <w:tc>
        <w:tcPr>
          <w:tcW w:w="0" w:type="auto"/>
          <w:tcBorders>
            <w:top w:val="nil"/>
            <w:left w:val="nil"/>
            <w:bottom w:val="nil"/>
            <w:right w:val="single" w:sz="6" w:space="0" w:color="000000" w:themeColor="text1"/>
          </w:tcBorders>
          <w:hideMark/>
        </w:tcPr>
        <w:p w:rsidR="003D2157" w:rsidRDefault="00670DB4">
          <w:pPr>
            <w:pStyle w:val="Header"/>
            <w:spacing w:line="276" w:lineRule="auto"/>
            <w:jc w:val="right"/>
            <w:rPr>
              <w:rFonts w:cstheme="minorHAnsi"/>
              <w:b/>
              <w:bCs/>
              <w:color w:val="1F497D" w:themeColor="text2"/>
            </w:rPr>
          </w:pPr>
          <w:r>
            <w:rPr>
              <w:rFonts w:cstheme="minorHAnsi"/>
              <w:b/>
              <w:bCs/>
              <w:color w:val="1F497D" w:themeColor="text2"/>
            </w:rPr>
            <w:t>United Kingdom</w:t>
          </w:r>
        </w:p>
      </w:tc>
      <w:tc>
        <w:tcPr>
          <w:tcW w:w="1152" w:type="dxa"/>
          <w:tcBorders>
            <w:top w:val="nil"/>
            <w:left w:val="single" w:sz="6" w:space="0" w:color="000000" w:themeColor="text1"/>
            <w:bottom w:val="nil"/>
            <w:right w:val="nil"/>
          </w:tcBorders>
          <w:hideMark/>
        </w:tcPr>
        <w:p w:rsidR="003D2157" w:rsidRDefault="00670DB4">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3D2157" w:rsidRDefault="003D2157">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3D2157">
      <w:tc>
        <w:tcPr>
          <w:tcW w:w="0" w:type="auto"/>
          <w:tcBorders>
            <w:top w:val="nil"/>
            <w:left w:val="nil"/>
            <w:bottom w:val="nil"/>
            <w:right w:val="single" w:sz="6" w:space="0" w:color="000000" w:themeColor="text1"/>
          </w:tcBorders>
        </w:tcPr>
        <w:p w:rsidR="003D2157" w:rsidRDefault="003D21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D2157" w:rsidRDefault="003D2157">
          <w:pPr>
            <w:pStyle w:val="Header"/>
            <w:spacing w:line="276" w:lineRule="auto"/>
            <w:rPr>
              <w:rFonts w:cstheme="minorHAnsi"/>
              <w:b/>
              <w:bCs/>
              <w:color w:val="1F497D" w:themeColor="text2"/>
            </w:rPr>
          </w:pPr>
        </w:p>
      </w:tc>
    </w:tr>
  </w:tbl>
  <w:p w:rsidR="003D2157" w:rsidRDefault="003D215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hideMark/>
        </w:tcPr>
        <w:p w:rsidR="003D2157" w:rsidRDefault="00670DB4">
          <w:pPr>
            <w:pStyle w:val="Header"/>
            <w:spacing w:line="276" w:lineRule="auto"/>
            <w:jc w:val="right"/>
            <w:rPr>
              <w:rFonts w:cstheme="minorHAnsi"/>
              <w:b/>
              <w:bCs/>
              <w:color w:val="1F497D" w:themeColor="text2"/>
            </w:rPr>
          </w:pPr>
          <w:r>
            <w:rPr>
              <w:rFonts w:cstheme="minorHAnsi"/>
              <w:b/>
              <w:bCs/>
              <w:color w:val="1F497D" w:themeColor="text2"/>
            </w:rPr>
            <w:t>United Kingdom</w:t>
          </w:r>
        </w:p>
      </w:tc>
      <w:tc>
        <w:tcPr>
          <w:tcW w:w="1152" w:type="dxa"/>
          <w:tcBorders>
            <w:top w:val="nil"/>
            <w:left w:val="single" w:sz="6" w:space="0" w:color="000000" w:themeColor="text1"/>
            <w:bottom w:val="nil"/>
            <w:right w:val="nil"/>
          </w:tcBorders>
          <w:hideMark/>
        </w:tcPr>
        <w:p w:rsidR="003D2157" w:rsidRDefault="00670DB4">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v</w:t>
          </w:r>
          <w:r>
            <w:rPr>
              <w:rFonts w:cstheme="minorHAnsi"/>
              <w:b/>
              <w:bCs/>
              <w:color w:val="1F497D" w:themeColor="text2"/>
              <w:sz w:val="28"/>
            </w:rPr>
            <w:fldChar w:fldCharType="end"/>
          </w:r>
        </w:p>
      </w:tc>
    </w:tr>
  </w:tbl>
  <w:p w:rsidR="003D2157" w:rsidRDefault="003D2157">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tcPr>
        <w:p w:rsidR="003D2157" w:rsidRDefault="003D21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D2157" w:rsidRDefault="003D2157">
          <w:pPr>
            <w:pStyle w:val="Header"/>
            <w:spacing w:line="276" w:lineRule="auto"/>
            <w:rPr>
              <w:rFonts w:cstheme="minorHAnsi"/>
              <w:b/>
              <w:bCs/>
              <w:color w:val="1F497D" w:themeColor="text2"/>
            </w:rPr>
          </w:pPr>
        </w:p>
      </w:tc>
    </w:tr>
  </w:tbl>
  <w:p w:rsidR="003D2157" w:rsidRDefault="003D215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hideMark/>
        </w:tcPr>
        <w:p w:rsidR="003D2157" w:rsidRDefault="00670DB4">
          <w:pPr>
            <w:pStyle w:val="Header"/>
            <w:spacing w:line="276" w:lineRule="auto"/>
            <w:jc w:val="right"/>
            <w:rPr>
              <w:rFonts w:cstheme="minorHAnsi"/>
              <w:b/>
              <w:bCs/>
              <w:color w:val="1F497D" w:themeColor="text2"/>
            </w:rPr>
          </w:pPr>
          <w:r>
            <w:rPr>
              <w:rFonts w:cstheme="minorHAnsi"/>
              <w:b/>
              <w:bCs/>
              <w:color w:val="1F497D" w:themeColor="text2"/>
            </w:rPr>
            <w:t>United Kingdom</w:t>
          </w:r>
        </w:p>
      </w:tc>
      <w:tc>
        <w:tcPr>
          <w:tcW w:w="1152" w:type="dxa"/>
          <w:tcBorders>
            <w:top w:val="nil"/>
            <w:left w:val="single" w:sz="6" w:space="0" w:color="000000" w:themeColor="text1"/>
            <w:bottom w:val="nil"/>
            <w:right w:val="nil"/>
          </w:tcBorders>
          <w:hideMark/>
        </w:tcPr>
        <w:p w:rsidR="003D2157" w:rsidRDefault="00670DB4">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3D2157" w:rsidRDefault="003D2157">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tcPr>
        <w:p w:rsidR="003D2157" w:rsidRDefault="003D21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D2157" w:rsidRDefault="003D2157">
          <w:pPr>
            <w:pStyle w:val="Header"/>
            <w:spacing w:line="276" w:lineRule="auto"/>
            <w:rPr>
              <w:rFonts w:cstheme="minorHAnsi"/>
              <w:b/>
              <w:bCs/>
              <w:color w:val="1F497D" w:themeColor="text2"/>
            </w:rPr>
          </w:pPr>
        </w:p>
      </w:tc>
    </w:tr>
  </w:tbl>
  <w:p w:rsidR="003D2157" w:rsidRDefault="003D215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B4" w:rsidRPr="00670DB4" w:rsidRDefault="00670DB4" w:rsidP="00670DB4">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hideMark/>
        </w:tcPr>
        <w:p w:rsidR="003D2157" w:rsidRDefault="00670DB4">
          <w:pPr>
            <w:pStyle w:val="Header"/>
            <w:spacing w:line="276" w:lineRule="auto"/>
            <w:jc w:val="right"/>
            <w:rPr>
              <w:rFonts w:cstheme="minorHAnsi"/>
              <w:b/>
              <w:bCs/>
              <w:color w:val="1F497D" w:themeColor="text2"/>
            </w:rPr>
          </w:pPr>
          <w:r>
            <w:rPr>
              <w:rFonts w:cstheme="minorHAnsi"/>
              <w:b/>
              <w:bCs/>
              <w:color w:val="1F497D" w:themeColor="text2"/>
            </w:rPr>
            <w:t>United Kingdom</w:t>
          </w:r>
        </w:p>
      </w:tc>
      <w:tc>
        <w:tcPr>
          <w:tcW w:w="1152" w:type="dxa"/>
          <w:tcBorders>
            <w:top w:val="nil"/>
            <w:left w:val="single" w:sz="6" w:space="0" w:color="000000" w:themeColor="text1"/>
            <w:bottom w:val="nil"/>
            <w:right w:val="nil"/>
          </w:tcBorders>
          <w:hideMark/>
        </w:tcPr>
        <w:p w:rsidR="003D2157" w:rsidRDefault="00670DB4">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8</w:t>
          </w:r>
          <w:r>
            <w:rPr>
              <w:rFonts w:cstheme="minorHAnsi"/>
              <w:b/>
              <w:bCs/>
              <w:color w:val="1F497D" w:themeColor="text2"/>
              <w:sz w:val="28"/>
            </w:rPr>
            <w:fldChar w:fldCharType="end"/>
          </w:r>
        </w:p>
      </w:tc>
    </w:tr>
  </w:tbl>
  <w:p w:rsidR="003D2157" w:rsidRDefault="003D2157">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tcPr>
        <w:p w:rsidR="003D2157" w:rsidRDefault="003D21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D2157" w:rsidRDefault="003D2157">
          <w:pPr>
            <w:pStyle w:val="Header"/>
            <w:spacing w:line="276" w:lineRule="auto"/>
            <w:rPr>
              <w:rFonts w:cstheme="minorHAnsi"/>
              <w:b/>
              <w:bCs/>
              <w:color w:val="1F497D" w:themeColor="text2"/>
            </w:rPr>
          </w:pPr>
        </w:p>
      </w:tc>
    </w:tr>
  </w:tbl>
  <w:p w:rsidR="003D2157" w:rsidRDefault="003D215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hideMark/>
        </w:tcPr>
        <w:p w:rsidR="003D2157" w:rsidRDefault="00670DB4">
          <w:pPr>
            <w:pStyle w:val="Header"/>
            <w:spacing w:line="276" w:lineRule="auto"/>
            <w:jc w:val="right"/>
            <w:rPr>
              <w:rFonts w:cstheme="minorHAnsi"/>
              <w:b/>
              <w:bCs/>
              <w:color w:val="1F497D" w:themeColor="text2"/>
            </w:rPr>
          </w:pPr>
          <w:r>
            <w:rPr>
              <w:rFonts w:cstheme="minorHAnsi"/>
              <w:b/>
              <w:bCs/>
              <w:color w:val="1F497D" w:themeColor="text2"/>
            </w:rPr>
            <w:t>United Kingdom</w:t>
          </w:r>
        </w:p>
      </w:tc>
      <w:tc>
        <w:tcPr>
          <w:tcW w:w="1152" w:type="dxa"/>
          <w:tcBorders>
            <w:top w:val="nil"/>
            <w:left w:val="single" w:sz="6" w:space="0" w:color="000000" w:themeColor="text1"/>
            <w:bottom w:val="nil"/>
            <w:right w:val="nil"/>
          </w:tcBorders>
          <w:hideMark/>
        </w:tcPr>
        <w:p w:rsidR="003D2157" w:rsidRDefault="00670DB4">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9</w:t>
          </w:r>
          <w:r>
            <w:rPr>
              <w:rFonts w:cstheme="minorHAnsi"/>
              <w:b/>
              <w:bCs/>
              <w:color w:val="1F497D" w:themeColor="text2"/>
              <w:sz w:val="28"/>
            </w:rPr>
            <w:fldChar w:fldCharType="end"/>
          </w:r>
        </w:p>
      </w:tc>
    </w:tr>
  </w:tbl>
  <w:p w:rsidR="003D2157" w:rsidRDefault="003D2157">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tcPr>
        <w:p w:rsidR="003D2157" w:rsidRDefault="003D21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D2157" w:rsidRDefault="003D2157">
          <w:pPr>
            <w:pStyle w:val="Header"/>
            <w:spacing w:line="276" w:lineRule="auto"/>
            <w:rPr>
              <w:rFonts w:cstheme="minorHAnsi"/>
              <w:b/>
              <w:bCs/>
              <w:color w:val="1F497D" w:themeColor="text2"/>
            </w:rPr>
          </w:pPr>
        </w:p>
      </w:tc>
    </w:tr>
  </w:tbl>
  <w:p w:rsidR="003D2157" w:rsidRDefault="003D215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hideMark/>
        </w:tcPr>
        <w:p w:rsidR="003D2157" w:rsidRDefault="00670DB4">
          <w:pPr>
            <w:pStyle w:val="Header"/>
            <w:spacing w:line="276" w:lineRule="auto"/>
            <w:jc w:val="right"/>
            <w:rPr>
              <w:rFonts w:cstheme="minorHAnsi"/>
              <w:b/>
              <w:bCs/>
              <w:color w:val="1F497D" w:themeColor="text2"/>
            </w:rPr>
          </w:pPr>
          <w:r>
            <w:rPr>
              <w:rFonts w:cstheme="minorHAnsi"/>
              <w:b/>
              <w:bCs/>
              <w:color w:val="1F497D" w:themeColor="text2"/>
            </w:rPr>
            <w:t>United Kingdom</w:t>
          </w:r>
        </w:p>
      </w:tc>
      <w:tc>
        <w:tcPr>
          <w:tcW w:w="1152" w:type="dxa"/>
          <w:tcBorders>
            <w:top w:val="nil"/>
            <w:left w:val="single" w:sz="6" w:space="0" w:color="000000" w:themeColor="text1"/>
            <w:bottom w:val="nil"/>
            <w:right w:val="nil"/>
          </w:tcBorders>
          <w:hideMark/>
        </w:tcPr>
        <w:p w:rsidR="003D2157" w:rsidRDefault="00670DB4">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14</w:t>
          </w:r>
          <w:r>
            <w:rPr>
              <w:rFonts w:cstheme="minorHAnsi"/>
              <w:b/>
              <w:bCs/>
              <w:color w:val="1F497D" w:themeColor="text2"/>
              <w:sz w:val="28"/>
            </w:rPr>
            <w:fldChar w:fldCharType="end"/>
          </w:r>
        </w:p>
      </w:tc>
    </w:tr>
  </w:tbl>
  <w:p w:rsidR="003D2157" w:rsidRDefault="003D2157">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tcPr>
        <w:p w:rsidR="003D2157" w:rsidRDefault="003D21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D2157" w:rsidRDefault="003D2157">
          <w:pPr>
            <w:pStyle w:val="Header"/>
            <w:spacing w:line="276" w:lineRule="auto"/>
            <w:rPr>
              <w:rFonts w:cstheme="minorHAnsi"/>
              <w:b/>
              <w:bCs/>
              <w:color w:val="1F497D" w:themeColor="text2"/>
            </w:rPr>
          </w:pPr>
        </w:p>
      </w:tc>
    </w:tr>
  </w:tbl>
  <w:p w:rsidR="003D2157" w:rsidRDefault="003D215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hideMark/>
        </w:tcPr>
        <w:p w:rsidR="003D2157" w:rsidRDefault="00670DB4">
          <w:pPr>
            <w:pStyle w:val="Header"/>
            <w:spacing w:line="276" w:lineRule="auto"/>
            <w:jc w:val="right"/>
            <w:rPr>
              <w:rFonts w:cstheme="minorHAnsi"/>
              <w:b/>
              <w:bCs/>
              <w:color w:val="1F497D" w:themeColor="text2"/>
            </w:rPr>
          </w:pPr>
          <w:r>
            <w:rPr>
              <w:rFonts w:cstheme="minorHAnsi"/>
              <w:b/>
              <w:bCs/>
              <w:color w:val="1F497D" w:themeColor="text2"/>
            </w:rPr>
            <w:t>United Kingdom</w:t>
          </w:r>
        </w:p>
      </w:tc>
      <w:tc>
        <w:tcPr>
          <w:tcW w:w="1152" w:type="dxa"/>
          <w:tcBorders>
            <w:top w:val="nil"/>
            <w:left w:val="single" w:sz="6" w:space="0" w:color="000000" w:themeColor="text1"/>
            <w:bottom w:val="nil"/>
            <w:right w:val="nil"/>
          </w:tcBorders>
          <w:hideMark/>
        </w:tcPr>
        <w:p w:rsidR="003D2157" w:rsidRDefault="00670DB4">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15</w:t>
          </w:r>
          <w:r>
            <w:rPr>
              <w:rFonts w:cstheme="minorHAnsi"/>
              <w:b/>
              <w:bCs/>
              <w:color w:val="1F497D" w:themeColor="text2"/>
              <w:sz w:val="28"/>
            </w:rPr>
            <w:fldChar w:fldCharType="end"/>
          </w:r>
        </w:p>
      </w:tc>
    </w:tr>
  </w:tbl>
  <w:p w:rsidR="003D2157" w:rsidRDefault="003D2157">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B4" w:rsidRPr="00670DB4" w:rsidRDefault="00670DB4" w:rsidP="00670DB4">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tcPr>
        <w:p w:rsidR="003D2157" w:rsidRDefault="003D21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D2157" w:rsidRDefault="003D2157">
          <w:pPr>
            <w:pStyle w:val="Header"/>
            <w:spacing w:line="276" w:lineRule="auto"/>
            <w:rPr>
              <w:rFonts w:cstheme="minorHAnsi"/>
              <w:b/>
              <w:bCs/>
              <w:color w:val="1F497D" w:themeColor="text2"/>
            </w:rPr>
          </w:pPr>
        </w:p>
      </w:tc>
    </w:tr>
  </w:tbl>
  <w:p w:rsidR="003D2157" w:rsidRDefault="003D215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hideMark/>
        </w:tcPr>
        <w:p w:rsidR="003D2157" w:rsidRDefault="00670DB4">
          <w:pPr>
            <w:pStyle w:val="Header"/>
            <w:spacing w:line="276" w:lineRule="auto"/>
            <w:jc w:val="right"/>
            <w:rPr>
              <w:rFonts w:cstheme="minorHAnsi"/>
              <w:b/>
              <w:bCs/>
              <w:color w:val="1F497D" w:themeColor="text2"/>
            </w:rPr>
          </w:pPr>
          <w:r>
            <w:rPr>
              <w:rFonts w:cstheme="minorHAnsi"/>
              <w:b/>
              <w:bCs/>
              <w:color w:val="1F497D" w:themeColor="text2"/>
            </w:rPr>
            <w:t>United Kingdom</w:t>
          </w:r>
        </w:p>
      </w:tc>
      <w:tc>
        <w:tcPr>
          <w:tcW w:w="1152" w:type="dxa"/>
          <w:tcBorders>
            <w:top w:val="nil"/>
            <w:left w:val="single" w:sz="6" w:space="0" w:color="000000" w:themeColor="text1"/>
            <w:bottom w:val="nil"/>
            <w:right w:val="nil"/>
          </w:tcBorders>
          <w:hideMark/>
        </w:tcPr>
        <w:p w:rsidR="003D2157" w:rsidRDefault="00670DB4">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19</w:t>
          </w:r>
          <w:r>
            <w:rPr>
              <w:rFonts w:cstheme="minorHAnsi"/>
              <w:b/>
              <w:bCs/>
              <w:color w:val="1F497D" w:themeColor="text2"/>
              <w:sz w:val="28"/>
            </w:rPr>
            <w:fldChar w:fldCharType="end"/>
          </w:r>
        </w:p>
      </w:tc>
    </w:tr>
  </w:tbl>
  <w:p w:rsidR="003D2157" w:rsidRDefault="003D2157">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tcPr>
        <w:p w:rsidR="003D2157" w:rsidRDefault="003D21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D2157" w:rsidRDefault="003D2157">
          <w:pPr>
            <w:pStyle w:val="Header"/>
            <w:spacing w:line="276" w:lineRule="auto"/>
            <w:rPr>
              <w:rFonts w:cstheme="minorHAnsi"/>
              <w:b/>
              <w:bCs/>
              <w:color w:val="1F497D" w:themeColor="text2"/>
            </w:rPr>
          </w:pPr>
        </w:p>
      </w:tc>
    </w:tr>
  </w:tbl>
  <w:p w:rsidR="003D2157" w:rsidRDefault="003D215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hideMark/>
        </w:tcPr>
        <w:p w:rsidR="003D2157" w:rsidRDefault="00670DB4">
          <w:pPr>
            <w:pStyle w:val="Header"/>
            <w:spacing w:line="276" w:lineRule="auto"/>
            <w:jc w:val="right"/>
            <w:rPr>
              <w:rFonts w:cstheme="minorHAnsi"/>
              <w:b/>
              <w:bCs/>
              <w:color w:val="1F497D" w:themeColor="text2"/>
            </w:rPr>
          </w:pPr>
          <w:r>
            <w:rPr>
              <w:rFonts w:cstheme="minorHAnsi"/>
              <w:b/>
              <w:bCs/>
              <w:color w:val="1F497D" w:themeColor="text2"/>
            </w:rPr>
            <w:t>United Kingdom</w:t>
          </w:r>
        </w:p>
      </w:tc>
      <w:tc>
        <w:tcPr>
          <w:tcW w:w="1152" w:type="dxa"/>
          <w:tcBorders>
            <w:top w:val="nil"/>
            <w:left w:val="single" w:sz="6" w:space="0" w:color="000000" w:themeColor="text1"/>
            <w:bottom w:val="nil"/>
            <w:right w:val="nil"/>
          </w:tcBorders>
          <w:hideMark/>
        </w:tcPr>
        <w:p w:rsidR="003D2157" w:rsidRDefault="00670DB4">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20</w:t>
          </w:r>
          <w:r>
            <w:rPr>
              <w:rFonts w:cstheme="minorHAnsi"/>
              <w:b/>
              <w:bCs/>
              <w:color w:val="1F497D" w:themeColor="text2"/>
              <w:sz w:val="28"/>
            </w:rPr>
            <w:fldChar w:fldCharType="end"/>
          </w:r>
        </w:p>
      </w:tc>
    </w:tr>
  </w:tbl>
  <w:p w:rsidR="003D2157" w:rsidRDefault="003D2157">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tcPr>
        <w:p w:rsidR="003D2157" w:rsidRDefault="003D21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D2157" w:rsidRDefault="003D2157">
          <w:pPr>
            <w:pStyle w:val="Header"/>
            <w:spacing w:line="276" w:lineRule="auto"/>
            <w:rPr>
              <w:rFonts w:cstheme="minorHAnsi"/>
              <w:b/>
              <w:bCs/>
              <w:color w:val="1F497D" w:themeColor="text2"/>
            </w:rPr>
          </w:pPr>
        </w:p>
      </w:tc>
    </w:tr>
  </w:tbl>
  <w:p w:rsidR="003D2157" w:rsidRDefault="003D215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hideMark/>
        </w:tcPr>
        <w:p w:rsidR="003D2157" w:rsidRDefault="00670DB4">
          <w:pPr>
            <w:pStyle w:val="Header"/>
            <w:spacing w:line="276" w:lineRule="auto"/>
            <w:jc w:val="right"/>
            <w:rPr>
              <w:rFonts w:cstheme="minorHAnsi"/>
              <w:b/>
              <w:bCs/>
              <w:color w:val="1F497D" w:themeColor="text2"/>
            </w:rPr>
          </w:pPr>
          <w:r>
            <w:rPr>
              <w:rFonts w:cstheme="minorHAnsi"/>
              <w:b/>
              <w:bCs/>
              <w:color w:val="1F497D" w:themeColor="text2"/>
            </w:rPr>
            <w:t>United Kingdom</w:t>
          </w:r>
        </w:p>
      </w:tc>
      <w:tc>
        <w:tcPr>
          <w:tcW w:w="1152" w:type="dxa"/>
          <w:tcBorders>
            <w:top w:val="nil"/>
            <w:left w:val="single" w:sz="6" w:space="0" w:color="000000" w:themeColor="text1"/>
            <w:bottom w:val="nil"/>
            <w:right w:val="nil"/>
          </w:tcBorders>
          <w:hideMark/>
        </w:tcPr>
        <w:p w:rsidR="003D2157" w:rsidRDefault="00670DB4">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3D2157" w:rsidRDefault="003D2157">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tcPr>
        <w:p w:rsidR="003D2157" w:rsidRDefault="003D21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D2157" w:rsidRDefault="003D2157">
          <w:pPr>
            <w:pStyle w:val="Header"/>
            <w:spacing w:line="276" w:lineRule="auto"/>
            <w:rPr>
              <w:rFonts w:cstheme="minorHAnsi"/>
              <w:b/>
              <w:bCs/>
              <w:color w:val="1F497D" w:themeColor="text2"/>
            </w:rPr>
          </w:pPr>
        </w:p>
      </w:tc>
    </w:tr>
  </w:tbl>
  <w:p w:rsidR="003D2157" w:rsidRDefault="003D215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hideMark/>
        </w:tcPr>
        <w:p w:rsidR="003D2157" w:rsidRDefault="00670DB4">
          <w:pPr>
            <w:pStyle w:val="Header"/>
            <w:spacing w:line="276" w:lineRule="auto"/>
            <w:jc w:val="right"/>
            <w:rPr>
              <w:rFonts w:cstheme="minorHAnsi"/>
              <w:b/>
              <w:bCs/>
              <w:color w:val="1F497D" w:themeColor="text2"/>
            </w:rPr>
          </w:pPr>
          <w:r>
            <w:rPr>
              <w:rFonts w:cstheme="minorHAnsi"/>
              <w:b/>
              <w:bCs/>
              <w:color w:val="1F497D" w:themeColor="text2"/>
            </w:rPr>
            <w:t>United Kingdom</w:t>
          </w:r>
        </w:p>
      </w:tc>
      <w:tc>
        <w:tcPr>
          <w:tcW w:w="1152" w:type="dxa"/>
          <w:tcBorders>
            <w:top w:val="nil"/>
            <w:left w:val="single" w:sz="6" w:space="0" w:color="000000" w:themeColor="text1"/>
            <w:bottom w:val="nil"/>
            <w:right w:val="nil"/>
          </w:tcBorders>
          <w:hideMark/>
        </w:tcPr>
        <w:p w:rsidR="003D2157" w:rsidRDefault="00670DB4">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22</w:t>
          </w:r>
          <w:r>
            <w:rPr>
              <w:rFonts w:cstheme="minorHAnsi"/>
              <w:b/>
              <w:bCs/>
              <w:color w:val="1F497D" w:themeColor="text2"/>
              <w:sz w:val="28"/>
            </w:rPr>
            <w:fldChar w:fldCharType="end"/>
          </w:r>
        </w:p>
      </w:tc>
    </w:tr>
  </w:tbl>
  <w:p w:rsidR="003D2157" w:rsidRDefault="003D2157">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tcPr>
        <w:p w:rsidR="003D2157" w:rsidRDefault="003D21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D2157" w:rsidRDefault="003D2157">
          <w:pPr>
            <w:pStyle w:val="Header"/>
            <w:spacing w:line="276" w:lineRule="auto"/>
            <w:rPr>
              <w:rFonts w:cstheme="minorHAnsi"/>
              <w:b/>
              <w:bCs/>
              <w:color w:val="1F497D" w:themeColor="text2"/>
            </w:rPr>
          </w:pPr>
        </w:p>
      </w:tc>
    </w:tr>
  </w:tbl>
  <w:p w:rsidR="003D2157" w:rsidRDefault="003D215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3D2157">
      <w:tc>
        <w:tcPr>
          <w:tcW w:w="0" w:type="auto"/>
          <w:tcBorders>
            <w:top w:val="nil"/>
            <w:left w:val="nil"/>
            <w:bottom w:val="nil"/>
            <w:right w:val="single" w:sz="6" w:space="0" w:color="000000" w:themeColor="text1"/>
          </w:tcBorders>
          <w:hideMark/>
        </w:tcPr>
        <w:p w:rsidR="003D2157" w:rsidRDefault="00670DB4">
          <w:pPr>
            <w:pStyle w:val="Header"/>
            <w:spacing w:line="276" w:lineRule="auto"/>
            <w:jc w:val="right"/>
            <w:rPr>
              <w:rFonts w:cstheme="minorHAnsi"/>
              <w:b/>
              <w:bCs/>
              <w:color w:val="1F497D" w:themeColor="text2"/>
            </w:rPr>
          </w:pPr>
          <w:r>
            <w:rPr>
              <w:rFonts w:cstheme="minorHAnsi"/>
              <w:b/>
              <w:bCs/>
              <w:color w:val="1F497D" w:themeColor="text2"/>
            </w:rPr>
            <w:t>United Kingdom</w:t>
          </w:r>
        </w:p>
      </w:tc>
      <w:tc>
        <w:tcPr>
          <w:tcW w:w="1152" w:type="dxa"/>
          <w:tcBorders>
            <w:top w:val="nil"/>
            <w:left w:val="single" w:sz="6" w:space="0" w:color="000000" w:themeColor="text1"/>
            <w:bottom w:val="nil"/>
            <w:right w:val="nil"/>
          </w:tcBorders>
          <w:hideMark/>
        </w:tcPr>
        <w:p w:rsidR="003D2157" w:rsidRDefault="00670DB4">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23</w:t>
          </w:r>
          <w:r>
            <w:rPr>
              <w:rFonts w:cstheme="minorHAnsi"/>
              <w:b/>
              <w:bCs/>
              <w:color w:val="1F497D" w:themeColor="text2"/>
              <w:sz w:val="28"/>
            </w:rPr>
            <w:fldChar w:fldCharType="end"/>
          </w:r>
        </w:p>
      </w:tc>
    </w:tr>
  </w:tbl>
  <w:p w:rsidR="003D2157" w:rsidRDefault="003D2157">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3D2157">
      <w:tc>
        <w:tcPr>
          <w:tcW w:w="0" w:type="auto"/>
          <w:tcBorders>
            <w:top w:val="nil"/>
            <w:left w:val="nil"/>
            <w:bottom w:val="nil"/>
            <w:right w:val="single" w:sz="6" w:space="0" w:color="000000" w:themeColor="text1"/>
          </w:tcBorders>
        </w:tcPr>
        <w:p w:rsidR="003D2157" w:rsidRDefault="003D21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D2157" w:rsidRDefault="003D2157">
          <w:pPr>
            <w:pStyle w:val="Header"/>
            <w:spacing w:line="276" w:lineRule="auto"/>
            <w:rPr>
              <w:rFonts w:cstheme="minorHAnsi"/>
              <w:b/>
              <w:bCs/>
              <w:color w:val="1F497D" w:themeColor="text2"/>
            </w:rPr>
          </w:pPr>
        </w:p>
      </w:tc>
    </w:tr>
  </w:tbl>
  <w:p w:rsidR="003D2157" w:rsidRDefault="003D2157">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hideMark/>
        </w:tcPr>
        <w:p w:rsidR="003D2157" w:rsidRDefault="00670DB4">
          <w:pPr>
            <w:pStyle w:val="Header"/>
            <w:spacing w:line="276" w:lineRule="auto"/>
            <w:jc w:val="right"/>
            <w:rPr>
              <w:rFonts w:cstheme="minorHAnsi"/>
              <w:b/>
              <w:bCs/>
              <w:color w:val="1F497D" w:themeColor="text2"/>
            </w:rPr>
          </w:pPr>
          <w:r>
            <w:rPr>
              <w:rFonts w:cstheme="minorHAnsi"/>
              <w:b/>
              <w:bCs/>
              <w:color w:val="1F497D" w:themeColor="text2"/>
            </w:rPr>
            <w:t>United Kingdom</w:t>
          </w:r>
        </w:p>
      </w:tc>
      <w:tc>
        <w:tcPr>
          <w:tcW w:w="1152" w:type="dxa"/>
          <w:tcBorders>
            <w:top w:val="nil"/>
            <w:left w:val="single" w:sz="6" w:space="0" w:color="000000" w:themeColor="text1"/>
            <w:bottom w:val="nil"/>
            <w:right w:val="nil"/>
          </w:tcBorders>
          <w:hideMark/>
        </w:tcPr>
        <w:p w:rsidR="003D2157" w:rsidRDefault="00670DB4">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27</w:t>
          </w:r>
          <w:r>
            <w:rPr>
              <w:rFonts w:cstheme="minorHAnsi"/>
              <w:b/>
              <w:bCs/>
              <w:color w:val="1F497D" w:themeColor="text2"/>
              <w:sz w:val="28"/>
            </w:rPr>
            <w:fldChar w:fldCharType="end"/>
          </w:r>
        </w:p>
      </w:tc>
    </w:tr>
  </w:tbl>
  <w:p w:rsidR="003D2157" w:rsidRDefault="003D2157">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3D2157">
      <w:tc>
        <w:tcPr>
          <w:tcW w:w="0" w:type="auto"/>
          <w:tcBorders>
            <w:top w:val="nil"/>
            <w:left w:val="nil"/>
            <w:bottom w:val="nil"/>
            <w:right w:val="single" w:sz="6" w:space="0" w:color="000000" w:themeColor="text1"/>
          </w:tcBorders>
        </w:tcPr>
        <w:p w:rsidR="003D2157" w:rsidRDefault="003D21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D2157" w:rsidRDefault="003D2157">
          <w:pPr>
            <w:pStyle w:val="Header"/>
            <w:spacing w:line="276" w:lineRule="auto"/>
            <w:rPr>
              <w:rFonts w:cstheme="minorHAnsi"/>
              <w:b/>
              <w:bCs/>
              <w:color w:val="1F497D" w:themeColor="text2"/>
            </w:rPr>
          </w:pPr>
        </w:p>
      </w:tc>
    </w:tr>
  </w:tbl>
  <w:p w:rsidR="003D2157" w:rsidRDefault="003D215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3D2157">
      <w:tc>
        <w:tcPr>
          <w:tcW w:w="0" w:type="auto"/>
          <w:tcBorders>
            <w:top w:val="nil"/>
            <w:left w:val="nil"/>
            <w:bottom w:val="nil"/>
            <w:right w:val="single" w:sz="6" w:space="0" w:color="000000" w:themeColor="text1"/>
          </w:tcBorders>
          <w:hideMark/>
        </w:tcPr>
        <w:p w:rsidR="003D2157" w:rsidRDefault="00670DB4">
          <w:pPr>
            <w:pStyle w:val="Header"/>
            <w:spacing w:line="276" w:lineRule="auto"/>
            <w:jc w:val="right"/>
            <w:rPr>
              <w:rFonts w:cstheme="minorHAnsi"/>
              <w:b/>
              <w:bCs/>
              <w:color w:val="1F497D" w:themeColor="text2"/>
            </w:rPr>
          </w:pPr>
          <w:r>
            <w:rPr>
              <w:rFonts w:cstheme="minorHAnsi"/>
              <w:b/>
              <w:bCs/>
              <w:color w:val="1F497D" w:themeColor="text2"/>
            </w:rPr>
            <w:t>United Kingdom</w:t>
          </w:r>
        </w:p>
      </w:tc>
      <w:tc>
        <w:tcPr>
          <w:tcW w:w="1152" w:type="dxa"/>
          <w:tcBorders>
            <w:top w:val="nil"/>
            <w:left w:val="single" w:sz="6" w:space="0" w:color="000000" w:themeColor="text1"/>
            <w:bottom w:val="nil"/>
            <w:right w:val="nil"/>
          </w:tcBorders>
          <w:hideMark/>
        </w:tcPr>
        <w:p w:rsidR="003D2157" w:rsidRDefault="00670DB4">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3D2157" w:rsidRDefault="003D2157">
    <w:pPr>
      <w:pStyle w:val="HeaderCoverPag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157" w:rsidRDefault="003D215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3D2157">
      <w:tc>
        <w:tcPr>
          <w:tcW w:w="0" w:type="auto"/>
          <w:tcBorders>
            <w:top w:val="nil"/>
            <w:left w:val="nil"/>
            <w:bottom w:val="nil"/>
            <w:right w:val="single" w:sz="6" w:space="0" w:color="000000" w:themeColor="text1"/>
          </w:tcBorders>
          <w:hideMark/>
        </w:tcPr>
        <w:p w:rsidR="003D2157" w:rsidRDefault="00670DB4">
          <w:pPr>
            <w:pStyle w:val="Header"/>
            <w:spacing w:line="276" w:lineRule="auto"/>
            <w:jc w:val="right"/>
            <w:rPr>
              <w:rFonts w:cstheme="minorHAnsi"/>
              <w:b/>
              <w:bCs/>
              <w:color w:val="1F497D" w:themeColor="text2"/>
            </w:rPr>
          </w:pPr>
          <w:r>
            <w:rPr>
              <w:rFonts w:cstheme="minorHAnsi"/>
              <w:b/>
              <w:bCs/>
              <w:color w:val="1F497D" w:themeColor="text2"/>
            </w:rPr>
            <w:t>United Kingdom</w:t>
          </w:r>
        </w:p>
      </w:tc>
      <w:tc>
        <w:tcPr>
          <w:tcW w:w="1152" w:type="dxa"/>
          <w:tcBorders>
            <w:top w:val="nil"/>
            <w:left w:val="single" w:sz="6" w:space="0" w:color="000000" w:themeColor="text1"/>
            <w:bottom w:val="nil"/>
            <w:right w:val="nil"/>
          </w:tcBorders>
          <w:hideMark/>
        </w:tcPr>
        <w:p w:rsidR="003D2157" w:rsidRDefault="00670DB4">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3D2157" w:rsidRDefault="003D2157">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3D2157">
      <w:tc>
        <w:tcPr>
          <w:tcW w:w="0" w:type="auto"/>
          <w:tcBorders>
            <w:top w:val="nil"/>
            <w:left w:val="nil"/>
            <w:bottom w:val="nil"/>
            <w:right w:val="single" w:sz="6" w:space="0" w:color="000000" w:themeColor="text1"/>
          </w:tcBorders>
        </w:tcPr>
        <w:p w:rsidR="003D2157" w:rsidRDefault="003D2157">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3D2157" w:rsidRDefault="003D2157">
          <w:pPr>
            <w:pStyle w:val="Header"/>
            <w:spacing w:line="276" w:lineRule="auto"/>
            <w:rPr>
              <w:rFonts w:cstheme="minorHAnsi"/>
              <w:b/>
              <w:bCs/>
              <w:color w:val="1F497D" w:themeColor="text2"/>
            </w:rPr>
          </w:pPr>
        </w:p>
      </w:tc>
    </w:tr>
  </w:tbl>
  <w:p w:rsidR="003D2157" w:rsidRDefault="003D21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6646747"/>
    <w:multiLevelType w:val="hybridMultilevel"/>
    <w:tmpl w:val="9DCE7E74"/>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DC30992A">
      <w:start w:val="2"/>
      <w:numFmt w:val="bullet"/>
      <w:lvlText w:val="•"/>
      <w:lvlJc w:val="left"/>
      <w:pPr>
        <w:ind w:left="1800" w:hanging="360"/>
      </w:pPr>
      <w:rPr>
        <w:rFonts w:ascii="Calibri" w:eastAsiaTheme="minorHAns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B7302C"/>
    <w:multiLevelType w:val="hybridMultilevel"/>
    <w:tmpl w:val="6D8039B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4">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5">
    <w:nsid w:val="1C89576A"/>
    <w:multiLevelType w:val="hybridMultilevel"/>
    <w:tmpl w:val="6CFA3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1AB53BB"/>
    <w:multiLevelType w:val="hybridMultilevel"/>
    <w:tmpl w:val="015679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8">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
    <w:nsid w:val="2E604C28"/>
    <w:multiLevelType w:val="hybridMultilevel"/>
    <w:tmpl w:val="E730E336"/>
    <w:lvl w:ilvl="0" w:tplc="FEF46CD6">
      <w:start w:val="1"/>
      <w:numFmt w:val="bullet"/>
      <w:pStyle w:val="NoSpacing"/>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757953"/>
    <w:multiLevelType w:val="hybridMultilevel"/>
    <w:tmpl w:val="68CE0C76"/>
    <w:lvl w:ilvl="0" w:tplc="2ABCD1E2">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DC30992A">
      <w:start w:val="2"/>
      <w:numFmt w:val="bullet"/>
      <w:lvlText w:val="•"/>
      <w:lvlJc w:val="left"/>
      <w:pPr>
        <w:ind w:left="1800" w:hanging="360"/>
      </w:pPr>
      <w:rPr>
        <w:rFonts w:ascii="Calibri" w:eastAsiaTheme="minorHAns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7916BAE"/>
    <w:multiLevelType w:val="hybridMultilevel"/>
    <w:tmpl w:val="95F2E552"/>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3">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04025B9"/>
    <w:multiLevelType w:val="hybridMultilevel"/>
    <w:tmpl w:val="39920B46"/>
    <w:lvl w:ilvl="0" w:tplc="76C843FC">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DC30992A">
      <w:start w:val="2"/>
      <w:numFmt w:val="bullet"/>
      <w:lvlText w:val="•"/>
      <w:lvlJc w:val="left"/>
      <w:pPr>
        <w:ind w:left="1800" w:hanging="360"/>
      </w:pPr>
      <w:rPr>
        <w:rFonts w:ascii="Calibri" w:eastAsiaTheme="minorHAns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8AF1688"/>
    <w:multiLevelType w:val="hybridMultilevel"/>
    <w:tmpl w:val="881C1910"/>
    <w:lvl w:ilvl="0" w:tplc="D03082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9EF108E"/>
    <w:multiLevelType w:val="hybridMultilevel"/>
    <w:tmpl w:val="D69A7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4">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1791A9B"/>
    <w:multiLevelType w:val="hybridMultilevel"/>
    <w:tmpl w:val="A88EC6F2"/>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7">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8">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9">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1">
    <w:nsid w:val="745B291A"/>
    <w:multiLevelType w:val="hybridMultilevel"/>
    <w:tmpl w:val="F4C00DEE"/>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DC30992A">
      <w:start w:val="2"/>
      <w:numFmt w:val="bullet"/>
      <w:lvlText w:val="•"/>
      <w:lvlJc w:val="left"/>
      <w:pPr>
        <w:ind w:left="1800" w:hanging="360"/>
      </w:pPr>
      <w:rPr>
        <w:rFonts w:ascii="Calibri" w:eastAsiaTheme="minorHAns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2"/>
  </w:num>
  <w:num w:numId="2">
    <w:abstractNumId w:val="18"/>
  </w:num>
  <w:num w:numId="3">
    <w:abstractNumId w:val="29"/>
  </w:num>
  <w:num w:numId="4">
    <w:abstractNumId w:val="24"/>
  </w:num>
  <w:num w:numId="5">
    <w:abstractNumId w:val="16"/>
  </w:num>
  <w:num w:numId="6">
    <w:abstractNumId w:val="13"/>
  </w:num>
  <w:num w:numId="7">
    <w:abstractNumId w:val="33"/>
  </w:num>
  <w:num w:numId="8">
    <w:abstractNumId w:val="23"/>
  </w:num>
  <w:num w:numId="9">
    <w:abstractNumId w:val="12"/>
  </w:num>
  <w:num w:numId="10">
    <w:abstractNumId w:val="8"/>
  </w:num>
  <w:num w:numId="11">
    <w:abstractNumId w:val="4"/>
  </w:num>
  <w:num w:numId="12">
    <w:abstractNumId w:val="3"/>
  </w:num>
  <w:num w:numId="13">
    <w:abstractNumId w:val="26"/>
  </w:num>
  <w:num w:numId="14">
    <w:abstractNumId w:val="28"/>
  </w:num>
  <w:num w:numId="15">
    <w:abstractNumId w:val="27"/>
  </w:num>
  <w:num w:numId="16">
    <w:abstractNumId w:val="30"/>
  </w:num>
  <w:num w:numId="17">
    <w:abstractNumId w:val="7"/>
  </w:num>
  <w:num w:numId="18">
    <w:abstractNumId w:val="15"/>
  </w:num>
  <w:num w:numId="19">
    <w:abstractNumId w:val="19"/>
  </w:num>
  <w:num w:numId="20">
    <w:abstractNumId w:val="17"/>
  </w:num>
  <w:num w:numId="21">
    <w:abstractNumId w:val="0"/>
  </w:num>
  <w:num w:numId="22">
    <w:abstractNumId w:val="20"/>
  </w:num>
  <w:num w:numId="23">
    <w:abstractNumId w:val="21"/>
  </w:num>
  <w:num w:numId="24">
    <w:abstractNumId w:val="14"/>
  </w:num>
  <w:num w:numId="25">
    <w:abstractNumId w:val="22"/>
  </w:num>
  <w:num w:numId="26">
    <w:abstractNumId w:val="10"/>
  </w:num>
  <w:num w:numId="27">
    <w:abstractNumId w:val="11"/>
  </w:num>
  <w:num w:numId="28">
    <w:abstractNumId w:val="2"/>
  </w:num>
  <w:num w:numId="29">
    <w:abstractNumId w:val="25"/>
  </w:num>
  <w:num w:numId="30">
    <w:abstractNumId w:val="31"/>
  </w:num>
  <w:num w:numId="31">
    <w:abstractNumId w:val="1"/>
  </w:num>
  <w:num w:numId="32">
    <w:abstractNumId w:val="9"/>
  </w:num>
  <w:num w:numId="33">
    <w:abstractNumId w:val="6"/>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B20A1061255842A3899D27902B2716BF"/>
    <w:docVar w:name="LW_CROSSREFERENCE" w:val="{COM(2017) 63 final}_x000a_{SWD(2017) 33 - 58 final}_x000a_{SWD(2017)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59"/>
    <w:docVar w:name="LW_REF.INTERNE" w:val="&lt;UNUSED&gt;"/>
    <w:docVar w:name="LW_SUPERTITRE" w:val="&lt;UNUSED&gt;"/>
    <w:docVar w:name="LW_TITRE.OBJ.CP" w:val="The EU Environmental Implementation Review _x000b_Country Report - UNITED KINGDOM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3D2157"/>
    <w:rsid w:val="003D2157"/>
    <w:rsid w:val="00670DB4"/>
  </w:rsids>
  <m:mathPr>
    <m:mathFont m:val="Cambria Math"/>
    <m:brkBin m:val="before"/>
    <m:brkBinSub m:val="--"/>
    <m:smallFrac m:val="0"/>
    <m:dispDef/>
    <m:lMargin m:val="0"/>
    <m:rMargin m:val="0"/>
    <m:defJc m:val="centerGroup"/>
    <m:wrapIndent m:val="1440"/>
    <m:intLim m:val="subSup"/>
    <m:naryLim m:val="undOvr"/>
  </m:mathPr>
  <w:themeFontLang w:val="fr-BE" w:bidi="lo-L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2"/>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0">
    <w:name w:val="default"/>
    <w:basedOn w:val="Normal"/>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2"/>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0">
    <w:name w:val="default"/>
    <w:basedOn w:val="Normal"/>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62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42.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4.xml"/><Relationship Id="rId68" Type="http://schemas.openxmlformats.org/officeDocument/2006/relationships/image" Target="media/image10.jpeg"/><Relationship Id="rId84" Type="http://schemas.openxmlformats.org/officeDocument/2006/relationships/image" Target="media/image14.png"/><Relationship Id="rId89" Type="http://schemas.openxmlformats.org/officeDocument/2006/relationships/footer" Target="footer32.xml"/><Relationship Id="rId112" Type="http://schemas.openxmlformats.org/officeDocument/2006/relationships/header" Target="header40.xml"/><Relationship Id="rId133" Type="http://schemas.openxmlformats.org/officeDocument/2006/relationships/theme" Target="theme/theme1.xml"/><Relationship Id="rId16" Type="http://schemas.openxmlformats.org/officeDocument/2006/relationships/hyperlink" Target="mailto:ENV-EIR@ec.europa.eu" TargetMode="External"/><Relationship Id="rId107" Type="http://schemas.openxmlformats.org/officeDocument/2006/relationships/hyperlink" Target="http://www.gov.scot/Publications/2009/10/sspap" TargetMode="Externa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20.xml"/><Relationship Id="rId58" Type="http://schemas.openxmlformats.org/officeDocument/2006/relationships/header" Target="header22.xml"/><Relationship Id="rId74" Type="http://schemas.openxmlformats.org/officeDocument/2006/relationships/footer" Target="footer26.xml"/><Relationship Id="rId79" Type="http://schemas.openxmlformats.org/officeDocument/2006/relationships/footer" Target="footer28.xml"/><Relationship Id="rId102" Type="http://schemas.openxmlformats.org/officeDocument/2006/relationships/header" Target="header39.xml"/><Relationship Id="rId123" Type="http://schemas.openxmlformats.org/officeDocument/2006/relationships/footer" Target="footer45.xml"/><Relationship Id="rId128" Type="http://schemas.openxmlformats.org/officeDocument/2006/relationships/footer" Target="footer46.xml"/><Relationship Id="rId5" Type="http://schemas.openxmlformats.org/officeDocument/2006/relationships/settings" Target="settings.xml"/><Relationship Id="rId90" Type="http://schemas.openxmlformats.org/officeDocument/2006/relationships/header" Target="header33.xml"/><Relationship Id="rId95" Type="http://schemas.openxmlformats.org/officeDocument/2006/relationships/footer" Target="footer3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image" Target="media/image2.png"/><Relationship Id="rId56" Type="http://schemas.openxmlformats.org/officeDocument/2006/relationships/header" Target="header21.xml"/><Relationship Id="rId64" Type="http://schemas.openxmlformats.org/officeDocument/2006/relationships/image" Target="media/image6.png"/><Relationship Id="rId69" Type="http://schemas.openxmlformats.org/officeDocument/2006/relationships/image" Target="media/image11.jpeg"/><Relationship Id="rId77" Type="http://schemas.openxmlformats.org/officeDocument/2006/relationships/header" Target="header28.xml"/><Relationship Id="rId100" Type="http://schemas.openxmlformats.org/officeDocument/2006/relationships/footer" Target="footer37.xml"/><Relationship Id="rId105" Type="http://schemas.openxmlformats.org/officeDocument/2006/relationships/hyperlink" Target="https://www.gov.uk/government/uploads/system/uploads/attachment_data/file/61172/Greening_20Government_20Commitments_20-_20guidance_20on_20measurement_20and_20reporting.pdf" TargetMode="External"/><Relationship Id="rId113" Type="http://schemas.openxmlformats.org/officeDocument/2006/relationships/header" Target="header41.xml"/><Relationship Id="rId118" Type="http://schemas.openxmlformats.org/officeDocument/2006/relationships/header" Target="header43.xml"/><Relationship Id="rId126" Type="http://schemas.openxmlformats.org/officeDocument/2006/relationships/header" Target="header46.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header" Target="header26.xml"/><Relationship Id="rId80" Type="http://schemas.openxmlformats.org/officeDocument/2006/relationships/footer" Target="footer29.xml"/><Relationship Id="rId85" Type="http://schemas.openxmlformats.org/officeDocument/2006/relationships/image" Target="media/image15.jpeg"/><Relationship Id="rId93" Type="http://schemas.openxmlformats.org/officeDocument/2006/relationships/header" Target="header35.xml"/><Relationship Id="rId98" Type="http://schemas.openxmlformats.org/officeDocument/2006/relationships/header" Target="header37.xml"/><Relationship Id="rId121" Type="http://schemas.openxmlformats.org/officeDocument/2006/relationships/footer" Target="footer4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image" Target="media/image9.jpeg"/><Relationship Id="rId103" Type="http://schemas.openxmlformats.org/officeDocument/2006/relationships/footer" Target="footer39.xml"/><Relationship Id="rId108" Type="http://schemas.openxmlformats.org/officeDocument/2006/relationships/hyperlink" Target="http://gov.wales/docs/prp/toolkit/june15walesprocurementpolicystatement2015v1.pdf" TargetMode="External"/><Relationship Id="rId116" Type="http://schemas.openxmlformats.org/officeDocument/2006/relationships/header" Target="header42.xml"/><Relationship Id="rId124" Type="http://schemas.openxmlformats.org/officeDocument/2006/relationships/image" Target="media/image18.jpeg"/><Relationship Id="rId129" Type="http://schemas.openxmlformats.org/officeDocument/2006/relationships/footer" Target="footer47.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footer" Target="footer19.xml"/><Relationship Id="rId62" Type="http://schemas.openxmlformats.org/officeDocument/2006/relationships/header" Target="header24.xml"/><Relationship Id="rId70" Type="http://schemas.openxmlformats.org/officeDocument/2006/relationships/image" Target="media/image12.jpeg"/><Relationship Id="rId75" Type="http://schemas.openxmlformats.org/officeDocument/2006/relationships/header" Target="header27.xml"/><Relationship Id="rId83" Type="http://schemas.openxmlformats.org/officeDocument/2006/relationships/image" Target="media/image13.png"/><Relationship Id="rId88" Type="http://schemas.openxmlformats.org/officeDocument/2006/relationships/footer" Target="footer31.xml"/><Relationship Id="rId91" Type="http://schemas.openxmlformats.org/officeDocument/2006/relationships/footer" Target="footer33.xml"/><Relationship Id="rId96" Type="http://schemas.openxmlformats.org/officeDocument/2006/relationships/header" Target="header36.xml"/><Relationship Id="rId111" Type="http://schemas.openxmlformats.org/officeDocument/2006/relationships/hyperlink" Target="http://www.eib.org/efsi/efsi-projects/index.htm?sector=&amp;country=united+kingdom"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3.png"/><Relationship Id="rId57" Type="http://schemas.openxmlformats.org/officeDocument/2006/relationships/footer" Target="footer21.xml"/><Relationship Id="rId106" Type="http://schemas.openxmlformats.org/officeDocument/2006/relationships/hyperlink" Target="http://www.idea.gov.uk/idk/aio/7643299" TargetMode="External"/><Relationship Id="rId114" Type="http://schemas.openxmlformats.org/officeDocument/2006/relationships/footer" Target="footer40.xml"/><Relationship Id="rId119" Type="http://schemas.openxmlformats.org/officeDocument/2006/relationships/header" Target="header44.xml"/><Relationship Id="rId127" Type="http://schemas.openxmlformats.org/officeDocument/2006/relationships/header" Target="header47.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19.xml"/><Relationship Id="rId60" Type="http://schemas.openxmlformats.org/officeDocument/2006/relationships/footer" Target="footer22.xml"/><Relationship Id="rId65" Type="http://schemas.openxmlformats.org/officeDocument/2006/relationships/image" Target="media/image7.png"/><Relationship Id="rId73" Type="http://schemas.openxmlformats.org/officeDocument/2006/relationships/footer" Target="footer25.xml"/><Relationship Id="rId78" Type="http://schemas.openxmlformats.org/officeDocument/2006/relationships/header" Target="header29.xml"/><Relationship Id="rId81" Type="http://schemas.openxmlformats.org/officeDocument/2006/relationships/header" Target="header30.xml"/><Relationship Id="rId86" Type="http://schemas.openxmlformats.org/officeDocument/2006/relationships/header" Target="header31.xml"/><Relationship Id="rId94" Type="http://schemas.openxmlformats.org/officeDocument/2006/relationships/footer" Target="footer34.xml"/><Relationship Id="rId99" Type="http://schemas.openxmlformats.org/officeDocument/2006/relationships/header" Target="header38.xml"/><Relationship Id="rId101" Type="http://schemas.openxmlformats.org/officeDocument/2006/relationships/footer" Target="footer38.xml"/><Relationship Id="rId122" Type="http://schemas.openxmlformats.org/officeDocument/2006/relationships/header" Target="header45.xml"/><Relationship Id="rId130" Type="http://schemas.openxmlformats.org/officeDocument/2006/relationships/header" Target="header48.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hyperlink" Target="https://www.dfpni.gov.uk/topics/procurement/public-procurement-policy-northern-ireland" TargetMode="External"/><Relationship Id="rId34" Type="http://schemas.openxmlformats.org/officeDocument/2006/relationships/header" Target="header12.xml"/><Relationship Id="rId50" Type="http://schemas.openxmlformats.org/officeDocument/2006/relationships/image" Target="media/image4.png"/><Relationship Id="rId55" Type="http://schemas.openxmlformats.org/officeDocument/2006/relationships/footer" Target="footer20.xml"/><Relationship Id="rId76" Type="http://schemas.openxmlformats.org/officeDocument/2006/relationships/footer" Target="footer27.xml"/><Relationship Id="rId97" Type="http://schemas.openxmlformats.org/officeDocument/2006/relationships/footer" Target="footer36.xml"/><Relationship Id="rId104" Type="http://schemas.openxmlformats.org/officeDocument/2006/relationships/image" Target="media/image16.png"/><Relationship Id="rId120" Type="http://schemas.openxmlformats.org/officeDocument/2006/relationships/footer" Target="footer43.xml"/><Relationship Id="rId125" Type="http://schemas.openxmlformats.org/officeDocument/2006/relationships/image" Target="media/image19.jpeg"/><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image" Target="media/image8.png"/><Relationship Id="rId87" Type="http://schemas.openxmlformats.org/officeDocument/2006/relationships/header" Target="header32.xml"/><Relationship Id="rId110" Type="http://schemas.openxmlformats.org/officeDocument/2006/relationships/image" Target="media/image17.png"/><Relationship Id="rId115" Type="http://schemas.openxmlformats.org/officeDocument/2006/relationships/footer" Target="footer41.xml"/><Relationship Id="rId131" Type="http://schemas.openxmlformats.org/officeDocument/2006/relationships/footer" Target="footer48.xml"/><Relationship Id="rId61" Type="http://schemas.openxmlformats.org/officeDocument/2006/relationships/footer" Target="footer23.xml"/><Relationship Id="rId82" Type="http://schemas.openxmlformats.org/officeDocument/2006/relationships/footer" Target="footer30.xml"/><Relationship Id="rId19" Type="http://schemas.openxmlformats.org/officeDocument/2006/relationships/header" Target="header5.xml"/></Relationships>
</file>

<file path=word/_rels/footnotes.xml.rels><?xml version="1.0" encoding="UTF-8" standalone="yes"?>
<Relationships xmlns="http://schemas.openxmlformats.org/package/2006/relationships"><Relationship Id="rId13" Type="http://schemas.openxmlformats.org/officeDocument/2006/relationships/hyperlink" Target="http://ec.europa.eu/environment/integration/green_semester/pdf/SME%20Investments%20in%20Resource%20Efficiency.pdf" TargetMode="External"/><Relationship Id="rId18" Type="http://schemas.openxmlformats.org/officeDocument/2006/relationships/hyperlink" Target="http://ec.europa.eu/environment/waste/studies/pdf/study%2012%20FINAL%20REPORT.pdf" TargetMode="External"/><Relationship Id="rId26" Type="http://schemas.openxmlformats.org/officeDocument/2006/relationships/hyperlink" Target="http://ec.europa.eu/eurostat/statistics-explained/index.php/Agri-environmental_indicator_-_soil_erosion" TargetMode="External"/><Relationship Id="rId39" Type="http://schemas.openxmlformats.org/officeDocument/2006/relationships/hyperlink" Target="http://www.euro.who.int/en/media-centre/sections/press-releases/2011/03/new-evidence-from-who-on-health-effects-of-traffic-related-noise-in-europe" TargetMode="External"/><Relationship Id="rId21" Type="http://schemas.openxmlformats.org/officeDocument/2006/relationships/hyperlink" Target="http://biodiversity.europa.eu/countries/eu_country_profiles/united-kingdom" TargetMode="External"/><Relationship Id="rId34" Type="http://schemas.openxmlformats.org/officeDocument/2006/relationships/hyperlink" Target="http://eur-lex.europa.eu/legal-content/EN/TXT/?uri=uriserv:OJ.L_.2016.344.01.0001.01.ENG&amp;toc=OJ:L:2016:344:TOC" TargetMode="External"/><Relationship Id="rId42" Type="http://schemas.openxmlformats.org/officeDocument/2006/relationships/hyperlink" Target="http://eur-lex.europa.eu/legal-content/EN/TXT/?uri=CELEX%3A31998L0083" TargetMode="External"/><Relationship Id="rId47" Type="http://schemas.openxmlformats.org/officeDocument/2006/relationships/hyperlink" Target="http://www.eea.europa.eu/publications/european-bathing-water-quality-2015" TargetMode="External"/><Relationship Id="rId50" Type="http://schemas.openxmlformats.org/officeDocument/2006/relationships/hyperlink" Target="http://www.eea.europa.eu/themes/water/status-and-monitoring/state-of-bathing-water" TargetMode="External"/><Relationship Id="rId55" Type="http://schemas.openxmlformats.org/officeDocument/2006/relationships/hyperlink" Target="http://ec.europa.eu/environment/urban/tool.htm" TargetMode="External"/><Relationship Id="rId63" Type="http://schemas.openxmlformats.org/officeDocument/2006/relationships/hyperlink" Target="http://eur-lex.europa.eu/legal-content/EN/TXT/?uri=CELEX:52008DC0400http://eur-lex.europa.eu/legal-content/EN/TXT/?uri=CELEX:52008DC0400" TargetMode="External"/><Relationship Id="rId68" Type="http://schemas.openxmlformats.org/officeDocument/2006/relationships/hyperlink" Target="https://cohesiondata.ec.europa.eu/countries" TargetMode="External"/><Relationship Id="rId76" Type="http://schemas.openxmlformats.org/officeDocument/2006/relationships/hyperlink" Target="http://www.impel.eu" TargetMode="External"/><Relationship Id="rId84" Type="http://schemas.openxmlformats.org/officeDocument/2006/relationships/hyperlink" Target="http://www.environment-agency.gov.uk/business/default.aspx%20http:/www.environment-agency.gov.uk/business/default.aspx" TargetMode="External"/><Relationship Id="rId89" Type="http://schemas.openxmlformats.org/officeDocument/2006/relationships/hyperlink" Target="http://www.unece.org/fileadmin/DAM/env/pp/documents/cep43e.pdf" TargetMode="External"/><Relationship Id="rId7" Type="http://schemas.openxmlformats.org/officeDocument/2006/relationships/hyperlink" Target="http://www.nispnetwork.com/" TargetMode="External"/><Relationship Id="rId71" Type="http://schemas.openxmlformats.org/officeDocument/2006/relationships/hyperlink" Target="http://ec.europa.eu/priorities/publications/investment-plan-results-so-far_en" TargetMode="External"/><Relationship Id="rId92" Type="http://schemas.openxmlformats.org/officeDocument/2006/relationships/hyperlink" Target="https://ec.europa.eu/digital-single-market/en/news/communication-eu-egovernment-action-plan-2016-2020-accelerating-digital-transformation"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ec.europa.eu/eurostat/tgm/table.do?tab=table&amp;init=1&amp;plugin=1&amp;language=en&amp;pcode=tsdpc240" TargetMode="External"/><Relationship Id="rId29"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11" Type="http://schemas.openxmlformats.org/officeDocument/2006/relationships/hyperlink" Target="http://ec.europa.eu/environment/enveco/resource_efficiency/pdf/business/RE_in_Business_Final_Report_111115.pdf" TargetMode="External"/><Relationship Id="rId24" Type="http://schemas.openxmlformats.org/officeDocument/2006/relationships/hyperlink" Target="http://land.copernicus.eu/pan-european/corine-land-cover/lcc-2006-2012/view" TargetMode="External"/><Relationship Id="rId32" Type="http://schemas.openxmlformats.org/officeDocument/2006/relationships/hyperlink" Target="http://www.eea.europa.eu/data-and-maps/data/data-viewers/emissions-nec-directive-viewer" TargetMode="External"/><Relationship Id="rId37" Type="http://schemas.openxmlformats.org/officeDocument/2006/relationships/hyperlink" Target="http://www.eionet.europa.eu/aqportal" TargetMode="External"/><Relationship Id="rId40" Type="http://schemas.openxmlformats.org/officeDocument/2006/relationships/hyperlink" Target="http://eur-lex.europa.eu/legal-content/EN/TXT/?qid=1481623908600&amp;uri=CELEX:32006L0007" TargetMode="External"/><Relationship Id="rId45" Type="http://schemas.openxmlformats.org/officeDocument/2006/relationships/hyperlink" Target="http://eur-lex.europa.eu/legal-content/EN/TXT/?uri=CELEX:32007L0060" TargetMode="External"/><Relationship Id="rId53" Type="http://schemas.openxmlformats.org/officeDocument/2006/relationships/hyperlink" Target="http://www.eea.europa.eu/themes/urban" TargetMode="External"/><Relationship Id="rId58" Type="http://schemas.openxmlformats.org/officeDocument/2006/relationships/hyperlink" Target="https://www.gov.uk/government/news/definition-of-environmental-tax-published" TargetMode="External"/><Relationship Id="rId66" Type="http://schemas.openxmlformats.org/officeDocument/2006/relationships/hyperlink" Target="http://www.eib.org/efsi/" TargetMode="External"/><Relationship Id="rId74" Type="http://schemas.openxmlformats.org/officeDocument/2006/relationships/hyperlink" Target="http://eur-lex.europa.eu/legal-content/en/TXT/?uri=CELEX%3A32001L0042" TargetMode="External"/><Relationship Id="rId79" Type="http://schemas.openxmlformats.org/officeDocument/2006/relationships/hyperlink" Target="http://www.envicrimenet.com/" TargetMode="External"/><Relationship Id="rId87" Type="http://schemas.openxmlformats.org/officeDocument/2006/relationships/hyperlink" Target="http://www.ieep.eu/assets/1791/MiW_drafting_principles_on_compliance_assurance_July_2015.pdf" TargetMode="External"/><Relationship Id="rId5" Type="http://schemas.openxmlformats.org/officeDocument/2006/relationships/hyperlink" Target="http://www.lwarb.gov.uk/what-we-do/accelerate-the-move-to-a-circular-economy-in-london/towards-a-circular-economy/" TargetMode="External"/><Relationship Id="rId61" Type="http://schemas.openxmlformats.org/officeDocument/2006/relationships/hyperlink" Target="http://ec.europa.eu/eurostat/tgm/table.do?tab=table&amp;init=1&amp;language=en&amp;pcode=t2020_rt320&amp;plugin=1http://ec.europa.eu/eurostat/en/web/products-datasets/-/T2020_RT320" TargetMode="External"/><Relationship Id="rId82" Type="http://schemas.openxmlformats.org/officeDocument/2006/relationships/hyperlink" Target="http://eur-lex.europa.eu/legal-content/EN/TXT/?uri=CELEX%3A52016SC0121" TargetMode="External"/><Relationship Id="rId90" Type="http://schemas.openxmlformats.org/officeDocument/2006/relationships/hyperlink" Target="http://eur-lex.europa.eu/legal-content/GA/ALL/?uri=CELEX:32003L0004" TargetMode="External"/><Relationship Id="rId95" Type="http://schemas.openxmlformats.org/officeDocument/2006/relationships/hyperlink" Target="http://inspire-geoportal.ec.europa.eu/resources/INSPIREResourcesReports/resourcesReport_2016-05-09/" TargetMode="External"/><Relationship Id="rId19" Type="http://schemas.openxmlformats.org/officeDocument/2006/relationships/hyperlink" Target="http://ec.europa.eu/environment/nature/info/pubs/docs/nat2000newsl/nat37_en.pdf" TargetMode="External"/><Relationship Id="rId14" Type="http://schemas.openxmlformats.org/officeDocument/2006/relationships/hyperlink" Target="http://www.eco-innovation.eu/index.php?option=com_content&amp;view=article&amp;id=487&amp;Itemid=76" TargetMode="External"/><Relationship Id="rId22" Type="http://schemas.openxmlformats.org/officeDocument/2006/relationships/hyperlink" Target="http://webarchive.nationalarchives.gov.uk/20160105160709/http:/www.ons.gov.uk/ons/rel/environmental/uk-natural-capital/index.html" TargetMode="External"/><Relationship Id="rId27" Type="http://schemas.openxmlformats.org/officeDocument/2006/relationships/hyperlink" Target="http://eur-lex.europa.eu/legal-content/EN/TXT/?uri=CELEX%3A32008L0056" TargetMode="External"/><Relationship Id="rId30" Type="http://schemas.openxmlformats.org/officeDocument/2006/relationships/hyperlink" Target="http://ec.europa.eu/environment/air/quality/standards.htm" TargetMode="External"/><Relationship Id="rId35" Type="http://schemas.openxmlformats.org/officeDocument/2006/relationships/hyperlink" Target="http://www.eea.europa.eu/publications/air-quality-in-europe-2016" TargetMode="External"/><Relationship Id="rId43" Type="http://schemas.openxmlformats.org/officeDocument/2006/relationships/hyperlink" Target="http://eur-lex.europa.eu/legal-content/EN/TXT/?qid=1481624135097&amp;uri=CELEX:32000L0060" TargetMode="External"/><Relationship Id="rId48" Type="http://schemas.openxmlformats.org/officeDocument/2006/relationships/hyperlink" Target="http://eur-lex.europa.eu/legal-content/EN/TXT/?uri=CELEX%3A52016DC0105" TargetMode="External"/><Relationship Id="rId56" Type="http://schemas.openxmlformats.org/officeDocument/2006/relationships/hyperlink" Target="http://ec.europa.eu/environment/europeangreencapital/winning-cities/2015-bristol/" TargetMode="External"/><Relationship Id="rId64" Type="http://schemas.openxmlformats.org/officeDocument/2006/relationships/hyperlink" Target="http://ec.europa.eu/environment/gpp/action_plan_en.htm" TargetMode="External"/><Relationship Id="rId69" Type="http://schemas.openxmlformats.org/officeDocument/2006/relationships/hyperlink" Target="https://www.gov.uk/government/news/national-infrastructure-pipeline-update-published" TargetMode="External"/><Relationship Id="rId77" Type="http://schemas.openxmlformats.org/officeDocument/2006/relationships/hyperlink" Target="http://www.eufje.org" TargetMode="External"/><Relationship Id="rId8" Type="http://schemas.openxmlformats.org/officeDocument/2006/relationships/hyperlink" Target="http://www.wrap.org.uk/content/resource-revolution-creating-future" TargetMode="External"/><Relationship Id="rId51" Type="http://schemas.openxmlformats.org/officeDocument/2006/relationships/hyperlink" Target="http://eur-lex.europa.eu/legal-content/EN/TXT/?uri=CELEX%3A52016DC0105" TargetMode="External"/><Relationship Id="rId72" Type="http://schemas.openxmlformats.org/officeDocument/2006/relationships/hyperlink" Target="http://ec.europa.eu/environment/life/project/Projects/index.cfm?fuseaction=search.dspPage&amp;n_proj_id=5439" TargetMode="External"/><Relationship Id="rId80" Type="http://schemas.openxmlformats.org/officeDocument/2006/relationships/hyperlink" Target="http://eur-lex.europa.eu/legal-content/EN/TXT/?uri=CELEX%3A32004L0035" TargetMode="External"/><Relationship Id="rId85" Type="http://schemas.openxmlformats.org/officeDocument/2006/relationships/hyperlink" Target="https://www.gov.uk/government/organisations/environment-agency/services-information" TargetMode="External"/><Relationship Id="rId93" Type="http://schemas.openxmlformats.org/officeDocument/2006/relationships/hyperlink" Target="http://inspire.ec.europa.eu/index.cfm/pageid/182"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www.enworks.com/" TargetMode="External"/><Relationship Id="rId17" Type="http://schemas.openxmlformats.org/officeDocument/2006/relationships/hyperlink" Target="http://ec.europa.eu/eurostat/tgm/table.do?tab=table&amp;init=1&amp;language=en&amp;pcode=t2020_rt120&amp;plugin=1" TargetMode="External"/><Relationship Id="rId25" Type="http://schemas.openxmlformats.org/officeDocument/2006/relationships/hyperlink" Target="http://www.eea.europa.eu/data-and-maps/indicators/imperviousness-change/assessment" TargetMode="External"/><Relationship Id="rId33" Type="http://schemas.openxmlformats.org/officeDocument/2006/relationships/hyperlink" Target="http://eur-lex.europa.eu/legal-content/EN/TXT/?uri=celex:32001L0081" TargetMode="External"/><Relationship Id="rId38" Type="http://schemas.openxmlformats.org/officeDocument/2006/relationships/hyperlink" Target="http://ec.europa.eu/environment/archives/air/pdf/Impact_assessment_en.pdf" TargetMode="External"/><Relationship Id="rId46" Type="http://schemas.openxmlformats.org/officeDocument/2006/relationships/hyperlink" Target="http://ec.europa.eu/environment/water/water-drink/reporting_en.html" TargetMode="External"/><Relationship Id="rId59" Type="http://schemas.openxmlformats.org/officeDocument/2006/relationships/hyperlink" Target="http://ec.europa.eu/environment/integration/green_semester/pdf/Eunomia%20EFR%20Final%20Report%20MAIN%20REPORT.pdf" TargetMode="External"/><Relationship Id="rId67" Type="http://schemas.openxmlformats.org/officeDocument/2006/relationships/hyperlink" Target="https://cohesiondata.ec.europa.eu/countries/UK" TargetMode="External"/><Relationship Id="rId20" Type="http://schemas.openxmlformats.org/officeDocument/2006/relationships/hyperlink" Target="https://circabc.europa.eu/sd/a/e731be00-187d-48ed-9a37-897b9f201756/UK_20140528.pdf" TargetMode="External"/><Relationship Id="rId41" Type="http://schemas.openxmlformats.org/officeDocument/2006/relationships/hyperlink" Target="http://eur-lex.europa.eu/legal-content/EN/ALL/?uri=CELEX%3A31991L0271" TargetMode="External"/><Relationship Id="rId54" Type="http://schemas.openxmlformats.org/officeDocument/2006/relationships/hyperlink" Target="http://urbanagendaforthe.eu/" TargetMode="External"/><Relationship Id="rId62" Type="http://schemas.openxmlformats.org/officeDocument/2006/relationships/hyperlink" Target="http://ec.europa.eu/internal_market/scoreboard/performance_per_policy_area/public_procurement/index_en.htm" TargetMode="External"/><Relationship Id="rId70" Type="http://schemas.openxmlformats.org/officeDocument/2006/relationships/hyperlink" Target="http://ec.europa.eu/priorities/jobs-growth-and-investment/investment-plan_en" TargetMode="External"/><Relationship Id="rId75" Type="http://schemas.openxmlformats.org/officeDocument/2006/relationships/hyperlink" Target="http://eur-lex.europa.eu/legal-content/EN/TXT/?uri=CELEX%3A32008L0099" TargetMode="External"/><Relationship Id="rId83" Type="http://schemas.openxmlformats.org/officeDocument/2006/relationships/hyperlink" Target="http://www.netregs.org.uk/default.aspx." TargetMode="External"/><Relationship Id="rId88" Type="http://schemas.openxmlformats.org/officeDocument/2006/relationships/hyperlink" Target="http://ec.europa.eu/environment/aarhus/access_studies.htm" TargetMode="External"/><Relationship Id="rId91" Type="http://schemas.openxmlformats.org/officeDocument/2006/relationships/hyperlink" Target="http://eur-lex.europa.eu/LexUriServ/LexUriServ.do?uri=CELEX:32007L0002:EN:NOT"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news.gov.scot/news/manufacturing-plan-to-boost-industry" TargetMode="External"/><Relationship Id="rId15" Type="http://schemas.openxmlformats.org/officeDocument/2006/relationships/hyperlink" Target="https://ec.europa.eu/environment/ecoap/scoreboard_en" TargetMode="External"/><Relationship Id="rId23" Type="http://schemas.openxmlformats.org/officeDocument/2006/relationships/hyperlink" Target="http://eur-lex.europa.eu/legal-content/EN/TXT/?uri=CELEX:52013DC0249" TargetMode="External"/><Relationship Id="rId28" Type="http://schemas.openxmlformats.org/officeDocument/2006/relationships/hyperlink" Target="http://www.eea.europa.eu/publications/report_2002_0524_154909/regional-seas-around-europe/page121.html" TargetMode="External"/><Relationship Id="rId36" Type="http://schemas.openxmlformats.org/officeDocument/2006/relationships/hyperlink" Target="http://www.eea.europa.eu/publications/air-quality-in-europe-2016" TargetMode="External"/><Relationship Id="rId49" Type="http://schemas.openxmlformats.org/officeDocument/2006/relationships/hyperlink" Target="http://eur-lex.europa.eu/legal-content/EN/TXT/?uri=CELEX:52016SC0045" TargetMode="External"/><Relationship Id="rId57" Type="http://schemas.openxmlformats.org/officeDocument/2006/relationships/hyperlink" Target="http://ec.europa.eu/eurostat/en/web/products-datasets/-/T2020_RT320" TargetMode="External"/><Relationship Id="rId10" Type="http://schemas.openxmlformats.org/officeDocument/2006/relationships/hyperlink" Target="http://ec.europa.eu/eurostat/tgm/table.do?tab=table&amp;init=1&amp;language=en&amp;pcode=tsdpc100&amp;plugin=1" TargetMode="External"/><Relationship Id="rId31" Type="http://schemas.openxmlformats.org/officeDocument/2006/relationships/hyperlink" Target="http://cdr.eionet.europa.eu/" TargetMode="External"/><Relationship Id="rId44" Type="http://schemas.openxmlformats.org/officeDocument/2006/relationships/hyperlink" Target="http://eur-lex.europa.eu/legal-content/EN/TXT/?uri=CELEX%3A31991L0676" TargetMode="External"/><Relationship Id="rId52" Type="http://schemas.openxmlformats.org/officeDocument/2006/relationships/hyperlink" Target="http://eur-lex.europa.eu/legal-content/EN/TXT/?uri=CELEX:52016SC0045" TargetMode="External"/><Relationship Id="rId60" Type="http://schemas.openxmlformats.org/officeDocument/2006/relationships/hyperlink" Target="http://ec.europa.eu/environment/integration/green_semester/pdf/Eunomia%20EFR%20Final%20Report%20MAIN%20REPORT.pdf" TargetMode="External"/><Relationship Id="rId65" Type="http://schemas.openxmlformats.org/officeDocument/2006/relationships/hyperlink" Target="http://ec.europa.eu/internal_market/publicprocurement/docs/modernising_rules/strategic-use-public-procurement-europe_en.pdf" TargetMode="External"/><Relationship Id="rId73" Type="http://schemas.openxmlformats.org/officeDocument/2006/relationships/hyperlink" Target="http://eur-lex.europa.eu/legal-content/EN/TXT/?uri=uriserv:OJ.C_.2016.273.01.0001.01.ENG&amp;toc=OJ:C:2016:273:FULL" TargetMode="External"/><Relationship Id="rId78" Type="http://schemas.openxmlformats.org/officeDocument/2006/relationships/hyperlink" Target="http://www.environmentalprosecutors.eu" TargetMode="External"/><Relationship Id="rId81" Type="http://schemas.openxmlformats.org/officeDocument/2006/relationships/hyperlink" Target="https://ec.europa.eu/transparency/regdoc/rep/1/2016/EN/1-2016-204-EN-F1-1.PDF" TargetMode="External"/><Relationship Id="rId86" Type="http://schemas.openxmlformats.org/officeDocument/2006/relationships/hyperlink" Target="https://www.gov.uk/government/publications/opra-for-epr-operational-risk-appraisal" TargetMode="External"/><Relationship Id="rId94" Type="http://schemas.openxmlformats.org/officeDocument/2006/relationships/hyperlink" Target="http://inspire.ec.europa.eu/portfolio/inspire-dashboard" TargetMode="External"/><Relationship Id="rId4" Type="http://schemas.openxmlformats.org/officeDocument/2006/relationships/hyperlink" Target="http://www.eco-innovation.eu/images/stories/Reports/EIO_Country_Brief_2013_UK.pdf" TargetMode="External"/><Relationship Id="rId9" Type="http://schemas.openxmlformats.org/officeDocument/2006/relationships/hyperlink" Target="https://www.gov.uk/government/uploads/system/uploads/attachment_data/file/401453/resource-management-catalyst-growth-productivit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DCFCD-6756-446C-8D29-8A17FBF78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12441</Words>
  <Characters>70040</Characters>
  <Application>Microsoft Office Word</Application>
  <DocSecurity>0</DocSecurity>
  <Lines>1803</Lines>
  <Paragraphs>335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17</cp:revision>
  <cp:lastPrinted>2016-12-12T12:58:00Z</cp:lastPrinted>
  <dcterms:created xsi:type="dcterms:W3CDTF">2017-01-30T14:43:00Z</dcterms:created>
  <dcterms:modified xsi:type="dcterms:W3CDTF">2017-02-02T18:24:00Z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