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20F" w:rsidRDefault="000A0796" w:rsidP="000A0796">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C9CD6D7E04E041F1ADBC2984B32C9659" style="width:450.6pt;height:499pt">
            <v:imagedata r:id="rId9" o:title=""/>
          </v:shape>
        </w:pict>
      </w:r>
    </w:p>
    <w:bookmarkEnd w:id="0"/>
    <w:p w:rsidR="004A120F" w:rsidRDefault="004A120F">
      <w:pPr>
        <w:rPr>
          <w:noProof/>
        </w:rPr>
        <w:sectPr w:rsidR="004A120F" w:rsidSect="000A0796">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4A120F" w:rsidRDefault="004A120F">
      <w:pPr>
        <w:widowControl w:val="0"/>
        <w:tabs>
          <w:tab w:val="right" w:leader="dot" w:pos="8640"/>
        </w:tabs>
        <w:spacing w:before="120" w:line="240" w:lineRule="auto"/>
        <w:jc w:val="both"/>
        <w:rPr>
          <w:rFonts w:eastAsia="Times New Roman" w:cs="Times New Roman"/>
          <w:noProof/>
          <w:szCs w:val="20"/>
        </w:rPr>
      </w:pPr>
      <w:bookmarkStart w:id="1" w:name="_GoBack"/>
      <w:bookmarkEnd w:id="1"/>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0A0796">
      <w:pPr>
        <w:widowControl w:val="0"/>
        <w:tabs>
          <w:tab w:val="right" w:leader="dot" w:pos="8640"/>
        </w:tabs>
        <w:spacing w:before="120" w:line="240" w:lineRule="auto"/>
        <w:jc w:val="both"/>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6" w:history="1">
        <w:r>
          <w:rPr>
            <w:rFonts w:eastAsia="Times New Roman" w:cs="Times New Roman"/>
            <w:noProof/>
            <w:color w:val="0000FF"/>
            <w:szCs w:val="20"/>
            <w:u w:val="single"/>
          </w:rPr>
          <w:t>ENV-EIR@ec.europa.eu</w:t>
        </w:r>
      </w:hyperlink>
      <w:r>
        <w:rPr>
          <w:rFonts w:eastAsia="Times New Roman" w:cs="Times New Roman"/>
          <w:noProof/>
          <w:szCs w:val="20"/>
        </w:rPr>
        <w:t xml:space="preserve"> </w:t>
      </w:r>
    </w:p>
    <w:p w:rsidR="004A120F" w:rsidRDefault="004A120F">
      <w:pPr>
        <w:widowControl w:val="0"/>
        <w:tabs>
          <w:tab w:val="right" w:leader="dot" w:pos="8640"/>
        </w:tabs>
        <w:spacing w:before="120" w:line="240" w:lineRule="auto"/>
        <w:ind w:left="482" w:right="720" w:hanging="482"/>
        <w:rPr>
          <w:rFonts w:eastAsia="Times New Roman" w:cs="Times New Roman"/>
          <w:noProof/>
          <w:szCs w:val="20"/>
        </w:rPr>
      </w:pPr>
    </w:p>
    <w:p w:rsidR="004A120F" w:rsidRDefault="000A0796">
      <w:pPr>
        <w:widowControl w:val="0"/>
        <w:tabs>
          <w:tab w:val="right" w:leader="dot" w:pos="8640"/>
        </w:tabs>
        <w:spacing w:before="120" w:line="240" w:lineRule="auto"/>
        <w:ind w:left="482" w:right="720" w:hanging="482"/>
        <w:rPr>
          <w:rFonts w:eastAsia="Times New Roman" w:cs="Times New Roman"/>
          <w:noProof/>
          <w:szCs w:val="20"/>
        </w:rPr>
      </w:pPr>
      <w:r>
        <w:rPr>
          <w:rFonts w:eastAsia="Times New Roman" w:cs="Times New Roman"/>
          <w:noProof/>
          <w:szCs w:val="20"/>
        </w:rPr>
        <w:t xml:space="preserve">More information on the </w:t>
      </w:r>
      <w:r>
        <w:rPr>
          <w:rFonts w:eastAsia="Times New Roman" w:cs="Times New Roman"/>
          <w:noProof/>
          <w:szCs w:val="20"/>
        </w:rPr>
        <w:t>European Union is available on the internet (</w:t>
      </w:r>
      <w:hyperlink r:id="rId17" w:history="1">
        <w:r>
          <w:rPr>
            <w:rFonts w:eastAsia="Times New Roman" w:cs="Times New Roman"/>
            <w:noProof/>
            <w:color w:val="0000FF"/>
            <w:szCs w:val="20"/>
            <w:u w:val="single"/>
          </w:rPr>
          <w:t>http://europa.eu</w:t>
        </w:r>
      </w:hyperlink>
      <w:r>
        <w:rPr>
          <w:rFonts w:eastAsia="Times New Roman" w:cs="Times New Roman"/>
          <w:noProof/>
          <w:szCs w:val="20"/>
        </w:rPr>
        <w:t>).</w:t>
      </w:r>
    </w:p>
    <w:p w:rsidR="004A120F" w:rsidRDefault="004A120F">
      <w:pPr>
        <w:widowControl w:val="0"/>
        <w:tabs>
          <w:tab w:val="right" w:leader="dot" w:pos="8640"/>
        </w:tabs>
        <w:spacing w:before="120" w:line="240" w:lineRule="auto"/>
        <w:ind w:left="482" w:right="720" w:hanging="482"/>
        <w:rPr>
          <w:rFonts w:eastAsia="Times New Roman" w:cs="Times New Roman"/>
          <w:noProof/>
          <w:szCs w:val="20"/>
        </w:rPr>
      </w:pPr>
    </w:p>
    <w:p w:rsidR="004A120F" w:rsidRDefault="000A0796">
      <w:pPr>
        <w:widowControl w:val="0"/>
        <w:tabs>
          <w:tab w:val="right" w:leader="dot" w:pos="8640"/>
        </w:tabs>
        <w:spacing w:before="120" w:line="240" w:lineRule="auto"/>
        <w:ind w:right="141"/>
        <w:rPr>
          <w:rFonts w:eastAsia="Times New Roman" w:cs="Times New Roman"/>
          <w:noProof/>
          <w:szCs w:val="20"/>
        </w:rPr>
      </w:pPr>
      <w:r>
        <w:rPr>
          <w:rFonts w:eastAsia="Times New Roman" w:cs="Times New Roman"/>
          <w:noProof/>
          <w:szCs w:val="20"/>
        </w:rPr>
        <w:t>Photographs: p.10 ©Krasnevsky/iStock; p.12 ©Joan Vicent Canto Roig/iStock; p.14 © LIFE11 NAT/MT/001070; p.18 ©Tony Zelenoff/iStock; p. 23 © helovi/iStock</w:t>
      </w:r>
    </w:p>
    <w:p w:rsidR="004A120F" w:rsidRDefault="000A0796">
      <w:pPr>
        <w:widowControl w:val="0"/>
        <w:tabs>
          <w:tab w:val="right" w:leader="dot" w:pos="8640"/>
        </w:tabs>
        <w:spacing w:before="120" w:line="240" w:lineRule="auto"/>
        <w:rPr>
          <w:rFonts w:eastAsia="Times New Roman" w:cs="Times New Roman"/>
          <w:noProof/>
          <w:szCs w:val="20"/>
        </w:rPr>
      </w:pPr>
      <w:r>
        <w:rPr>
          <w:rFonts w:eastAsia="Times New Roman" w:cs="Times New Roman"/>
          <w:noProof/>
          <w:szCs w:val="20"/>
        </w:rPr>
        <w:t xml:space="preserve">For </w:t>
      </w:r>
      <w:r>
        <w:rPr>
          <w:rFonts w:eastAsia="Times New Roman" w:cs="Times New Roman"/>
          <w:noProof/>
          <w:szCs w:val="20"/>
        </w:rPr>
        <w:t>reproduction or use of these photos, permission must be sought directly from the copyright holder.</w:t>
      </w:r>
    </w:p>
    <w:p w:rsidR="004A120F" w:rsidRDefault="004A120F">
      <w:pPr>
        <w:widowControl w:val="0"/>
        <w:tabs>
          <w:tab w:val="right" w:leader="dot" w:pos="8640"/>
        </w:tabs>
        <w:spacing w:before="120" w:line="240" w:lineRule="auto"/>
        <w:jc w:val="both"/>
        <w:rPr>
          <w:rFonts w:eastAsia="Times New Roman" w:cs="Times New Roman"/>
          <w:noProof/>
          <w:szCs w:val="20"/>
        </w:rPr>
      </w:pPr>
    </w:p>
    <w:p w:rsidR="004A120F" w:rsidRDefault="000A0796">
      <w:pPr>
        <w:widowControl w:val="0"/>
        <w:tabs>
          <w:tab w:val="right" w:leader="dot" w:pos="8640"/>
        </w:tabs>
        <w:spacing w:before="120" w:line="240" w:lineRule="auto"/>
        <w:jc w:val="both"/>
        <w:rPr>
          <w:rFonts w:eastAsia="Times New Roman" w:cs="Times New Roman"/>
          <w:noProof/>
          <w:szCs w:val="20"/>
        </w:rPr>
      </w:pPr>
      <w:r>
        <w:rPr>
          <w:rFonts w:eastAsia="Times New Roman" w:cs="Times New Roman"/>
          <w:noProof/>
          <w:szCs w:val="20"/>
        </w:rPr>
        <w:t>©European Union, 2017</w:t>
      </w:r>
    </w:p>
    <w:p w:rsidR="004A120F" w:rsidRDefault="000A0796">
      <w:pPr>
        <w:widowControl w:val="0"/>
        <w:tabs>
          <w:tab w:val="right" w:leader="dot" w:pos="8640"/>
        </w:tabs>
        <w:spacing w:before="120" w:line="240" w:lineRule="auto"/>
        <w:rPr>
          <w:rFonts w:eastAsia="Times New Roman" w:cs="Times New Roman"/>
          <w:noProof/>
          <w:szCs w:val="20"/>
        </w:rPr>
      </w:pPr>
      <w:r>
        <w:rPr>
          <w:rFonts w:eastAsia="Times New Roman" w:cs="Times New Roman"/>
          <w:noProof/>
          <w:szCs w:val="20"/>
        </w:rPr>
        <w:t>Reproduction is authorised provided the source is acknowledged.</w:t>
      </w:r>
    </w:p>
    <w:p w:rsidR="004A120F" w:rsidRDefault="000A0796">
      <w:pPr>
        <w:widowControl w:val="0"/>
        <w:suppressLineNumbers/>
        <w:jc w:val="center"/>
        <w:rPr>
          <w:noProof/>
        </w:rPr>
      </w:pPr>
      <w:r>
        <w:rPr>
          <w:rFonts w:ascii="Calibri" w:eastAsia="Calibri" w:hAnsi="Calibri" w:cs="Times New Roman"/>
          <w:b/>
          <w:noProof/>
          <w:szCs w:val="24"/>
        </w:rPr>
        <w:lastRenderedPageBreak/>
        <w:t>Table of Content</w:t>
      </w:r>
      <w:bookmarkStart w:id="2" w:name="_Toc432510709"/>
      <w:bookmarkStart w:id="3" w:name="_Toc432521119"/>
      <w:bookmarkEnd w:id="2"/>
      <w:bookmarkEnd w:id="3"/>
      <w:r>
        <w:rPr>
          <w:rFonts w:ascii="Calibri" w:eastAsia="Times New Roman" w:hAnsi="Calibri" w:cs="Times New Roman"/>
          <w:caps/>
          <w:noProof/>
          <w:sz w:val="20"/>
          <w:lang w:val="en-US" w:eastAsia="ja-JP"/>
        </w:rPr>
        <w:fldChar w:fldCharType="begin"/>
      </w:r>
      <w:r>
        <w:rPr>
          <w:rFonts w:ascii="Calibri" w:eastAsia="Times New Roman" w:hAnsi="Calibri" w:cs="Times New Roman"/>
          <w:caps/>
          <w:noProof/>
          <w:sz w:val="20"/>
          <w:lang w:val="en-US" w:eastAsia="ja-JP"/>
        </w:rPr>
        <w:instrText xml:space="preserve"> TOC \o "1-2" \h \z \u </w:instrText>
      </w:r>
      <w:r>
        <w:rPr>
          <w:rFonts w:ascii="Calibri" w:eastAsia="Times New Roman" w:hAnsi="Calibri" w:cs="Times New Roman"/>
          <w:caps/>
          <w:noProof/>
          <w:sz w:val="20"/>
          <w:lang w:val="en-US" w:eastAsia="ja-JP"/>
        </w:rPr>
        <w:fldChar w:fldCharType="separate"/>
      </w:r>
    </w:p>
    <w:p w:rsidR="004A120F" w:rsidRDefault="000A0796">
      <w:pPr>
        <w:pStyle w:val="TOC1"/>
        <w:rPr>
          <w:rFonts w:asciiTheme="minorHAnsi" w:eastAsiaTheme="minorEastAsia" w:hAnsiTheme="minorHAnsi" w:cstheme="minorBidi"/>
          <w:caps w:val="0"/>
          <w:noProof/>
          <w:sz w:val="22"/>
          <w:szCs w:val="22"/>
          <w:lang w:eastAsia="en-GB"/>
        </w:rPr>
      </w:pPr>
      <w:hyperlink w:anchor="_Toc469477800" w:history="1">
        <w:r>
          <w:rPr>
            <w:rStyle w:val="Hyperlink"/>
            <w:bCs/>
            <w:noProof/>
          </w:rPr>
          <w:t>Executive summary</w:t>
        </w:r>
        <w:r>
          <w:rPr>
            <w:noProof/>
            <w:webHidden/>
          </w:rPr>
          <w:tab/>
        </w:r>
        <w:r>
          <w:rPr>
            <w:noProof/>
            <w:webHidden/>
          </w:rPr>
          <w:fldChar w:fldCharType="begin"/>
        </w:r>
        <w:r>
          <w:rPr>
            <w:noProof/>
            <w:webHidden/>
          </w:rPr>
          <w:instrText xml:space="preserve"> PAGEREF _Toc469477800 \h </w:instrText>
        </w:r>
        <w:r>
          <w:rPr>
            <w:noProof/>
            <w:webHidden/>
          </w:rPr>
        </w:r>
        <w:r>
          <w:rPr>
            <w:noProof/>
            <w:webHidden/>
          </w:rPr>
          <w:fldChar w:fldCharType="separate"/>
        </w:r>
        <w:r>
          <w:rPr>
            <w:noProof/>
            <w:webHidden/>
          </w:rPr>
          <w:t>4</w:t>
        </w:r>
        <w:r>
          <w:rPr>
            <w:noProof/>
            <w:webHidden/>
          </w:rPr>
          <w:fldChar w:fldCharType="end"/>
        </w:r>
      </w:hyperlink>
    </w:p>
    <w:p w:rsidR="004A120F" w:rsidRDefault="000A0796">
      <w:pPr>
        <w:pStyle w:val="TOC1"/>
        <w:rPr>
          <w:rFonts w:asciiTheme="minorHAnsi" w:eastAsiaTheme="minorEastAsia" w:hAnsiTheme="minorHAnsi" w:cstheme="minorBidi"/>
          <w:caps w:val="0"/>
          <w:noProof/>
          <w:sz w:val="22"/>
          <w:szCs w:val="22"/>
          <w:lang w:eastAsia="en-GB"/>
        </w:rPr>
      </w:pPr>
      <w:hyperlink w:anchor="_Toc469477801" w:history="1">
        <w:r>
          <w:rPr>
            <w:rStyle w:val="Hyperlink"/>
            <w:bCs/>
            <w:noProof/>
          </w:rPr>
          <w:t>Part I: Thematic Areas</w:t>
        </w:r>
        <w:r>
          <w:rPr>
            <w:noProof/>
            <w:webHidden/>
          </w:rPr>
          <w:tab/>
        </w:r>
        <w:r>
          <w:rPr>
            <w:noProof/>
            <w:webHidden/>
          </w:rPr>
          <w:fldChar w:fldCharType="begin"/>
        </w:r>
        <w:r>
          <w:rPr>
            <w:noProof/>
            <w:webHidden/>
          </w:rPr>
          <w:instrText xml:space="preserve"> PAGEREF _Toc469477801 \h </w:instrText>
        </w:r>
        <w:r>
          <w:rPr>
            <w:noProof/>
            <w:webHidden/>
          </w:rPr>
        </w:r>
        <w:r>
          <w:rPr>
            <w:noProof/>
            <w:webHidden/>
          </w:rPr>
          <w:fldChar w:fldCharType="separate"/>
        </w:r>
        <w:r>
          <w:rPr>
            <w:noProof/>
            <w:webHidden/>
          </w:rPr>
          <w:t>5</w:t>
        </w:r>
        <w:r>
          <w:rPr>
            <w:noProof/>
            <w:webHidden/>
          </w:rPr>
          <w:fldChar w:fldCharType="end"/>
        </w:r>
      </w:hyperlink>
    </w:p>
    <w:p w:rsidR="004A120F" w:rsidRDefault="000A0796">
      <w:pPr>
        <w:pStyle w:val="TOC1"/>
        <w:rPr>
          <w:rFonts w:asciiTheme="minorHAnsi" w:eastAsiaTheme="minorEastAsia" w:hAnsiTheme="minorHAnsi" w:cstheme="minorBidi"/>
          <w:caps w:val="0"/>
          <w:noProof/>
          <w:sz w:val="22"/>
          <w:szCs w:val="22"/>
          <w:lang w:eastAsia="en-GB"/>
        </w:rPr>
      </w:pPr>
      <w:hyperlink w:anchor="_Toc469477802" w:history="1">
        <w:r>
          <w:rPr>
            <w:rStyle w:val="Hyperlink"/>
            <w:bCs/>
            <w:noProof/>
          </w:rPr>
          <w:t>1.</w:t>
        </w:r>
        <w:r>
          <w:rPr>
            <w:rFonts w:asciiTheme="minorHAnsi" w:eastAsiaTheme="minorEastAsia" w:hAnsiTheme="minorHAnsi" w:cstheme="minorBidi"/>
            <w:caps w:val="0"/>
            <w:noProof/>
            <w:sz w:val="22"/>
            <w:szCs w:val="22"/>
            <w:lang w:eastAsia="en-GB"/>
          </w:rPr>
          <w:tab/>
        </w:r>
        <w:r>
          <w:rPr>
            <w:rStyle w:val="Hyperlink"/>
            <w:bCs/>
            <w:noProof/>
          </w:rPr>
          <w:t>Tur</w:t>
        </w:r>
        <w:r>
          <w:rPr>
            <w:rStyle w:val="Hyperlink"/>
            <w:bCs/>
            <w:noProof/>
          </w:rPr>
          <w:t>ning the EU into a circular, resource-efficient, green and competitive low-carbon economy</w:t>
        </w:r>
        <w:r>
          <w:rPr>
            <w:noProof/>
            <w:webHidden/>
          </w:rPr>
          <w:tab/>
        </w:r>
        <w:r>
          <w:rPr>
            <w:noProof/>
            <w:webHidden/>
          </w:rPr>
          <w:fldChar w:fldCharType="begin"/>
        </w:r>
        <w:r>
          <w:rPr>
            <w:noProof/>
            <w:webHidden/>
          </w:rPr>
          <w:instrText xml:space="preserve"> PAGEREF _Toc469477802 \h </w:instrText>
        </w:r>
        <w:r>
          <w:rPr>
            <w:noProof/>
            <w:webHidden/>
          </w:rPr>
        </w:r>
        <w:r>
          <w:rPr>
            <w:noProof/>
            <w:webHidden/>
          </w:rPr>
          <w:fldChar w:fldCharType="separate"/>
        </w:r>
        <w:r>
          <w:rPr>
            <w:noProof/>
            <w:webHidden/>
          </w:rPr>
          <w:t>5</w:t>
        </w:r>
        <w:r>
          <w:rPr>
            <w:noProof/>
            <w:webHidden/>
          </w:rPr>
          <w:fldChar w:fldCharType="end"/>
        </w:r>
      </w:hyperlink>
    </w:p>
    <w:p w:rsidR="004A120F" w:rsidRDefault="000A0796">
      <w:pPr>
        <w:pStyle w:val="TOC2"/>
        <w:rPr>
          <w:rFonts w:asciiTheme="minorHAnsi" w:eastAsiaTheme="minorEastAsia" w:hAnsiTheme="minorHAnsi" w:cstheme="minorBidi"/>
          <w:sz w:val="22"/>
          <w:szCs w:val="22"/>
          <w:lang w:eastAsia="en-GB"/>
        </w:rPr>
      </w:pPr>
      <w:hyperlink w:anchor="_Toc469477803" w:history="1">
        <w:r>
          <w:rPr>
            <w:rStyle w:val="Hyperlink"/>
            <w:rFonts w:eastAsia="Calibri"/>
            <w:lang w:eastAsia="en-GB"/>
          </w:rPr>
          <w:t>Developing a circular economy and impr</w:t>
        </w:r>
        <w:r>
          <w:rPr>
            <w:rStyle w:val="Hyperlink"/>
            <w:rFonts w:eastAsia="Calibri"/>
            <w:lang w:eastAsia="en-GB"/>
          </w:rPr>
          <w:t>oving resource efficiency</w:t>
        </w:r>
        <w:r>
          <w:rPr>
            <w:webHidden/>
          </w:rPr>
          <w:tab/>
        </w:r>
        <w:r>
          <w:rPr>
            <w:webHidden/>
          </w:rPr>
          <w:fldChar w:fldCharType="begin"/>
        </w:r>
        <w:r>
          <w:rPr>
            <w:webHidden/>
          </w:rPr>
          <w:instrText xml:space="preserve"> PAGEREF _Toc469477803 \h </w:instrText>
        </w:r>
        <w:r>
          <w:rPr>
            <w:webHidden/>
          </w:rPr>
        </w:r>
        <w:r>
          <w:rPr>
            <w:webHidden/>
          </w:rPr>
          <w:fldChar w:fldCharType="separate"/>
        </w:r>
        <w:r>
          <w:rPr>
            <w:webHidden/>
          </w:rPr>
          <w:t>5</w:t>
        </w:r>
        <w:r>
          <w:rPr>
            <w:webHidden/>
          </w:rPr>
          <w:fldChar w:fldCharType="end"/>
        </w:r>
      </w:hyperlink>
    </w:p>
    <w:p w:rsidR="004A120F" w:rsidRDefault="000A0796">
      <w:pPr>
        <w:pStyle w:val="TOC2"/>
        <w:rPr>
          <w:rFonts w:asciiTheme="minorHAnsi" w:eastAsiaTheme="minorEastAsia" w:hAnsiTheme="minorHAnsi" w:cstheme="minorBidi"/>
          <w:sz w:val="22"/>
          <w:szCs w:val="22"/>
          <w:lang w:eastAsia="en-GB"/>
        </w:rPr>
      </w:pPr>
      <w:hyperlink w:anchor="_Toc469477804" w:history="1">
        <w:r>
          <w:rPr>
            <w:rStyle w:val="Hyperlink"/>
            <w:rFonts w:eastAsia="Calibri"/>
            <w:lang w:eastAsia="en-GB"/>
          </w:rPr>
          <w:t>Waste management</w:t>
        </w:r>
        <w:r>
          <w:rPr>
            <w:webHidden/>
          </w:rPr>
          <w:tab/>
        </w:r>
        <w:r>
          <w:rPr>
            <w:webHidden/>
          </w:rPr>
          <w:fldChar w:fldCharType="begin"/>
        </w:r>
        <w:r>
          <w:rPr>
            <w:webHidden/>
          </w:rPr>
          <w:instrText xml:space="preserve"> PAGEREF _Toc469477804 \h </w:instrText>
        </w:r>
        <w:r>
          <w:rPr>
            <w:webHidden/>
          </w:rPr>
        </w:r>
        <w:r>
          <w:rPr>
            <w:webHidden/>
          </w:rPr>
          <w:fldChar w:fldCharType="separate"/>
        </w:r>
        <w:r>
          <w:rPr>
            <w:webHidden/>
          </w:rPr>
          <w:t>7</w:t>
        </w:r>
        <w:r>
          <w:rPr>
            <w:webHidden/>
          </w:rPr>
          <w:fldChar w:fldCharType="end"/>
        </w:r>
      </w:hyperlink>
    </w:p>
    <w:p w:rsidR="004A120F" w:rsidRDefault="000A0796">
      <w:pPr>
        <w:pStyle w:val="TOC1"/>
        <w:rPr>
          <w:rFonts w:asciiTheme="minorHAnsi" w:eastAsiaTheme="minorEastAsia" w:hAnsiTheme="minorHAnsi" w:cstheme="minorBidi"/>
          <w:caps w:val="0"/>
          <w:noProof/>
          <w:sz w:val="22"/>
          <w:szCs w:val="22"/>
          <w:lang w:eastAsia="en-GB"/>
        </w:rPr>
      </w:pPr>
      <w:hyperlink w:anchor="_Toc469477805" w:history="1">
        <w:r>
          <w:rPr>
            <w:rStyle w:val="Hyperlink"/>
            <w:rFonts w:eastAsia="Calibri"/>
            <w:bCs/>
            <w:noProof/>
          </w:rPr>
          <w:t>2. Protecting, conserving and enhancing natural capital</w:t>
        </w:r>
        <w:r>
          <w:rPr>
            <w:noProof/>
            <w:webHidden/>
          </w:rPr>
          <w:tab/>
        </w:r>
        <w:r>
          <w:rPr>
            <w:noProof/>
            <w:webHidden/>
          </w:rPr>
          <w:fldChar w:fldCharType="begin"/>
        </w:r>
        <w:r>
          <w:rPr>
            <w:noProof/>
            <w:webHidden/>
          </w:rPr>
          <w:instrText xml:space="preserve"> PAGEREF _Toc469477805 \h </w:instrText>
        </w:r>
        <w:r>
          <w:rPr>
            <w:noProof/>
            <w:webHidden/>
          </w:rPr>
        </w:r>
        <w:r>
          <w:rPr>
            <w:noProof/>
            <w:webHidden/>
          </w:rPr>
          <w:fldChar w:fldCharType="separate"/>
        </w:r>
        <w:r>
          <w:rPr>
            <w:noProof/>
            <w:webHidden/>
          </w:rPr>
          <w:t>10</w:t>
        </w:r>
        <w:r>
          <w:rPr>
            <w:noProof/>
            <w:webHidden/>
          </w:rPr>
          <w:fldChar w:fldCharType="end"/>
        </w:r>
      </w:hyperlink>
    </w:p>
    <w:p w:rsidR="004A120F" w:rsidRDefault="000A0796">
      <w:pPr>
        <w:pStyle w:val="TOC2"/>
        <w:rPr>
          <w:rFonts w:asciiTheme="minorHAnsi" w:eastAsiaTheme="minorEastAsia" w:hAnsiTheme="minorHAnsi" w:cstheme="minorBidi"/>
          <w:sz w:val="22"/>
          <w:szCs w:val="22"/>
          <w:lang w:eastAsia="en-GB"/>
        </w:rPr>
      </w:pPr>
      <w:hyperlink w:anchor="_Toc469477806" w:history="1">
        <w:r>
          <w:rPr>
            <w:rStyle w:val="Hyperlink"/>
            <w:rFonts w:eastAsia="Calibri"/>
            <w:lang w:eastAsia="en-GB"/>
          </w:rPr>
          <w:t>Nature and Biodiversity</w:t>
        </w:r>
        <w:r>
          <w:rPr>
            <w:webHidden/>
          </w:rPr>
          <w:tab/>
        </w:r>
        <w:r>
          <w:rPr>
            <w:webHidden/>
          </w:rPr>
          <w:fldChar w:fldCharType="begin"/>
        </w:r>
        <w:r>
          <w:rPr>
            <w:webHidden/>
          </w:rPr>
          <w:instrText xml:space="preserve"> PAGEREF _Toc469477806 \h </w:instrText>
        </w:r>
        <w:r>
          <w:rPr>
            <w:webHidden/>
          </w:rPr>
        </w:r>
        <w:r>
          <w:rPr>
            <w:webHidden/>
          </w:rPr>
          <w:fldChar w:fldCharType="separate"/>
        </w:r>
        <w:r>
          <w:rPr>
            <w:webHidden/>
          </w:rPr>
          <w:t>10</w:t>
        </w:r>
        <w:r>
          <w:rPr>
            <w:webHidden/>
          </w:rPr>
          <w:fldChar w:fldCharType="end"/>
        </w:r>
      </w:hyperlink>
    </w:p>
    <w:p w:rsidR="004A120F" w:rsidRDefault="000A0796">
      <w:pPr>
        <w:pStyle w:val="TOC2"/>
        <w:rPr>
          <w:rFonts w:asciiTheme="minorHAnsi" w:eastAsiaTheme="minorEastAsia" w:hAnsiTheme="minorHAnsi" w:cstheme="minorBidi"/>
          <w:sz w:val="22"/>
          <w:szCs w:val="22"/>
          <w:lang w:eastAsia="en-GB"/>
        </w:rPr>
      </w:pPr>
      <w:hyperlink w:anchor="_Toc469477807" w:history="1">
        <w:r>
          <w:rPr>
            <w:rStyle w:val="Hyperlink"/>
            <w:rFonts w:eastAsia="Calibri"/>
            <w:lang w:eastAsia="en-GB"/>
          </w:rPr>
          <w:t>Estimating Natural Capital</w:t>
        </w:r>
        <w:r>
          <w:rPr>
            <w:webHidden/>
          </w:rPr>
          <w:tab/>
        </w:r>
        <w:r>
          <w:rPr>
            <w:webHidden/>
          </w:rPr>
          <w:fldChar w:fldCharType="begin"/>
        </w:r>
        <w:r>
          <w:rPr>
            <w:webHidden/>
          </w:rPr>
          <w:instrText xml:space="preserve"> PAGEREF _Toc469477807 \h </w:instrText>
        </w:r>
        <w:r>
          <w:rPr>
            <w:webHidden/>
          </w:rPr>
        </w:r>
        <w:r>
          <w:rPr>
            <w:webHidden/>
          </w:rPr>
          <w:fldChar w:fldCharType="separate"/>
        </w:r>
        <w:r>
          <w:rPr>
            <w:webHidden/>
          </w:rPr>
          <w:t>12</w:t>
        </w:r>
        <w:r>
          <w:rPr>
            <w:webHidden/>
          </w:rPr>
          <w:fldChar w:fldCharType="end"/>
        </w:r>
      </w:hyperlink>
    </w:p>
    <w:p w:rsidR="004A120F" w:rsidRDefault="000A0796">
      <w:pPr>
        <w:pStyle w:val="TOC2"/>
        <w:rPr>
          <w:rFonts w:asciiTheme="minorHAnsi" w:eastAsiaTheme="minorEastAsia" w:hAnsiTheme="minorHAnsi" w:cstheme="minorBidi"/>
          <w:sz w:val="22"/>
          <w:szCs w:val="22"/>
          <w:lang w:eastAsia="en-GB"/>
        </w:rPr>
      </w:pPr>
      <w:hyperlink w:anchor="_Toc469477808" w:history="1">
        <w:r>
          <w:rPr>
            <w:rStyle w:val="Hyperlink"/>
            <w:rFonts w:eastAsia="Calibri"/>
            <w:lang w:eastAsia="en-GB"/>
          </w:rPr>
          <w:t>Green Infrastructure</w:t>
        </w:r>
        <w:r>
          <w:rPr>
            <w:webHidden/>
          </w:rPr>
          <w:tab/>
        </w:r>
        <w:r>
          <w:rPr>
            <w:webHidden/>
          </w:rPr>
          <w:fldChar w:fldCharType="begin"/>
        </w:r>
        <w:r>
          <w:rPr>
            <w:webHidden/>
          </w:rPr>
          <w:instrText xml:space="preserve"> PAGEREF _Toc469477808 \h </w:instrText>
        </w:r>
        <w:r>
          <w:rPr>
            <w:webHidden/>
          </w:rPr>
        </w:r>
        <w:r>
          <w:rPr>
            <w:webHidden/>
          </w:rPr>
          <w:fldChar w:fldCharType="separate"/>
        </w:r>
        <w:r>
          <w:rPr>
            <w:webHidden/>
          </w:rPr>
          <w:t>12</w:t>
        </w:r>
        <w:r>
          <w:rPr>
            <w:webHidden/>
          </w:rPr>
          <w:fldChar w:fldCharType="end"/>
        </w:r>
      </w:hyperlink>
    </w:p>
    <w:p w:rsidR="004A120F" w:rsidRDefault="000A0796">
      <w:pPr>
        <w:pStyle w:val="TOC2"/>
        <w:rPr>
          <w:rFonts w:asciiTheme="minorHAnsi" w:eastAsiaTheme="minorEastAsia" w:hAnsiTheme="minorHAnsi" w:cstheme="minorBidi"/>
          <w:sz w:val="22"/>
          <w:szCs w:val="22"/>
          <w:lang w:eastAsia="en-GB"/>
        </w:rPr>
      </w:pPr>
      <w:hyperlink w:anchor="_Toc469477809" w:history="1">
        <w:r>
          <w:rPr>
            <w:rStyle w:val="Hyperlink"/>
            <w:rFonts w:eastAsia="Calibri"/>
            <w:lang w:eastAsia="en-GB"/>
          </w:rPr>
          <w:t>Soil protection</w:t>
        </w:r>
        <w:r>
          <w:rPr>
            <w:webHidden/>
          </w:rPr>
          <w:tab/>
        </w:r>
        <w:r>
          <w:rPr>
            <w:webHidden/>
          </w:rPr>
          <w:fldChar w:fldCharType="begin"/>
        </w:r>
        <w:r>
          <w:rPr>
            <w:webHidden/>
          </w:rPr>
          <w:instrText xml:space="preserve"> PAGEREF</w:instrText>
        </w:r>
        <w:r>
          <w:rPr>
            <w:webHidden/>
          </w:rPr>
          <w:instrText xml:space="preserve"> _Toc469477809 \h </w:instrText>
        </w:r>
        <w:r>
          <w:rPr>
            <w:webHidden/>
          </w:rPr>
        </w:r>
        <w:r>
          <w:rPr>
            <w:webHidden/>
          </w:rPr>
          <w:fldChar w:fldCharType="separate"/>
        </w:r>
        <w:r>
          <w:rPr>
            <w:webHidden/>
          </w:rPr>
          <w:t>13</w:t>
        </w:r>
        <w:r>
          <w:rPr>
            <w:webHidden/>
          </w:rPr>
          <w:fldChar w:fldCharType="end"/>
        </w:r>
      </w:hyperlink>
    </w:p>
    <w:p w:rsidR="004A120F" w:rsidRDefault="000A0796">
      <w:pPr>
        <w:pStyle w:val="TOC2"/>
        <w:rPr>
          <w:rFonts w:asciiTheme="minorHAnsi" w:eastAsiaTheme="minorEastAsia" w:hAnsiTheme="minorHAnsi" w:cstheme="minorBidi"/>
          <w:sz w:val="22"/>
          <w:szCs w:val="22"/>
          <w:lang w:eastAsia="en-GB"/>
        </w:rPr>
      </w:pPr>
      <w:hyperlink w:anchor="_Toc469477810" w:history="1">
        <w:r>
          <w:rPr>
            <w:rStyle w:val="Hyperlink"/>
            <w:rFonts w:eastAsia="Calibri"/>
            <w:lang w:eastAsia="en-GB"/>
          </w:rPr>
          <w:t>Marine protection</w:t>
        </w:r>
        <w:r>
          <w:rPr>
            <w:webHidden/>
          </w:rPr>
          <w:tab/>
        </w:r>
        <w:r>
          <w:rPr>
            <w:webHidden/>
          </w:rPr>
          <w:fldChar w:fldCharType="begin"/>
        </w:r>
        <w:r>
          <w:rPr>
            <w:webHidden/>
          </w:rPr>
          <w:instrText xml:space="preserve"> PAGEREF _Toc469477810 \h </w:instrText>
        </w:r>
        <w:r>
          <w:rPr>
            <w:webHidden/>
          </w:rPr>
        </w:r>
        <w:r>
          <w:rPr>
            <w:webHidden/>
          </w:rPr>
          <w:fldChar w:fldCharType="separate"/>
        </w:r>
        <w:r>
          <w:rPr>
            <w:webHidden/>
          </w:rPr>
          <w:t>13</w:t>
        </w:r>
        <w:r>
          <w:rPr>
            <w:webHidden/>
          </w:rPr>
          <w:fldChar w:fldCharType="end"/>
        </w:r>
      </w:hyperlink>
    </w:p>
    <w:p w:rsidR="004A120F" w:rsidRDefault="000A0796">
      <w:pPr>
        <w:pStyle w:val="TOC1"/>
        <w:rPr>
          <w:rFonts w:asciiTheme="minorHAnsi" w:eastAsiaTheme="minorEastAsia" w:hAnsiTheme="minorHAnsi" w:cstheme="minorBidi"/>
          <w:caps w:val="0"/>
          <w:noProof/>
          <w:sz w:val="22"/>
          <w:szCs w:val="22"/>
          <w:lang w:eastAsia="en-GB"/>
        </w:rPr>
      </w:pPr>
      <w:hyperlink w:anchor="_Toc469477811" w:history="1">
        <w:r>
          <w:rPr>
            <w:rStyle w:val="Hyperlink"/>
            <w:bCs/>
            <w:noProof/>
          </w:rPr>
          <w:t>3. Ensuring citizens' health and quality of life</w:t>
        </w:r>
        <w:r>
          <w:rPr>
            <w:noProof/>
            <w:webHidden/>
          </w:rPr>
          <w:tab/>
        </w:r>
        <w:r>
          <w:rPr>
            <w:noProof/>
            <w:webHidden/>
          </w:rPr>
          <w:fldChar w:fldCharType="begin"/>
        </w:r>
        <w:r>
          <w:rPr>
            <w:noProof/>
            <w:webHidden/>
          </w:rPr>
          <w:instrText xml:space="preserve"> PAGEREF _Toc469477811 \h </w:instrText>
        </w:r>
        <w:r>
          <w:rPr>
            <w:noProof/>
            <w:webHidden/>
          </w:rPr>
        </w:r>
        <w:r>
          <w:rPr>
            <w:noProof/>
            <w:webHidden/>
          </w:rPr>
          <w:fldChar w:fldCharType="separate"/>
        </w:r>
        <w:r>
          <w:rPr>
            <w:noProof/>
            <w:webHidden/>
          </w:rPr>
          <w:t>15</w:t>
        </w:r>
        <w:r>
          <w:rPr>
            <w:noProof/>
            <w:webHidden/>
          </w:rPr>
          <w:fldChar w:fldCharType="end"/>
        </w:r>
      </w:hyperlink>
    </w:p>
    <w:p w:rsidR="004A120F" w:rsidRDefault="000A0796">
      <w:pPr>
        <w:pStyle w:val="TOC2"/>
        <w:rPr>
          <w:rFonts w:asciiTheme="minorHAnsi" w:eastAsiaTheme="minorEastAsia" w:hAnsiTheme="minorHAnsi" w:cstheme="minorBidi"/>
          <w:sz w:val="22"/>
          <w:szCs w:val="22"/>
          <w:lang w:eastAsia="en-GB"/>
        </w:rPr>
      </w:pPr>
      <w:hyperlink w:anchor="_Toc469477812" w:history="1">
        <w:r>
          <w:rPr>
            <w:rStyle w:val="Hyperlink"/>
            <w:rFonts w:eastAsia="Calibri"/>
            <w:lang w:eastAsia="en-GB"/>
          </w:rPr>
          <w:t>Air quality</w:t>
        </w:r>
        <w:r>
          <w:rPr>
            <w:webHidden/>
          </w:rPr>
          <w:tab/>
        </w:r>
        <w:r>
          <w:rPr>
            <w:webHidden/>
          </w:rPr>
          <w:fldChar w:fldCharType="begin"/>
        </w:r>
        <w:r>
          <w:rPr>
            <w:webHidden/>
          </w:rPr>
          <w:instrText xml:space="preserve"> PAGEREF _Toc469477812 \h </w:instrText>
        </w:r>
        <w:r>
          <w:rPr>
            <w:webHidden/>
          </w:rPr>
        </w:r>
        <w:r>
          <w:rPr>
            <w:webHidden/>
          </w:rPr>
          <w:fldChar w:fldCharType="separate"/>
        </w:r>
        <w:r>
          <w:rPr>
            <w:webHidden/>
          </w:rPr>
          <w:t>15</w:t>
        </w:r>
        <w:r>
          <w:rPr>
            <w:webHidden/>
          </w:rPr>
          <w:fldChar w:fldCharType="end"/>
        </w:r>
      </w:hyperlink>
    </w:p>
    <w:p w:rsidR="004A120F" w:rsidRDefault="000A0796">
      <w:pPr>
        <w:pStyle w:val="TOC2"/>
        <w:rPr>
          <w:rFonts w:asciiTheme="minorHAnsi" w:eastAsiaTheme="minorEastAsia" w:hAnsiTheme="minorHAnsi" w:cstheme="minorBidi"/>
          <w:sz w:val="22"/>
          <w:szCs w:val="22"/>
          <w:lang w:eastAsia="en-GB"/>
        </w:rPr>
      </w:pPr>
      <w:hyperlink w:anchor="_Toc469477813" w:history="1">
        <w:r>
          <w:rPr>
            <w:rStyle w:val="Hyperlink"/>
            <w:rFonts w:eastAsia="Calibri"/>
            <w:lang w:eastAsia="en-GB"/>
          </w:rPr>
          <w:t>Noise</w:t>
        </w:r>
        <w:r>
          <w:rPr>
            <w:webHidden/>
          </w:rPr>
          <w:tab/>
        </w:r>
        <w:r>
          <w:rPr>
            <w:webHidden/>
          </w:rPr>
          <w:tab/>
        </w:r>
        <w:r>
          <w:rPr>
            <w:webHidden/>
          </w:rPr>
          <w:fldChar w:fldCharType="begin"/>
        </w:r>
        <w:r>
          <w:rPr>
            <w:webHidden/>
          </w:rPr>
          <w:instrText xml:space="preserve"> PAGEREF _Toc469477813 \h </w:instrText>
        </w:r>
        <w:r>
          <w:rPr>
            <w:webHidden/>
          </w:rPr>
        </w:r>
        <w:r>
          <w:rPr>
            <w:webHidden/>
          </w:rPr>
          <w:fldChar w:fldCharType="separate"/>
        </w:r>
        <w:r>
          <w:rPr>
            <w:webHidden/>
          </w:rPr>
          <w:t>16</w:t>
        </w:r>
        <w:r>
          <w:rPr>
            <w:webHidden/>
          </w:rPr>
          <w:fldChar w:fldCharType="end"/>
        </w:r>
      </w:hyperlink>
    </w:p>
    <w:p w:rsidR="004A120F" w:rsidRDefault="000A0796">
      <w:pPr>
        <w:pStyle w:val="TOC2"/>
        <w:rPr>
          <w:rFonts w:asciiTheme="minorHAnsi" w:eastAsiaTheme="minorEastAsia" w:hAnsiTheme="minorHAnsi" w:cstheme="minorBidi"/>
          <w:sz w:val="22"/>
          <w:szCs w:val="22"/>
          <w:lang w:eastAsia="en-GB"/>
        </w:rPr>
      </w:pPr>
      <w:hyperlink w:anchor="_Toc469477814" w:history="1">
        <w:r>
          <w:rPr>
            <w:rStyle w:val="Hyperlink"/>
            <w:rFonts w:eastAsia="Calibri"/>
            <w:lang w:eastAsia="en-GB"/>
          </w:rPr>
          <w:t>Water quality and management</w:t>
        </w:r>
        <w:r>
          <w:rPr>
            <w:webHidden/>
          </w:rPr>
          <w:tab/>
        </w:r>
        <w:r>
          <w:rPr>
            <w:webHidden/>
          </w:rPr>
          <w:fldChar w:fldCharType="begin"/>
        </w:r>
        <w:r>
          <w:rPr>
            <w:webHidden/>
          </w:rPr>
          <w:instrText xml:space="preserve"> PAGEREF _Toc469477814 \h </w:instrText>
        </w:r>
        <w:r>
          <w:rPr>
            <w:webHidden/>
          </w:rPr>
        </w:r>
        <w:r>
          <w:rPr>
            <w:webHidden/>
          </w:rPr>
          <w:fldChar w:fldCharType="separate"/>
        </w:r>
        <w:r>
          <w:rPr>
            <w:webHidden/>
          </w:rPr>
          <w:t>16</w:t>
        </w:r>
        <w:r>
          <w:rPr>
            <w:webHidden/>
          </w:rPr>
          <w:fldChar w:fldCharType="end"/>
        </w:r>
      </w:hyperlink>
    </w:p>
    <w:p w:rsidR="004A120F" w:rsidRDefault="000A0796">
      <w:pPr>
        <w:pStyle w:val="TOC2"/>
        <w:rPr>
          <w:rFonts w:asciiTheme="minorHAnsi" w:eastAsiaTheme="minorEastAsia" w:hAnsiTheme="minorHAnsi" w:cstheme="minorBidi"/>
          <w:sz w:val="22"/>
          <w:szCs w:val="22"/>
          <w:lang w:eastAsia="en-GB"/>
        </w:rPr>
      </w:pPr>
      <w:hyperlink w:anchor="_Toc469477815" w:history="1">
        <w:r>
          <w:rPr>
            <w:rStyle w:val="Hyperlink"/>
            <w:rFonts w:eastAsia="Calibri"/>
            <w:lang w:eastAsia="en-GB"/>
          </w:rPr>
          <w:t>Enhancing the sustainability of cities</w:t>
        </w:r>
        <w:r>
          <w:rPr>
            <w:webHidden/>
          </w:rPr>
          <w:tab/>
        </w:r>
        <w:r>
          <w:rPr>
            <w:webHidden/>
          </w:rPr>
          <w:fldChar w:fldCharType="begin"/>
        </w:r>
        <w:r>
          <w:rPr>
            <w:webHidden/>
          </w:rPr>
          <w:instrText xml:space="preserve"> PAGEREF _Toc469477815 \h </w:instrText>
        </w:r>
        <w:r>
          <w:rPr>
            <w:webHidden/>
          </w:rPr>
        </w:r>
        <w:r>
          <w:rPr>
            <w:webHidden/>
          </w:rPr>
          <w:fldChar w:fldCharType="separate"/>
        </w:r>
        <w:r>
          <w:rPr>
            <w:webHidden/>
          </w:rPr>
          <w:t>18</w:t>
        </w:r>
        <w:r>
          <w:rPr>
            <w:webHidden/>
          </w:rPr>
          <w:fldChar w:fldCharType="end"/>
        </w:r>
      </w:hyperlink>
    </w:p>
    <w:p w:rsidR="004A120F" w:rsidRDefault="000A0796">
      <w:pPr>
        <w:pStyle w:val="TOC2"/>
        <w:rPr>
          <w:rFonts w:asciiTheme="minorHAnsi" w:eastAsiaTheme="minorEastAsia" w:hAnsiTheme="minorHAnsi" w:cstheme="minorBidi"/>
          <w:sz w:val="22"/>
          <w:szCs w:val="22"/>
          <w:lang w:eastAsia="en-GB"/>
        </w:rPr>
      </w:pPr>
      <w:hyperlink w:anchor="_Toc469477816" w:history="1">
        <w:r>
          <w:rPr>
            <w:rStyle w:val="Hyperlink"/>
            <w:rFonts w:eastAsia="Calibri"/>
            <w:lang w:eastAsia="en-GB"/>
          </w:rPr>
          <w:t>International agreements</w:t>
        </w:r>
        <w:r>
          <w:rPr>
            <w:webHidden/>
          </w:rPr>
          <w:tab/>
        </w:r>
        <w:r>
          <w:rPr>
            <w:webHidden/>
          </w:rPr>
          <w:fldChar w:fldCharType="begin"/>
        </w:r>
        <w:r>
          <w:rPr>
            <w:webHidden/>
          </w:rPr>
          <w:instrText xml:space="preserve"> PAGEREF _Toc469477816 \h </w:instrText>
        </w:r>
        <w:r>
          <w:rPr>
            <w:webHidden/>
          </w:rPr>
        </w:r>
        <w:r>
          <w:rPr>
            <w:webHidden/>
          </w:rPr>
          <w:fldChar w:fldCharType="separate"/>
        </w:r>
        <w:r>
          <w:rPr>
            <w:webHidden/>
          </w:rPr>
          <w:t>19</w:t>
        </w:r>
        <w:r>
          <w:rPr>
            <w:webHidden/>
          </w:rPr>
          <w:fldChar w:fldCharType="end"/>
        </w:r>
      </w:hyperlink>
    </w:p>
    <w:p w:rsidR="004A120F" w:rsidRDefault="000A0796">
      <w:pPr>
        <w:pStyle w:val="TOC1"/>
        <w:rPr>
          <w:rFonts w:asciiTheme="minorHAnsi" w:eastAsiaTheme="minorEastAsia" w:hAnsiTheme="minorHAnsi" w:cstheme="minorBidi"/>
          <w:caps w:val="0"/>
          <w:noProof/>
          <w:sz w:val="22"/>
          <w:szCs w:val="22"/>
          <w:lang w:eastAsia="en-GB"/>
        </w:rPr>
      </w:pPr>
      <w:hyperlink w:anchor="_Toc469477817" w:history="1">
        <w:r>
          <w:rPr>
            <w:rStyle w:val="Hyperlink"/>
            <w:bCs/>
            <w:noProof/>
          </w:rPr>
          <w:t>Part II: Enabling Framework: Implementation Tools</w:t>
        </w:r>
        <w:r>
          <w:rPr>
            <w:noProof/>
            <w:webHidden/>
          </w:rPr>
          <w:tab/>
        </w:r>
        <w:r>
          <w:rPr>
            <w:noProof/>
            <w:webHidden/>
          </w:rPr>
          <w:fldChar w:fldCharType="begin"/>
        </w:r>
        <w:r>
          <w:rPr>
            <w:noProof/>
            <w:webHidden/>
          </w:rPr>
          <w:instrText xml:space="preserve"> PAGEREF _Toc469477817 \h </w:instrText>
        </w:r>
        <w:r>
          <w:rPr>
            <w:noProof/>
            <w:webHidden/>
          </w:rPr>
        </w:r>
        <w:r>
          <w:rPr>
            <w:noProof/>
            <w:webHidden/>
          </w:rPr>
          <w:fldChar w:fldCharType="separate"/>
        </w:r>
        <w:r>
          <w:rPr>
            <w:noProof/>
            <w:webHidden/>
          </w:rPr>
          <w:t>20</w:t>
        </w:r>
        <w:r>
          <w:rPr>
            <w:noProof/>
            <w:webHidden/>
          </w:rPr>
          <w:fldChar w:fldCharType="end"/>
        </w:r>
      </w:hyperlink>
    </w:p>
    <w:p w:rsidR="004A120F" w:rsidRDefault="000A0796">
      <w:pPr>
        <w:pStyle w:val="TOC1"/>
        <w:rPr>
          <w:rFonts w:asciiTheme="minorHAnsi" w:eastAsiaTheme="minorEastAsia" w:hAnsiTheme="minorHAnsi" w:cstheme="minorBidi"/>
          <w:caps w:val="0"/>
          <w:noProof/>
          <w:sz w:val="22"/>
          <w:szCs w:val="22"/>
          <w:lang w:eastAsia="en-GB"/>
        </w:rPr>
      </w:pPr>
      <w:hyperlink w:anchor="_Toc469477818" w:history="1">
        <w:r>
          <w:rPr>
            <w:rStyle w:val="Hyperlink"/>
            <w:bCs/>
            <w:noProof/>
          </w:rPr>
          <w:t>4. Market based instruments and investment</w:t>
        </w:r>
        <w:r>
          <w:rPr>
            <w:noProof/>
            <w:webHidden/>
          </w:rPr>
          <w:tab/>
        </w:r>
        <w:r>
          <w:rPr>
            <w:noProof/>
            <w:webHidden/>
          </w:rPr>
          <w:fldChar w:fldCharType="begin"/>
        </w:r>
        <w:r>
          <w:rPr>
            <w:noProof/>
            <w:webHidden/>
          </w:rPr>
          <w:instrText xml:space="preserve"> PAGE</w:instrText>
        </w:r>
        <w:r>
          <w:rPr>
            <w:noProof/>
            <w:webHidden/>
          </w:rPr>
          <w:instrText xml:space="preserve">REF _Toc469477818 \h </w:instrText>
        </w:r>
        <w:r>
          <w:rPr>
            <w:noProof/>
            <w:webHidden/>
          </w:rPr>
        </w:r>
        <w:r>
          <w:rPr>
            <w:noProof/>
            <w:webHidden/>
          </w:rPr>
          <w:fldChar w:fldCharType="separate"/>
        </w:r>
        <w:r>
          <w:rPr>
            <w:noProof/>
            <w:webHidden/>
          </w:rPr>
          <w:t>20</w:t>
        </w:r>
        <w:r>
          <w:rPr>
            <w:noProof/>
            <w:webHidden/>
          </w:rPr>
          <w:fldChar w:fldCharType="end"/>
        </w:r>
      </w:hyperlink>
    </w:p>
    <w:p w:rsidR="004A120F" w:rsidRDefault="000A0796">
      <w:pPr>
        <w:pStyle w:val="TOC2"/>
        <w:rPr>
          <w:rFonts w:asciiTheme="minorHAnsi" w:eastAsiaTheme="minorEastAsia" w:hAnsiTheme="minorHAnsi" w:cstheme="minorBidi"/>
          <w:sz w:val="22"/>
          <w:szCs w:val="22"/>
          <w:lang w:eastAsia="en-GB"/>
        </w:rPr>
      </w:pPr>
      <w:hyperlink w:anchor="_Toc469477819" w:history="1">
        <w:r>
          <w:rPr>
            <w:rStyle w:val="Hyperlink"/>
            <w:rFonts w:eastAsia="Calibri"/>
            <w:lang w:eastAsia="en-GB"/>
          </w:rPr>
          <w:t>Green taxation and environmentally harmful subsidies</w:t>
        </w:r>
        <w:r>
          <w:rPr>
            <w:webHidden/>
          </w:rPr>
          <w:tab/>
        </w:r>
        <w:r>
          <w:rPr>
            <w:webHidden/>
          </w:rPr>
          <w:fldChar w:fldCharType="begin"/>
        </w:r>
        <w:r>
          <w:rPr>
            <w:webHidden/>
          </w:rPr>
          <w:instrText xml:space="preserve"> PAGEREF _Toc469477819 \h </w:instrText>
        </w:r>
        <w:r>
          <w:rPr>
            <w:webHidden/>
          </w:rPr>
        </w:r>
        <w:r>
          <w:rPr>
            <w:webHidden/>
          </w:rPr>
          <w:fldChar w:fldCharType="separate"/>
        </w:r>
        <w:r>
          <w:rPr>
            <w:webHidden/>
          </w:rPr>
          <w:t>20</w:t>
        </w:r>
        <w:r>
          <w:rPr>
            <w:webHidden/>
          </w:rPr>
          <w:fldChar w:fldCharType="end"/>
        </w:r>
      </w:hyperlink>
    </w:p>
    <w:p w:rsidR="004A120F" w:rsidRDefault="000A0796">
      <w:pPr>
        <w:pStyle w:val="TOC2"/>
        <w:rPr>
          <w:rFonts w:asciiTheme="minorHAnsi" w:eastAsiaTheme="minorEastAsia" w:hAnsiTheme="minorHAnsi" w:cstheme="minorBidi"/>
          <w:sz w:val="22"/>
          <w:szCs w:val="22"/>
          <w:lang w:eastAsia="en-GB"/>
        </w:rPr>
      </w:pPr>
      <w:hyperlink w:anchor="_Toc469477820" w:history="1">
        <w:r>
          <w:rPr>
            <w:rStyle w:val="Hyperlink"/>
            <w:rFonts w:eastAsia="Calibri"/>
            <w:lang w:eastAsia="en-GB"/>
          </w:rPr>
          <w:t>Green Public Procurement</w:t>
        </w:r>
        <w:r>
          <w:rPr>
            <w:webHidden/>
          </w:rPr>
          <w:tab/>
        </w:r>
        <w:r>
          <w:rPr>
            <w:webHidden/>
          </w:rPr>
          <w:fldChar w:fldCharType="begin"/>
        </w:r>
        <w:r>
          <w:rPr>
            <w:webHidden/>
          </w:rPr>
          <w:instrText xml:space="preserve"> PAGEREF _Toc469477820 \h </w:instrText>
        </w:r>
        <w:r>
          <w:rPr>
            <w:webHidden/>
          </w:rPr>
        </w:r>
        <w:r>
          <w:rPr>
            <w:webHidden/>
          </w:rPr>
          <w:fldChar w:fldCharType="separate"/>
        </w:r>
        <w:r>
          <w:rPr>
            <w:webHidden/>
          </w:rPr>
          <w:t>21</w:t>
        </w:r>
        <w:r>
          <w:rPr>
            <w:webHidden/>
          </w:rPr>
          <w:fldChar w:fldCharType="end"/>
        </w:r>
      </w:hyperlink>
    </w:p>
    <w:p w:rsidR="004A120F" w:rsidRDefault="000A0796">
      <w:pPr>
        <w:pStyle w:val="TOC2"/>
        <w:rPr>
          <w:rFonts w:asciiTheme="minorHAnsi" w:eastAsiaTheme="minorEastAsia" w:hAnsiTheme="minorHAnsi" w:cstheme="minorBidi"/>
          <w:sz w:val="22"/>
          <w:szCs w:val="22"/>
          <w:lang w:eastAsia="en-GB"/>
        </w:rPr>
      </w:pPr>
      <w:hyperlink w:anchor="_Toc469477821" w:history="1">
        <w:r>
          <w:rPr>
            <w:rStyle w:val="Hyperlink"/>
            <w:rFonts w:eastAsia="Calibri"/>
            <w:lang w:eastAsia="en-GB"/>
          </w:rPr>
          <w:t>Investments: the contribution of EU funds</w:t>
        </w:r>
        <w:r>
          <w:rPr>
            <w:webHidden/>
          </w:rPr>
          <w:tab/>
        </w:r>
        <w:r>
          <w:rPr>
            <w:webHidden/>
          </w:rPr>
          <w:fldChar w:fldCharType="begin"/>
        </w:r>
        <w:r>
          <w:rPr>
            <w:webHidden/>
          </w:rPr>
          <w:instrText xml:space="preserve"> PAGEREF _Toc469477821 \h </w:instrText>
        </w:r>
        <w:r>
          <w:rPr>
            <w:webHidden/>
          </w:rPr>
        </w:r>
        <w:r>
          <w:rPr>
            <w:webHidden/>
          </w:rPr>
          <w:fldChar w:fldCharType="separate"/>
        </w:r>
        <w:r>
          <w:rPr>
            <w:webHidden/>
          </w:rPr>
          <w:t>21</w:t>
        </w:r>
        <w:r>
          <w:rPr>
            <w:webHidden/>
          </w:rPr>
          <w:fldChar w:fldCharType="end"/>
        </w:r>
      </w:hyperlink>
    </w:p>
    <w:p w:rsidR="004A120F" w:rsidRDefault="000A0796">
      <w:pPr>
        <w:pStyle w:val="TOC1"/>
        <w:rPr>
          <w:rFonts w:asciiTheme="minorHAnsi" w:eastAsiaTheme="minorEastAsia" w:hAnsiTheme="minorHAnsi" w:cstheme="minorBidi"/>
          <w:caps w:val="0"/>
          <w:noProof/>
          <w:sz w:val="22"/>
          <w:szCs w:val="22"/>
          <w:lang w:eastAsia="en-GB"/>
        </w:rPr>
      </w:pPr>
      <w:hyperlink w:anchor="_Toc469477822" w:history="1">
        <w:r>
          <w:rPr>
            <w:rStyle w:val="Hyperlink"/>
            <w:bCs/>
            <w:noProof/>
          </w:rPr>
          <w:t>5. Effective governance and knowledge</w:t>
        </w:r>
        <w:r>
          <w:rPr>
            <w:noProof/>
            <w:webHidden/>
          </w:rPr>
          <w:tab/>
        </w:r>
        <w:r>
          <w:rPr>
            <w:noProof/>
            <w:webHidden/>
          </w:rPr>
          <w:fldChar w:fldCharType="begin"/>
        </w:r>
        <w:r>
          <w:rPr>
            <w:noProof/>
            <w:webHidden/>
          </w:rPr>
          <w:instrText xml:space="preserve"> PAGEREF _Toc469477822 \h </w:instrText>
        </w:r>
        <w:r>
          <w:rPr>
            <w:noProof/>
            <w:webHidden/>
          </w:rPr>
        </w:r>
        <w:r>
          <w:rPr>
            <w:noProof/>
            <w:webHidden/>
          </w:rPr>
          <w:fldChar w:fldCharType="separate"/>
        </w:r>
        <w:r>
          <w:rPr>
            <w:noProof/>
            <w:webHidden/>
          </w:rPr>
          <w:t>23</w:t>
        </w:r>
        <w:r>
          <w:rPr>
            <w:noProof/>
            <w:webHidden/>
          </w:rPr>
          <w:fldChar w:fldCharType="end"/>
        </w:r>
      </w:hyperlink>
    </w:p>
    <w:p w:rsidR="004A120F" w:rsidRDefault="000A0796">
      <w:pPr>
        <w:pStyle w:val="TOC2"/>
        <w:rPr>
          <w:rFonts w:asciiTheme="minorHAnsi" w:eastAsiaTheme="minorEastAsia" w:hAnsiTheme="minorHAnsi" w:cstheme="minorBidi"/>
          <w:sz w:val="22"/>
          <w:szCs w:val="22"/>
          <w:lang w:eastAsia="en-GB"/>
        </w:rPr>
      </w:pPr>
      <w:hyperlink w:anchor="_Toc469477823" w:history="1">
        <w:r>
          <w:rPr>
            <w:rStyle w:val="Hyperlink"/>
            <w:rFonts w:eastAsia="Calibri"/>
            <w:lang w:eastAsia="en-GB"/>
          </w:rPr>
          <w:t>Effective governance within central, regional and local government</w:t>
        </w:r>
        <w:r>
          <w:rPr>
            <w:webHidden/>
          </w:rPr>
          <w:tab/>
        </w:r>
        <w:r>
          <w:rPr>
            <w:webHidden/>
          </w:rPr>
          <w:fldChar w:fldCharType="begin"/>
        </w:r>
        <w:r>
          <w:rPr>
            <w:webHidden/>
          </w:rPr>
          <w:instrText xml:space="preserve"> PAGERE</w:instrText>
        </w:r>
        <w:r>
          <w:rPr>
            <w:webHidden/>
          </w:rPr>
          <w:instrText xml:space="preserve">F _Toc469477823 \h </w:instrText>
        </w:r>
        <w:r>
          <w:rPr>
            <w:webHidden/>
          </w:rPr>
        </w:r>
        <w:r>
          <w:rPr>
            <w:webHidden/>
          </w:rPr>
          <w:fldChar w:fldCharType="separate"/>
        </w:r>
        <w:r>
          <w:rPr>
            <w:webHidden/>
          </w:rPr>
          <w:t>23</w:t>
        </w:r>
        <w:r>
          <w:rPr>
            <w:webHidden/>
          </w:rPr>
          <w:fldChar w:fldCharType="end"/>
        </w:r>
      </w:hyperlink>
    </w:p>
    <w:p w:rsidR="004A120F" w:rsidRDefault="000A0796">
      <w:pPr>
        <w:pStyle w:val="TOC2"/>
        <w:rPr>
          <w:rFonts w:asciiTheme="minorHAnsi" w:eastAsiaTheme="minorEastAsia" w:hAnsiTheme="minorHAnsi" w:cstheme="minorBidi"/>
          <w:sz w:val="22"/>
          <w:szCs w:val="22"/>
          <w:lang w:eastAsia="en-GB"/>
        </w:rPr>
      </w:pPr>
      <w:hyperlink w:anchor="_Toc469477824" w:history="1">
        <w:r>
          <w:rPr>
            <w:rStyle w:val="Hyperlink"/>
            <w:rFonts w:eastAsia="Calibri"/>
            <w:lang w:eastAsia="en-GB"/>
          </w:rPr>
          <w:t>Compliance assurance</w:t>
        </w:r>
        <w:r>
          <w:rPr>
            <w:webHidden/>
          </w:rPr>
          <w:tab/>
        </w:r>
        <w:r>
          <w:rPr>
            <w:webHidden/>
          </w:rPr>
          <w:fldChar w:fldCharType="begin"/>
        </w:r>
        <w:r>
          <w:rPr>
            <w:webHidden/>
          </w:rPr>
          <w:instrText xml:space="preserve"> PAGEREF _Toc469477824 \h </w:instrText>
        </w:r>
        <w:r>
          <w:rPr>
            <w:webHidden/>
          </w:rPr>
        </w:r>
        <w:r>
          <w:rPr>
            <w:webHidden/>
          </w:rPr>
          <w:fldChar w:fldCharType="separate"/>
        </w:r>
        <w:r>
          <w:rPr>
            <w:webHidden/>
          </w:rPr>
          <w:t>24</w:t>
        </w:r>
        <w:r>
          <w:rPr>
            <w:webHidden/>
          </w:rPr>
          <w:fldChar w:fldCharType="end"/>
        </w:r>
      </w:hyperlink>
    </w:p>
    <w:p w:rsidR="004A120F" w:rsidRDefault="000A0796">
      <w:pPr>
        <w:pStyle w:val="TOC2"/>
        <w:rPr>
          <w:rFonts w:asciiTheme="minorHAnsi" w:eastAsiaTheme="minorEastAsia" w:hAnsiTheme="minorHAnsi" w:cstheme="minorBidi"/>
          <w:sz w:val="22"/>
          <w:szCs w:val="22"/>
          <w:lang w:eastAsia="en-GB"/>
        </w:rPr>
      </w:pPr>
      <w:hyperlink w:anchor="_Toc469477825" w:history="1">
        <w:r>
          <w:rPr>
            <w:rStyle w:val="Hyperlink"/>
            <w:rFonts w:eastAsia="Calibri"/>
            <w:lang w:eastAsia="en-GB"/>
          </w:rPr>
          <w:t>Public participation and access to justice</w:t>
        </w:r>
        <w:r>
          <w:rPr>
            <w:webHidden/>
          </w:rPr>
          <w:tab/>
        </w:r>
        <w:r>
          <w:rPr>
            <w:webHidden/>
          </w:rPr>
          <w:fldChar w:fldCharType="begin"/>
        </w:r>
        <w:r>
          <w:rPr>
            <w:webHidden/>
          </w:rPr>
          <w:instrText xml:space="preserve"> PAGEREF _Toc469477825 \h </w:instrText>
        </w:r>
        <w:r>
          <w:rPr>
            <w:webHidden/>
          </w:rPr>
        </w:r>
        <w:r>
          <w:rPr>
            <w:webHidden/>
          </w:rPr>
          <w:fldChar w:fldCharType="separate"/>
        </w:r>
        <w:r>
          <w:rPr>
            <w:webHidden/>
          </w:rPr>
          <w:t>26</w:t>
        </w:r>
        <w:r>
          <w:rPr>
            <w:webHidden/>
          </w:rPr>
          <w:fldChar w:fldCharType="end"/>
        </w:r>
      </w:hyperlink>
    </w:p>
    <w:p w:rsidR="004A120F" w:rsidRDefault="000A0796">
      <w:pPr>
        <w:pStyle w:val="TOC2"/>
        <w:rPr>
          <w:rFonts w:asciiTheme="minorHAnsi" w:eastAsiaTheme="minorEastAsia" w:hAnsiTheme="minorHAnsi" w:cstheme="minorBidi"/>
          <w:sz w:val="22"/>
          <w:szCs w:val="22"/>
          <w:lang w:eastAsia="en-GB"/>
        </w:rPr>
      </w:pPr>
      <w:hyperlink w:anchor="_Toc469477826" w:history="1">
        <w:r>
          <w:rPr>
            <w:rStyle w:val="Hyperlink"/>
            <w:rFonts w:eastAsia="Calibri"/>
            <w:lang w:eastAsia="en-GB"/>
          </w:rPr>
          <w:t>Access to Information, knowledge and evidence</w:t>
        </w:r>
        <w:r>
          <w:rPr>
            <w:webHidden/>
          </w:rPr>
          <w:tab/>
        </w:r>
        <w:r>
          <w:rPr>
            <w:webHidden/>
          </w:rPr>
          <w:fldChar w:fldCharType="begin"/>
        </w:r>
        <w:r>
          <w:rPr>
            <w:webHidden/>
          </w:rPr>
          <w:instrText xml:space="preserve"> PAGER</w:instrText>
        </w:r>
        <w:r>
          <w:rPr>
            <w:webHidden/>
          </w:rPr>
          <w:instrText xml:space="preserve">EF _Toc469477826 \h </w:instrText>
        </w:r>
        <w:r>
          <w:rPr>
            <w:webHidden/>
          </w:rPr>
        </w:r>
        <w:r>
          <w:rPr>
            <w:webHidden/>
          </w:rPr>
          <w:fldChar w:fldCharType="separate"/>
        </w:r>
        <w:r>
          <w:rPr>
            <w:webHidden/>
          </w:rPr>
          <w:t>26</w:t>
        </w:r>
        <w:r>
          <w:rPr>
            <w:webHidden/>
          </w:rPr>
          <w:fldChar w:fldCharType="end"/>
        </w:r>
      </w:hyperlink>
    </w:p>
    <w:p w:rsidR="004A120F" w:rsidRDefault="000A0796">
      <w:pPr>
        <w:widowControl w:val="0"/>
        <w:suppressLineNumbers/>
        <w:spacing w:after="0" w:line="240" w:lineRule="auto"/>
        <w:jc w:val="both"/>
        <w:outlineLvl w:val="0"/>
        <w:rPr>
          <w:rFonts w:ascii="Calibri" w:eastAsia="Times New Roman" w:hAnsi="Calibri" w:cs="Times New Roman"/>
          <w:caps/>
          <w:noProof/>
          <w:sz w:val="20"/>
          <w:lang w:val="en-US" w:eastAsia="ja-JP"/>
        </w:rPr>
      </w:pPr>
      <w:r>
        <w:rPr>
          <w:rFonts w:ascii="Calibri" w:eastAsia="Times New Roman" w:hAnsi="Calibri" w:cs="Times New Roman"/>
          <w:caps/>
          <w:noProof/>
          <w:sz w:val="20"/>
          <w:lang w:val="en-US" w:eastAsia="ja-JP"/>
        </w:rPr>
        <w:fldChar w:fldCharType="end"/>
      </w:r>
    </w:p>
    <w:p w:rsidR="004A120F" w:rsidRDefault="004A120F">
      <w:pPr>
        <w:widowControl w:val="0"/>
        <w:suppressLineNumbers/>
        <w:spacing w:after="0" w:line="240" w:lineRule="auto"/>
        <w:jc w:val="both"/>
        <w:outlineLvl w:val="0"/>
        <w:rPr>
          <w:rFonts w:ascii="Calibri" w:eastAsia="Times New Roman" w:hAnsi="Calibri" w:cs="Times New Roman"/>
          <w:caps/>
          <w:noProof/>
          <w:sz w:val="20"/>
          <w:lang w:val="en-US" w:eastAsia="ja-JP"/>
        </w:rPr>
        <w:sectPr w:rsidR="004A120F">
          <w:headerReference w:type="even" r:id="rId18"/>
          <w:headerReference w:type="default" r:id="rId19"/>
          <w:footerReference w:type="even" r:id="rId20"/>
          <w:footerReference w:type="default" r:id="rId21"/>
          <w:headerReference w:type="first" r:id="rId22"/>
          <w:footerReference w:type="first" r:id="rId23"/>
          <w:pgSz w:w="11906" w:h="16838"/>
          <w:pgMar w:top="1440" w:right="1280" w:bottom="1440" w:left="1280" w:header="708" w:footer="708" w:gutter="0"/>
          <w:pgNumType w:start="2"/>
          <w:cols w:space="360"/>
          <w:titlePg/>
          <w:docGrid w:linePitch="360"/>
        </w:sectPr>
      </w:pPr>
    </w:p>
    <w:p w:rsidR="004A120F" w:rsidRDefault="004A120F">
      <w:pPr>
        <w:widowControl w:val="0"/>
        <w:suppressLineNumbers/>
        <w:spacing w:after="0" w:line="240" w:lineRule="auto"/>
        <w:jc w:val="center"/>
        <w:outlineLvl w:val="0"/>
        <w:rPr>
          <w:rFonts w:ascii="Calibri" w:eastAsia="Times New Roman" w:hAnsi="Calibri" w:cs="Times New Roman"/>
          <w:b/>
          <w:bCs/>
          <w:noProof/>
          <w:color w:val="1F497D"/>
          <w:sz w:val="32"/>
          <w:szCs w:val="28"/>
        </w:rPr>
        <w:sectPr w:rsidR="004A120F">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440" w:right="1280" w:bottom="1440" w:left="1280" w:header="708" w:footer="708" w:gutter="0"/>
          <w:pgNumType w:fmt="lowerRoman" w:start="1"/>
          <w:cols w:space="360"/>
          <w:titlePg/>
          <w:docGrid w:linePitch="360"/>
        </w:sectPr>
      </w:pPr>
    </w:p>
    <w:p w:rsidR="004A120F" w:rsidRDefault="000A0796">
      <w:pPr>
        <w:widowControl w:val="0"/>
        <w:suppressLineNumbers/>
        <w:spacing w:line="240" w:lineRule="auto"/>
        <w:jc w:val="center"/>
        <w:outlineLvl w:val="0"/>
        <w:rPr>
          <w:rFonts w:ascii="Calibri" w:eastAsia="Times New Roman" w:hAnsi="Calibri" w:cs="Times New Roman"/>
          <w:b/>
          <w:bCs/>
          <w:noProof/>
          <w:color w:val="1F497D"/>
          <w:sz w:val="32"/>
          <w:szCs w:val="28"/>
        </w:rPr>
      </w:pPr>
      <w:bookmarkStart w:id="4" w:name="_Toc469477800"/>
      <w:r>
        <w:rPr>
          <w:rFonts w:ascii="Calibri" w:eastAsia="Times New Roman" w:hAnsi="Calibri" w:cs="Times New Roman"/>
          <w:b/>
          <w:bCs/>
          <w:noProof/>
          <w:color w:val="1F497D"/>
          <w:sz w:val="32"/>
          <w:szCs w:val="28"/>
        </w:rPr>
        <w:lastRenderedPageBreak/>
        <w:t>Executive summary</w:t>
      </w:r>
      <w:bookmarkEnd w:id="4"/>
    </w:p>
    <w:p w:rsidR="004A120F" w:rsidRDefault="004A120F">
      <w:pPr>
        <w:widowControl w:val="0"/>
        <w:suppressLineNumbers/>
        <w:spacing w:before="240" w:line="240" w:lineRule="auto"/>
        <w:jc w:val="both"/>
        <w:rPr>
          <w:rFonts w:ascii="Calibri" w:eastAsia="Calibri" w:hAnsi="Calibri" w:cs="Times New Roman"/>
          <w:noProof/>
          <w:sz w:val="20"/>
        </w:rPr>
        <w:sectPr w:rsidR="004A120F">
          <w:headerReference w:type="even" r:id="rId30"/>
          <w:headerReference w:type="default" r:id="rId31"/>
          <w:footerReference w:type="even" r:id="rId32"/>
          <w:footerReference w:type="default" r:id="rId33"/>
          <w:headerReference w:type="first" r:id="rId34"/>
          <w:footerReference w:type="first" r:id="rId35"/>
          <w:pgSz w:w="11906" w:h="16838"/>
          <w:pgMar w:top="1440" w:right="1280" w:bottom="1440" w:left="1280" w:header="708" w:footer="708" w:gutter="0"/>
          <w:pgNumType w:start="4"/>
          <w:cols w:space="360"/>
          <w:titlePg/>
          <w:docGrid w:linePitch="360"/>
        </w:sectPr>
      </w:pPr>
    </w:p>
    <w:p w:rsidR="004A120F" w:rsidRDefault="000A0796">
      <w:pPr>
        <w:widowControl w:val="0"/>
        <w:suppressLineNumbers/>
        <w:spacing w:before="240" w:line="240" w:lineRule="auto"/>
        <w:jc w:val="both"/>
        <w:rPr>
          <w:rFonts w:ascii="Calibri" w:eastAsia="Calibri" w:hAnsi="Calibri" w:cs="Times New Roman"/>
          <w:b/>
          <w:noProof/>
          <w:color w:val="1F497D"/>
        </w:rPr>
      </w:pPr>
      <w:r>
        <w:rPr>
          <w:rFonts w:ascii="Calibri" w:eastAsia="Calibri" w:hAnsi="Calibri" w:cs="Times New Roman"/>
          <w:b/>
          <w:noProof/>
          <w:color w:val="1F497D"/>
        </w:rPr>
        <w:t>About the Environmental Implementation Review</w:t>
      </w:r>
    </w:p>
    <w:p w:rsidR="004A120F" w:rsidRDefault="000A0796">
      <w:pPr>
        <w:widowControl w:val="0"/>
        <w:spacing w:line="240" w:lineRule="auto"/>
        <w:jc w:val="both"/>
        <w:rPr>
          <w:noProof/>
          <w:sz w:val="20"/>
        </w:rPr>
      </w:pPr>
      <w:bookmarkStart w:id="5" w:name="_Toc454294164"/>
      <w:r>
        <w:rPr>
          <w:noProof/>
          <w:sz w:val="20"/>
        </w:rPr>
        <w:t xml:space="preserve">In May 2016, the Commission launched the </w:t>
      </w:r>
      <w:r>
        <w:rPr>
          <w:noProof/>
          <w:sz w:val="20"/>
        </w:rPr>
        <w:t>Environmental Implementation Review (EIR), a two-year cycle of analysis, dialogue and collaboration to improve the implementation of existing EU environmental policy and legislation</w:t>
      </w:r>
      <w:r>
        <w:rPr>
          <w:noProof/>
          <w:sz w:val="20"/>
          <w:vertAlign w:val="superscript"/>
        </w:rPr>
        <w:footnoteReference w:id="1"/>
      </w:r>
      <w:r>
        <w:rPr>
          <w:noProof/>
          <w:sz w:val="20"/>
        </w:rPr>
        <w:t>. As a first step, the Commission drafted 28 reports describing the main c</w:t>
      </w:r>
      <w:r>
        <w:rPr>
          <w:noProof/>
          <w:sz w:val="20"/>
        </w:rPr>
        <w:t>hallenges and opportunities on environmental implementation for each Member State. These reports are meant to stimulate a positive debate both on shared environmental challenges for the EU, as well as on the most effective ways to address the key implement</w:t>
      </w:r>
      <w:r>
        <w:rPr>
          <w:noProof/>
          <w:sz w:val="20"/>
        </w:rPr>
        <w:t>ation gaps. The reports rely on the detailed sectoral implementation reports collected or issued by the Commission under specific environmental legislation as well as the 2015 State of the Environment Report and other reports by the European Environment Ag</w:t>
      </w:r>
      <w:r>
        <w:rPr>
          <w:noProof/>
          <w:sz w:val="20"/>
        </w:rPr>
        <w:t xml:space="preserve">ency. These reports will not replace the specific instruments to ensure compliance with the EU legal obligations. </w:t>
      </w:r>
    </w:p>
    <w:p w:rsidR="004A120F" w:rsidRDefault="000A0796">
      <w:pPr>
        <w:widowControl w:val="0"/>
        <w:spacing w:line="240" w:lineRule="auto"/>
        <w:jc w:val="both"/>
        <w:rPr>
          <w:noProof/>
          <w:sz w:val="20"/>
        </w:rPr>
      </w:pPr>
      <w:r>
        <w:rPr>
          <w:noProof/>
          <w:sz w:val="20"/>
        </w:rPr>
        <w:t>The reports will broadly follow the outline of the 7th Environmental Action Programme</w:t>
      </w:r>
      <w:r>
        <w:rPr>
          <w:rFonts w:eastAsia="Calibri"/>
          <w:noProof/>
          <w:sz w:val="20"/>
          <w:vertAlign w:val="superscript"/>
        </w:rPr>
        <w:footnoteReference w:id="2"/>
      </w:r>
      <w:r>
        <w:rPr>
          <w:rFonts w:eastAsia="Calibri"/>
          <w:noProof/>
          <w:sz w:val="20"/>
        </w:rPr>
        <w:t xml:space="preserve"> </w:t>
      </w:r>
      <w:r>
        <w:rPr>
          <w:noProof/>
          <w:sz w:val="20"/>
        </w:rPr>
        <w:t>and refer to the 2030 Agenda for Sustainable developme</w:t>
      </w:r>
      <w:r>
        <w:rPr>
          <w:noProof/>
          <w:sz w:val="20"/>
        </w:rPr>
        <w:t xml:space="preserve">nt and related </w:t>
      </w:r>
      <w:r>
        <w:rPr>
          <w:rFonts w:eastAsia="Calibri"/>
          <w:noProof/>
          <w:sz w:val="20"/>
        </w:rPr>
        <w:t>Sustainable Development Goals (SDGs)</w:t>
      </w:r>
      <w:r>
        <w:rPr>
          <w:rFonts w:eastAsia="Calibri"/>
          <w:noProof/>
          <w:sz w:val="20"/>
          <w:vertAlign w:val="superscript"/>
        </w:rPr>
        <w:footnoteReference w:id="3"/>
      </w:r>
      <w:r>
        <w:rPr>
          <w:rFonts w:eastAsia="Calibri"/>
          <w:noProof/>
          <w:sz w:val="20"/>
        </w:rPr>
        <w:t xml:space="preserve"> </w:t>
      </w:r>
      <w:r>
        <w:rPr>
          <w:noProof/>
          <w:sz w:val="20"/>
        </w:rPr>
        <w:t>to the extent to which they reflect the existing obligations and policy objectives of EU environmental law</w:t>
      </w:r>
      <w:r>
        <w:rPr>
          <w:rFonts w:eastAsia="Calibri"/>
          <w:noProof/>
          <w:sz w:val="20"/>
          <w:vertAlign w:val="superscript"/>
        </w:rPr>
        <w:footnoteReference w:id="4"/>
      </w:r>
      <w:r>
        <w:rPr>
          <w:noProof/>
          <w:sz w:val="20"/>
        </w:rPr>
        <w:t xml:space="preserve">. </w:t>
      </w:r>
    </w:p>
    <w:p w:rsidR="004A120F" w:rsidRDefault="000A0796">
      <w:pPr>
        <w:widowControl w:val="0"/>
        <w:spacing w:line="240" w:lineRule="auto"/>
        <w:jc w:val="both"/>
        <w:rPr>
          <w:noProof/>
          <w:sz w:val="20"/>
        </w:rPr>
      </w:pPr>
      <w:r>
        <w:rPr>
          <w:noProof/>
          <w:sz w:val="20"/>
        </w:rPr>
        <w:t xml:space="preserve">The main challenges have been selected by taking into account factors such as the importance </w:t>
      </w:r>
      <w:r>
        <w:rPr>
          <w:noProof/>
          <w:sz w:val="20"/>
        </w:rPr>
        <w:t>or the gravity of the environmental implementation issue in the light of the impact on the quality of life of the citizens, the distance to target, and financial implications.</w:t>
      </w:r>
    </w:p>
    <w:p w:rsidR="004A120F" w:rsidRDefault="000A0796">
      <w:pPr>
        <w:widowControl w:val="0"/>
        <w:spacing w:line="240" w:lineRule="auto"/>
        <w:jc w:val="both"/>
        <w:rPr>
          <w:rFonts w:eastAsia="Calibri" w:cs="Times New Roman"/>
          <w:noProof/>
          <w:szCs w:val="24"/>
          <w:lang w:eastAsia="en-GB"/>
        </w:rPr>
      </w:pPr>
      <w:r>
        <w:rPr>
          <w:noProof/>
          <w:sz w:val="20"/>
        </w:rPr>
        <w:t>The reports accompany the Communication "</w:t>
      </w:r>
      <w:r>
        <w:rPr>
          <w:i/>
          <w:noProof/>
          <w:sz w:val="20"/>
        </w:rPr>
        <w:t xml:space="preserve">The EU Environmental Implementation </w:t>
      </w:r>
      <w:r>
        <w:rPr>
          <w:i/>
          <w:noProof/>
          <w:sz w:val="20"/>
        </w:rPr>
        <w:t>Review 2016: Common challenges and how to combine efforts to deliver better results</w:t>
      </w:r>
      <w:r>
        <w:rPr>
          <w:noProof/>
          <w:sz w:val="20"/>
        </w:rPr>
        <w:t>", which identifies challenges that are common to several Member States, provides preliminary conclusions on possible root causes of implementation gaps and proposes joint a</w:t>
      </w:r>
      <w:r>
        <w:rPr>
          <w:noProof/>
          <w:sz w:val="20"/>
        </w:rPr>
        <w:t>ctions to deliver better results. It also groups in its Annex the actions proposed in each country report to improve implementation at national level.</w:t>
      </w:r>
    </w:p>
    <w:p w:rsidR="004A120F" w:rsidRDefault="000A0796">
      <w:pPr>
        <w:widowControl w:val="0"/>
        <w:suppressLineNumbers/>
        <w:spacing w:line="240" w:lineRule="auto"/>
        <w:jc w:val="both"/>
        <w:rPr>
          <w:rFonts w:ascii="Calibri" w:eastAsia="Calibri" w:hAnsi="Calibri" w:cs="Times New Roman"/>
          <w:b/>
          <w:noProof/>
          <w:color w:val="1F497D"/>
        </w:rPr>
      </w:pPr>
      <w:r>
        <w:rPr>
          <w:rFonts w:ascii="Calibri" w:eastAsia="Calibri" w:hAnsi="Calibri" w:cs="Times New Roman"/>
          <w:b/>
          <w:noProof/>
          <w:color w:val="1F497D"/>
        </w:rPr>
        <w:t>General profile</w:t>
      </w:r>
      <w:bookmarkEnd w:id="5"/>
    </w:p>
    <w:p w:rsidR="004A120F" w:rsidRDefault="000A0796">
      <w:pPr>
        <w:widowControl w:val="0"/>
        <w:suppressLineNumbers/>
        <w:spacing w:after="100" w:line="240" w:lineRule="auto"/>
        <w:jc w:val="both"/>
        <w:rPr>
          <w:rFonts w:ascii="Calibri" w:eastAsia="Calibri" w:hAnsi="Calibri" w:cs="Times New Roman"/>
          <w:noProof/>
          <w:sz w:val="20"/>
          <w:lang w:eastAsia="en-GB"/>
        </w:rPr>
      </w:pPr>
      <w:r>
        <w:rPr>
          <w:rFonts w:ascii="Calibri" w:eastAsia="Calibri" w:hAnsi="Calibri" w:cs="Times New Roman"/>
          <w:noProof/>
          <w:sz w:val="20"/>
          <w:lang w:eastAsia="en-GB"/>
        </w:rPr>
        <w:t>Malta is the most urbanised, most densely populated (as inhabitants/km2) and the smallest</w:t>
      </w:r>
      <w:r>
        <w:rPr>
          <w:rFonts w:ascii="Calibri" w:eastAsia="Calibri" w:hAnsi="Calibri" w:cs="Times New Roman"/>
          <w:noProof/>
          <w:sz w:val="20"/>
          <w:lang w:eastAsia="en-GB"/>
        </w:rPr>
        <w:t xml:space="preserve"> Member State. These conditions, as well as the scarcity of natural resources, in particular water, pose specific challenges to Malta. Nevertheless a strong public support for environmental protection is rooted in the need to safeguard Malta's natural valu</w:t>
      </w:r>
      <w:r>
        <w:rPr>
          <w:rFonts w:ascii="Calibri" w:eastAsia="Calibri" w:hAnsi="Calibri" w:cs="Times New Roman"/>
          <w:noProof/>
          <w:sz w:val="20"/>
          <w:lang w:eastAsia="en-GB"/>
        </w:rPr>
        <w:t xml:space="preserve">es for the future generations and also due to its economic importance for tourism. </w:t>
      </w:r>
    </w:p>
    <w:p w:rsidR="004A120F" w:rsidRDefault="000A0796">
      <w:pPr>
        <w:widowControl w:val="0"/>
        <w:suppressLineNumbers/>
        <w:spacing w:after="100" w:line="240" w:lineRule="auto"/>
        <w:jc w:val="both"/>
        <w:rPr>
          <w:rFonts w:ascii="Calibri" w:eastAsia="Calibri" w:hAnsi="Calibri" w:cs="Times New Roman"/>
          <w:b/>
          <w:noProof/>
          <w:color w:val="1F497D"/>
        </w:rPr>
      </w:pPr>
      <w:bookmarkStart w:id="6" w:name="_Toc454294165"/>
      <w:r>
        <w:rPr>
          <w:rFonts w:ascii="Calibri" w:eastAsia="Calibri" w:hAnsi="Calibri" w:cs="Times New Roman"/>
          <w:b/>
          <w:noProof/>
          <w:color w:val="1F497D"/>
        </w:rPr>
        <w:t>Main Challenges</w:t>
      </w:r>
      <w:bookmarkEnd w:id="6"/>
    </w:p>
    <w:p w:rsidR="004A120F" w:rsidRDefault="000A0796">
      <w:pPr>
        <w:widowControl w:val="0"/>
        <w:suppressLineNumbers/>
        <w:spacing w:after="100" w:line="240" w:lineRule="auto"/>
        <w:jc w:val="both"/>
        <w:rPr>
          <w:rFonts w:ascii="Calibri" w:eastAsia="Calibri" w:hAnsi="Calibri" w:cs="Times New Roman"/>
          <w:noProof/>
          <w:sz w:val="20"/>
        </w:rPr>
      </w:pPr>
      <w:r>
        <w:rPr>
          <w:rFonts w:ascii="Calibri" w:eastAsia="Calibri" w:hAnsi="Calibri" w:cs="Times New Roman"/>
          <w:noProof/>
          <w:sz w:val="20"/>
        </w:rPr>
        <w:t>The main challenges with regard to implementation of EU environmental policy and law in Malta derived from this review are:</w:t>
      </w:r>
    </w:p>
    <w:p w:rsidR="004A120F" w:rsidRDefault="000A0796">
      <w:pPr>
        <w:widowControl w:val="0"/>
        <w:numPr>
          <w:ilvl w:val="0"/>
          <w:numId w:val="24"/>
        </w:numPr>
        <w:suppressLineNumbers/>
        <w:spacing w:after="100" w:line="240" w:lineRule="auto"/>
        <w:contextualSpacing/>
        <w:jc w:val="both"/>
        <w:rPr>
          <w:rFonts w:ascii="Calibri" w:eastAsia="Calibri" w:hAnsi="Calibri" w:cs="Times New Roman"/>
          <w:noProof/>
          <w:sz w:val="20"/>
        </w:rPr>
      </w:pPr>
      <w:r>
        <w:rPr>
          <w:rFonts w:ascii="Calibri" w:eastAsia="Calibri" w:hAnsi="Calibri" w:cs="Times New Roman"/>
          <w:noProof/>
          <w:sz w:val="20"/>
        </w:rPr>
        <w:t>Speeding up the implementation o</w:t>
      </w:r>
      <w:r>
        <w:rPr>
          <w:rFonts w:ascii="Calibri" w:eastAsia="Calibri" w:hAnsi="Calibri" w:cs="Times New Roman"/>
          <w:noProof/>
          <w:sz w:val="20"/>
        </w:rPr>
        <w:t>f the EU waste management requirements, as landfill rates are extremely high and recycling rates very low, as well as improving the water management to ensure protection of water bodies and to prevent flash floods.</w:t>
      </w:r>
    </w:p>
    <w:p w:rsidR="004A120F" w:rsidRDefault="000A0796">
      <w:pPr>
        <w:widowControl w:val="0"/>
        <w:numPr>
          <w:ilvl w:val="0"/>
          <w:numId w:val="24"/>
        </w:numPr>
        <w:suppressLineNumbers/>
        <w:spacing w:after="100" w:line="240" w:lineRule="auto"/>
        <w:contextualSpacing/>
        <w:jc w:val="both"/>
        <w:rPr>
          <w:rFonts w:ascii="Calibri" w:eastAsia="Calibri" w:hAnsi="Calibri" w:cs="Times New Roman"/>
          <w:noProof/>
          <w:sz w:val="20"/>
        </w:rPr>
      </w:pPr>
      <w:r>
        <w:rPr>
          <w:rFonts w:ascii="Calibri" w:eastAsia="Calibri" w:hAnsi="Calibri" w:cs="Times New Roman"/>
          <w:noProof/>
          <w:sz w:val="20"/>
        </w:rPr>
        <w:t>Improving the air quality in the most urb</w:t>
      </w:r>
      <w:r>
        <w:rPr>
          <w:rFonts w:ascii="Calibri" w:eastAsia="Calibri" w:hAnsi="Calibri" w:cs="Times New Roman"/>
          <w:noProof/>
          <w:sz w:val="20"/>
        </w:rPr>
        <w:t>anised areas by introducing systemic solutions for transport congestion.</w:t>
      </w:r>
    </w:p>
    <w:p w:rsidR="004A120F" w:rsidRDefault="000A0796">
      <w:pPr>
        <w:widowControl w:val="0"/>
        <w:numPr>
          <w:ilvl w:val="0"/>
          <w:numId w:val="24"/>
        </w:numPr>
        <w:suppressLineNumbers/>
        <w:spacing w:after="100" w:line="240" w:lineRule="auto"/>
        <w:contextualSpacing/>
        <w:jc w:val="both"/>
        <w:rPr>
          <w:rFonts w:ascii="Calibri" w:eastAsia="Calibri" w:hAnsi="Calibri" w:cs="Times New Roman"/>
          <w:noProof/>
          <w:sz w:val="20"/>
          <w:szCs w:val="20"/>
        </w:rPr>
      </w:pPr>
      <w:r>
        <w:rPr>
          <w:rFonts w:ascii="Calibri" w:eastAsia="Calibri" w:hAnsi="Calibri" w:cs="Times New Roman"/>
          <w:noProof/>
          <w:sz w:val="20"/>
        </w:rPr>
        <w:t>Improving the protection of habitats and species of EU interest by fully implementing the Natura 2000 instruments and strengthening the enforcement of the Birds Directive.</w:t>
      </w:r>
    </w:p>
    <w:p w:rsidR="004A120F" w:rsidRDefault="000A0796">
      <w:pPr>
        <w:widowControl w:val="0"/>
        <w:suppressLineNumbers/>
        <w:spacing w:before="240" w:after="100" w:line="240" w:lineRule="auto"/>
        <w:jc w:val="both"/>
        <w:rPr>
          <w:rFonts w:ascii="Calibri" w:eastAsia="Calibri" w:hAnsi="Calibri" w:cs="Times New Roman"/>
          <w:b/>
          <w:noProof/>
          <w:color w:val="1F497D"/>
        </w:rPr>
      </w:pPr>
      <w:bookmarkStart w:id="7" w:name="_Toc454294166"/>
      <w:r>
        <w:rPr>
          <w:rFonts w:ascii="Calibri" w:eastAsia="Calibri" w:hAnsi="Calibri" w:cs="Times New Roman"/>
          <w:b/>
          <w:noProof/>
          <w:color w:val="1F497D"/>
        </w:rPr>
        <w:t xml:space="preserve">Main </w:t>
      </w:r>
      <w:r>
        <w:rPr>
          <w:rFonts w:ascii="Calibri" w:eastAsia="Calibri" w:hAnsi="Calibri" w:cs="Times New Roman"/>
          <w:b/>
          <w:noProof/>
          <w:color w:val="1F497D"/>
        </w:rPr>
        <w:t>Opportunities</w:t>
      </w:r>
      <w:bookmarkEnd w:id="7"/>
    </w:p>
    <w:p w:rsidR="004A120F" w:rsidRDefault="000A0796">
      <w:pPr>
        <w:widowControl w:val="0"/>
        <w:suppressLineNumbers/>
        <w:spacing w:after="100" w:line="240" w:lineRule="auto"/>
        <w:jc w:val="both"/>
        <w:rPr>
          <w:rFonts w:ascii="Calibri" w:eastAsia="Calibri" w:hAnsi="Calibri" w:cs="Times New Roman"/>
          <w:noProof/>
          <w:sz w:val="20"/>
          <w:lang w:eastAsia="ja-JP"/>
        </w:rPr>
      </w:pPr>
      <w:r>
        <w:rPr>
          <w:rFonts w:ascii="Calibri" w:eastAsia="Calibri" w:hAnsi="Calibri" w:cs="Times New Roman"/>
          <w:noProof/>
          <w:sz w:val="20"/>
          <w:lang w:eastAsia="ja-JP"/>
        </w:rPr>
        <w:t>Malta could perform better on topics where there is already a good knowledge base and good practices. This applies in particular to:</w:t>
      </w:r>
    </w:p>
    <w:p w:rsidR="004A120F" w:rsidRDefault="000A0796">
      <w:pPr>
        <w:widowControl w:val="0"/>
        <w:numPr>
          <w:ilvl w:val="0"/>
          <w:numId w:val="25"/>
        </w:numPr>
        <w:suppressLineNumbers/>
        <w:spacing w:after="100" w:line="240" w:lineRule="auto"/>
        <w:contextualSpacing/>
        <w:jc w:val="both"/>
        <w:rPr>
          <w:rFonts w:ascii="Calibri" w:eastAsia="Calibri" w:hAnsi="Calibri" w:cs="Times New Roman"/>
          <w:noProof/>
          <w:sz w:val="20"/>
        </w:rPr>
      </w:pPr>
      <w:r>
        <w:rPr>
          <w:rFonts w:ascii="Calibri" w:eastAsia="Calibri" w:hAnsi="Calibri" w:cs="Times New Roman"/>
          <w:noProof/>
          <w:sz w:val="20"/>
        </w:rPr>
        <w:t xml:space="preserve">Supporting Small and Medium Enterprises (SMEs) to move towards a more circular economy.  </w:t>
      </w:r>
    </w:p>
    <w:p w:rsidR="004A120F" w:rsidRDefault="000A0796">
      <w:pPr>
        <w:widowControl w:val="0"/>
        <w:numPr>
          <w:ilvl w:val="0"/>
          <w:numId w:val="25"/>
        </w:numPr>
        <w:suppressLineNumbers/>
        <w:spacing w:after="100" w:line="240" w:lineRule="auto"/>
        <w:contextualSpacing/>
        <w:jc w:val="both"/>
        <w:rPr>
          <w:rFonts w:ascii="Calibri" w:eastAsia="Calibri" w:hAnsi="Calibri" w:cs="Times New Roman"/>
          <w:noProof/>
          <w:sz w:val="20"/>
          <w:lang w:eastAsia="ja-JP"/>
        </w:rPr>
      </w:pPr>
      <w:r>
        <w:rPr>
          <w:rFonts w:ascii="Calibri" w:eastAsia="Calibri" w:hAnsi="Calibri" w:cs="Times New Roman"/>
          <w:noProof/>
          <w:sz w:val="20"/>
          <w:lang w:eastAsia="ja-JP"/>
        </w:rPr>
        <w:t>Improving complianc</w:t>
      </w:r>
      <w:r>
        <w:rPr>
          <w:rFonts w:ascii="Calibri" w:eastAsia="Calibri" w:hAnsi="Calibri" w:cs="Times New Roman"/>
          <w:noProof/>
          <w:sz w:val="20"/>
          <w:lang w:eastAsia="ja-JP"/>
        </w:rPr>
        <w:t>e assurance by stepping up inspections and enforcement action.</w:t>
      </w:r>
    </w:p>
    <w:p w:rsidR="004A120F" w:rsidRDefault="000A0796">
      <w:pPr>
        <w:widowControl w:val="0"/>
        <w:numPr>
          <w:ilvl w:val="0"/>
          <w:numId w:val="25"/>
        </w:numPr>
        <w:suppressLineNumbers/>
        <w:spacing w:after="100" w:line="240" w:lineRule="auto"/>
        <w:contextualSpacing/>
        <w:jc w:val="both"/>
        <w:rPr>
          <w:rFonts w:ascii="Calibri" w:eastAsia="Calibri" w:hAnsi="Calibri" w:cs="Times New Roman"/>
          <w:noProof/>
          <w:sz w:val="20"/>
          <w:lang w:eastAsia="ja-JP"/>
        </w:rPr>
      </w:pPr>
      <w:r>
        <w:rPr>
          <w:rFonts w:ascii="Calibri" w:eastAsia="Calibri" w:hAnsi="Calibri" w:cs="Times New Roman"/>
          <w:noProof/>
          <w:sz w:val="20"/>
          <w:lang w:eastAsia="ja-JP"/>
        </w:rPr>
        <w:t>Investing in making the tourism sector more sustainable which is a double win: less environmental pressure and a more attractive tourist destination.</w:t>
      </w:r>
    </w:p>
    <w:p w:rsidR="004A120F" w:rsidRDefault="000A0796">
      <w:pPr>
        <w:widowControl w:val="0"/>
        <w:suppressLineNumbers/>
        <w:spacing w:before="240" w:after="100" w:line="240" w:lineRule="auto"/>
        <w:jc w:val="both"/>
        <w:rPr>
          <w:rFonts w:ascii="Calibri" w:eastAsia="Calibri" w:hAnsi="Calibri" w:cs="Times New Roman"/>
          <w:b/>
          <w:noProof/>
          <w:color w:val="1F497D"/>
        </w:rPr>
      </w:pPr>
      <w:bookmarkStart w:id="8" w:name="_Toc454294167"/>
      <w:r>
        <w:rPr>
          <w:rFonts w:ascii="Calibri" w:eastAsia="Calibri" w:hAnsi="Calibri" w:cs="Times New Roman"/>
          <w:b/>
          <w:noProof/>
          <w:color w:val="1F497D"/>
        </w:rPr>
        <w:t>Points of Excellence</w:t>
      </w:r>
      <w:bookmarkEnd w:id="8"/>
    </w:p>
    <w:p w:rsidR="004A120F" w:rsidRDefault="000A0796">
      <w:pPr>
        <w:widowControl w:val="0"/>
        <w:suppressLineNumbers/>
        <w:spacing w:after="100" w:line="240" w:lineRule="auto"/>
        <w:jc w:val="both"/>
        <w:rPr>
          <w:rFonts w:ascii="Calibri" w:eastAsia="Calibri" w:hAnsi="Calibri" w:cs="Times New Roman"/>
          <w:noProof/>
          <w:sz w:val="20"/>
        </w:rPr>
      </w:pPr>
      <w:r>
        <w:rPr>
          <w:rFonts w:ascii="Calibri" w:eastAsia="Calibri" w:hAnsi="Calibri" w:cs="Times New Roman"/>
          <w:noProof/>
          <w:sz w:val="20"/>
        </w:rPr>
        <w:t>Where Malta is a leade</w:t>
      </w:r>
      <w:r>
        <w:rPr>
          <w:rFonts w:ascii="Calibri" w:eastAsia="Calibri" w:hAnsi="Calibri" w:cs="Times New Roman"/>
          <w:noProof/>
          <w:sz w:val="20"/>
        </w:rPr>
        <w:t>r on environmental implementation, innovative approaches could be shared more widely with other countries. Concrete examples are:</w:t>
      </w:r>
    </w:p>
    <w:p w:rsidR="004A120F" w:rsidRDefault="000A0796">
      <w:pPr>
        <w:widowControl w:val="0"/>
        <w:numPr>
          <w:ilvl w:val="0"/>
          <w:numId w:val="26"/>
        </w:numPr>
        <w:suppressLineNumbers/>
        <w:spacing w:line="240" w:lineRule="auto"/>
        <w:contextualSpacing/>
        <w:jc w:val="both"/>
        <w:rPr>
          <w:rFonts w:ascii="Calibri" w:eastAsia="Calibri" w:hAnsi="Calibri" w:cs="Times New Roman"/>
          <w:noProof/>
          <w:sz w:val="20"/>
          <w:szCs w:val="20"/>
        </w:rPr>
      </w:pPr>
      <w:r>
        <w:rPr>
          <w:rFonts w:ascii="Calibri" w:eastAsia="Calibri" w:hAnsi="Calibri" w:cs="Times New Roman"/>
          <w:noProof/>
          <w:sz w:val="20"/>
          <w:szCs w:val="20"/>
        </w:rPr>
        <w:t>The protection of traditional stone walls throughout Malta as Green Infrastructure delivering multiple benefits for agricultur</w:t>
      </w:r>
      <w:r>
        <w:rPr>
          <w:rFonts w:ascii="Calibri" w:eastAsia="Calibri" w:hAnsi="Calibri" w:cs="Times New Roman"/>
          <w:noProof/>
          <w:sz w:val="20"/>
          <w:szCs w:val="20"/>
        </w:rPr>
        <w:t>e and the environment.</w:t>
      </w:r>
    </w:p>
    <w:p w:rsidR="004A120F" w:rsidRDefault="000A0796">
      <w:pPr>
        <w:widowControl w:val="0"/>
        <w:numPr>
          <w:ilvl w:val="0"/>
          <w:numId w:val="26"/>
        </w:numPr>
        <w:suppressLineNumbers/>
        <w:spacing w:line="240" w:lineRule="auto"/>
        <w:contextualSpacing/>
        <w:jc w:val="both"/>
        <w:rPr>
          <w:rFonts w:ascii="Calibri" w:eastAsia="Calibri" w:hAnsi="Calibri" w:cs="Times New Roman"/>
          <w:noProof/>
          <w:sz w:val="20"/>
          <w:szCs w:val="20"/>
        </w:rPr>
      </w:pPr>
      <w:r>
        <w:rPr>
          <w:rFonts w:ascii="Calibri" w:eastAsia="Calibri" w:hAnsi="Calibri" w:cs="Times New Roman"/>
          <w:noProof/>
          <w:sz w:val="20"/>
        </w:rPr>
        <w:t>A national flood relief project, co-funded by the EU Cohesion Fund.</w:t>
      </w:r>
    </w:p>
    <w:p w:rsidR="004A120F" w:rsidRDefault="004A120F">
      <w:pPr>
        <w:widowControl w:val="0"/>
        <w:suppressLineNumbers/>
        <w:spacing w:after="0" w:line="240" w:lineRule="auto"/>
        <w:outlineLvl w:val="0"/>
        <w:rPr>
          <w:rFonts w:ascii="Calibri" w:eastAsia="Times New Roman" w:hAnsi="Calibri" w:cs="Times New Roman"/>
          <w:b/>
          <w:bCs/>
          <w:noProof/>
          <w:color w:val="1F497D"/>
          <w:sz w:val="32"/>
          <w:szCs w:val="28"/>
        </w:rPr>
        <w:sectPr w:rsidR="004A120F">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40" w:right="1080" w:bottom="1440" w:left="1080" w:header="708" w:footer="708" w:gutter="0"/>
          <w:pgNumType w:fmt="lowerRoman"/>
          <w:cols w:num="2" w:space="360"/>
          <w:docGrid w:linePitch="360"/>
        </w:sectPr>
      </w:pPr>
      <w:bookmarkStart w:id="9" w:name="_Toc433296150"/>
    </w:p>
    <w:p w:rsidR="004A120F" w:rsidRDefault="000A0796">
      <w:pPr>
        <w:widowControl w:val="0"/>
        <w:suppressLineNumbers/>
        <w:spacing w:after="0" w:line="240" w:lineRule="auto"/>
        <w:jc w:val="center"/>
        <w:outlineLvl w:val="0"/>
        <w:rPr>
          <w:rFonts w:ascii="Calibri" w:eastAsia="Times New Roman" w:hAnsi="Calibri" w:cs="Times New Roman"/>
          <w:b/>
          <w:bCs/>
          <w:noProof/>
          <w:color w:val="1F497D"/>
          <w:sz w:val="32"/>
          <w:szCs w:val="28"/>
        </w:rPr>
      </w:pPr>
      <w:bookmarkStart w:id="10" w:name="_Toc469477801"/>
      <w:r>
        <w:rPr>
          <w:rFonts w:ascii="Calibri" w:eastAsia="Times New Roman" w:hAnsi="Calibri" w:cs="Times New Roman"/>
          <w:b/>
          <w:bCs/>
          <w:noProof/>
          <w:color w:val="1F497D"/>
          <w:sz w:val="32"/>
          <w:szCs w:val="28"/>
        </w:rPr>
        <w:t>Part I: Thematic Areas</w:t>
      </w:r>
      <w:bookmarkEnd w:id="9"/>
      <w:bookmarkEnd w:id="10"/>
    </w:p>
    <w:p w:rsidR="004A120F" w:rsidRDefault="004A120F">
      <w:pPr>
        <w:widowControl w:val="0"/>
        <w:suppressLineNumbers/>
        <w:spacing w:line="240" w:lineRule="auto"/>
        <w:jc w:val="both"/>
        <w:rPr>
          <w:rFonts w:ascii="Calibri" w:eastAsia="Calibri" w:hAnsi="Calibri" w:cs="Times New Roman"/>
          <w:noProof/>
          <w:sz w:val="20"/>
        </w:rPr>
      </w:pPr>
    </w:p>
    <w:p w:rsidR="004A120F" w:rsidRDefault="000A0796">
      <w:pPr>
        <w:widowControl w:val="0"/>
        <w:numPr>
          <w:ilvl w:val="0"/>
          <w:numId w:val="2"/>
        </w:numPr>
        <w:suppressLineNumbers/>
        <w:spacing w:after="0" w:line="240" w:lineRule="auto"/>
        <w:jc w:val="center"/>
        <w:outlineLvl w:val="0"/>
        <w:rPr>
          <w:rFonts w:ascii="Calibri" w:eastAsia="Times New Roman" w:hAnsi="Calibri" w:cs="Times New Roman"/>
          <w:b/>
          <w:bCs/>
          <w:noProof/>
          <w:color w:val="1F497D"/>
          <w:sz w:val="32"/>
          <w:szCs w:val="28"/>
        </w:rPr>
      </w:pPr>
      <w:bookmarkStart w:id="11" w:name="_Toc433296151"/>
      <w:bookmarkStart w:id="12" w:name="_Toc469477802"/>
      <w:r>
        <w:rPr>
          <w:rFonts w:ascii="Calibri" w:eastAsia="Times New Roman" w:hAnsi="Calibri" w:cs="Times New Roman"/>
          <w:b/>
          <w:bCs/>
          <w:noProof/>
          <w:color w:val="1F497D"/>
          <w:sz w:val="32"/>
          <w:szCs w:val="28"/>
        </w:rPr>
        <w:t>Turning the EU into a circular, resource-efficient, green and competitive low-carbon economy</w:t>
      </w:r>
      <w:bookmarkEnd w:id="11"/>
      <w:bookmarkEnd w:id="12"/>
    </w:p>
    <w:p w:rsidR="004A120F" w:rsidRDefault="004A120F">
      <w:pPr>
        <w:widowControl w:val="0"/>
        <w:suppressLineNumbers/>
        <w:spacing w:after="0" w:line="240" w:lineRule="auto"/>
        <w:jc w:val="center"/>
        <w:outlineLvl w:val="0"/>
        <w:rPr>
          <w:rFonts w:ascii="Calibri" w:eastAsia="Times New Roman" w:hAnsi="Calibri" w:cs="Times New Roman"/>
          <w:b/>
          <w:bCs/>
          <w:noProof/>
          <w:color w:val="1F497D"/>
          <w:sz w:val="32"/>
          <w:szCs w:val="28"/>
        </w:rPr>
      </w:pPr>
    </w:p>
    <w:p w:rsidR="004A120F" w:rsidRDefault="004A120F">
      <w:pPr>
        <w:widowControl w:val="0"/>
        <w:suppressLineNumbers/>
        <w:spacing w:after="0" w:line="240" w:lineRule="auto"/>
        <w:jc w:val="center"/>
        <w:outlineLvl w:val="0"/>
        <w:rPr>
          <w:rFonts w:ascii="Calibri" w:eastAsia="Times New Roman" w:hAnsi="Calibri" w:cs="Times New Roman"/>
          <w:b/>
          <w:bCs/>
          <w:noProof/>
          <w:color w:val="1F497D"/>
          <w:sz w:val="32"/>
          <w:szCs w:val="28"/>
        </w:rPr>
        <w:sectPr w:rsidR="004A120F">
          <w:headerReference w:type="even" r:id="rId42"/>
          <w:headerReference w:type="default" r:id="rId43"/>
          <w:footerReference w:type="even" r:id="rId44"/>
          <w:footerReference w:type="default" r:id="rId45"/>
          <w:headerReference w:type="first" r:id="rId46"/>
          <w:footerReference w:type="first" r:id="rId47"/>
          <w:pgSz w:w="11906" w:h="16838"/>
          <w:pgMar w:top="1440" w:right="1080" w:bottom="1440" w:left="1080" w:header="708" w:footer="708" w:gutter="0"/>
          <w:pgNumType w:start="5"/>
          <w:cols w:space="360"/>
          <w:docGrid w:linePitch="360"/>
        </w:sectPr>
      </w:pPr>
    </w:p>
    <w:p w:rsidR="004A120F" w:rsidRDefault="000A0796">
      <w:pPr>
        <w:widowControl w:val="0"/>
        <w:suppressLineNumbers/>
        <w:spacing w:line="240" w:lineRule="auto"/>
        <w:outlineLvl w:val="1"/>
        <w:rPr>
          <w:rFonts w:ascii="Calibri" w:eastAsia="Calibri" w:hAnsi="Calibri" w:cs="Times New Roman"/>
          <w:b/>
          <w:noProof/>
          <w:color w:val="1F497D"/>
          <w:sz w:val="24"/>
          <w:szCs w:val="24"/>
          <w:lang w:eastAsia="en-GB"/>
        </w:rPr>
      </w:pPr>
      <w:bookmarkStart w:id="13" w:name="_Toc433296152"/>
      <w:bookmarkStart w:id="14" w:name="_Toc469477803"/>
      <w:r>
        <w:rPr>
          <w:rFonts w:ascii="Calibri" w:eastAsia="Calibri" w:hAnsi="Calibri" w:cs="Times New Roman"/>
          <w:b/>
          <w:noProof/>
          <w:color w:val="1F497D"/>
          <w:sz w:val="24"/>
          <w:szCs w:val="24"/>
          <w:lang w:eastAsia="en-GB"/>
        </w:rPr>
        <w:t>Developing a circular economy</w:t>
      </w:r>
      <w:bookmarkEnd w:id="13"/>
      <w:r>
        <w:rPr>
          <w:rFonts w:ascii="Calibri" w:eastAsia="Calibri" w:hAnsi="Calibri" w:cs="Times New Roman"/>
          <w:b/>
          <w:noProof/>
          <w:color w:val="1F497D"/>
          <w:sz w:val="24"/>
          <w:szCs w:val="24"/>
          <w:lang w:eastAsia="en-GB"/>
        </w:rPr>
        <w:t xml:space="preserve"> and improving resource efficiency</w:t>
      </w:r>
      <w:bookmarkEnd w:id="14"/>
    </w:p>
    <w:p w:rsidR="004A120F" w:rsidRDefault="000A0796">
      <w:pPr>
        <w:widowControl w:val="0"/>
        <w:shd w:val="clear" w:color="auto" w:fill="4F81BD"/>
        <w:spacing w:line="240" w:lineRule="auto"/>
        <w:jc w:val="both"/>
        <w:rPr>
          <w:rFonts w:ascii="Calibri" w:eastAsia="Calibri" w:hAnsi="Calibri" w:cs="Times New Roman"/>
          <w:noProof/>
          <w:color w:val="FFFFFF"/>
          <w:sz w:val="20"/>
        </w:rPr>
      </w:pPr>
      <w:r>
        <w:rPr>
          <w:rFonts w:ascii="Calibri" w:eastAsia="Calibri" w:hAnsi="Calibri" w:cs="Times New Roman"/>
          <w:noProof/>
          <w:color w:val="FFFFFF"/>
          <w:sz w:val="20"/>
        </w:rPr>
        <w:t xml:space="preserve">The 2015 Circular Economy Package emphasizes the need to move towards a lifecycle-driven ‘circular’ economy, with a cascading use </w:t>
      </w:r>
      <w:r>
        <w:rPr>
          <w:rFonts w:ascii="Calibri" w:eastAsia="Calibri" w:hAnsi="Calibri" w:cs="Times New Roman"/>
          <w:noProof/>
          <w:color w:val="FFFFFF"/>
          <w:sz w:val="20"/>
        </w:rPr>
        <w:t>of resources and residual waste that is close to zero. This can be facilitated by the development of, and access to, innovative financial instruments and funding for eco-innovation.</w:t>
      </w:r>
    </w:p>
    <w:p w:rsidR="004A120F" w:rsidRDefault="000A0796">
      <w:pPr>
        <w:widowControl w:val="0"/>
        <w:suppressLineNumbers/>
        <w:shd w:val="clear" w:color="auto" w:fill="4F81BD"/>
        <w:spacing w:line="240" w:lineRule="auto"/>
        <w:jc w:val="both"/>
        <w:rPr>
          <w:rFonts w:ascii="Calibri" w:eastAsia="Calibri" w:hAnsi="Calibri" w:cs="Times New Roman"/>
          <w:noProof/>
          <w:color w:val="FFFFFF"/>
          <w:sz w:val="20"/>
        </w:rPr>
      </w:pPr>
      <w:r>
        <w:rPr>
          <w:rFonts w:ascii="Calibri" w:eastAsia="Calibri" w:hAnsi="Calibri" w:cs="Times New Roman"/>
          <w:noProof/>
          <w:color w:val="FFFFFF"/>
          <w:sz w:val="20"/>
        </w:rPr>
        <w:t>SDG 8</w:t>
      </w:r>
      <w:r>
        <w:rPr>
          <w:rFonts w:ascii="Calibri" w:eastAsia="Calibri" w:hAnsi="Calibri" w:cs="Times New Roman"/>
          <w:noProof/>
          <w:color w:val="FFFFFF"/>
          <w:sz w:val="20"/>
          <w:vertAlign w:val="superscript"/>
        </w:rPr>
        <w:t xml:space="preserve"> </w:t>
      </w:r>
      <w:r>
        <w:rPr>
          <w:rFonts w:ascii="Calibri" w:eastAsia="Calibri" w:hAnsi="Calibri" w:cs="Times New Roman"/>
          <w:noProof/>
          <w:color w:val="FFFFFF"/>
          <w:sz w:val="20"/>
        </w:rPr>
        <w:t xml:space="preserve">invites countries to promote sustained, inclusive and sustainable </w:t>
      </w:r>
      <w:r>
        <w:rPr>
          <w:rFonts w:ascii="Calibri" w:eastAsia="Calibri" w:hAnsi="Calibri" w:cs="Times New Roman"/>
          <w:noProof/>
          <w:color w:val="FFFFFF"/>
          <w:sz w:val="20"/>
        </w:rPr>
        <w:t>economic growth, full and productive employment and decent work for all. SDG 9 highlights the need to build resilient infrastructure, promote inclusive and sustainable industrialization and foster innovation. SDG 12 encourages countries to achieve the sust</w:t>
      </w:r>
      <w:r>
        <w:rPr>
          <w:rFonts w:ascii="Calibri" w:eastAsia="Calibri" w:hAnsi="Calibri" w:cs="Times New Roman"/>
          <w:noProof/>
          <w:color w:val="FFFFFF"/>
          <w:sz w:val="20"/>
        </w:rPr>
        <w:t>ainable management and efficient use of natural resources by 2030.</w:t>
      </w:r>
    </w:p>
    <w:p w:rsidR="004A120F" w:rsidRDefault="000A0796">
      <w:pPr>
        <w:widowControl w:val="0"/>
        <w:suppressLineNumbers/>
        <w:spacing w:before="240" w:line="240" w:lineRule="auto"/>
        <w:jc w:val="both"/>
        <w:outlineLvl w:val="2"/>
        <w:rPr>
          <w:rFonts w:ascii="Calibri" w:eastAsia="Calibri" w:hAnsi="Calibri" w:cs="Times New Roman"/>
          <w:b/>
          <w:noProof/>
          <w:color w:val="1F497D"/>
          <w:szCs w:val="20"/>
        </w:rPr>
      </w:pPr>
      <w:bookmarkStart w:id="15" w:name="_Toc452986161"/>
      <w:r>
        <w:rPr>
          <w:rFonts w:ascii="Calibri" w:eastAsia="Calibri" w:hAnsi="Calibri" w:cs="Times New Roman"/>
          <w:b/>
          <w:noProof/>
          <w:color w:val="1F497D"/>
          <w:szCs w:val="20"/>
        </w:rPr>
        <w:t>Measures towards a circular economy</w:t>
      </w:r>
      <w:bookmarkEnd w:id="15"/>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Transforming our economies from linear to circular offers an opportunity to reinvent them and make them more sustainable and competitive. This will stimu</w:t>
      </w:r>
      <w:r>
        <w:rPr>
          <w:rFonts w:ascii="Calibri" w:eastAsia="Calibri" w:hAnsi="Calibri" w:cs="Times New Roman"/>
          <w:noProof/>
          <w:sz w:val="20"/>
        </w:rPr>
        <w:t>late investments and bring both short and long-term benefits for the economy, environment and citizens alike</w:t>
      </w:r>
      <w:r>
        <w:rPr>
          <w:rFonts w:ascii="Calibri" w:eastAsia="Calibri" w:hAnsi="Calibri" w:cs="Times New Roman"/>
          <w:noProof/>
          <w:sz w:val="20"/>
          <w:vertAlign w:val="superscript"/>
        </w:rPr>
        <w:footnoteReference w:id="5"/>
      </w:r>
      <w:r>
        <w:rPr>
          <w:rFonts w:ascii="Calibri" w:eastAsia="Calibri" w:hAnsi="Calibri" w:cs="Times New Roman"/>
          <w:noProof/>
          <w:sz w:val="20"/>
        </w:rPr>
        <w:t xml:space="preserve">.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Malta's size and insularity pose a number of unique challenges. These include the difficulty to reap the benefits of economies of scale, a depen</w:t>
      </w:r>
      <w:r>
        <w:rPr>
          <w:rFonts w:ascii="Calibri" w:eastAsia="Calibri" w:hAnsi="Calibri" w:cs="Times New Roman"/>
          <w:noProof/>
          <w:sz w:val="20"/>
        </w:rPr>
        <w:t>dence on a very narrow range of exports, high transport costs in its economic transactions with mainland Europe, and heavy reliance on imported fossil fuels</w:t>
      </w:r>
      <w:r>
        <w:rPr>
          <w:rFonts w:ascii="Calibri" w:eastAsia="Calibri" w:hAnsi="Calibri" w:cs="Times New Roman"/>
          <w:noProof/>
          <w:sz w:val="20"/>
          <w:vertAlign w:val="superscript"/>
        </w:rPr>
        <w:footnoteReference w:id="6"/>
      </w:r>
      <w:r>
        <w:rPr>
          <w:rFonts w:ascii="Calibri" w:eastAsia="Calibri" w:hAnsi="Calibri" w:cs="Times New Roman"/>
          <w:noProof/>
          <w:sz w:val="20"/>
        </w:rPr>
        <w:t>. The country’s water resources are under severe stress, among others because of the semi-arid clim</w:t>
      </w:r>
      <w:r>
        <w:rPr>
          <w:rFonts w:ascii="Calibri" w:eastAsia="Calibri" w:hAnsi="Calibri" w:cs="Times New Roman"/>
          <w:noProof/>
          <w:sz w:val="20"/>
        </w:rPr>
        <w:t>ate leading to chronic lack of natural water resources. Drinkable water supply is heavily dependent on desalination (which was significantly reduced over the last years but still consumes 3% of the country’s total electricity generation). Furthermore, desp</w:t>
      </w:r>
      <w:r>
        <w:rPr>
          <w:rFonts w:ascii="Calibri" w:eastAsia="Calibri" w:hAnsi="Calibri" w:cs="Times New Roman"/>
          <w:noProof/>
          <w:sz w:val="20"/>
        </w:rPr>
        <w:t>ite significant investments made in waste management infrastructure, Malta’s specific characteristics continue to constrain the country’s ability to manage waste effectively</w:t>
      </w:r>
      <w:r>
        <w:rPr>
          <w:rFonts w:ascii="Calibri" w:eastAsia="Calibri" w:hAnsi="Calibri" w:cs="Times New Roman"/>
          <w:noProof/>
          <w:sz w:val="20"/>
          <w:vertAlign w:val="superscript"/>
        </w:rPr>
        <w:footnoteReference w:id="7"/>
      </w:r>
      <w:r>
        <w:rPr>
          <w:rFonts w:ascii="Calibri" w:eastAsia="Calibri" w:hAnsi="Calibri" w:cs="Times New Roman"/>
          <w:noProof/>
          <w:sz w:val="20"/>
        </w:rPr>
        <w:t>.</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There is a clear scope for Malta to move to the circular economy model by bringi</w:t>
      </w:r>
      <w:r>
        <w:rPr>
          <w:rFonts w:ascii="Calibri" w:eastAsia="Calibri" w:hAnsi="Calibri" w:cs="Times New Roman"/>
          <w:noProof/>
          <w:sz w:val="20"/>
        </w:rPr>
        <w:t>ng resources back into productive use, cutting waste and reducing dependence on uncertain supplies, which would improve resilience and competitiveness of the economy. Decoupling economic growth from resource use and its impacts offers the prospect of susta</w:t>
      </w:r>
      <w:r>
        <w:rPr>
          <w:rFonts w:ascii="Calibri" w:eastAsia="Calibri" w:hAnsi="Calibri" w:cs="Times New Roman"/>
          <w:noProof/>
          <w:sz w:val="20"/>
        </w:rPr>
        <w:t>inable growth that will last.</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Malta has announced to seek to contribute towards the circular economy and sustainability agendas</w:t>
      </w:r>
      <w:r>
        <w:rPr>
          <w:rFonts w:ascii="Calibri" w:eastAsia="Calibri" w:hAnsi="Calibri" w:cs="Times New Roman"/>
          <w:noProof/>
          <w:sz w:val="20"/>
          <w:vertAlign w:val="superscript"/>
        </w:rPr>
        <w:footnoteReference w:id="8"/>
      </w:r>
      <w:r>
        <w:rPr>
          <w:rFonts w:ascii="Calibri" w:eastAsia="Calibri" w:hAnsi="Calibri" w:cs="Times New Roman"/>
          <w:noProof/>
          <w:sz w:val="20"/>
        </w:rPr>
        <w:t>. EU legislation and public authorities’ support for ‘greening’ the economy and stimulating innovation have been the key drivers</w:t>
      </w:r>
      <w:r>
        <w:rPr>
          <w:rFonts w:ascii="Calibri" w:eastAsia="Calibri" w:hAnsi="Calibri" w:cs="Times New Roman"/>
          <w:noProof/>
          <w:sz w:val="20"/>
        </w:rPr>
        <w:t xml:space="preserve"> of eco-innovation in Malta. Since joining the EU in 2004, Malta has invested heavily in environmental infrastructure and regulation. The EU has also been providing an important source of funding in the environmental field, primarily through the Structural</w:t>
      </w:r>
      <w:r>
        <w:rPr>
          <w:rFonts w:ascii="Calibri" w:eastAsia="Calibri" w:hAnsi="Calibri" w:cs="Times New Roman"/>
          <w:noProof/>
          <w:sz w:val="20"/>
        </w:rPr>
        <w:t xml:space="preserve"> Funds.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In terms of resource productivity</w:t>
      </w:r>
      <w:r>
        <w:rPr>
          <w:rFonts w:ascii="Calibri" w:eastAsia="Calibri" w:hAnsi="Calibri" w:cs="Times New Roman"/>
          <w:noProof/>
          <w:sz w:val="20"/>
          <w:vertAlign w:val="superscript"/>
        </w:rPr>
        <w:footnoteReference w:id="9"/>
      </w:r>
      <w:r>
        <w:rPr>
          <w:rFonts w:ascii="Calibri" w:eastAsia="Calibri" w:hAnsi="Calibri" w:cs="Times New Roman"/>
          <w:noProof/>
          <w:sz w:val="20"/>
        </w:rPr>
        <w:t xml:space="preserve"> (how efficiently the economy uses material resources to produce wealth), Malta performs around 30 % below EU average, with 1.36 EUR/kg (EU average is 2) in 2015. Figure 1 shows a significant decrease since 2013.</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4A120F">
        <w:tc>
          <w:tcPr>
            <w:tcW w:w="4909" w:type="dxa"/>
          </w:tcPr>
          <w:p w:rsidR="004A120F" w:rsidRDefault="000A0796">
            <w:pPr>
              <w:widowControl w:val="0"/>
              <w:suppressLineNumbers/>
              <w:jc w:val="both"/>
              <w:rPr>
                <w:noProof/>
                <w:color w:val="1F497D"/>
              </w:rPr>
            </w:pPr>
            <w:r>
              <w:rPr>
                <w:b/>
                <w:bCs/>
                <w:noProof/>
                <w:color w:val="1F497D"/>
              </w:rPr>
              <w:t>Figure 1: Resource productivity 2003-15</w:t>
            </w:r>
            <w:r>
              <w:rPr>
                <w:b/>
                <w:bCs/>
                <w:noProof/>
                <w:color w:val="1F497D"/>
                <w:vertAlign w:val="superscript"/>
              </w:rPr>
              <w:footnoteReference w:id="10"/>
            </w:r>
          </w:p>
        </w:tc>
      </w:tr>
      <w:tr w:rsidR="004A120F">
        <w:tc>
          <w:tcPr>
            <w:tcW w:w="4909" w:type="dxa"/>
          </w:tcPr>
          <w:p w:rsidR="004A120F" w:rsidRDefault="000A0796">
            <w:pPr>
              <w:widowControl w:val="0"/>
              <w:suppressLineNumbers/>
              <w:jc w:val="both"/>
              <w:rPr>
                <w:noProof/>
              </w:rPr>
            </w:pPr>
            <w:r>
              <w:rPr>
                <w:noProof/>
              </w:rPr>
              <w:drawing>
                <wp:inline distT="0" distB="0" distL="0" distR="0" wp14:anchorId="2359E314" wp14:editId="4A694E15">
                  <wp:extent cx="3114675" cy="2067689"/>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8224" cy="2070045"/>
                          </a:xfrm>
                          <a:prstGeom prst="rect">
                            <a:avLst/>
                          </a:prstGeom>
                          <a:noFill/>
                        </pic:spPr>
                      </pic:pic>
                    </a:graphicData>
                  </a:graphic>
                </wp:inline>
              </w:drawing>
            </w:r>
          </w:p>
        </w:tc>
      </w:tr>
    </w:tbl>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The Green Economy Strategy and Action Plan of Malta were adopted in December 2015. The documents set out the Government’s vision of the green economy in Malta articulated around sustainable growth, efficient use of natural resources, increased economic res</w:t>
      </w:r>
      <w:r>
        <w:rPr>
          <w:rFonts w:ascii="Calibri" w:eastAsia="Calibri" w:hAnsi="Calibri" w:cs="Times New Roman"/>
          <w:noProof/>
          <w:sz w:val="20"/>
        </w:rPr>
        <w:t xml:space="preserve">ilience, green jobs and accessibility of the natural capital.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The Green Economy Strategy and Action Plan foresee prioritising efforts to manage waste in line with the waste hierarchy and to reduce the carbon impact of waste, developing a comprehensive Wa</w:t>
      </w:r>
      <w:r>
        <w:rPr>
          <w:rFonts w:ascii="Calibri" w:eastAsia="Calibri" w:hAnsi="Calibri" w:cs="Times New Roman"/>
          <w:noProof/>
          <w:sz w:val="20"/>
        </w:rPr>
        <w:t xml:space="preserve">ste Prevention Programme, and working with businesses to promote waste reduction and re-use as part of a broader resource efficiency programme.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 xml:space="preserve">Proposed actions related to water management include the introduction of voluntary water audits in companies, </w:t>
      </w:r>
      <w:r>
        <w:rPr>
          <w:rFonts w:ascii="Calibri" w:eastAsia="Calibri" w:hAnsi="Calibri" w:cs="Times New Roman"/>
          <w:noProof/>
          <w:sz w:val="20"/>
        </w:rPr>
        <w:t xml:space="preserve">coupled with a grant scheme to support investments targeting water efficiency (see also section 3 on water).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To promote green jobs, the Strategy proposes the development of a National Education for Sustainable Development Strategy by the end of 2016, main</w:t>
      </w:r>
      <w:r>
        <w:rPr>
          <w:rFonts w:ascii="Calibri" w:eastAsia="Calibri" w:hAnsi="Calibri" w:cs="Times New Roman"/>
          <w:noProof/>
          <w:sz w:val="20"/>
        </w:rPr>
        <w:t>streaming sustainability in different training programmes.</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A number of instruments are in place to promote R&amp;D and innovation projects. Malta’s Smart Specialisation Strategy prioritises innovation in thematic areas such as tourism, maritime services, healt</w:t>
      </w:r>
      <w:r>
        <w:rPr>
          <w:rFonts w:ascii="Calibri" w:eastAsia="Calibri" w:hAnsi="Calibri" w:cs="Times New Roman"/>
          <w:noProof/>
          <w:sz w:val="20"/>
        </w:rPr>
        <w:t>h, resource-efficient buildings, and aquaculture. The Strategy foresees the development of investment support schemes aimed at incentivising the adoption of best of breed ‘clean’ and ‘eco-technology’ solutions, as well as other ‘green financing’ mechanisms</w:t>
      </w:r>
      <w:r>
        <w:rPr>
          <w:rFonts w:ascii="Calibri" w:eastAsia="Calibri" w:hAnsi="Calibri" w:cs="Times New Roman"/>
          <w:noProof/>
          <w:sz w:val="20"/>
        </w:rPr>
        <w:t>.</w:t>
      </w:r>
    </w:p>
    <w:p w:rsidR="004A120F" w:rsidRDefault="000A0796">
      <w:pPr>
        <w:widowControl w:val="0"/>
        <w:suppressLineNumbers/>
        <w:pBdr>
          <w:top w:val="single" w:sz="4" w:space="1" w:color="auto"/>
          <w:left w:val="single" w:sz="4" w:space="4" w:color="auto"/>
          <w:bottom w:val="single" w:sz="4" w:space="1" w:color="auto"/>
          <w:right w:val="single" w:sz="4" w:space="4" w:color="auto"/>
        </w:pBdr>
        <w:shd w:val="clear" w:color="auto" w:fill="DAEEF3"/>
        <w:spacing w:before="240" w:line="240" w:lineRule="auto"/>
        <w:jc w:val="both"/>
        <w:rPr>
          <w:rFonts w:ascii="Calibri" w:eastAsia="Calibri" w:hAnsi="Calibri" w:cs="Times New Roman"/>
          <w:noProof/>
          <w:sz w:val="20"/>
        </w:rPr>
      </w:pPr>
      <w:r>
        <w:rPr>
          <w:rFonts w:ascii="Calibri" w:eastAsia="Calibri" w:hAnsi="Calibri" w:cs="Times New Roman"/>
          <w:noProof/>
          <w:sz w:val="20"/>
        </w:rPr>
        <w:t>Box Good Practice: Water scarcity and drought</w:t>
      </w:r>
      <w:r>
        <w:rPr>
          <w:rFonts w:ascii="Calibri" w:eastAsia="Calibri" w:hAnsi="Calibri" w:cs="Times New Roman"/>
          <w:noProof/>
          <w:sz w:val="20"/>
          <w:vertAlign w:val="superscript"/>
        </w:rPr>
        <w:footnoteReference w:id="11"/>
      </w:r>
    </w:p>
    <w:p w:rsidR="004A120F" w:rsidRDefault="000A0796">
      <w:pPr>
        <w:widowControl w:val="0"/>
        <w:suppressLineNumbers/>
        <w:pBdr>
          <w:top w:val="single" w:sz="4" w:space="1" w:color="auto"/>
          <w:left w:val="single" w:sz="4" w:space="4" w:color="auto"/>
          <w:bottom w:val="single" w:sz="4" w:space="1" w:color="auto"/>
          <w:right w:val="single" w:sz="4" w:space="4" w:color="auto"/>
        </w:pBdr>
        <w:shd w:val="clear" w:color="auto" w:fill="DAEEF3"/>
        <w:spacing w:before="240" w:line="240" w:lineRule="auto"/>
        <w:jc w:val="both"/>
        <w:rPr>
          <w:rFonts w:ascii="Calibri" w:eastAsia="Calibri" w:hAnsi="Calibri" w:cs="Times New Roman"/>
          <w:noProof/>
          <w:sz w:val="20"/>
        </w:rPr>
      </w:pPr>
      <w:r>
        <w:rPr>
          <w:rFonts w:ascii="Calibri" w:eastAsia="Calibri" w:hAnsi="Calibri" w:cs="Times New Roman"/>
          <w:noProof/>
          <w:sz w:val="20"/>
        </w:rPr>
        <w:t>The FP7 project MARSOL - Demonstrating Managed Aquifer Recharge as a Solution to Water Scarcity and Drought (2013-2016) aims to stimulate the use of reclaimed water and other alternative sources in Managed A</w:t>
      </w:r>
      <w:r>
        <w:rPr>
          <w:rFonts w:ascii="Calibri" w:eastAsia="Calibri" w:hAnsi="Calibri" w:cs="Times New Roman"/>
          <w:noProof/>
          <w:sz w:val="20"/>
        </w:rPr>
        <w:t>quifer Recharge (MAR) systems and to optimise Water Resource Management through the storage of excess water or by influencing gradients.</w:t>
      </w:r>
    </w:p>
    <w:p w:rsidR="004A120F" w:rsidRDefault="000A0796">
      <w:pPr>
        <w:widowControl w:val="0"/>
        <w:suppressLineNumbers/>
        <w:pBdr>
          <w:top w:val="single" w:sz="4" w:space="1" w:color="auto"/>
          <w:left w:val="single" w:sz="4" w:space="4" w:color="auto"/>
          <w:bottom w:val="single" w:sz="4" w:space="1" w:color="auto"/>
          <w:right w:val="single" w:sz="4" w:space="4" w:color="auto"/>
        </w:pBdr>
        <w:shd w:val="clear" w:color="auto" w:fill="DAEEF3"/>
        <w:spacing w:before="240" w:line="240" w:lineRule="auto"/>
        <w:jc w:val="both"/>
        <w:rPr>
          <w:rFonts w:ascii="Calibri" w:eastAsia="Calibri" w:hAnsi="Calibri" w:cs="Times New Roman"/>
          <w:noProof/>
          <w:sz w:val="20"/>
        </w:rPr>
      </w:pPr>
      <w:r>
        <w:rPr>
          <w:rFonts w:ascii="Calibri" w:eastAsia="Calibri" w:hAnsi="Calibri" w:cs="Times New Roman"/>
          <w:noProof/>
          <w:sz w:val="20"/>
        </w:rPr>
        <w:t>Through interventions at 8 demonstration sites (including South Malta), MARSOL will demonstrate and compare the effecti</w:t>
      </w:r>
      <w:r>
        <w:rPr>
          <w:rFonts w:ascii="Calibri" w:eastAsia="Calibri" w:hAnsi="Calibri" w:cs="Times New Roman"/>
          <w:noProof/>
          <w:sz w:val="20"/>
        </w:rPr>
        <w:t>veness, efficiency and sustainability of different technologies to increase the availability of freshwater under conditions of scarcity. Ultimately, the project aims to deliver a key technology to face the challenge of rising water scarcity in southern Eur</w:t>
      </w:r>
      <w:r>
        <w:rPr>
          <w:rFonts w:ascii="Calibri" w:eastAsia="Calibri" w:hAnsi="Calibri" w:cs="Times New Roman"/>
          <w:noProof/>
          <w:sz w:val="20"/>
        </w:rPr>
        <w:t>ope and beyond.</w:t>
      </w:r>
    </w:p>
    <w:p w:rsidR="004A120F" w:rsidRDefault="000A0796">
      <w:pPr>
        <w:widowControl w:val="0"/>
        <w:suppressLineNumbers/>
        <w:spacing w:before="240" w:line="240" w:lineRule="auto"/>
        <w:jc w:val="both"/>
        <w:outlineLvl w:val="2"/>
        <w:rPr>
          <w:rFonts w:ascii="Calibri" w:eastAsia="Calibri" w:hAnsi="Calibri" w:cs="Times New Roman"/>
          <w:b/>
          <w:noProof/>
          <w:color w:val="1F497D"/>
          <w:szCs w:val="20"/>
        </w:rPr>
      </w:pPr>
      <w:r>
        <w:rPr>
          <w:rFonts w:ascii="Calibri" w:eastAsia="Calibri" w:hAnsi="Calibri" w:cs="Times New Roman"/>
          <w:b/>
          <w:noProof/>
          <w:color w:val="1F497D"/>
          <w:szCs w:val="20"/>
        </w:rPr>
        <w:t>SMEs and resource efficiency</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Small and Medium-sized enterprises (SMEs) are engines for growth, innovation and jobs. Malta has around 29,000 SMEs. The SME sector is one of the very few in the EU to have expanded throughout the crisis. This growth is expected to continue for the near fu</w:t>
      </w:r>
      <w:r>
        <w:rPr>
          <w:rFonts w:ascii="Calibri" w:eastAsia="Calibri" w:hAnsi="Calibri" w:cs="Times New Roman"/>
          <w:noProof/>
          <w:sz w:val="20"/>
        </w:rPr>
        <w:t xml:space="preserve">ture: the number of SME employees in Malta is predicted to rise by almost 5 000 (6 %) in 2014-2016 and SME value added by 13 %.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Investing in innovative, cost-saving measures to reduce resource and energy use in Malta could result in substantial cost savin</w:t>
      </w:r>
      <w:r>
        <w:rPr>
          <w:rFonts w:ascii="Calibri" w:eastAsia="Calibri" w:hAnsi="Calibri" w:cs="Times New Roman"/>
          <w:noProof/>
          <w:sz w:val="20"/>
        </w:rPr>
        <w:t>gs. Based on results of best practices in other Member States, the cost/benefit ratio between investments and SME cost savings can be up to 1:20. The application in Malta of programmes supporting resource efficiency in SMEs such as ENWORKS (UK) might resul</w:t>
      </w:r>
      <w:r>
        <w:rPr>
          <w:rFonts w:ascii="Calibri" w:eastAsia="Calibri" w:hAnsi="Calibri" w:cs="Times New Roman"/>
          <w:noProof/>
          <w:sz w:val="20"/>
        </w:rPr>
        <w:t>t in cost savings per enterprise of over EUR 34,000 for energy firms and over EUR 84,000 for environmental technologies.  Concerning four SME sectors (food &amp; beverages; energy, power &amp; utilities; environmental technologies; construction), there would be an</w:t>
      </w:r>
      <w:r>
        <w:rPr>
          <w:rFonts w:ascii="Calibri" w:eastAsia="Calibri" w:hAnsi="Calibri" w:cs="Times New Roman"/>
          <w:noProof/>
          <w:sz w:val="20"/>
        </w:rPr>
        <w:t xml:space="preserve"> average potential saving of EUR 46,000 per enterprise for in total 4,400 businesses (14% of all SMEs). For these sectors, such cost savings could amount to EUR 202 million annually.  Getting to such savings requires an adequate investment climate, and han</w:t>
      </w:r>
      <w:r>
        <w:rPr>
          <w:rFonts w:ascii="Calibri" w:eastAsia="Calibri" w:hAnsi="Calibri" w:cs="Times New Roman"/>
          <w:noProof/>
          <w:sz w:val="20"/>
        </w:rPr>
        <w:t>ds-on, direct technical and financial support to SMEs</w:t>
      </w:r>
      <w:r>
        <w:rPr>
          <w:rFonts w:ascii="Calibri" w:eastAsia="Calibri" w:hAnsi="Calibri" w:cs="Times New Roman"/>
          <w:noProof/>
          <w:sz w:val="20"/>
          <w:vertAlign w:val="superscript"/>
        </w:rPr>
        <w:footnoteReference w:id="12"/>
      </w:r>
      <w:r>
        <w:rPr>
          <w:rFonts w:ascii="Calibri" w:eastAsia="Calibri" w:hAnsi="Calibri" w:cs="Times New Roman"/>
          <w:noProof/>
          <w:sz w:val="20"/>
        </w:rPr>
        <w:t>.</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Direct support for SMEs on resource efficiency could be combined with financial support, to overcome the small project size limitation and the mismatch between asset life and available credit maturiti</w:t>
      </w:r>
      <w:r>
        <w:rPr>
          <w:rFonts w:ascii="Calibri" w:eastAsia="Calibri" w:hAnsi="Calibri" w:cs="Times New Roman"/>
          <w:noProof/>
          <w:sz w:val="20"/>
        </w:rPr>
        <w:t xml:space="preserve">es by pooling of investment and risk and the use of public funding for credit-enhancement.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Malta's government is committed to enhance SMEs competitiveness by awareness-raising among SMEs of the opportunities generated by the green economy, promoting energ</w:t>
      </w:r>
      <w:r>
        <w:rPr>
          <w:rFonts w:ascii="Calibri" w:eastAsia="Calibri" w:hAnsi="Calibri" w:cs="Times New Roman"/>
          <w:noProof/>
          <w:sz w:val="20"/>
        </w:rPr>
        <w:t>y audits leading to resource efficiency, and supporting SMEs through the introduction of tax credits, grants, training and other similar schemes.</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In the Flash 426 Eurobarometer "SMEs, resource efficiency and green markets" it is shown that 52% of Malta's S</w:t>
      </w:r>
      <w:r>
        <w:rPr>
          <w:rFonts w:ascii="Calibri" w:eastAsia="Calibri" w:hAnsi="Calibri" w:cs="Times New Roman"/>
          <w:noProof/>
          <w:sz w:val="20"/>
        </w:rPr>
        <w:t>MEs have invested  up to 5% of their annual turnover in their resource efficiency actions (EU28 average 50%), 23 % of them are currently offering green products and services (EU28 average 26%); 64% took measures to save energy (EU28 average 59%), 75% to mi</w:t>
      </w:r>
      <w:r>
        <w:rPr>
          <w:rFonts w:ascii="Calibri" w:eastAsia="Calibri" w:hAnsi="Calibri" w:cs="Times New Roman"/>
          <w:noProof/>
          <w:sz w:val="20"/>
        </w:rPr>
        <w:t>nimise waste (EU28 average 60%), 47% to save water (EU28 average 44%), and 60% to save materials (EU28 average 54%). From a circular economy perspective, 59% took measures to recycle by reusing material or waste within the company (EU28 average 40%), 31% t</w:t>
      </w:r>
      <w:r>
        <w:rPr>
          <w:rFonts w:ascii="Calibri" w:eastAsia="Calibri" w:hAnsi="Calibri" w:cs="Times New Roman"/>
          <w:noProof/>
          <w:sz w:val="20"/>
        </w:rPr>
        <w:t xml:space="preserve">o design products that are easier to maintain, repair or reuse (EU28 average 22%) and 28% were able to sell their scrap material to another company (EU28 average 25%). The resource efficiency actions undertaken allowed the reduction of production costs in </w:t>
      </w:r>
      <w:r>
        <w:rPr>
          <w:rFonts w:ascii="Calibri" w:eastAsia="Calibri" w:hAnsi="Calibri" w:cs="Times New Roman"/>
          <w:noProof/>
          <w:sz w:val="20"/>
        </w:rPr>
        <w:t>41% of the Malta's SMEs (EU28 average 45%).</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The Flash Eurobarometer shows that 29% of the SMEs in Malta have one or more full time employee working in a green job at least some of the time (EU28 average 35%). Malta has an average number of 2.4 full time gr</w:t>
      </w:r>
      <w:r>
        <w:rPr>
          <w:rFonts w:ascii="Calibri" w:eastAsia="Calibri" w:hAnsi="Calibri" w:cs="Times New Roman"/>
          <w:noProof/>
          <w:sz w:val="20"/>
        </w:rPr>
        <w:t xml:space="preserve">een employees per SME (EU28 average 1.7%). </w:t>
      </w:r>
    </w:p>
    <w:p w:rsidR="004A120F" w:rsidRDefault="000A0796">
      <w:pPr>
        <w:widowControl w:val="0"/>
        <w:suppressLineNumbers/>
        <w:spacing w:before="240" w:line="240" w:lineRule="auto"/>
        <w:jc w:val="both"/>
        <w:outlineLvl w:val="2"/>
        <w:rPr>
          <w:rFonts w:ascii="Calibri" w:eastAsia="Calibri" w:hAnsi="Calibri" w:cs="Times New Roman"/>
          <w:b/>
          <w:noProof/>
          <w:color w:val="1F497D"/>
          <w:szCs w:val="20"/>
        </w:rPr>
      </w:pPr>
      <w:r>
        <w:rPr>
          <w:rFonts w:ascii="Calibri" w:eastAsia="Calibri" w:hAnsi="Calibri" w:cs="Times New Roman"/>
          <w:b/>
          <w:noProof/>
          <w:color w:val="1F497D"/>
          <w:szCs w:val="20"/>
        </w:rPr>
        <w:t xml:space="preserve">Eco-innovation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Eco-innovation brings financial benefits through the improved resource productivity and reduced costs of material and energy. High European environmental standards have contributed to a competitiv</w:t>
      </w:r>
      <w:r>
        <w:rPr>
          <w:rFonts w:ascii="Calibri" w:eastAsia="Calibri" w:hAnsi="Calibri" w:cs="Times New Roman"/>
          <w:noProof/>
          <w:sz w:val="20"/>
        </w:rPr>
        <w:t>e advantage of the EU in the eco-industries, a sector which is expected to double worldwide by 2020, and where EU companies hold major shares of the world market. Europe's eco-industry has been one of the few sectors to continue growing during the economic</w:t>
      </w:r>
      <w:r>
        <w:rPr>
          <w:rFonts w:ascii="Calibri" w:eastAsia="Calibri" w:hAnsi="Calibri" w:cs="Times New Roman"/>
          <w:noProof/>
          <w:sz w:val="20"/>
        </w:rPr>
        <w:t xml:space="preserve"> crisis.</w:t>
      </w:r>
    </w:p>
    <w:tbl>
      <w:tblPr>
        <w:tblpPr w:leftFromText="180" w:rightFromText="180" w:vertAnchor="text" w:horzAnchor="margin" w:tblpY="71"/>
        <w:tblW w:w="0" w:type="auto"/>
        <w:tblLook w:val="04A0" w:firstRow="1" w:lastRow="0" w:firstColumn="1" w:lastColumn="0" w:noHBand="0" w:noVBand="1"/>
      </w:tblPr>
      <w:tblGrid>
        <w:gridCol w:w="4909"/>
      </w:tblGrid>
      <w:tr w:rsidR="004A120F" w:rsidRPr="000A0796">
        <w:tc>
          <w:tcPr>
            <w:tcW w:w="4909" w:type="dxa"/>
          </w:tcPr>
          <w:p w:rsidR="004A120F" w:rsidRDefault="000A0796">
            <w:pPr>
              <w:widowControl w:val="0"/>
              <w:suppressLineNumbers/>
              <w:spacing w:line="240" w:lineRule="auto"/>
              <w:jc w:val="both"/>
              <w:rPr>
                <w:rFonts w:ascii="Calibri" w:eastAsia="Calibri" w:hAnsi="Calibri" w:cs="Times New Roman"/>
                <w:noProof/>
                <w:color w:val="1F497D"/>
                <w:sz w:val="20"/>
                <w:lang w:val="it-IT"/>
              </w:rPr>
            </w:pPr>
            <w:r>
              <w:rPr>
                <w:rFonts w:ascii="Calibri" w:eastAsia="Calibri" w:hAnsi="Calibri" w:cs="Times New Roman"/>
                <w:b/>
                <w:noProof/>
                <w:color w:val="1F497D"/>
                <w:sz w:val="20"/>
                <w:lang w:val="it-IT"/>
              </w:rPr>
              <w:t>Figure 2: Eco-Innovation Index 2015 (EU=100)</w:t>
            </w:r>
            <w:r>
              <w:rPr>
                <w:rFonts w:ascii="Calibri" w:eastAsia="Calibri" w:hAnsi="Calibri" w:cs="Times New Roman"/>
                <w:b/>
                <w:noProof/>
                <w:color w:val="1F497D"/>
                <w:sz w:val="20"/>
                <w:vertAlign w:val="superscript"/>
                <w:lang w:val="it-IT"/>
              </w:rPr>
              <w:footnoteReference w:id="13"/>
            </w:r>
          </w:p>
        </w:tc>
      </w:tr>
      <w:tr w:rsidR="004A120F">
        <w:tc>
          <w:tcPr>
            <w:tcW w:w="4909" w:type="dxa"/>
          </w:tcPr>
          <w:p w:rsidR="004A120F" w:rsidRDefault="000A0796">
            <w:pPr>
              <w:widowControl w:val="0"/>
              <w:suppressLineNumbers/>
              <w:spacing w:line="240" w:lineRule="auto"/>
              <w:jc w:val="both"/>
              <w:rPr>
                <w:rFonts w:ascii="Calibri" w:eastAsia="Calibri" w:hAnsi="Calibri" w:cs="Times New Roman"/>
                <w:noProof/>
                <w:sz w:val="20"/>
                <w:lang w:val="it-IT"/>
              </w:rPr>
            </w:pPr>
            <w:r>
              <w:rPr>
                <w:rFonts w:ascii="Calibri" w:eastAsia="Calibri" w:hAnsi="Calibri" w:cs="Times New Roman"/>
                <w:noProof/>
                <w:sz w:val="20"/>
                <w:lang w:eastAsia="en-GB"/>
              </w:rPr>
              <w:drawing>
                <wp:inline distT="0" distB="0" distL="0" distR="0" wp14:anchorId="44E550F9" wp14:editId="2C603607">
                  <wp:extent cx="2907248" cy="39624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09068" cy="3964880"/>
                          </a:xfrm>
                          <a:prstGeom prst="rect">
                            <a:avLst/>
                          </a:prstGeom>
                          <a:noFill/>
                        </pic:spPr>
                      </pic:pic>
                    </a:graphicData>
                  </a:graphic>
                </wp:inline>
              </w:drawing>
            </w:r>
          </w:p>
        </w:tc>
      </w:tr>
    </w:tbl>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 xml:space="preserve">The Maltese government has committed towards the adoption of eco-innovation solutions and is supporting eco-innovation activities mostly through provision of various incentives. However, there is much room for improvement. Malta’s composite eco-innovation </w:t>
      </w:r>
      <w:r>
        <w:rPr>
          <w:rFonts w:ascii="Calibri" w:eastAsia="Calibri" w:hAnsi="Calibri" w:cs="Times New Roman"/>
          <w:noProof/>
          <w:sz w:val="20"/>
        </w:rPr>
        <w:t xml:space="preserve">index is 64, relative to the EU-average index of 100. The country’s ranking among the EU-28 fell from 18th place in 2013 to 25th in 2015 as shown in Figure 2. </w:t>
      </w:r>
    </w:p>
    <w:p w:rsidR="004A120F" w:rsidRDefault="000A0796">
      <w:pPr>
        <w:widowControl w:val="0"/>
        <w:suppressLineNumbers/>
        <w:spacing w:before="240" w:line="240" w:lineRule="auto"/>
        <w:jc w:val="both"/>
        <w:outlineLvl w:val="2"/>
        <w:rPr>
          <w:rFonts w:ascii="Calibri" w:eastAsia="Calibri" w:hAnsi="Calibri" w:cs="Times New Roman"/>
          <w:b/>
          <w:noProof/>
          <w:color w:val="1F497D"/>
          <w:szCs w:val="20"/>
        </w:rPr>
      </w:pPr>
      <w:r>
        <w:rPr>
          <w:rFonts w:ascii="Calibri" w:eastAsia="Calibri" w:hAnsi="Calibri" w:cs="Times New Roman"/>
          <w:b/>
          <w:noProof/>
          <w:color w:val="1F497D"/>
          <w:szCs w:val="20"/>
        </w:rPr>
        <w:t>Tourism</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The tourism industry is one of the main pillars of Malta’s economy, generating income an</w:t>
      </w:r>
      <w:r>
        <w:rPr>
          <w:rFonts w:ascii="Calibri" w:eastAsia="Calibri" w:hAnsi="Calibri" w:cs="Times New Roman"/>
          <w:noProof/>
          <w:sz w:val="20"/>
        </w:rPr>
        <w:t>d creating employment. Tourism earnings account for approximately 26% of Malta’s services exports and the industry represents 30% of GDP. The Maltese tourism policy 2012-2016 puts sustainable tourism at the heart of its vision.   Approximately 12,500 peopl</w:t>
      </w:r>
      <w:r>
        <w:rPr>
          <w:rFonts w:ascii="Calibri" w:eastAsia="Calibri" w:hAnsi="Calibri" w:cs="Times New Roman"/>
          <w:noProof/>
          <w:sz w:val="20"/>
        </w:rPr>
        <w:t xml:space="preserve">e work in the industry, which is 8.5% of the employed workforce (the highest in the EU – 1% is the EU average).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 xml:space="preserve">At the same time, the tourism sector contributes substantially to the environmental pressure (e.g. waste, transport) in Malta. In addition, </w:t>
      </w:r>
      <w:r>
        <w:rPr>
          <w:rFonts w:ascii="Calibri" w:eastAsia="Calibri" w:hAnsi="Calibri" w:cs="Times New Roman"/>
          <w:noProof/>
          <w:sz w:val="20"/>
        </w:rPr>
        <w:t>traffic congestion &amp; air pollution and management of Natura 2000 areas need to be dealt with to render Malta as a sustainable tourism destination. Part of Malta's rich biodiversity, a significant number of protected sites are relatively unspoiled (Gozo) an</w:t>
      </w:r>
      <w:r>
        <w:rPr>
          <w:rFonts w:ascii="Calibri" w:eastAsia="Calibri" w:hAnsi="Calibri" w:cs="Times New Roman"/>
          <w:noProof/>
          <w:sz w:val="20"/>
        </w:rPr>
        <w:t>d could therefore be prime destinations for high quality and sustainable tourism. Well-planned and managed tourism in these areas has a significant potential for generating income and jobs.   At the same time, the impact of any large-scale tourism activiti</w:t>
      </w:r>
      <w:r>
        <w:rPr>
          <w:rFonts w:ascii="Calibri" w:eastAsia="Calibri" w:hAnsi="Calibri" w:cs="Times New Roman"/>
          <w:noProof/>
          <w:sz w:val="20"/>
        </w:rPr>
        <w:t>es on N2000 conservation values, especially in vulnerable coastal areas, must be properly assessed and regulated.</w:t>
      </w:r>
    </w:p>
    <w:p w:rsidR="004A120F" w:rsidRDefault="000A0796">
      <w:pPr>
        <w:widowControl w:val="0"/>
        <w:suppressLineNumbers/>
        <w:spacing w:line="240" w:lineRule="auto"/>
        <w:jc w:val="both"/>
        <w:rPr>
          <w:rFonts w:ascii="Calibri" w:eastAsia="Calibri" w:hAnsi="Calibri" w:cs="Calibri"/>
          <w:noProof/>
          <w:color w:val="1F497D"/>
          <w:szCs w:val="26"/>
        </w:rPr>
      </w:pPr>
      <w:r>
        <w:rPr>
          <w:rFonts w:ascii="Calibri" w:eastAsia="Calibri" w:hAnsi="Calibri" w:cs="Calibri"/>
          <w:noProof/>
          <w:color w:val="1F497D"/>
          <w:szCs w:val="26"/>
        </w:rPr>
        <w:t>Suggested action</w:t>
      </w:r>
    </w:p>
    <w:p w:rsidR="004A120F" w:rsidRDefault="000A0796">
      <w:pPr>
        <w:pStyle w:val="SuggActions"/>
        <w:ind w:left="200" w:hanging="200"/>
        <w:rPr>
          <w:noProof/>
        </w:rPr>
      </w:pPr>
      <w:bookmarkStart w:id="16" w:name="_Toc433296157"/>
      <w:r>
        <w:rPr>
          <w:noProof/>
        </w:rPr>
        <w:t>Stimulate investments in green products and services and the development of sustainable tourism.</w:t>
      </w:r>
    </w:p>
    <w:p w:rsidR="004A120F" w:rsidRDefault="000A0796">
      <w:pPr>
        <w:pStyle w:val="SuggActions"/>
        <w:ind w:left="200" w:hanging="200"/>
        <w:rPr>
          <w:noProof/>
        </w:rPr>
      </w:pPr>
      <w:r>
        <w:rPr>
          <w:noProof/>
        </w:rPr>
        <w:t xml:space="preserve">Make incentives for SME </w:t>
      </w:r>
      <w:r>
        <w:rPr>
          <w:noProof/>
        </w:rPr>
        <w:t>resource efficiency and eco-innovation more effective.</w:t>
      </w:r>
    </w:p>
    <w:p w:rsidR="004A120F" w:rsidRDefault="000A0796">
      <w:pPr>
        <w:widowControl w:val="0"/>
        <w:suppressLineNumbers/>
        <w:spacing w:before="240" w:line="240" w:lineRule="auto"/>
        <w:outlineLvl w:val="1"/>
        <w:rPr>
          <w:rFonts w:ascii="Calibri" w:eastAsia="Calibri" w:hAnsi="Calibri" w:cs="Times New Roman"/>
          <w:b/>
          <w:noProof/>
          <w:color w:val="1F497D"/>
          <w:sz w:val="24"/>
          <w:szCs w:val="24"/>
          <w:lang w:eastAsia="en-GB"/>
        </w:rPr>
      </w:pPr>
      <w:bookmarkStart w:id="17" w:name="_Toc454460675"/>
      <w:bookmarkStart w:id="18" w:name="_Toc469477804"/>
      <w:bookmarkEnd w:id="16"/>
      <w:r>
        <w:rPr>
          <w:rFonts w:ascii="Calibri" w:eastAsia="Calibri" w:hAnsi="Calibri" w:cs="Times New Roman"/>
          <w:b/>
          <w:noProof/>
          <w:color w:val="1F497D"/>
          <w:sz w:val="24"/>
          <w:szCs w:val="24"/>
          <w:lang w:eastAsia="en-GB"/>
        </w:rPr>
        <w:t>Waste management</w:t>
      </w:r>
      <w:bookmarkEnd w:id="17"/>
      <w:bookmarkEnd w:id="18"/>
      <w:r>
        <w:rPr>
          <w:rFonts w:ascii="Calibri" w:eastAsia="Calibri" w:hAnsi="Calibri" w:cs="Times New Roman"/>
          <w:b/>
          <w:noProof/>
          <w:color w:val="1F497D"/>
          <w:sz w:val="24"/>
          <w:szCs w:val="24"/>
          <w:lang w:eastAsia="en-GB"/>
        </w:rPr>
        <w:t xml:space="preserve"> </w:t>
      </w:r>
    </w:p>
    <w:p w:rsidR="004A120F" w:rsidRDefault="000A0796">
      <w:pPr>
        <w:widowControl w:val="0"/>
        <w:shd w:val="clear" w:color="auto" w:fill="4F81BD"/>
        <w:spacing w:after="60" w:line="240" w:lineRule="auto"/>
        <w:contextualSpacing/>
        <w:jc w:val="both"/>
        <w:rPr>
          <w:rFonts w:ascii="Calibri" w:eastAsia="Calibri" w:hAnsi="Calibri" w:cs="Times New Roman"/>
          <w:noProof/>
          <w:color w:val="FFFFFF"/>
          <w:sz w:val="20"/>
        </w:rPr>
      </w:pPr>
      <w:r>
        <w:rPr>
          <w:rFonts w:ascii="Calibri" w:eastAsia="Calibri" w:hAnsi="Calibri" w:cs="Times New Roman"/>
          <w:noProof/>
          <w:color w:val="FFFFFF"/>
          <w:sz w:val="20"/>
        </w:rPr>
        <w:t>Turning waste into a resource requires:</w:t>
      </w:r>
    </w:p>
    <w:p w:rsidR="004A120F" w:rsidRDefault="000A0796">
      <w:pPr>
        <w:widowControl w:val="0"/>
        <w:numPr>
          <w:ilvl w:val="0"/>
          <w:numId w:val="7"/>
        </w:numPr>
        <w:shd w:val="clear" w:color="auto" w:fill="4F81BD"/>
        <w:spacing w:after="60" w:line="240" w:lineRule="auto"/>
        <w:contextualSpacing/>
        <w:jc w:val="both"/>
        <w:rPr>
          <w:rFonts w:ascii="Calibri" w:eastAsia="Calibri" w:hAnsi="Calibri" w:cs="Times New Roman"/>
          <w:noProof/>
          <w:color w:val="FFFFFF"/>
          <w:sz w:val="20"/>
        </w:rPr>
      </w:pPr>
      <w:r>
        <w:rPr>
          <w:rFonts w:ascii="Calibri" w:eastAsia="Calibri" w:hAnsi="Calibri" w:cs="Times New Roman"/>
          <w:noProof/>
          <w:color w:val="FFFFFF"/>
          <w:sz w:val="20"/>
        </w:rPr>
        <w:t>Full implementation of Union waste legislation, which includes the waste hierarchy; the need to ensure separate collection of waste; the landfi</w:t>
      </w:r>
      <w:r>
        <w:rPr>
          <w:rFonts w:ascii="Calibri" w:eastAsia="Calibri" w:hAnsi="Calibri" w:cs="Times New Roman"/>
          <w:noProof/>
          <w:color w:val="FFFFFF"/>
          <w:sz w:val="20"/>
        </w:rPr>
        <w:t>ll diversion targets etc.</w:t>
      </w:r>
    </w:p>
    <w:p w:rsidR="004A120F" w:rsidRDefault="000A0796">
      <w:pPr>
        <w:widowControl w:val="0"/>
        <w:numPr>
          <w:ilvl w:val="0"/>
          <w:numId w:val="7"/>
        </w:numPr>
        <w:shd w:val="clear" w:color="auto" w:fill="4F81BD"/>
        <w:spacing w:after="60" w:line="240" w:lineRule="auto"/>
        <w:contextualSpacing/>
        <w:jc w:val="both"/>
        <w:rPr>
          <w:rFonts w:ascii="Calibri" w:eastAsia="Calibri" w:hAnsi="Calibri" w:cs="Times New Roman"/>
          <w:noProof/>
          <w:color w:val="FFFFFF"/>
          <w:sz w:val="20"/>
        </w:rPr>
      </w:pPr>
      <w:r>
        <w:rPr>
          <w:rFonts w:ascii="Calibri" w:eastAsia="Calibri" w:hAnsi="Calibri" w:cs="Times New Roman"/>
          <w:noProof/>
          <w:color w:val="FFFFFF"/>
          <w:sz w:val="20"/>
        </w:rPr>
        <w:t>Reducing per capita waste generation and waste generation in absolute terms.</w:t>
      </w:r>
    </w:p>
    <w:p w:rsidR="004A120F" w:rsidRDefault="000A0796">
      <w:pPr>
        <w:widowControl w:val="0"/>
        <w:numPr>
          <w:ilvl w:val="0"/>
          <w:numId w:val="7"/>
        </w:numPr>
        <w:shd w:val="clear" w:color="auto" w:fill="4F81BD"/>
        <w:spacing w:after="60" w:line="240" w:lineRule="auto"/>
        <w:contextualSpacing/>
        <w:jc w:val="both"/>
        <w:rPr>
          <w:rFonts w:ascii="Calibri" w:eastAsia="Calibri" w:hAnsi="Calibri" w:cs="Times New Roman"/>
          <w:noProof/>
          <w:color w:val="FFFFFF"/>
          <w:sz w:val="20"/>
        </w:rPr>
      </w:pPr>
      <w:r>
        <w:rPr>
          <w:rFonts w:ascii="Calibri" w:eastAsia="Calibri" w:hAnsi="Calibri" w:cs="Times New Roman"/>
          <w:noProof/>
          <w:color w:val="FFFFFF"/>
          <w:sz w:val="20"/>
        </w:rPr>
        <w:t>Limiting energy recovery to non-recyclable materials and phasing out landfilling of recyclable or recoverable waste.</w:t>
      </w:r>
    </w:p>
    <w:p w:rsidR="004A120F" w:rsidRDefault="000A0796">
      <w:pPr>
        <w:widowControl w:val="0"/>
        <w:suppressLineNumbers/>
        <w:shd w:val="clear" w:color="auto" w:fill="4F81BD"/>
        <w:spacing w:line="240" w:lineRule="auto"/>
        <w:contextualSpacing/>
        <w:jc w:val="both"/>
        <w:rPr>
          <w:rFonts w:ascii="Calibri" w:eastAsia="Calibri" w:hAnsi="Calibri" w:cs="Times New Roman"/>
          <w:noProof/>
          <w:color w:val="FFFFFF"/>
          <w:sz w:val="20"/>
        </w:rPr>
      </w:pPr>
      <w:r>
        <w:rPr>
          <w:rFonts w:ascii="Calibri" w:eastAsia="Calibri" w:hAnsi="Calibri" w:cs="Times New Roman"/>
          <w:noProof/>
          <w:color w:val="FFFFFF"/>
          <w:sz w:val="20"/>
        </w:rPr>
        <w:t>SDG 12 invites countries to substant</w:t>
      </w:r>
      <w:r>
        <w:rPr>
          <w:rFonts w:ascii="Calibri" w:eastAsia="Calibri" w:hAnsi="Calibri" w:cs="Times New Roman"/>
          <w:noProof/>
          <w:color w:val="FFFFFF"/>
          <w:sz w:val="20"/>
        </w:rPr>
        <w:t>ially reduce waste generation through prevention, reduction, recycling and reuse, by 2030.</w:t>
      </w:r>
    </w:p>
    <w:p w:rsidR="004A120F" w:rsidRDefault="000A0796">
      <w:pPr>
        <w:widowControl w:val="0"/>
        <w:suppressLineNumbers/>
        <w:spacing w:before="240" w:line="240" w:lineRule="auto"/>
        <w:jc w:val="both"/>
        <w:rPr>
          <w:rFonts w:ascii="Calibri" w:eastAsia="Calibri" w:hAnsi="Calibri" w:cs="Times New Roman"/>
          <w:noProof/>
          <w:sz w:val="20"/>
        </w:rPr>
      </w:pPr>
      <w:r>
        <w:rPr>
          <w:rFonts w:ascii="Calibri" w:eastAsia="Calibri" w:hAnsi="Calibri" w:cs="Times New Roman"/>
          <w:noProof/>
          <w:sz w:val="20"/>
        </w:rPr>
        <w:t>The EU's approach to waste management is based on the "waste hierarchy" which sets out an order of priority when shaping waste policy and managing waste at the opera</w:t>
      </w:r>
      <w:r>
        <w:rPr>
          <w:rFonts w:ascii="Calibri" w:eastAsia="Calibri" w:hAnsi="Calibri" w:cs="Times New Roman"/>
          <w:noProof/>
          <w:sz w:val="20"/>
        </w:rPr>
        <w:t>tional level: prevention, (preparing for) reuse, recycling, recovery and, as the least preferred option, disposal (which includes landfilling and incineration without energy recovery).</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The progress towards reaching recycling targets and the adoption of ade</w:t>
      </w:r>
      <w:r>
        <w:rPr>
          <w:rFonts w:ascii="Calibri" w:eastAsia="Calibri" w:hAnsi="Calibri" w:cs="Times New Roman"/>
          <w:noProof/>
          <w:sz w:val="20"/>
        </w:rPr>
        <w:t>quate WMP/WPP</w:t>
      </w:r>
      <w:r>
        <w:rPr>
          <w:rFonts w:ascii="Calibri" w:eastAsia="Calibri" w:hAnsi="Calibri" w:cs="Times New Roman"/>
          <w:noProof/>
          <w:sz w:val="20"/>
          <w:vertAlign w:val="superscript"/>
        </w:rPr>
        <w:footnoteReference w:id="14"/>
      </w:r>
      <w:r>
        <w:rPr>
          <w:rFonts w:ascii="Calibri" w:eastAsia="Calibri" w:hAnsi="Calibri" w:cs="Times New Roman"/>
          <w:noProof/>
          <w:sz w:val="20"/>
        </w:rPr>
        <w:t xml:space="preserve"> should be the key items to measure the performance of Member States. This section focuses on management of municipal waste for which EU law sets mandatory recycling targets.</w:t>
      </w:r>
      <w:bookmarkStart w:id="19" w:name="_Toc439678149"/>
    </w:p>
    <w:bookmarkEnd w:id="19"/>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Figure 3 depicts the municipal waste by treatment in Malta in terms</w:t>
      </w:r>
      <w:r>
        <w:rPr>
          <w:rFonts w:ascii="Calibri" w:eastAsia="Calibri" w:hAnsi="Calibri" w:cs="Times New Roman"/>
          <w:noProof/>
          <w:sz w:val="20"/>
        </w:rPr>
        <w:t xml:space="preserve"> of kg per capita.</w:t>
      </w:r>
      <w:r>
        <w:rPr>
          <w:rFonts w:ascii="Calibri" w:eastAsia="Calibri" w:hAnsi="Calibri" w:cs="Times New Roman"/>
          <w:i/>
          <w:noProof/>
          <w:sz w:val="18"/>
          <w:szCs w:val="18"/>
        </w:rPr>
        <w:t xml:space="preserve"> </w:t>
      </w:r>
      <w:r>
        <w:rPr>
          <w:rFonts w:ascii="Calibri" w:eastAsia="Calibri" w:hAnsi="Calibri" w:cs="Times New Roman"/>
          <w:noProof/>
          <w:sz w:val="20"/>
        </w:rPr>
        <w:t>Municipal</w:t>
      </w:r>
      <w:r>
        <w:rPr>
          <w:rFonts w:ascii="Calibri" w:eastAsia="Calibri" w:hAnsi="Calibri" w:cs="Times New Roman"/>
          <w:noProof/>
          <w:sz w:val="20"/>
          <w:vertAlign w:val="superscript"/>
        </w:rPr>
        <w:footnoteReference w:id="15"/>
      </w:r>
      <w:r>
        <w:rPr>
          <w:rFonts w:ascii="Calibri" w:eastAsia="Calibri" w:hAnsi="Calibri" w:cs="Times New Roman"/>
          <w:noProof/>
          <w:sz w:val="20"/>
        </w:rPr>
        <w:t xml:space="preserve"> waste generation in 2014 is high compared to the EU average (600 kg/y/inhabitant, compared to 475 kg/y/inhabitant on average).</w:t>
      </w:r>
      <w:r>
        <w:rPr>
          <w:rFonts w:ascii="Calibri" w:eastAsia="Calibri" w:hAnsi="Calibri" w:cs="Times New Roman"/>
          <w:noProof/>
          <w:sz w:val="20"/>
          <w:vertAlign w:val="superscript"/>
        </w:rPr>
        <w:footnoteReference w:id="16"/>
      </w:r>
    </w:p>
    <w:tbl>
      <w:tblPr>
        <w:tblW w:w="0" w:type="auto"/>
        <w:tblLook w:val="04A0" w:firstRow="1" w:lastRow="0" w:firstColumn="1" w:lastColumn="0" w:noHBand="0" w:noVBand="1"/>
      </w:tblPr>
      <w:tblGrid>
        <w:gridCol w:w="4909"/>
      </w:tblGrid>
      <w:tr w:rsidR="004A120F">
        <w:tc>
          <w:tcPr>
            <w:tcW w:w="4909" w:type="dxa"/>
          </w:tcPr>
          <w:p w:rsidR="004A120F" w:rsidRDefault="000A0796">
            <w:pPr>
              <w:widowControl w:val="0"/>
              <w:suppressLineNumbers/>
              <w:spacing w:line="240" w:lineRule="auto"/>
              <w:jc w:val="both"/>
              <w:rPr>
                <w:rFonts w:ascii="Calibri" w:eastAsia="Calibri" w:hAnsi="Calibri" w:cs="Times New Roman"/>
                <w:noProof/>
                <w:color w:val="1F497D"/>
                <w:sz w:val="20"/>
              </w:rPr>
            </w:pPr>
            <w:r>
              <w:rPr>
                <w:rFonts w:ascii="Calibri" w:eastAsia="Calibri" w:hAnsi="Calibri" w:cs="Times New Roman"/>
                <w:b/>
                <w:bCs/>
                <w:noProof/>
                <w:color w:val="1F497D"/>
                <w:sz w:val="20"/>
              </w:rPr>
              <w:t>Figure 3: Municipal waste by treatment in Malta 2007-14</w:t>
            </w:r>
            <w:r>
              <w:rPr>
                <w:rFonts w:ascii="Calibri" w:eastAsia="Calibri" w:hAnsi="Calibri" w:cs="Times New Roman"/>
                <w:b/>
                <w:bCs/>
                <w:noProof/>
                <w:color w:val="1F497D"/>
                <w:sz w:val="20"/>
                <w:vertAlign w:val="superscript"/>
              </w:rPr>
              <w:footnoteReference w:id="17"/>
            </w:r>
          </w:p>
        </w:tc>
      </w:tr>
      <w:tr w:rsidR="004A120F">
        <w:tc>
          <w:tcPr>
            <w:tcW w:w="4909" w:type="dxa"/>
          </w:tcPr>
          <w:p w:rsidR="004A120F" w:rsidRDefault="000A0796">
            <w:pPr>
              <w:widowControl w:val="0"/>
              <w:suppressLineNumbers/>
              <w:spacing w:line="240" w:lineRule="auto"/>
              <w:jc w:val="both"/>
              <w:rPr>
                <w:rFonts w:ascii="Calibri" w:eastAsia="Calibri" w:hAnsi="Calibri" w:cs="Times New Roman"/>
                <w:b/>
                <w:bCs/>
                <w:noProof/>
                <w:color w:val="1F497D"/>
                <w:sz w:val="20"/>
              </w:rPr>
            </w:pPr>
            <w:r>
              <w:rPr>
                <w:rFonts w:ascii="Calibri" w:eastAsia="Calibri" w:hAnsi="Calibri" w:cs="Times New Roman"/>
                <w:noProof/>
                <w:sz w:val="20"/>
                <w:lang w:eastAsia="en-GB"/>
              </w:rPr>
              <w:drawing>
                <wp:inline distT="0" distB="0" distL="0" distR="0" wp14:anchorId="02056EA8" wp14:editId="2572DAC8">
                  <wp:extent cx="2981325" cy="259008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84051" cy="2592457"/>
                          </a:xfrm>
                          <a:prstGeom prst="rect">
                            <a:avLst/>
                          </a:prstGeom>
                        </pic:spPr>
                      </pic:pic>
                    </a:graphicData>
                  </a:graphic>
                </wp:inline>
              </w:drawing>
            </w:r>
          </w:p>
        </w:tc>
      </w:tr>
    </w:tbl>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 xml:space="preserve">The recycling and composting rate is </w:t>
      </w:r>
      <w:r>
        <w:rPr>
          <w:rFonts w:ascii="Calibri" w:eastAsia="Calibri" w:hAnsi="Calibri" w:cs="Times New Roman"/>
          <w:noProof/>
          <w:sz w:val="20"/>
        </w:rPr>
        <w:t>only 12%, far below the EU average of 44% and the 2020 target (50%). Figure 4 shows that Malta will have to take decisive measures to develop recycling in the coming years</w:t>
      </w:r>
      <w:r>
        <w:rPr>
          <w:rFonts w:ascii="Calibri" w:eastAsia="Calibri" w:hAnsi="Calibri" w:cs="Times New Roman"/>
          <w:noProof/>
          <w:sz w:val="20"/>
          <w:vertAlign w:val="superscript"/>
        </w:rPr>
        <w:footnoteReference w:id="18"/>
      </w:r>
      <w:r>
        <w:rPr>
          <w:rFonts w:ascii="Calibri" w:eastAsia="Calibri" w:hAnsi="Calibri" w:cs="Times New Roman"/>
          <w:noProof/>
          <w:sz w:val="20"/>
        </w:rPr>
        <w:t xml:space="preserve">.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Data from 2014</w:t>
      </w:r>
      <w:r>
        <w:rPr>
          <w:rFonts w:ascii="Calibri" w:eastAsia="Calibri" w:hAnsi="Calibri" w:cs="Times New Roman"/>
          <w:noProof/>
          <w:sz w:val="20"/>
          <w:vertAlign w:val="superscript"/>
        </w:rPr>
        <w:footnoteReference w:id="19"/>
      </w:r>
      <w:r>
        <w:rPr>
          <w:rFonts w:ascii="Calibri" w:eastAsia="Calibri" w:hAnsi="Calibri" w:cs="Times New Roman"/>
          <w:noProof/>
          <w:sz w:val="20"/>
        </w:rPr>
        <w:t xml:space="preserve"> show that with 88%, the landfilling rate</w:t>
      </w:r>
      <w:r>
        <w:rPr>
          <w:rFonts w:ascii="Calibri" w:eastAsia="Calibri" w:hAnsi="Calibri" w:cs="Times New Roman"/>
          <w:b/>
          <w:noProof/>
          <w:sz w:val="20"/>
        </w:rPr>
        <w:t xml:space="preserve"> </w:t>
      </w:r>
      <w:r>
        <w:rPr>
          <w:rFonts w:ascii="Calibri" w:eastAsia="Calibri" w:hAnsi="Calibri" w:cs="Times New Roman"/>
          <w:noProof/>
          <w:sz w:val="20"/>
        </w:rPr>
        <w:t>is more than three times</w:t>
      </w:r>
      <w:r>
        <w:rPr>
          <w:rFonts w:ascii="Calibri" w:eastAsia="Calibri" w:hAnsi="Calibri" w:cs="Times New Roman"/>
          <w:b/>
          <w:noProof/>
          <w:sz w:val="20"/>
        </w:rPr>
        <w:t xml:space="preserve"> </w:t>
      </w:r>
      <w:r>
        <w:rPr>
          <w:rFonts w:ascii="Calibri" w:eastAsia="Calibri" w:hAnsi="Calibri" w:cs="Times New Roman"/>
          <w:noProof/>
          <w:sz w:val="20"/>
        </w:rPr>
        <w:t>the EU average of 28% (data from 2014). New data provided by Malta suggest a recent improvement towards 79.7%. Malta's heavy reliance on waste disposal is not in line with the European targets and definitely an unnecessary pressure for its limited land. T</w:t>
      </w:r>
      <w:r>
        <w:rPr>
          <w:rFonts w:ascii="Calibri" w:eastAsia="Calibri" w:hAnsi="Calibri" w:cs="Times New Roman"/>
          <w:noProof/>
          <w:sz w:val="20"/>
        </w:rPr>
        <w:t>here has been only one mechanical and biological management facility (MBT) to treat mixed household waste, until a second one was developed with the help of the EU Cohesion funds and started to operate in 2016. Untreated residual waste plus non-recycled ou</w:t>
      </w:r>
      <w:r>
        <w:rPr>
          <w:rFonts w:ascii="Calibri" w:eastAsia="Calibri" w:hAnsi="Calibri" w:cs="Times New Roman"/>
          <w:noProof/>
          <w:sz w:val="20"/>
        </w:rPr>
        <w:t xml:space="preserve">tputs from MBT are disposed in Malta’s managed landfills. To meet EU targets, it will need to build the required infrastructure. Revenues from a gradually increasing landfill tax (which would also help diverting waste from landfills) in conjunction with a </w:t>
      </w:r>
      <w:r>
        <w:rPr>
          <w:rFonts w:ascii="Calibri" w:eastAsia="Calibri" w:hAnsi="Calibri" w:cs="Times New Roman"/>
          <w:noProof/>
          <w:sz w:val="20"/>
        </w:rPr>
        <w:t xml:space="preserve">better allocation of Cohesion Policy funds (which need to favour the higher solutions in the waste hierarchy) could contribute to this. </w:t>
      </w:r>
    </w:p>
    <w:tbl>
      <w:tblPr>
        <w:tblW w:w="0" w:type="auto"/>
        <w:tblLook w:val="04A0" w:firstRow="1" w:lastRow="0" w:firstColumn="1" w:lastColumn="0" w:noHBand="0" w:noVBand="1"/>
      </w:tblPr>
      <w:tblGrid>
        <w:gridCol w:w="4909"/>
      </w:tblGrid>
      <w:tr w:rsidR="004A120F">
        <w:tc>
          <w:tcPr>
            <w:tcW w:w="4909" w:type="dxa"/>
          </w:tcPr>
          <w:p w:rsidR="004A120F" w:rsidRDefault="000A0796">
            <w:pPr>
              <w:widowControl w:val="0"/>
              <w:suppressLineNumbers/>
              <w:spacing w:line="240" w:lineRule="auto"/>
              <w:jc w:val="both"/>
              <w:rPr>
                <w:rFonts w:ascii="Calibri" w:eastAsia="Calibri" w:hAnsi="Calibri" w:cs="Times New Roman"/>
                <w:noProof/>
                <w:color w:val="1F497D"/>
                <w:sz w:val="20"/>
              </w:rPr>
            </w:pPr>
            <w:r>
              <w:rPr>
                <w:rFonts w:ascii="Calibri" w:eastAsia="Calibri" w:hAnsi="Calibri" w:cs="Times New Roman"/>
                <w:b/>
                <w:bCs/>
                <w:noProof/>
                <w:color w:val="1F497D"/>
                <w:sz w:val="20"/>
              </w:rPr>
              <w:t>Figure 4: Recycling rate of municipal waste 2007-14</w:t>
            </w:r>
            <w:r>
              <w:rPr>
                <w:rFonts w:ascii="Calibri" w:eastAsia="Calibri" w:hAnsi="Calibri" w:cs="Times New Roman"/>
                <w:b/>
                <w:bCs/>
                <w:noProof/>
                <w:color w:val="1F497D"/>
                <w:sz w:val="20"/>
                <w:vertAlign w:val="superscript"/>
              </w:rPr>
              <w:footnoteReference w:id="20"/>
            </w:r>
          </w:p>
        </w:tc>
      </w:tr>
      <w:tr w:rsidR="004A120F">
        <w:tc>
          <w:tcPr>
            <w:tcW w:w="4909" w:type="dxa"/>
          </w:tcPr>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lang w:eastAsia="en-GB"/>
              </w:rPr>
              <w:drawing>
                <wp:inline distT="0" distB="0" distL="0" distR="0" wp14:anchorId="423FE388" wp14:editId="28089DB7">
                  <wp:extent cx="2924175" cy="242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23834" cy="2425717"/>
                          </a:xfrm>
                          <a:prstGeom prst="rect">
                            <a:avLst/>
                          </a:prstGeom>
                          <a:noFill/>
                        </pic:spPr>
                      </pic:pic>
                    </a:graphicData>
                  </a:graphic>
                </wp:inline>
              </w:drawing>
            </w:r>
          </w:p>
        </w:tc>
      </w:tr>
    </w:tbl>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Malta's 2014 Waste Management Plan recognises the large proble</w:t>
      </w:r>
      <w:r>
        <w:rPr>
          <w:rFonts w:ascii="Calibri" w:eastAsia="Calibri" w:hAnsi="Calibri" w:cs="Times New Roman"/>
          <w:noProof/>
          <w:sz w:val="20"/>
        </w:rPr>
        <w:t>ms the country is facing with regard to waste management and includes useful policy actions which when implemented would certainly help to improve the situation. The Maltese environmental authorities have launched several actions aiming to improve separate</w:t>
      </w:r>
      <w:r>
        <w:rPr>
          <w:rFonts w:ascii="Calibri" w:eastAsia="Calibri" w:hAnsi="Calibri" w:cs="Times New Roman"/>
          <w:noProof/>
          <w:sz w:val="20"/>
        </w:rPr>
        <w:t xml:space="preserve"> collection.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Full implementation of the existing waste legislation could create more than 1.100 jobs in Malta and increase the annual turnover of the waste sector by EUR 116 million. Moving towards the targets of the Roadmap on resource efficiency could c</w:t>
      </w:r>
      <w:r>
        <w:rPr>
          <w:rFonts w:ascii="Calibri" w:eastAsia="Calibri" w:hAnsi="Calibri" w:cs="Times New Roman"/>
          <w:noProof/>
          <w:sz w:val="20"/>
        </w:rPr>
        <w:t>reate over 1.200 additional jobs and increase the annual turnover of the waste sector by EUR 134 million.</w:t>
      </w:r>
      <w:r>
        <w:rPr>
          <w:rFonts w:ascii="Calibri" w:eastAsia="Calibri" w:hAnsi="Calibri" w:cs="Times New Roman"/>
          <w:noProof/>
          <w:sz w:val="20"/>
          <w:vertAlign w:val="superscript"/>
        </w:rPr>
        <w:footnoteReference w:id="21"/>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In order to help bridging the implementation gap in Malta, the Commission has delivered a roadmap for compliance in which economic instruments play a</w:t>
      </w:r>
      <w:r>
        <w:rPr>
          <w:rFonts w:ascii="Calibri" w:eastAsia="Calibri" w:hAnsi="Calibri" w:cs="Times New Roman"/>
          <w:noProof/>
          <w:sz w:val="20"/>
        </w:rPr>
        <w:t xml:space="preserve"> crucial role</w:t>
      </w:r>
      <w:r>
        <w:rPr>
          <w:rFonts w:ascii="Calibri" w:eastAsia="Calibri" w:hAnsi="Calibri" w:cs="Times New Roman"/>
          <w:noProof/>
          <w:sz w:val="20"/>
          <w:vertAlign w:val="superscript"/>
        </w:rPr>
        <w:footnoteReference w:id="22"/>
      </w:r>
      <w:r>
        <w:rPr>
          <w:rFonts w:ascii="Calibri" w:eastAsia="Calibri" w:hAnsi="Calibri" w:cs="Times New Roman"/>
          <w:noProof/>
          <w:sz w:val="20"/>
        </w:rPr>
        <w:t>.</w:t>
      </w:r>
    </w:p>
    <w:p w:rsidR="004A120F" w:rsidRDefault="000A0796">
      <w:pPr>
        <w:widowControl w:val="0"/>
        <w:suppressLineNumbers/>
        <w:spacing w:line="240" w:lineRule="auto"/>
        <w:jc w:val="both"/>
        <w:rPr>
          <w:rFonts w:ascii="Calibri" w:eastAsia="Calibri" w:hAnsi="Calibri" w:cs="Calibri"/>
          <w:noProof/>
          <w:color w:val="1F497D"/>
          <w:szCs w:val="26"/>
        </w:rPr>
      </w:pPr>
      <w:r>
        <w:rPr>
          <w:rFonts w:ascii="Calibri" w:eastAsia="Calibri" w:hAnsi="Calibri" w:cs="Calibri"/>
          <w:noProof/>
          <w:color w:val="1F497D"/>
          <w:szCs w:val="26"/>
        </w:rPr>
        <w:t>Suggested action</w:t>
      </w:r>
    </w:p>
    <w:p w:rsidR="004A120F" w:rsidRDefault="000A0796">
      <w:pPr>
        <w:pStyle w:val="SuggActions"/>
        <w:rPr>
          <w:noProof/>
        </w:rPr>
      </w:pPr>
      <w:r>
        <w:rPr>
          <w:noProof/>
        </w:rPr>
        <w:t>Introduce a landfill tax and gradually increase it to divert recyclable waste from the landfills. Use the revenues to support the separate collection and alternative infrastructure in conjunction with a better allocation of</w:t>
      </w:r>
      <w:r>
        <w:rPr>
          <w:noProof/>
        </w:rPr>
        <w:t xml:space="preserve"> the cohesion policy funds to the first steps of waste hierarchy. Avoid building excessive infrastructure for the treatment of residual waste.</w:t>
      </w:r>
    </w:p>
    <w:p w:rsidR="004A120F" w:rsidRDefault="000A0796">
      <w:pPr>
        <w:pStyle w:val="SuggActions"/>
        <w:rPr>
          <w:noProof/>
        </w:rPr>
      </w:pPr>
      <w:r>
        <w:rPr>
          <w:noProof/>
        </w:rPr>
        <w:t>Step up the efforts on implementation of the separate collection obligation to increase recycling rates (e.g. ref</w:t>
      </w:r>
      <w:r>
        <w:rPr>
          <w:noProof/>
        </w:rPr>
        <w:t xml:space="preserve">orm of door-to-door separate waste collection). Use economic instruments (e.g. </w:t>
      </w:r>
      <w:r>
        <w:rPr>
          <w:i/>
          <w:noProof/>
        </w:rPr>
        <w:t>Pay As You Throw</w:t>
      </w:r>
      <w:r>
        <w:rPr>
          <w:noProof/>
        </w:rPr>
        <w:t xml:space="preserve"> schemes) and education campaigns to support transition towards more recycling.</w:t>
      </w:r>
    </w:p>
    <w:p w:rsidR="004A120F" w:rsidRDefault="000A0796">
      <w:pPr>
        <w:pStyle w:val="SuggActions"/>
        <w:rPr>
          <w:noProof/>
        </w:rPr>
      </w:pPr>
      <w:r>
        <w:rPr>
          <w:noProof/>
        </w:rPr>
        <w:t>Strengthen and empower enforcement capability, including inspection and enforceme</w:t>
      </w:r>
      <w:r>
        <w:rPr>
          <w:noProof/>
        </w:rPr>
        <w:t>nt to ensure subscribing to collection services.</w:t>
      </w:r>
    </w:p>
    <w:p w:rsidR="004A120F" w:rsidRDefault="004A120F">
      <w:pPr>
        <w:widowControl w:val="0"/>
        <w:suppressLineNumbers/>
        <w:spacing w:line="240" w:lineRule="auto"/>
        <w:jc w:val="both"/>
        <w:rPr>
          <w:rFonts w:ascii="Calibri" w:eastAsia="Calibri" w:hAnsi="Calibri" w:cs="Times New Roman"/>
          <w:noProof/>
          <w:sz w:val="20"/>
        </w:rPr>
      </w:pPr>
    </w:p>
    <w:p w:rsidR="004A120F" w:rsidRDefault="004A120F">
      <w:pPr>
        <w:widowControl w:val="0"/>
        <w:suppressLineNumbers/>
        <w:spacing w:line="240" w:lineRule="auto"/>
        <w:jc w:val="both"/>
        <w:rPr>
          <w:rFonts w:ascii="Calibri" w:eastAsia="Calibri" w:hAnsi="Calibri" w:cs="Times New Roman"/>
          <w:noProof/>
          <w:sz w:val="20"/>
        </w:rPr>
      </w:pPr>
    </w:p>
    <w:p w:rsidR="004A120F" w:rsidRDefault="004A120F">
      <w:pPr>
        <w:widowControl w:val="0"/>
        <w:suppressLineNumbers/>
        <w:spacing w:line="240" w:lineRule="auto"/>
        <w:jc w:val="both"/>
        <w:rPr>
          <w:rFonts w:ascii="Calibri" w:eastAsia="Calibri" w:hAnsi="Calibri" w:cs="Times New Roman"/>
          <w:noProof/>
          <w:sz w:val="20"/>
        </w:rPr>
      </w:pPr>
    </w:p>
    <w:p w:rsidR="004A120F" w:rsidRDefault="004A120F">
      <w:pPr>
        <w:widowControl w:val="0"/>
        <w:suppressLineNumbers/>
        <w:spacing w:line="240" w:lineRule="auto"/>
        <w:jc w:val="both"/>
        <w:rPr>
          <w:rFonts w:ascii="Calibri" w:eastAsia="Calibri" w:hAnsi="Calibri" w:cs="Times New Roman"/>
          <w:noProof/>
          <w:sz w:val="20"/>
        </w:rPr>
      </w:pPr>
    </w:p>
    <w:p w:rsidR="004A120F" w:rsidRDefault="004A120F">
      <w:pPr>
        <w:widowControl w:val="0"/>
        <w:suppressLineNumbers/>
        <w:spacing w:line="240" w:lineRule="auto"/>
        <w:jc w:val="both"/>
        <w:rPr>
          <w:rFonts w:ascii="Calibri" w:eastAsia="Calibri" w:hAnsi="Calibri" w:cs="Times New Roman"/>
          <w:noProof/>
          <w:sz w:val="20"/>
        </w:rPr>
      </w:pPr>
    </w:p>
    <w:p w:rsidR="004A120F" w:rsidRDefault="004A120F">
      <w:pPr>
        <w:widowControl w:val="0"/>
        <w:suppressLineNumbers/>
        <w:spacing w:line="240" w:lineRule="auto"/>
        <w:jc w:val="both"/>
        <w:rPr>
          <w:rFonts w:ascii="Calibri" w:eastAsia="Calibri" w:hAnsi="Calibri" w:cs="Times New Roman"/>
          <w:noProof/>
          <w:sz w:val="20"/>
        </w:rPr>
      </w:pPr>
    </w:p>
    <w:p w:rsidR="004A120F" w:rsidRDefault="004A120F">
      <w:pPr>
        <w:widowControl w:val="0"/>
        <w:suppressLineNumbers/>
        <w:spacing w:line="240" w:lineRule="auto"/>
        <w:jc w:val="both"/>
        <w:rPr>
          <w:rFonts w:ascii="Calibri" w:eastAsia="Calibri" w:hAnsi="Calibri" w:cs="Times New Roman"/>
          <w:noProof/>
          <w:sz w:val="20"/>
        </w:rPr>
      </w:pPr>
    </w:p>
    <w:p w:rsidR="004A120F" w:rsidRDefault="004A120F">
      <w:pPr>
        <w:widowControl w:val="0"/>
        <w:suppressLineNumbers/>
        <w:spacing w:line="240" w:lineRule="auto"/>
        <w:jc w:val="both"/>
        <w:rPr>
          <w:rFonts w:ascii="Calibri" w:eastAsia="Calibri" w:hAnsi="Calibri" w:cs="Times New Roman"/>
          <w:noProof/>
          <w:sz w:val="20"/>
        </w:rPr>
      </w:pPr>
    </w:p>
    <w:p w:rsidR="004A120F" w:rsidRDefault="004A120F">
      <w:pPr>
        <w:widowControl w:val="0"/>
        <w:suppressLineNumbers/>
        <w:spacing w:line="240" w:lineRule="auto"/>
        <w:jc w:val="both"/>
        <w:rPr>
          <w:rFonts w:ascii="Calibri" w:eastAsia="Calibri" w:hAnsi="Calibri" w:cs="Times New Roman"/>
          <w:noProof/>
          <w:sz w:val="20"/>
        </w:rPr>
      </w:pPr>
    </w:p>
    <w:p w:rsidR="004A120F" w:rsidRDefault="004A120F">
      <w:pPr>
        <w:widowControl w:val="0"/>
        <w:suppressLineNumbers/>
        <w:spacing w:line="240" w:lineRule="auto"/>
        <w:jc w:val="both"/>
        <w:rPr>
          <w:rFonts w:ascii="Calibri" w:eastAsia="Calibri" w:hAnsi="Calibri" w:cs="Times New Roman"/>
          <w:noProof/>
          <w:sz w:val="20"/>
        </w:rPr>
      </w:pPr>
    </w:p>
    <w:p w:rsidR="004A120F" w:rsidRDefault="004A120F">
      <w:pPr>
        <w:widowControl w:val="0"/>
        <w:suppressLineNumbers/>
        <w:spacing w:line="240" w:lineRule="auto"/>
        <w:jc w:val="both"/>
        <w:rPr>
          <w:rFonts w:ascii="Calibri" w:eastAsia="Calibri" w:hAnsi="Calibri" w:cs="Times New Roman"/>
          <w:noProof/>
          <w:sz w:val="20"/>
        </w:rPr>
      </w:pP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br w:type="page"/>
      </w:r>
    </w:p>
    <w:p w:rsidR="004A120F" w:rsidRDefault="004A120F">
      <w:pPr>
        <w:widowControl w:val="0"/>
        <w:suppressLineNumbers/>
        <w:spacing w:after="0" w:line="240" w:lineRule="auto"/>
        <w:jc w:val="center"/>
        <w:outlineLvl w:val="0"/>
        <w:rPr>
          <w:rFonts w:ascii="Calibri" w:eastAsia="Calibri" w:hAnsi="Calibri" w:cs="Times New Roman"/>
          <w:b/>
          <w:bCs/>
          <w:noProof/>
          <w:color w:val="1F497D"/>
          <w:sz w:val="32"/>
          <w:szCs w:val="28"/>
        </w:rPr>
        <w:sectPr w:rsidR="004A120F">
          <w:headerReference w:type="even" r:id="rId52"/>
          <w:headerReference w:type="default" r:id="rId53"/>
          <w:footerReference w:type="even" r:id="rId54"/>
          <w:footerReference w:type="default" r:id="rId55"/>
          <w:headerReference w:type="first" r:id="rId56"/>
          <w:footerReference w:type="first" r:id="rId57"/>
          <w:type w:val="continuous"/>
          <w:pgSz w:w="11906" w:h="16838"/>
          <w:pgMar w:top="1440" w:right="1080" w:bottom="1440" w:left="1080" w:header="708" w:footer="708" w:gutter="0"/>
          <w:pgNumType w:start="5"/>
          <w:cols w:num="2" w:space="360"/>
          <w:docGrid w:linePitch="360"/>
        </w:sectPr>
      </w:pPr>
    </w:p>
    <w:p w:rsidR="004A120F" w:rsidRDefault="000A0796">
      <w:pPr>
        <w:widowControl w:val="0"/>
        <w:suppressLineNumbers/>
        <w:spacing w:after="0" w:line="240" w:lineRule="auto"/>
        <w:jc w:val="center"/>
        <w:outlineLvl w:val="0"/>
        <w:rPr>
          <w:rFonts w:ascii="Calibri" w:eastAsia="Calibri" w:hAnsi="Calibri" w:cs="Times New Roman"/>
          <w:b/>
          <w:bCs/>
          <w:noProof/>
          <w:color w:val="1F497D"/>
          <w:sz w:val="32"/>
          <w:szCs w:val="28"/>
        </w:rPr>
      </w:pPr>
      <w:bookmarkStart w:id="20" w:name="_Toc433296159"/>
      <w:bookmarkStart w:id="21" w:name="_Toc469477805"/>
      <w:r>
        <w:rPr>
          <w:rFonts w:ascii="Calibri" w:eastAsia="Calibri" w:hAnsi="Calibri" w:cs="Times New Roman"/>
          <w:b/>
          <w:bCs/>
          <w:noProof/>
          <w:color w:val="1F497D"/>
          <w:sz w:val="32"/>
          <w:szCs w:val="28"/>
        </w:rPr>
        <w:t xml:space="preserve">2. Protecting, </w:t>
      </w:r>
      <w:r>
        <w:rPr>
          <w:rFonts w:ascii="Calibri" w:eastAsia="Calibri" w:hAnsi="Calibri" w:cs="Times New Roman"/>
          <w:b/>
          <w:bCs/>
          <w:noProof/>
          <w:color w:val="1F497D"/>
          <w:sz w:val="32"/>
          <w:szCs w:val="28"/>
        </w:rPr>
        <w:t>conserving and enhancing natural capital</w:t>
      </w:r>
      <w:bookmarkStart w:id="22" w:name="_Toc432413878"/>
      <w:bookmarkEnd w:id="20"/>
      <w:bookmarkEnd w:id="21"/>
      <w:bookmarkEnd w:id="22"/>
    </w:p>
    <w:p w:rsidR="004A120F" w:rsidRDefault="004A120F">
      <w:pPr>
        <w:widowControl w:val="0"/>
        <w:suppressLineNumbers/>
        <w:spacing w:line="240" w:lineRule="auto"/>
        <w:jc w:val="both"/>
        <w:rPr>
          <w:rFonts w:ascii="Calibri" w:eastAsia="Calibri" w:hAnsi="Calibri" w:cs="Times New Roman"/>
          <w:noProof/>
          <w:sz w:val="20"/>
        </w:rPr>
      </w:pPr>
    </w:p>
    <w:p w:rsidR="004A120F" w:rsidRDefault="004A120F">
      <w:pPr>
        <w:widowControl w:val="0"/>
        <w:suppressLineNumbers/>
        <w:spacing w:line="240" w:lineRule="auto"/>
        <w:jc w:val="both"/>
        <w:rPr>
          <w:rFonts w:ascii="Calibri" w:eastAsia="Calibri" w:hAnsi="Calibri" w:cs="Times New Roman"/>
          <w:noProof/>
          <w:sz w:val="20"/>
        </w:rPr>
        <w:sectPr w:rsidR="004A120F">
          <w:headerReference w:type="even" r:id="rId58"/>
          <w:headerReference w:type="default" r:id="rId59"/>
          <w:footerReference w:type="even" r:id="rId60"/>
          <w:footerReference w:type="default" r:id="rId61"/>
          <w:headerReference w:type="first" r:id="rId62"/>
          <w:footerReference w:type="first" r:id="rId63"/>
          <w:type w:val="continuous"/>
          <w:pgSz w:w="11906" w:h="16838"/>
          <w:pgMar w:top="1440" w:right="1080" w:bottom="1440" w:left="1080" w:header="708" w:footer="708" w:gutter="0"/>
          <w:cols w:space="566"/>
          <w:docGrid w:linePitch="360"/>
        </w:sectPr>
      </w:pPr>
    </w:p>
    <w:p w:rsidR="004A120F" w:rsidRDefault="000A0796">
      <w:pPr>
        <w:widowControl w:val="0"/>
        <w:suppressLineNumbers/>
        <w:spacing w:before="240" w:line="240" w:lineRule="auto"/>
        <w:outlineLvl w:val="1"/>
        <w:rPr>
          <w:rFonts w:ascii="Calibri" w:eastAsia="Calibri" w:hAnsi="Calibri" w:cs="Times New Roman"/>
          <w:b/>
          <w:noProof/>
          <w:color w:val="1F497D"/>
          <w:sz w:val="24"/>
          <w:szCs w:val="24"/>
          <w:lang w:eastAsia="en-GB"/>
        </w:rPr>
      </w:pPr>
      <w:bookmarkStart w:id="23" w:name="_Toc454460677"/>
      <w:bookmarkStart w:id="24" w:name="_Toc469477806"/>
      <w:r>
        <w:rPr>
          <w:rFonts w:ascii="Calibri" w:eastAsia="Calibri" w:hAnsi="Calibri" w:cs="Times New Roman"/>
          <w:b/>
          <w:noProof/>
          <w:color w:val="1F497D"/>
          <w:sz w:val="24"/>
          <w:szCs w:val="24"/>
          <w:lang w:eastAsia="en-GB"/>
        </w:rPr>
        <w:t>Nature and Biodiversity</w:t>
      </w:r>
      <w:bookmarkEnd w:id="23"/>
      <w:bookmarkEnd w:id="24"/>
      <w:r>
        <w:rPr>
          <w:rFonts w:ascii="Calibri" w:eastAsia="Calibri" w:hAnsi="Calibri" w:cs="Times New Roman"/>
          <w:b/>
          <w:noProof/>
          <w:color w:val="1F497D"/>
          <w:sz w:val="24"/>
          <w:szCs w:val="24"/>
          <w:lang w:eastAsia="en-GB"/>
        </w:rPr>
        <w:t xml:space="preserve"> </w:t>
      </w:r>
    </w:p>
    <w:p w:rsidR="004A120F" w:rsidRDefault="000A0796">
      <w:pPr>
        <w:widowControl w:val="0"/>
        <w:shd w:val="clear" w:color="auto" w:fill="4F81BD"/>
        <w:spacing w:after="60" w:line="240" w:lineRule="auto"/>
        <w:jc w:val="both"/>
        <w:rPr>
          <w:rFonts w:ascii="Calibri" w:eastAsia="Calibri" w:hAnsi="Calibri" w:cs="Times New Roman"/>
          <w:noProof/>
          <w:color w:val="FFFFFF"/>
          <w:sz w:val="20"/>
        </w:rPr>
      </w:pPr>
      <w:r>
        <w:rPr>
          <w:rFonts w:ascii="Calibri" w:eastAsia="Calibri" w:hAnsi="Calibri" w:cs="Times New Roman"/>
          <w:noProof/>
          <w:color w:val="FFFFFF"/>
          <w:sz w:val="20"/>
        </w:rPr>
        <w:t xml:space="preserve">The EU Biodiversity </w:t>
      </w:r>
      <w:r>
        <w:rPr>
          <w:rFonts w:ascii="Calibri" w:eastAsia="Calibri" w:hAnsi="Calibri" w:cs="Times New Roman"/>
          <w:noProof/>
          <w:color w:val="FFFFFF"/>
          <w:sz w:val="20"/>
        </w:rPr>
        <w:t>Strategy aims to halt the loss of biodiversity in the EU by 2020, restore ecosystems and their services in so far as feasible, and step up efforts to avert global biodiversity loss. The EU Birds and Habitats Directives aim at achieving favourable conservat</w:t>
      </w:r>
      <w:r>
        <w:rPr>
          <w:rFonts w:ascii="Calibri" w:eastAsia="Calibri" w:hAnsi="Calibri" w:cs="Times New Roman"/>
          <w:noProof/>
          <w:color w:val="FFFFFF"/>
          <w:sz w:val="20"/>
        </w:rPr>
        <w:t>ion status of protected species and habitats.</w:t>
      </w:r>
    </w:p>
    <w:p w:rsidR="004A120F" w:rsidRDefault="000A0796">
      <w:pPr>
        <w:widowControl w:val="0"/>
        <w:shd w:val="clear" w:color="auto" w:fill="4F81BD"/>
        <w:spacing w:after="60" w:line="240" w:lineRule="auto"/>
        <w:jc w:val="both"/>
        <w:rPr>
          <w:rFonts w:ascii="Calibri" w:eastAsia="Calibri" w:hAnsi="Calibri" w:cs="Times New Roman"/>
          <w:noProof/>
          <w:color w:val="FFFFFF"/>
          <w:sz w:val="20"/>
        </w:rPr>
      </w:pPr>
      <w:r>
        <w:rPr>
          <w:rFonts w:ascii="Calibri" w:eastAsia="Calibri" w:hAnsi="Calibri" w:cs="Times New Roman"/>
          <w:noProof/>
          <w:color w:val="FFFFFF"/>
          <w:sz w:val="20"/>
        </w:rPr>
        <w:t>SDG 14 requires countries to conserve and sustainably use the oceans, seas and marine resources, while SDG 15 requires countries to protect, restore and promote the sustainable use of terrestrial ecosystems, su</w:t>
      </w:r>
      <w:r>
        <w:rPr>
          <w:rFonts w:ascii="Calibri" w:eastAsia="Calibri" w:hAnsi="Calibri" w:cs="Times New Roman"/>
          <w:noProof/>
          <w:color w:val="FFFFFF"/>
          <w:sz w:val="20"/>
        </w:rPr>
        <w:t>stainably manage forests, combat desertification, and halt and reverse land degradation and halt biodiversity loss.</w:t>
      </w:r>
    </w:p>
    <w:p w:rsidR="004A120F" w:rsidRDefault="000A0796">
      <w:pPr>
        <w:widowControl w:val="0"/>
        <w:spacing w:line="240" w:lineRule="auto"/>
        <w:jc w:val="both"/>
        <w:rPr>
          <w:rFonts w:ascii="Calibri" w:eastAsia="Calibri" w:hAnsi="Calibri" w:cs="Times New Roman"/>
          <w:bCs/>
          <w:noProof/>
          <w:sz w:val="20"/>
          <w:szCs w:val="20"/>
          <w:lang w:val="en"/>
        </w:rPr>
      </w:pPr>
      <w:r>
        <w:rPr>
          <w:rFonts w:ascii="Calibri" w:eastAsia="Calibri" w:hAnsi="Calibri" w:cs="Times New Roman"/>
          <w:iCs/>
          <w:noProof/>
          <w:sz w:val="20"/>
        </w:rPr>
        <w:t xml:space="preserve">The 1992 EU Habitats Directive and the 1979 Birds Directive are the </w:t>
      </w:r>
      <w:r>
        <w:rPr>
          <w:rFonts w:ascii="Calibri" w:eastAsia="Calibri" w:hAnsi="Calibri" w:cs="Times New Roman"/>
          <w:iCs/>
          <w:noProof/>
          <w:sz w:val="20"/>
          <w:szCs w:val="20"/>
        </w:rPr>
        <w:t>cornerstone of the</w:t>
      </w:r>
      <w:r>
        <w:rPr>
          <w:rFonts w:ascii="Calibri" w:eastAsia="Calibri" w:hAnsi="Calibri" w:cs="Times New Roman"/>
          <w:iCs/>
          <w:noProof/>
          <w:sz w:val="20"/>
        </w:rPr>
        <w:t xml:space="preserve"> European legislation aimed at the conservation of the</w:t>
      </w:r>
      <w:r>
        <w:rPr>
          <w:rFonts w:ascii="Calibri" w:eastAsia="Calibri" w:hAnsi="Calibri" w:cs="Times New Roman"/>
          <w:iCs/>
          <w:noProof/>
          <w:sz w:val="20"/>
        </w:rPr>
        <w:t xml:space="preserve"> EU's wildlife. Natura 2000, the largest coordinated network of protected areas in the world, is the key instrument to achieve and implement the Directives' objectives</w:t>
      </w:r>
      <w:r>
        <w:rPr>
          <w:rFonts w:ascii="Calibri" w:eastAsia="Calibri" w:hAnsi="Calibri" w:cs="Times New Roman"/>
          <w:noProof/>
          <w:sz w:val="20"/>
          <w:lang w:val="en"/>
        </w:rPr>
        <w:t xml:space="preserve"> to ensure the </w:t>
      </w:r>
      <w:r>
        <w:rPr>
          <w:rFonts w:ascii="Calibri" w:eastAsia="Calibri" w:hAnsi="Calibri" w:cs="Times New Roman"/>
          <w:bCs/>
          <w:noProof/>
          <w:sz w:val="20"/>
          <w:lang w:val="en"/>
        </w:rPr>
        <w:t xml:space="preserve">long-term protection, conservation and survival of Europe's most valuable </w:t>
      </w:r>
      <w:r>
        <w:rPr>
          <w:rFonts w:ascii="Calibri" w:eastAsia="Calibri" w:hAnsi="Calibri" w:cs="Times New Roman"/>
          <w:bCs/>
          <w:noProof/>
          <w:sz w:val="20"/>
          <w:lang w:val="en"/>
        </w:rPr>
        <w:t>and threatened species and habitats</w:t>
      </w:r>
      <w:r>
        <w:rPr>
          <w:rFonts w:ascii="Calibri" w:eastAsia="Calibri" w:hAnsi="Calibri" w:cs="Times New Roman"/>
          <w:bCs/>
          <w:noProof/>
          <w:sz w:val="20"/>
          <w:szCs w:val="20"/>
          <w:lang w:val="en"/>
        </w:rPr>
        <w:t xml:space="preserve"> and the ecosystems they underpin.</w:t>
      </w:r>
    </w:p>
    <w:p w:rsidR="004A120F" w:rsidRDefault="000A0796">
      <w:pPr>
        <w:widowControl w:val="0"/>
        <w:spacing w:line="240" w:lineRule="auto"/>
        <w:jc w:val="both"/>
        <w:rPr>
          <w:rFonts w:ascii="Calibri" w:eastAsia="Calibri" w:hAnsi="Calibri" w:cs="Times New Roman"/>
          <w:noProof/>
          <w:sz w:val="20"/>
        </w:rPr>
      </w:pPr>
      <w:r>
        <w:rPr>
          <w:rFonts w:ascii="Calibri" w:eastAsia="Calibri" w:hAnsi="Calibri" w:cs="Times New Roman"/>
          <w:noProof/>
          <w:sz w:val="20"/>
          <w:lang w:eastAsia="en-GB"/>
        </w:rPr>
        <w:drawing>
          <wp:inline distT="0" distB="0" distL="0" distR="0" wp14:anchorId="6D974FFE" wp14:editId="60E4AD4C">
            <wp:extent cx="2962275" cy="1962150"/>
            <wp:effectExtent l="19050" t="0" r="9525" b="0"/>
            <wp:docPr id="19" name="Picture 14" descr="P:\ENV-E2\1. ENV IMPLEMENTATION REVIEW\EIR Data management\Pictures\Final versions\MT Landscape iStock_37395504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NV-E2\1. ENV IMPLEMENTATION REVIEW\EIR Data management\Pictures\Final versions\MT Landscape iStock_37395504_SMALL.jpg"/>
                    <pic:cNvPicPr>
                      <a:picLocks noChangeAspect="1" noChangeArrowheads="1"/>
                    </pic:cNvPicPr>
                  </pic:nvPicPr>
                  <pic:blipFill>
                    <a:blip r:embed="rId64" cstate="print"/>
                    <a:srcRect/>
                    <a:stretch>
                      <a:fillRect/>
                    </a:stretch>
                  </pic:blipFill>
                  <pic:spPr bwMode="auto">
                    <a:xfrm>
                      <a:off x="0" y="0"/>
                      <a:ext cx="2962275" cy="1962150"/>
                    </a:xfrm>
                    <a:prstGeom prst="rect">
                      <a:avLst/>
                    </a:prstGeom>
                    <a:noFill/>
                    <a:ln w="9525">
                      <a:noFill/>
                      <a:miter lim="800000"/>
                      <a:headEnd/>
                      <a:tailEnd/>
                    </a:ln>
                  </pic:spPr>
                </pic:pic>
              </a:graphicData>
            </a:graphic>
          </wp:inline>
        </w:drawing>
      </w:r>
      <w:r>
        <w:rPr>
          <w:rFonts w:ascii="Calibri" w:eastAsia="Calibri" w:hAnsi="Calibri" w:cs="Times New Roman"/>
          <w:noProof/>
          <w:sz w:val="20"/>
          <w:lang w:val="en"/>
        </w:rPr>
        <w:t>The adequate designation of protected sites as Special Ares of Conservation (SAC) under the Habitats Directive and as Special Protection Areas (SPA) under the Birds Directive is a key m</w:t>
      </w:r>
      <w:r>
        <w:rPr>
          <w:rFonts w:ascii="Calibri" w:eastAsia="Calibri" w:hAnsi="Calibri" w:cs="Times New Roman"/>
          <w:noProof/>
          <w:sz w:val="20"/>
          <w:lang w:val="en"/>
        </w:rPr>
        <w:t xml:space="preserve">ilestone towards meeting the objectives of the Directives. </w:t>
      </w:r>
      <w:r>
        <w:rPr>
          <w:rFonts w:ascii="Calibri" w:eastAsia="Calibri" w:hAnsi="Calibri" w:cs="Times New Roman"/>
          <w:noProof/>
          <w:sz w:val="20"/>
        </w:rPr>
        <w:t xml:space="preserve">The results of </w:t>
      </w:r>
      <w:r>
        <w:rPr>
          <w:rFonts w:ascii="Calibri" w:eastAsia="Calibri" w:hAnsi="Calibri" w:cs="Times New Roman"/>
          <w:noProof/>
          <w:sz w:val="20"/>
          <w:lang w:val="en-US"/>
        </w:rPr>
        <w:t>Habitats Directive Article 17 and Birds Directive Article 12</w:t>
      </w:r>
      <w:r>
        <w:rPr>
          <w:rFonts w:ascii="Calibri" w:eastAsia="Calibri" w:hAnsi="Calibri" w:cs="Times New Roman"/>
          <w:noProof/>
          <w:sz w:val="20"/>
        </w:rPr>
        <w:t xml:space="preserve"> reports and the progress towards adequate Sites of Community Importance (SCI)-SPA and SAC designation</w:t>
      </w:r>
      <w:r>
        <w:rPr>
          <w:rFonts w:ascii="Calibri" w:eastAsia="Calibri" w:hAnsi="Calibri" w:cs="Times New Roman"/>
          <w:noProof/>
          <w:sz w:val="20"/>
          <w:vertAlign w:val="superscript"/>
        </w:rPr>
        <w:footnoteReference w:id="23"/>
      </w:r>
      <w:r>
        <w:rPr>
          <w:rFonts w:ascii="Calibri" w:eastAsia="Calibri" w:hAnsi="Calibri" w:cs="Times New Roman"/>
          <w:noProof/>
          <w:sz w:val="20"/>
        </w:rPr>
        <w:t xml:space="preserve"> </w:t>
      </w:r>
      <w:r>
        <w:rPr>
          <w:rFonts w:ascii="Calibri" w:eastAsia="Calibri" w:hAnsi="Calibri" w:cs="Times New Roman"/>
          <w:noProof/>
          <w:sz w:val="20"/>
          <w:szCs w:val="20"/>
        </w:rPr>
        <w:t xml:space="preserve">both in land and at sea, </w:t>
      </w:r>
      <w:r>
        <w:rPr>
          <w:rFonts w:ascii="Calibri" w:eastAsia="Calibri" w:hAnsi="Calibri" w:cs="Times New Roman"/>
          <w:noProof/>
          <w:sz w:val="20"/>
        </w:rPr>
        <w:t>should be the key items to measure the performance of Member States.</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Malta hosts 30 habitat types and 52 species covered by the Habitats Directive. The country also hosts populations of 4 threatened bird species listed in the Birds</w:t>
      </w:r>
      <w:r>
        <w:rPr>
          <w:rFonts w:ascii="Calibri" w:eastAsia="Calibri" w:hAnsi="Calibri" w:cs="Times New Roman"/>
          <w:noProof/>
          <w:sz w:val="20"/>
        </w:rPr>
        <w:t xml:space="preserve"> Directive Annex I.</w:t>
      </w:r>
    </w:p>
    <w:p w:rsidR="004A120F" w:rsidRDefault="000A0796">
      <w:pPr>
        <w:widowControl w:val="0"/>
        <w:suppressLineNumbers/>
        <w:spacing w:line="240" w:lineRule="auto"/>
        <w:jc w:val="both"/>
        <w:rPr>
          <w:rFonts w:ascii="Calibri" w:eastAsia="Calibri" w:hAnsi="Calibri" w:cs="Times New Roman"/>
          <w:i/>
          <w:noProof/>
          <w:color w:val="FF0000"/>
          <w:sz w:val="18"/>
        </w:rPr>
      </w:pPr>
      <w:r>
        <w:rPr>
          <w:rFonts w:ascii="Calibri" w:eastAsia="Calibri" w:hAnsi="Calibri" w:cs="Times New Roman"/>
          <w:noProof/>
          <w:sz w:val="20"/>
        </w:rPr>
        <w:t>By early 2016, 13.2 % of the national land area of Malta was covered by Natura 2000 (EU average 18.1 %), with Birds Directive SPAs covering 4.2 % (EU average 12.3 %) and Habitats Directive SCIs covering 12.8 % (EU average 13.8 %).  Base</w:t>
      </w:r>
      <w:r>
        <w:rPr>
          <w:rFonts w:ascii="Calibri" w:eastAsia="Calibri" w:hAnsi="Calibri" w:cs="Times New Roman"/>
          <w:noProof/>
          <w:sz w:val="20"/>
        </w:rPr>
        <w:t>d on the situation until December 2014, while only few scientific reserves are found as concerns the terrestrial component of the SCIs network, there are major insufficiencies for the marine component of the SCIs part of the Natura 2000 network</w:t>
      </w:r>
      <w:r>
        <w:rPr>
          <w:rFonts w:ascii="Calibri" w:eastAsia="Calibri" w:hAnsi="Calibri" w:cs="Times New Roman"/>
          <w:noProof/>
          <w:sz w:val="20"/>
          <w:szCs w:val="20"/>
          <w:vertAlign w:val="superscript"/>
        </w:rPr>
        <w:footnoteReference w:id="24"/>
      </w:r>
      <w:r>
        <w:rPr>
          <w:rFonts w:ascii="Calibri" w:eastAsia="Calibri" w:hAnsi="Calibri" w:cs="Times New Roman"/>
          <w:noProof/>
          <w:sz w:val="20"/>
        </w:rPr>
        <w:t xml:space="preserve"> as depicte</w:t>
      </w:r>
      <w:r>
        <w:rPr>
          <w:rFonts w:ascii="Calibri" w:eastAsia="Calibri" w:hAnsi="Calibri" w:cs="Times New Roman"/>
          <w:noProof/>
          <w:sz w:val="20"/>
        </w:rPr>
        <w:t xml:space="preserve">d in Figure 5. </w:t>
      </w:r>
      <w:r>
        <w:rPr>
          <w:rFonts w:ascii="Calibri" w:eastAsia="Calibri" w:hAnsi="Calibri" w:cs="Times New Roman"/>
          <w:noProof/>
          <w:sz w:val="20"/>
          <w:vertAlign w:val="superscript"/>
        </w:rPr>
        <w:footnoteReference w:id="25"/>
      </w:r>
      <w:r>
        <w:rPr>
          <w:rStyle w:val="FootnoteReference"/>
          <w:rFonts w:ascii="Calibri" w:eastAsia="Calibri" w:hAnsi="Calibri" w:cs="Times New Roman"/>
          <w:noProof/>
          <w:sz w:val="20"/>
        </w:rPr>
        <w:footnoteReference w:id="26"/>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Although the 6-year deadline established by the Habitats Directive to designate SACs and establish appropriate conservation objectives and measures has expired, Malta has not designated any SAC and it has defined management plans only for</w:t>
      </w:r>
      <w:r>
        <w:rPr>
          <w:rFonts w:ascii="Calibri" w:eastAsia="Calibri" w:hAnsi="Calibri" w:cs="Times New Roman"/>
          <w:noProof/>
          <w:sz w:val="20"/>
        </w:rPr>
        <w:t xml:space="preserve"> 7 SCIs</w:t>
      </w:r>
      <w:r>
        <w:rPr>
          <w:rFonts w:ascii="Calibri" w:eastAsia="Calibri" w:hAnsi="Calibri" w:cs="Times New Roman"/>
          <w:noProof/>
          <w:sz w:val="20"/>
          <w:vertAlign w:val="superscript"/>
        </w:rPr>
        <w:footnoteReference w:id="27"/>
      </w:r>
      <w:r>
        <w:rPr>
          <w:rFonts w:ascii="Calibri" w:eastAsia="Calibri" w:hAnsi="Calibri" w:cs="Times New Roman"/>
          <w:noProof/>
          <w:sz w:val="20"/>
        </w:rPr>
        <w:t xml:space="preserve">; however, the government has informed that it is currently working on the draft management plans for the other areas.   </w:t>
      </w:r>
    </w:p>
    <w:p w:rsidR="004A120F" w:rsidRDefault="000A0796">
      <w:pPr>
        <w:widowControl w:val="0"/>
        <w:suppressLineNumbers/>
        <w:autoSpaceDE w:val="0"/>
        <w:autoSpaceDN w:val="0"/>
        <w:adjustRightInd w:val="0"/>
        <w:spacing w:line="240" w:lineRule="auto"/>
        <w:jc w:val="both"/>
        <w:rPr>
          <w:rFonts w:ascii="Calibri" w:eastAsia="Calibri" w:hAnsi="Calibri" w:cs="Times New Roman"/>
          <w:noProof/>
          <w:sz w:val="20"/>
          <w:szCs w:val="20"/>
        </w:rPr>
      </w:pPr>
      <w:r>
        <w:rPr>
          <w:rFonts w:ascii="Calibri" w:eastAsia="Calibri" w:hAnsi="Calibri" w:cs="Times New Roman"/>
          <w:noProof/>
          <w:sz w:val="20"/>
          <w:szCs w:val="20"/>
        </w:rPr>
        <w:t>According to the latest report on the conservation status of habitats and species covered by the Habitats Directive</w:t>
      </w:r>
      <w:r>
        <w:rPr>
          <w:rFonts w:ascii="Calibri" w:eastAsia="Calibri" w:hAnsi="Calibri" w:cs="Times New Roman"/>
          <w:noProof/>
          <w:sz w:val="20"/>
          <w:szCs w:val="20"/>
          <w:vertAlign w:val="superscript"/>
        </w:rPr>
        <w:footnoteReference w:id="28"/>
      </w:r>
      <w:r>
        <w:rPr>
          <w:rFonts w:ascii="Calibri" w:eastAsia="Calibri" w:hAnsi="Calibri" w:cs="Times New Roman"/>
          <w:noProof/>
          <w:sz w:val="20"/>
          <w:szCs w:val="20"/>
        </w:rPr>
        <w:t>, 43% of t</w:t>
      </w:r>
      <w:r>
        <w:rPr>
          <w:rFonts w:ascii="Calibri" w:eastAsia="Calibri" w:hAnsi="Calibri" w:cs="Times New Roman"/>
          <w:noProof/>
          <w:sz w:val="20"/>
          <w:szCs w:val="20"/>
        </w:rPr>
        <w:t>he habitats' biogeographic assessments were favourable in 2013 (EU 27: 16 %). On the other hand, 50 % are considered to be unfavourable–inadequate</w:t>
      </w:r>
      <w:r>
        <w:rPr>
          <w:rFonts w:ascii="Calibri" w:eastAsia="Calibri" w:hAnsi="Calibri" w:cs="Times New Roman"/>
          <w:noProof/>
          <w:sz w:val="20"/>
          <w:szCs w:val="20"/>
          <w:vertAlign w:val="superscript"/>
        </w:rPr>
        <w:footnoteReference w:id="29"/>
      </w:r>
      <w:r>
        <w:rPr>
          <w:rFonts w:ascii="Calibri" w:eastAsia="Calibri" w:hAnsi="Calibri" w:cs="Times New Roman"/>
          <w:noProof/>
          <w:sz w:val="20"/>
          <w:szCs w:val="20"/>
        </w:rPr>
        <w:t xml:space="preserve"> (EU27: 47%) and 7 % are unfavourable – bad (EU27: 30%). As for the species, 40 % of the assessments were fav</w:t>
      </w:r>
      <w:r>
        <w:rPr>
          <w:rFonts w:ascii="Calibri" w:eastAsia="Calibri" w:hAnsi="Calibri" w:cs="Times New Roman"/>
          <w:noProof/>
          <w:sz w:val="20"/>
          <w:szCs w:val="20"/>
        </w:rPr>
        <w:t>ourable in 2013 (EU 27: 23%) 37% at unfavourable-inadequate (EU27: 42%) and 8% unfavourable-bad status (EU27: 18%). This is depicted in Figure 6</w:t>
      </w:r>
      <w:r>
        <w:rPr>
          <w:rFonts w:ascii="Calibri" w:eastAsia="Calibri" w:hAnsi="Calibri" w:cs="Times New Roman"/>
          <w:noProof/>
          <w:sz w:val="20"/>
          <w:szCs w:val="20"/>
          <w:vertAlign w:val="superscript"/>
        </w:rPr>
        <w:footnoteReference w:id="30"/>
      </w:r>
      <w:r>
        <w:rPr>
          <w:rFonts w:ascii="Calibri" w:eastAsia="Calibri" w:hAnsi="Calibri" w:cs="Times New Roman"/>
          <w:noProof/>
          <w:sz w:val="20"/>
          <w:szCs w:val="20"/>
        </w:rPr>
        <w:t>. Only 9% of the unfavourable assessments for species were showing positive trends in 2013 and no habitats in u</w:t>
      </w:r>
      <w:r>
        <w:rPr>
          <w:rFonts w:ascii="Calibri" w:eastAsia="Calibri" w:hAnsi="Calibri" w:cs="Times New Roman"/>
          <w:noProof/>
          <w:sz w:val="20"/>
          <w:szCs w:val="20"/>
        </w:rPr>
        <w:t>nfavourable status was showing positive trends in 2013.</w:t>
      </w:r>
    </w:p>
    <w:tbl>
      <w:tblPr>
        <w:tblW w:w="0" w:type="auto"/>
        <w:tblLook w:val="04A0" w:firstRow="1" w:lastRow="0" w:firstColumn="1" w:lastColumn="0" w:noHBand="0" w:noVBand="1"/>
      </w:tblPr>
      <w:tblGrid>
        <w:gridCol w:w="4909"/>
      </w:tblGrid>
      <w:tr w:rsidR="004A120F">
        <w:tc>
          <w:tcPr>
            <w:tcW w:w="4909" w:type="dxa"/>
          </w:tcPr>
          <w:p w:rsidR="004A120F" w:rsidRDefault="000A0796">
            <w:pPr>
              <w:widowControl w:val="0"/>
              <w:suppressLineNumbers/>
              <w:spacing w:line="240" w:lineRule="auto"/>
              <w:jc w:val="both"/>
              <w:rPr>
                <w:rFonts w:ascii="Calibri" w:eastAsia="Calibri" w:hAnsi="Calibri" w:cs="Times New Roman"/>
                <w:b/>
                <w:bCs/>
                <w:noProof/>
                <w:color w:val="1F497D"/>
                <w:sz w:val="20"/>
              </w:rPr>
            </w:pPr>
            <w:r>
              <w:rPr>
                <w:rFonts w:ascii="Calibri" w:eastAsia="Calibri" w:hAnsi="Calibri" w:cs="Times New Roman"/>
                <w:b/>
                <w:bCs/>
                <w:noProof/>
                <w:color w:val="1F497D"/>
                <w:sz w:val="20"/>
              </w:rPr>
              <w:t xml:space="preserve">Figure 5: Sufficiency assessment of SCI networks in Malta </w:t>
            </w:r>
            <w:r>
              <w:rPr>
                <w:rFonts w:ascii="Calibri" w:eastAsia="Calibri" w:hAnsi="Calibri" w:cs="Times New Roman"/>
                <w:b/>
                <w:noProof/>
                <w:color w:val="1F497D"/>
                <w:sz w:val="20"/>
              </w:rPr>
              <w:t xml:space="preserve">based on the situation until December 2013 </w:t>
            </w:r>
            <w:r>
              <w:rPr>
                <w:rFonts w:ascii="Calibri" w:eastAsia="Calibri" w:hAnsi="Calibri" w:cs="Times New Roman"/>
                <w:b/>
                <w:bCs/>
                <w:noProof/>
                <w:color w:val="1F497D"/>
                <w:sz w:val="20"/>
              </w:rPr>
              <w:t>(%)</w:t>
            </w:r>
            <w:r>
              <w:rPr>
                <w:rFonts w:ascii="Calibri" w:eastAsia="Calibri" w:hAnsi="Calibri" w:cs="Times New Roman"/>
                <w:b/>
                <w:bCs/>
                <w:noProof/>
                <w:color w:val="1F497D"/>
                <w:sz w:val="20"/>
                <w:vertAlign w:val="superscript"/>
              </w:rPr>
              <w:footnoteReference w:id="31"/>
            </w:r>
            <w:r>
              <w:rPr>
                <w:rFonts w:ascii="Calibri" w:eastAsia="Calibri" w:hAnsi="Calibri" w:cs="Times New Roman"/>
                <w:b/>
                <w:bCs/>
                <w:noProof/>
                <w:color w:val="1F497D"/>
                <w:sz w:val="20"/>
              </w:rPr>
              <w:t xml:space="preserve"> </w:t>
            </w:r>
          </w:p>
        </w:tc>
      </w:tr>
      <w:tr w:rsidR="004A120F">
        <w:tc>
          <w:tcPr>
            <w:tcW w:w="4909" w:type="dxa"/>
          </w:tcPr>
          <w:p w:rsidR="004A120F" w:rsidRDefault="000A0796">
            <w:pPr>
              <w:widowControl w:val="0"/>
              <w:suppressLineNumbers/>
              <w:spacing w:line="240" w:lineRule="auto"/>
              <w:jc w:val="center"/>
              <w:rPr>
                <w:rFonts w:ascii="Calibri" w:eastAsia="Calibri" w:hAnsi="Calibri" w:cs="Times New Roman"/>
                <w:noProof/>
                <w:sz w:val="20"/>
              </w:rPr>
            </w:pPr>
            <w:r>
              <w:rPr>
                <w:rFonts w:ascii="Calibri" w:eastAsia="Calibri" w:hAnsi="Calibri" w:cs="Times New Roman"/>
                <w:noProof/>
                <w:sz w:val="20"/>
                <w:lang w:eastAsia="en-GB"/>
              </w:rPr>
              <w:drawing>
                <wp:inline distT="0" distB="0" distL="0" distR="0" wp14:anchorId="3FD91759" wp14:editId="066189E7">
                  <wp:extent cx="2466975" cy="2771775"/>
                  <wp:effectExtent l="19050" t="0" r="9525"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srcRect/>
                          <a:stretch>
                            <a:fillRect/>
                          </a:stretch>
                        </pic:blipFill>
                        <pic:spPr bwMode="auto">
                          <a:xfrm>
                            <a:off x="0" y="0"/>
                            <a:ext cx="2466975" cy="2771775"/>
                          </a:xfrm>
                          <a:prstGeom prst="rect">
                            <a:avLst/>
                          </a:prstGeom>
                          <a:noFill/>
                          <a:ln w="9525">
                            <a:noFill/>
                            <a:miter lim="800000"/>
                            <a:headEnd/>
                            <a:tailEnd/>
                          </a:ln>
                        </pic:spPr>
                      </pic:pic>
                    </a:graphicData>
                  </a:graphic>
                </wp:inline>
              </w:drawing>
            </w:r>
          </w:p>
        </w:tc>
      </w:tr>
    </w:tbl>
    <w:p w:rsidR="004A120F" w:rsidRDefault="000A0796">
      <w:pPr>
        <w:widowControl w:val="0"/>
        <w:suppressLineNumbers/>
        <w:autoSpaceDE w:val="0"/>
        <w:autoSpaceDN w:val="0"/>
        <w:adjustRightInd w:val="0"/>
        <w:spacing w:line="240" w:lineRule="auto"/>
        <w:jc w:val="both"/>
        <w:rPr>
          <w:rFonts w:ascii="Calibri" w:eastAsia="Calibri" w:hAnsi="Calibri" w:cs="Times New Roman"/>
          <w:noProof/>
          <w:sz w:val="20"/>
        </w:rPr>
      </w:pPr>
      <w:r>
        <w:rPr>
          <w:rFonts w:ascii="Calibri" w:eastAsia="Calibri" w:hAnsi="Calibri" w:cs="Times New Roman"/>
          <w:noProof/>
          <w:sz w:val="20"/>
        </w:rPr>
        <w:t xml:space="preserve">The main pressures and threats for habitats identified in the 2013 report were human </w:t>
      </w:r>
      <w:r>
        <w:rPr>
          <w:rFonts w:ascii="Calibri" w:eastAsia="Calibri" w:hAnsi="Calibri" w:cs="Times New Roman"/>
          <w:noProof/>
          <w:sz w:val="20"/>
        </w:rPr>
        <w:t>intrusions and disturbances, geological events, natural catastrophes, and invasive, other problematic species and genes. The main pressures and threats for species were natural biotic and abiotic processes, invasive, other problematic species and genes, an</w:t>
      </w:r>
      <w:r>
        <w:rPr>
          <w:rFonts w:ascii="Calibri" w:eastAsia="Calibri" w:hAnsi="Calibri" w:cs="Times New Roman"/>
          <w:noProof/>
          <w:sz w:val="20"/>
        </w:rPr>
        <w:t>d human intrusions and disturbances.</w:t>
      </w:r>
    </w:p>
    <w:p w:rsidR="004A120F" w:rsidRDefault="000A0796">
      <w:pPr>
        <w:widowControl w:val="0"/>
        <w:suppressLineNumbers/>
        <w:autoSpaceDE w:val="0"/>
        <w:autoSpaceDN w:val="0"/>
        <w:adjustRightInd w:val="0"/>
        <w:spacing w:after="0" w:line="240" w:lineRule="auto"/>
        <w:jc w:val="both"/>
        <w:rPr>
          <w:rFonts w:ascii="Calibri" w:eastAsia="Calibri" w:hAnsi="Calibri" w:cs="Times New Roman"/>
          <w:noProof/>
          <w:sz w:val="20"/>
          <w:szCs w:val="20"/>
        </w:rPr>
      </w:pPr>
      <w:r>
        <w:rPr>
          <w:rFonts w:ascii="Calibri" w:eastAsia="Calibri" w:hAnsi="Calibri" w:cs="Times New Roman"/>
          <w:noProof/>
          <w:sz w:val="20"/>
        </w:rPr>
        <w:t>Malta has over the past three years strengthened the enforcement system to reduce bird-related crime, including, in particular, illegal killing of protected species. However, concerns regarding the implementation of the</w:t>
      </w:r>
      <w:r>
        <w:rPr>
          <w:rFonts w:ascii="Calibri" w:eastAsia="Calibri" w:hAnsi="Calibri" w:cs="Times New Roman"/>
          <w:noProof/>
          <w:sz w:val="20"/>
        </w:rPr>
        <w:t xml:space="preserve"> Birds Directive in Malta remain, in particular in relation to the regular use of hunting and trapping derogations, and to the reported incidents the enforcement authorities are confronted with. These have generated many complaints from Maltese and EU citi</w:t>
      </w:r>
      <w:r>
        <w:rPr>
          <w:rFonts w:ascii="Calibri" w:eastAsia="Calibri" w:hAnsi="Calibri" w:cs="Times New Roman"/>
          <w:noProof/>
          <w:sz w:val="20"/>
        </w:rPr>
        <w:t>zens to the European Commission, and resulted in several infringement procedures.</w:t>
      </w:r>
      <w:r>
        <w:rPr>
          <w:rFonts w:ascii="Calibri" w:eastAsia="Calibri" w:hAnsi="Calibri" w:cs="Times New Roman"/>
          <w:noProof/>
          <w:sz w:val="20"/>
          <w:szCs w:val="20"/>
          <w:vertAlign w:val="superscript"/>
        </w:rPr>
        <w:footnoteReference w:id="32"/>
      </w:r>
      <w:r>
        <w:rPr>
          <w:rFonts w:ascii="Calibri" w:eastAsia="Calibri" w:hAnsi="Calibri" w:cs="Times New Roman"/>
          <w:noProof/>
          <w:sz w:val="20"/>
          <w:szCs w:val="20"/>
        </w:rPr>
        <w:t>.</w:t>
      </w:r>
    </w:p>
    <w:tbl>
      <w:tblPr>
        <w:tblW w:w="0" w:type="auto"/>
        <w:tblLook w:val="04A0" w:firstRow="1" w:lastRow="0" w:firstColumn="1" w:lastColumn="0" w:noHBand="0" w:noVBand="1"/>
      </w:tblPr>
      <w:tblGrid>
        <w:gridCol w:w="4909"/>
      </w:tblGrid>
      <w:tr w:rsidR="004A120F">
        <w:tc>
          <w:tcPr>
            <w:tcW w:w="4909" w:type="dxa"/>
          </w:tcPr>
          <w:p w:rsidR="004A120F" w:rsidRDefault="000A0796">
            <w:pPr>
              <w:widowControl w:val="0"/>
              <w:suppressLineNumbers/>
              <w:spacing w:line="240" w:lineRule="auto"/>
              <w:jc w:val="both"/>
              <w:rPr>
                <w:rFonts w:ascii="Calibri" w:eastAsia="Calibri" w:hAnsi="Calibri" w:cs="Times New Roman"/>
                <w:b/>
                <w:bCs/>
                <w:noProof/>
                <w:color w:val="1F497D"/>
                <w:sz w:val="20"/>
              </w:rPr>
            </w:pPr>
            <w:r>
              <w:rPr>
                <w:rFonts w:ascii="Calibri" w:eastAsia="Calibri" w:hAnsi="Calibri" w:cs="Times New Roman"/>
                <w:b/>
                <w:bCs/>
                <w:noProof/>
                <w:color w:val="1F497D"/>
                <w:sz w:val="20"/>
              </w:rPr>
              <w:t>Figure 6: Conservation status of habitats and species in Malta in 2007/2013 (%)</w:t>
            </w:r>
            <w:r>
              <w:rPr>
                <w:rFonts w:ascii="Calibri" w:eastAsia="Calibri" w:hAnsi="Calibri" w:cs="Times New Roman"/>
                <w:b/>
                <w:bCs/>
                <w:noProof/>
                <w:color w:val="1F497D"/>
                <w:sz w:val="20"/>
                <w:vertAlign w:val="superscript"/>
              </w:rPr>
              <w:footnoteReference w:id="33"/>
            </w:r>
          </w:p>
        </w:tc>
      </w:tr>
      <w:tr w:rsidR="004A120F">
        <w:tc>
          <w:tcPr>
            <w:tcW w:w="4909" w:type="dxa"/>
          </w:tcPr>
          <w:p w:rsidR="004A120F" w:rsidRDefault="000A0796">
            <w:pPr>
              <w:widowControl w:val="0"/>
              <w:suppressLineNumbers/>
              <w:spacing w:line="240" w:lineRule="auto"/>
              <w:jc w:val="center"/>
              <w:rPr>
                <w:rFonts w:ascii="Calibri" w:eastAsia="Calibri" w:hAnsi="Calibri" w:cs="Times New Roman"/>
                <w:noProof/>
                <w:sz w:val="20"/>
              </w:rPr>
            </w:pPr>
            <w:r>
              <w:rPr>
                <w:rFonts w:ascii="Calibri" w:eastAsia="Calibri" w:hAnsi="Calibri" w:cs="Times New Roman"/>
                <w:noProof/>
                <w:sz w:val="20"/>
                <w:lang w:eastAsia="en-GB"/>
              </w:rPr>
              <w:drawing>
                <wp:inline distT="0" distB="0" distL="0" distR="0" wp14:anchorId="66F40ADA" wp14:editId="3B514648">
                  <wp:extent cx="2629666" cy="2933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33529" cy="2938010"/>
                          </a:xfrm>
                          <a:prstGeom prst="rect">
                            <a:avLst/>
                          </a:prstGeom>
                          <a:noFill/>
                        </pic:spPr>
                      </pic:pic>
                    </a:graphicData>
                  </a:graphic>
                </wp:inline>
              </w:drawing>
            </w:r>
          </w:p>
        </w:tc>
      </w:tr>
      <w:tr w:rsidR="004A120F">
        <w:tc>
          <w:tcPr>
            <w:tcW w:w="4909" w:type="dxa"/>
          </w:tcPr>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 xml:space="preserve">Figure 7 illustrates that bird species breeding in Malta show overall a favourable </w:t>
            </w:r>
            <w:r>
              <w:rPr>
                <w:rFonts w:ascii="Calibri" w:eastAsia="Calibri" w:hAnsi="Calibri" w:cs="Times New Roman"/>
                <w:noProof/>
                <w:sz w:val="20"/>
              </w:rPr>
              <w:t>situation, although 12% of the species has decreasing populations. On the three wintering species, short term trends are unknown.</w:t>
            </w:r>
          </w:p>
          <w:p w:rsidR="004A120F" w:rsidRDefault="000A0796">
            <w:pPr>
              <w:widowControl w:val="0"/>
              <w:suppressLineNumbers/>
              <w:spacing w:line="240" w:lineRule="auto"/>
              <w:jc w:val="both"/>
              <w:rPr>
                <w:rFonts w:ascii="Calibri" w:eastAsia="Calibri" w:hAnsi="Calibri" w:cs="Times New Roman"/>
                <w:noProof/>
                <w:color w:val="1F497D"/>
                <w:sz w:val="20"/>
              </w:rPr>
            </w:pPr>
            <w:r>
              <w:rPr>
                <w:rFonts w:ascii="Calibri" w:eastAsia="Calibri" w:hAnsi="Calibri" w:cs="Times New Roman"/>
                <w:b/>
                <w:bCs/>
                <w:noProof/>
                <w:color w:val="1F497D"/>
                <w:sz w:val="20"/>
              </w:rPr>
              <w:t>Figure 7: Short-term population trend of breeding and wintering bird species in Malta in 2012 (%)</w:t>
            </w:r>
            <w:r>
              <w:rPr>
                <w:rFonts w:ascii="Calibri" w:eastAsia="Calibri" w:hAnsi="Calibri" w:cs="Times New Roman"/>
                <w:b/>
                <w:bCs/>
                <w:noProof/>
                <w:color w:val="1F497D"/>
                <w:sz w:val="20"/>
                <w:vertAlign w:val="superscript"/>
              </w:rPr>
              <w:footnoteReference w:id="34"/>
            </w:r>
          </w:p>
        </w:tc>
      </w:tr>
      <w:tr w:rsidR="004A120F">
        <w:tc>
          <w:tcPr>
            <w:tcW w:w="4909" w:type="dxa"/>
          </w:tcPr>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lang w:eastAsia="en-GB"/>
              </w:rPr>
              <w:drawing>
                <wp:inline distT="0" distB="0" distL="0" distR="0" wp14:anchorId="38020003" wp14:editId="3FC75459">
                  <wp:extent cx="2895600" cy="194310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2895600" cy="1943100"/>
                          </a:xfrm>
                          <a:prstGeom prst="rect">
                            <a:avLst/>
                          </a:prstGeom>
                          <a:noFill/>
                          <a:ln w="9525">
                            <a:noFill/>
                            <a:miter lim="800000"/>
                            <a:headEnd/>
                            <a:tailEnd/>
                          </a:ln>
                        </pic:spPr>
                      </pic:pic>
                    </a:graphicData>
                  </a:graphic>
                </wp:inline>
              </w:drawing>
            </w:r>
          </w:p>
        </w:tc>
      </w:tr>
    </w:tbl>
    <w:p w:rsidR="004A120F" w:rsidRDefault="000A0796">
      <w:pPr>
        <w:widowControl w:val="0"/>
        <w:suppressLineNumbers/>
        <w:spacing w:line="240" w:lineRule="auto"/>
        <w:jc w:val="both"/>
        <w:rPr>
          <w:rFonts w:ascii="Calibri" w:eastAsia="Calibri" w:hAnsi="Calibri" w:cs="Times New Roman"/>
          <w:b/>
          <w:noProof/>
          <w:sz w:val="20"/>
        </w:rPr>
      </w:pPr>
      <w:r>
        <w:rPr>
          <w:rFonts w:ascii="Calibri" w:eastAsia="Calibri" w:hAnsi="Calibri" w:cs="Calibri"/>
          <w:noProof/>
          <w:color w:val="1F497D"/>
          <w:szCs w:val="26"/>
        </w:rPr>
        <w:t>Suggested action</w:t>
      </w:r>
    </w:p>
    <w:p w:rsidR="004A120F" w:rsidRDefault="000A0796">
      <w:pPr>
        <w:pStyle w:val="SuggActions"/>
        <w:rPr>
          <w:i/>
          <w:noProof/>
        </w:rPr>
      </w:pPr>
      <w:bookmarkStart w:id="25" w:name="_Toc433296161"/>
      <w:r>
        <w:rPr>
          <w:noProof/>
        </w:rPr>
        <w:t>Comple</w:t>
      </w:r>
      <w:r>
        <w:rPr>
          <w:noProof/>
        </w:rPr>
        <w:t xml:space="preserve">te the Natura 2000 designation process and put in place clearly defined conservation objectives and the necessary conservation measures for the sites and provide adequate resources for their implementation in order to maintain/restore species and habitats </w:t>
      </w:r>
      <w:r>
        <w:rPr>
          <w:noProof/>
        </w:rPr>
        <w:t xml:space="preserve">of community interest to a favourable conservation status across their natural range. </w:t>
      </w:r>
    </w:p>
    <w:p w:rsidR="004A120F" w:rsidRDefault="000A0796">
      <w:pPr>
        <w:pStyle w:val="SuggActions"/>
        <w:rPr>
          <w:noProof/>
        </w:rPr>
      </w:pPr>
      <w:r>
        <w:rPr>
          <w:noProof/>
        </w:rPr>
        <w:t>Develop and promote smart and streamlined implementation approaches, in particular as regards site and species permitting procedures, ensuring the necessary knowledge an</w:t>
      </w:r>
      <w:r>
        <w:rPr>
          <w:noProof/>
        </w:rPr>
        <w:t>d data availability. Strengthen communication with stakeholders.</w:t>
      </w:r>
    </w:p>
    <w:p w:rsidR="004A120F" w:rsidRDefault="000A0796">
      <w:pPr>
        <w:pStyle w:val="SuggActions"/>
        <w:rPr>
          <w:noProof/>
        </w:rPr>
      </w:pPr>
      <w:r>
        <w:rPr>
          <w:noProof/>
        </w:rPr>
        <w:t xml:space="preserve">Ensure that hunting and trapping practices remain aligned to the requirements of the Birds Directive by continuing the enforcement efforts, more effective regulation and also by investing in </w:t>
      </w:r>
      <w:r>
        <w:rPr>
          <w:noProof/>
        </w:rPr>
        <w:t>education and awareness-raising programs.</w:t>
      </w:r>
    </w:p>
    <w:p w:rsidR="004A120F" w:rsidRDefault="000A0796">
      <w:pPr>
        <w:widowControl w:val="0"/>
        <w:suppressLineNumbers/>
        <w:spacing w:before="240" w:line="240" w:lineRule="auto"/>
        <w:outlineLvl w:val="1"/>
        <w:rPr>
          <w:rFonts w:ascii="Calibri" w:eastAsia="Calibri" w:hAnsi="Calibri" w:cs="Times New Roman"/>
          <w:b/>
          <w:noProof/>
          <w:color w:val="1F497D"/>
          <w:szCs w:val="24"/>
          <w:lang w:eastAsia="en-GB"/>
        </w:rPr>
      </w:pPr>
      <w:bookmarkStart w:id="26" w:name="_Toc469477807"/>
      <w:r>
        <w:rPr>
          <w:rFonts w:ascii="Calibri" w:eastAsia="Calibri" w:hAnsi="Calibri" w:cs="Times New Roman"/>
          <w:b/>
          <w:noProof/>
          <w:color w:val="1F497D"/>
          <w:szCs w:val="24"/>
          <w:lang w:eastAsia="en-GB"/>
        </w:rPr>
        <w:t>Estimating Natural Capital</w:t>
      </w:r>
      <w:bookmarkEnd w:id="26"/>
      <w:r>
        <w:rPr>
          <w:rFonts w:ascii="Calibri" w:eastAsia="Calibri" w:hAnsi="Calibri" w:cs="Times New Roman"/>
          <w:b/>
          <w:noProof/>
          <w:color w:val="1F497D"/>
          <w:szCs w:val="24"/>
          <w:lang w:eastAsia="en-GB"/>
        </w:rPr>
        <w:t xml:space="preserve">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The EU Biodiversity Strategy to 2020 calls on the Member States to map and asses the state of ecosystems and their services</w:t>
      </w:r>
      <w:r>
        <w:rPr>
          <w:rFonts w:ascii="Calibri" w:eastAsia="Calibri" w:hAnsi="Calibri" w:cs="Times New Roman"/>
          <w:noProof/>
          <w:sz w:val="20"/>
          <w:vertAlign w:val="superscript"/>
        </w:rPr>
        <w:footnoteReference w:id="35"/>
      </w:r>
      <w:r>
        <w:rPr>
          <w:rFonts w:ascii="Calibri" w:eastAsia="Calibri" w:hAnsi="Calibri" w:cs="Times New Roman"/>
          <w:noProof/>
          <w:sz w:val="20"/>
        </w:rPr>
        <w:t xml:space="preserve"> in their national territory by 2014, assess the economic value of such services, and promote the integration of these values into accounting and reporting systems at EU and national level by 2020.</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 xml:space="preserve">Malta has carried out a preliminary identification of key </w:t>
      </w:r>
      <w:r>
        <w:rPr>
          <w:rFonts w:ascii="Calibri" w:eastAsia="Calibri" w:hAnsi="Calibri" w:cs="Times New Roman"/>
          <w:noProof/>
          <w:sz w:val="20"/>
        </w:rPr>
        <w:t>ecosystems and ecosystem services and work has commenced to implement the measures relating to MAES</w:t>
      </w:r>
      <w:r>
        <w:rPr>
          <w:rFonts w:ascii="Calibri" w:eastAsia="Calibri" w:hAnsi="Calibri" w:cs="Times New Roman"/>
          <w:noProof/>
          <w:sz w:val="20"/>
          <w:vertAlign w:val="superscript"/>
        </w:rPr>
        <w:footnoteReference w:id="36"/>
      </w:r>
      <w:r>
        <w:rPr>
          <w:rFonts w:ascii="Calibri" w:eastAsia="Calibri" w:hAnsi="Calibri" w:cs="Times New Roman"/>
          <w:noProof/>
          <w:sz w:val="20"/>
        </w:rPr>
        <w:t xml:space="preserve"> in Malta’s National Biodiversity Strategy and Action Plan 2012-2020. This work involves prioritising ecosystems and ecosystem services for mapping and asse</w:t>
      </w:r>
      <w:r>
        <w:rPr>
          <w:rFonts w:ascii="Calibri" w:eastAsia="Calibri" w:hAnsi="Calibri" w:cs="Times New Roman"/>
          <w:noProof/>
          <w:sz w:val="20"/>
        </w:rPr>
        <w:t>ssment.</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 xml:space="preserve">Work on natural capital accounting is at an initial stage of development. </w:t>
      </w:r>
    </w:p>
    <w:p w:rsidR="004A120F" w:rsidRDefault="000A0796">
      <w:pPr>
        <w:widowControl w:val="0"/>
        <w:suppressLineNumbers/>
        <w:spacing w:line="240" w:lineRule="auto"/>
        <w:jc w:val="both"/>
        <w:rPr>
          <w:rFonts w:ascii="Calibri" w:eastAsia="Calibri" w:hAnsi="Calibri" w:cs="Calibri"/>
          <w:noProof/>
          <w:color w:val="1F497D"/>
          <w:szCs w:val="26"/>
        </w:rPr>
      </w:pPr>
      <w:r>
        <w:rPr>
          <w:rFonts w:ascii="Calibri" w:eastAsia="Calibri" w:hAnsi="Calibri" w:cs="Calibri"/>
          <w:noProof/>
          <w:color w:val="1F497D"/>
          <w:szCs w:val="26"/>
        </w:rPr>
        <w:t>Suggested action</w:t>
      </w:r>
    </w:p>
    <w:p w:rsidR="004A120F" w:rsidRDefault="000A0796">
      <w:pPr>
        <w:pStyle w:val="SuggActions"/>
        <w:rPr>
          <w:noProof/>
        </w:rPr>
      </w:pPr>
      <w:r>
        <w:rPr>
          <w:noProof/>
        </w:rPr>
        <w:t>Strengthen support for the mapping and assessment of ecosystems and their services, valuation and development of natural capital accounting systems.</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lang w:eastAsia="en-GB"/>
        </w:rPr>
        <w:drawing>
          <wp:inline distT="0" distB="0" distL="0" distR="0" wp14:anchorId="5CFBAB54" wp14:editId="3DE89CEB">
            <wp:extent cx="3028950" cy="1838660"/>
            <wp:effectExtent l="0" t="0" r="0" b="9525"/>
            <wp:docPr id="25" name="Picture 13" descr="P:\ENV-E2\1. ENV IMPLEMENTATION REVIEW\EIR Data management\Pictures\Final versions\MT Sea iStock_15137405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NV-E2\1. ENV IMPLEMENTATION REVIEW\EIR Data management\Pictures\Final versions\MT Sea iStock_15137405_SMALL.jpg"/>
                    <pic:cNvPicPr>
                      <a:picLocks noChangeAspect="1" noChangeArrowheads="1"/>
                    </pic:cNvPicPr>
                  </pic:nvPicPr>
                  <pic:blipFill>
                    <a:blip r:embed="rId68" cstate="print"/>
                    <a:srcRect/>
                    <a:stretch>
                      <a:fillRect/>
                    </a:stretch>
                  </pic:blipFill>
                  <pic:spPr bwMode="auto">
                    <a:xfrm>
                      <a:off x="0" y="0"/>
                      <a:ext cx="3033311" cy="1841307"/>
                    </a:xfrm>
                    <a:prstGeom prst="rect">
                      <a:avLst/>
                    </a:prstGeom>
                    <a:noFill/>
                    <a:ln w="9525">
                      <a:noFill/>
                      <a:miter lim="800000"/>
                      <a:headEnd/>
                      <a:tailEnd/>
                    </a:ln>
                  </pic:spPr>
                </pic:pic>
              </a:graphicData>
            </a:graphic>
          </wp:inline>
        </w:drawing>
      </w:r>
    </w:p>
    <w:p w:rsidR="004A120F" w:rsidRDefault="004A120F">
      <w:pPr>
        <w:widowControl w:val="0"/>
        <w:suppressLineNumbers/>
        <w:spacing w:before="240" w:line="240" w:lineRule="auto"/>
        <w:outlineLvl w:val="1"/>
        <w:rPr>
          <w:rFonts w:ascii="Calibri" w:eastAsia="Calibri" w:hAnsi="Calibri" w:cs="Times New Roman"/>
          <w:b/>
          <w:noProof/>
          <w:color w:val="1F497D"/>
          <w:sz w:val="24"/>
          <w:szCs w:val="24"/>
          <w:lang w:eastAsia="en-GB"/>
        </w:rPr>
      </w:pPr>
      <w:bookmarkStart w:id="27" w:name="_Toc469477808"/>
    </w:p>
    <w:p w:rsidR="004A120F" w:rsidRDefault="004A120F">
      <w:pPr>
        <w:widowControl w:val="0"/>
        <w:suppressLineNumbers/>
        <w:spacing w:before="240" w:line="240" w:lineRule="auto"/>
        <w:outlineLvl w:val="1"/>
        <w:rPr>
          <w:rFonts w:ascii="Calibri" w:eastAsia="Calibri" w:hAnsi="Calibri" w:cs="Times New Roman"/>
          <w:b/>
          <w:noProof/>
          <w:color w:val="1F497D"/>
          <w:sz w:val="24"/>
          <w:szCs w:val="24"/>
          <w:lang w:eastAsia="en-GB"/>
        </w:rPr>
      </w:pPr>
    </w:p>
    <w:p w:rsidR="004A120F" w:rsidRDefault="000A0796">
      <w:pPr>
        <w:widowControl w:val="0"/>
        <w:suppressLineNumbers/>
        <w:spacing w:before="240" w:line="240" w:lineRule="auto"/>
        <w:outlineLvl w:val="1"/>
        <w:rPr>
          <w:rFonts w:ascii="Calibri" w:eastAsia="Calibri" w:hAnsi="Calibri" w:cs="Times New Roman"/>
          <w:b/>
          <w:noProof/>
          <w:color w:val="1F497D"/>
          <w:sz w:val="24"/>
          <w:szCs w:val="24"/>
          <w:lang w:eastAsia="en-GB"/>
        </w:rPr>
      </w:pPr>
      <w:r>
        <w:rPr>
          <w:rFonts w:ascii="Calibri" w:eastAsia="Calibri" w:hAnsi="Calibri" w:cs="Times New Roman"/>
          <w:b/>
          <w:noProof/>
          <w:color w:val="1F497D"/>
          <w:sz w:val="24"/>
          <w:szCs w:val="24"/>
          <w:lang w:eastAsia="en-GB"/>
        </w:rPr>
        <w:t>Gre</w:t>
      </w:r>
      <w:r>
        <w:rPr>
          <w:rFonts w:ascii="Calibri" w:eastAsia="Calibri" w:hAnsi="Calibri" w:cs="Times New Roman"/>
          <w:b/>
          <w:noProof/>
          <w:color w:val="1F497D"/>
          <w:sz w:val="24"/>
          <w:szCs w:val="24"/>
          <w:lang w:eastAsia="en-GB"/>
        </w:rPr>
        <w:t>en Infrastructure</w:t>
      </w:r>
      <w:bookmarkEnd w:id="27"/>
      <w:r>
        <w:rPr>
          <w:rFonts w:ascii="Calibri" w:eastAsia="Calibri" w:hAnsi="Calibri" w:cs="Times New Roman"/>
          <w:b/>
          <w:noProof/>
          <w:color w:val="1F497D"/>
          <w:sz w:val="24"/>
          <w:szCs w:val="24"/>
          <w:lang w:eastAsia="en-GB"/>
        </w:rPr>
        <w:t xml:space="preserve"> </w:t>
      </w:r>
    </w:p>
    <w:p w:rsidR="004A120F" w:rsidRDefault="000A0796">
      <w:pPr>
        <w:widowControl w:val="0"/>
        <w:shd w:val="clear" w:color="auto" w:fill="4F81BD"/>
        <w:spacing w:before="24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rPr>
        <w:t>The EU strategy on green infrastructure</w:t>
      </w:r>
      <w:r>
        <w:rPr>
          <w:rFonts w:ascii="Calibri" w:eastAsia="Calibri" w:hAnsi="Calibri" w:cs="Times New Roman"/>
          <w:noProof/>
          <w:color w:val="FFFFFF"/>
          <w:sz w:val="20"/>
          <w:vertAlign w:val="superscript"/>
        </w:rPr>
        <w:footnoteReference w:id="37"/>
      </w:r>
      <w:r>
        <w:rPr>
          <w:rFonts w:ascii="Calibri" w:eastAsia="Calibri" w:hAnsi="Calibri" w:cs="Times New Roman"/>
          <w:noProof/>
          <w:color w:val="FFFFFF"/>
          <w:sz w:val="20"/>
        </w:rPr>
        <w:t xml:space="preserve"> promotes the </w:t>
      </w:r>
      <w:r>
        <w:rPr>
          <w:rFonts w:ascii="Calibri" w:eastAsia="Calibri" w:hAnsi="Calibri" w:cs="Times New Roman"/>
          <w:noProof/>
          <w:color w:val="FFFFFF"/>
          <w:sz w:val="20"/>
          <w:lang w:eastAsia="ar-SA"/>
        </w:rPr>
        <w:t xml:space="preserve">incorporation of green infrastructure into related plans and programmes to help overcome fragmentation of habitats and preserve or restore ecological connectivity, enhance ecosystem </w:t>
      </w:r>
      <w:r>
        <w:rPr>
          <w:rFonts w:ascii="Calibri" w:eastAsia="Calibri" w:hAnsi="Calibri" w:cs="Times New Roman"/>
          <w:noProof/>
          <w:color w:val="FFFFFF"/>
          <w:sz w:val="20"/>
          <w:lang w:eastAsia="ar-SA"/>
        </w:rPr>
        <w:t>resilience and thereby ensure the continued provision of ecosystem services.</w:t>
      </w:r>
    </w:p>
    <w:p w:rsidR="004A120F" w:rsidRDefault="000A0796">
      <w:pPr>
        <w:widowControl w:val="0"/>
        <w:spacing w:line="240" w:lineRule="auto"/>
        <w:jc w:val="both"/>
        <w:rPr>
          <w:rFonts w:ascii="Calibri" w:eastAsia="Calibri" w:hAnsi="Calibri" w:cs="Times New Roman"/>
          <w:noProof/>
          <w:sz w:val="20"/>
        </w:rPr>
      </w:pPr>
      <w:r>
        <w:rPr>
          <w:rFonts w:ascii="Calibri" w:eastAsia="Calibri" w:hAnsi="Calibri" w:cs="Times New Roman"/>
          <w:noProof/>
          <w:sz w:val="20"/>
        </w:rPr>
        <w:t>Green Infrastructure provides ecological, economic and social benefits through natural solutions. It helps to understand the value of the benefits that nature provides to human so</w:t>
      </w:r>
      <w:r>
        <w:rPr>
          <w:rFonts w:ascii="Calibri" w:eastAsia="Calibri" w:hAnsi="Calibri" w:cs="Times New Roman"/>
          <w:noProof/>
          <w:sz w:val="20"/>
        </w:rPr>
        <w:t>ciety and to mobilise investments to sustain and enhance them.</w:t>
      </w:r>
    </w:p>
    <w:p w:rsidR="004A120F" w:rsidRDefault="000A0796">
      <w:pPr>
        <w:spacing w:line="240" w:lineRule="auto"/>
        <w:jc w:val="both"/>
        <w:rPr>
          <w:rFonts w:ascii="Calibri" w:eastAsia="Calibri" w:hAnsi="Calibri" w:cs="Times New Roman"/>
          <w:noProof/>
          <w:sz w:val="20"/>
        </w:rPr>
      </w:pPr>
      <w:r>
        <w:rPr>
          <w:rFonts w:ascii="Calibri" w:eastAsia="Calibri" w:hAnsi="Calibri" w:cs="Times New Roman"/>
          <w:noProof/>
          <w:sz w:val="20"/>
        </w:rPr>
        <w:t>Malta’s National Biodiversity Strategy and Action Plan 2012-2020 explicitly address Green Infrastructure and connectivity. Green infrastructure and references to “greening open spaces”; “develo</w:t>
      </w:r>
      <w:r>
        <w:rPr>
          <w:rFonts w:ascii="Calibri" w:eastAsia="Calibri" w:hAnsi="Calibri" w:cs="Times New Roman"/>
          <w:noProof/>
          <w:sz w:val="20"/>
        </w:rPr>
        <w:t>ping ecological corridors” and “improving the quality of design, and life, in urban areas, by providing quality green open areas" are included in the Strategic Plan for the Environment and Development (SPED) for Malta and Malta’s National strategy on Clima</w:t>
      </w:r>
      <w:r>
        <w:rPr>
          <w:rFonts w:ascii="Calibri" w:eastAsia="Calibri" w:hAnsi="Calibri" w:cs="Times New Roman"/>
          <w:noProof/>
          <w:sz w:val="20"/>
        </w:rPr>
        <w:t xml:space="preserve">te Change Adaptation. </w:t>
      </w:r>
      <w:r>
        <w:rPr>
          <w:rFonts w:ascii="Calibri" w:eastAsia="Calibri" w:hAnsi="Calibri" w:cs="Times New Roman"/>
          <w:noProof/>
          <w:sz w:val="20"/>
          <w:szCs w:val="20"/>
        </w:rPr>
        <w:t xml:space="preserve">The National Environment Policy </w:t>
      </w:r>
      <w:r>
        <w:rPr>
          <w:rFonts w:ascii="Calibri" w:eastAsia="Calibri" w:hAnsi="Calibri" w:cs="Times New Roman"/>
          <w:noProof/>
          <w:sz w:val="20"/>
        </w:rPr>
        <w:t>also promotes green, connected urban open space (measure 2.2.21) and the policy on greening our cities in section 2.4.</w:t>
      </w:r>
      <w:r>
        <w:rPr>
          <w:rFonts w:ascii="Calibri" w:eastAsia="Calibri" w:hAnsi="Calibri" w:cs="Times New Roman"/>
          <w:noProof/>
          <w:sz w:val="20"/>
          <w:vertAlign w:val="superscript"/>
        </w:rPr>
        <w:t xml:space="preserve"> </w:t>
      </w:r>
      <w:r>
        <w:rPr>
          <w:rFonts w:ascii="Calibri" w:eastAsia="Calibri" w:hAnsi="Calibri" w:cs="Times New Roman"/>
          <w:noProof/>
          <w:sz w:val="20"/>
          <w:vertAlign w:val="superscript"/>
        </w:rPr>
        <w:footnoteReference w:id="38"/>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Currently, Malta’s Green infrastructure is seen as a holistic framework for impro</w:t>
      </w:r>
      <w:r>
        <w:rPr>
          <w:rFonts w:ascii="Calibri" w:eastAsia="Calibri" w:hAnsi="Calibri" w:cs="Times New Roman"/>
          <w:noProof/>
          <w:sz w:val="20"/>
        </w:rPr>
        <w:t>ving the ecological coherence of Natura 2000 via its integration into the broader landscape, and as a result curbing habitat fragmentation; improving adaptation to climate change; and promoting integrated flood management.</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Implementation of Green Infrastru</w:t>
      </w:r>
      <w:r>
        <w:rPr>
          <w:rFonts w:ascii="Calibri" w:eastAsia="Calibri" w:hAnsi="Calibri" w:cs="Times New Roman"/>
          <w:noProof/>
          <w:sz w:val="20"/>
        </w:rPr>
        <w:t>cture policy has only recently started in Malta, therefore much remains to be done. An example of good practice is the national policy to protect ecological corridors in the form of rubble walls in agricultural areas. These traditional stone walls, which a</w:t>
      </w:r>
      <w:r>
        <w:rPr>
          <w:rFonts w:ascii="Calibri" w:eastAsia="Calibri" w:hAnsi="Calibri" w:cs="Times New Roman"/>
          <w:noProof/>
          <w:sz w:val="20"/>
        </w:rPr>
        <w:t>re found throughout Malta, are a good example of how integrated design of Green Infrastructure helps to deliver multiple benefits such as storm water management, maintenance of the water table and interconnected wildlife refuges and benefit agriculture pro</w:t>
      </w:r>
      <w:r>
        <w:rPr>
          <w:rFonts w:ascii="Calibri" w:eastAsia="Calibri" w:hAnsi="Calibri" w:cs="Times New Roman"/>
          <w:noProof/>
          <w:sz w:val="20"/>
        </w:rPr>
        <w:t>duction and minimising soil erosion.</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Malta has also benefitted from a number of LIFE projects dedicated to conservation and improvement of the coastal areas. As a country that relies heavily on its marine natural capital for trade and for tourism, investme</w:t>
      </w:r>
      <w:r>
        <w:rPr>
          <w:rFonts w:ascii="Calibri" w:eastAsia="Calibri" w:hAnsi="Calibri" w:cs="Times New Roman"/>
          <w:noProof/>
          <w:sz w:val="20"/>
        </w:rPr>
        <w:t>nt in the coastal areas has generated benefits for nature, for the local economy and for jobs.</w:t>
      </w:r>
    </w:p>
    <w:p w:rsidR="004A120F" w:rsidRDefault="004A120F">
      <w:pPr>
        <w:widowControl w:val="0"/>
        <w:suppressLineNumbers/>
        <w:spacing w:before="240" w:after="0" w:line="240" w:lineRule="auto"/>
        <w:outlineLvl w:val="1"/>
        <w:rPr>
          <w:rFonts w:ascii="Calibri" w:eastAsia="Calibri" w:hAnsi="Calibri" w:cs="Times New Roman"/>
          <w:b/>
          <w:noProof/>
          <w:color w:val="1F497D"/>
          <w:sz w:val="24"/>
          <w:szCs w:val="24"/>
          <w:lang w:eastAsia="en-GB"/>
        </w:rPr>
      </w:pPr>
      <w:bookmarkStart w:id="28" w:name="_Toc469477809"/>
    </w:p>
    <w:p w:rsidR="004A120F" w:rsidRDefault="000A0796">
      <w:pPr>
        <w:widowControl w:val="0"/>
        <w:suppressLineNumbers/>
        <w:spacing w:before="240" w:after="0" w:line="240" w:lineRule="auto"/>
        <w:outlineLvl w:val="1"/>
        <w:rPr>
          <w:rFonts w:ascii="Calibri" w:eastAsia="Calibri" w:hAnsi="Calibri" w:cs="Times New Roman"/>
          <w:b/>
          <w:noProof/>
          <w:color w:val="1F497D"/>
          <w:sz w:val="24"/>
          <w:szCs w:val="24"/>
          <w:lang w:eastAsia="en-GB"/>
        </w:rPr>
      </w:pPr>
      <w:r>
        <w:rPr>
          <w:rFonts w:ascii="Calibri" w:eastAsia="Calibri" w:hAnsi="Calibri" w:cs="Times New Roman"/>
          <w:b/>
          <w:noProof/>
          <w:color w:val="1F497D"/>
          <w:sz w:val="24"/>
          <w:szCs w:val="24"/>
          <w:lang w:eastAsia="en-GB"/>
        </w:rPr>
        <w:t>Soil protection</w:t>
      </w:r>
      <w:bookmarkEnd w:id="28"/>
      <w:r>
        <w:rPr>
          <w:rFonts w:ascii="Calibri" w:eastAsia="Calibri" w:hAnsi="Calibri" w:cs="Times New Roman"/>
          <w:b/>
          <w:noProof/>
          <w:color w:val="1F497D"/>
          <w:sz w:val="24"/>
          <w:szCs w:val="24"/>
          <w:lang w:eastAsia="en-GB"/>
        </w:rPr>
        <w:t xml:space="preserve"> </w:t>
      </w:r>
    </w:p>
    <w:p w:rsidR="004A120F" w:rsidRDefault="000A0796">
      <w:pPr>
        <w:widowControl w:val="0"/>
        <w:shd w:val="clear" w:color="auto" w:fill="4F81BD"/>
        <w:spacing w:before="240" w:line="240" w:lineRule="auto"/>
        <w:jc w:val="both"/>
        <w:rPr>
          <w:rFonts w:ascii="Calibri" w:eastAsia="Calibri" w:hAnsi="Calibri" w:cs="Times New Roman"/>
          <w:noProof/>
          <w:color w:val="FFFFFF"/>
          <w:sz w:val="20"/>
        </w:rPr>
      </w:pPr>
      <w:r>
        <w:rPr>
          <w:rFonts w:ascii="Calibri" w:eastAsia="Calibri" w:hAnsi="Calibri" w:cs="Times New Roman"/>
          <w:noProof/>
          <w:color w:val="FFFFFF"/>
          <w:sz w:val="20"/>
        </w:rPr>
        <w:t xml:space="preserve">The EU Soil Thematic Strategy highlights the need to ensure a sustainable use of soils. This requires the prevention of further soil </w:t>
      </w:r>
      <w:r>
        <w:rPr>
          <w:rFonts w:ascii="Calibri" w:eastAsia="Calibri" w:hAnsi="Calibri" w:cs="Times New Roman"/>
          <w:noProof/>
          <w:color w:val="FFFFFF"/>
          <w:sz w:val="20"/>
        </w:rPr>
        <w:t>degradation and the preservation of its functions, as well as the restoration of degraded soils. The 2011 Road Map for Resource-Efficient Europe, part of Europe 2020 Strategy provides that by 2020, EU policies take into account their direct and indirect im</w:t>
      </w:r>
      <w:r>
        <w:rPr>
          <w:rFonts w:ascii="Calibri" w:eastAsia="Calibri" w:hAnsi="Calibri" w:cs="Times New Roman"/>
          <w:noProof/>
          <w:color w:val="FFFFFF"/>
          <w:sz w:val="20"/>
        </w:rPr>
        <w:t>pact on land use in the EU and globally, and the rate of land take is on track with an aim to achieve no net land take by 2050.</w:t>
      </w:r>
    </w:p>
    <w:p w:rsidR="004A120F" w:rsidRDefault="000A0796">
      <w:pPr>
        <w:widowControl w:val="0"/>
        <w:shd w:val="clear" w:color="auto" w:fill="4F81BD"/>
        <w:suppressAutoHyphens/>
        <w:spacing w:line="240" w:lineRule="auto"/>
        <w:jc w:val="both"/>
        <w:rPr>
          <w:rFonts w:ascii="Calibri" w:eastAsia="Calibri" w:hAnsi="Calibri" w:cs="Times New Roman"/>
          <w:noProof/>
          <w:color w:val="FFFFFF"/>
          <w:sz w:val="20"/>
          <w:szCs w:val="20"/>
          <w:lang w:eastAsia="ar-SA"/>
        </w:rPr>
      </w:pPr>
      <w:r>
        <w:rPr>
          <w:rFonts w:ascii="Calibri" w:eastAsia="Calibri" w:hAnsi="Calibri" w:cs="Times New Roman"/>
          <w:noProof/>
          <w:color w:val="FFFFFF"/>
          <w:sz w:val="20"/>
          <w:lang w:eastAsia="ar-SA"/>
        </w:rPr>
        <w:t>SDG 15 requires countries to combat desertification, restore degraded land and soil, including land affected by desertification,</w:t>
      </w:r>
      <w:r>
        <w:rPr>
          <w:rFonts w:ascii="Calibri" w:eastAsia="Calibri" w:hAnsi="Calibri" w:cs="Times New Roman"/>
          <w:noProof/>
          <w:color w:val="FFFFFF"/>
          <w:sz w:val="20"/>
          <w:lang w:eastAsia="ar-SA"/>
        </w:rPr>
        <w:t xml:space="preserve"> drought and floods, and strive to achieve a land-degradation-neutral world by 2030.</w:t>
      </w:r>
    </w:p>
    <w:p w:rsidR="004A120F" w:rsidRDefault="000A0796">
      <w:pPr>
        <w:widowControl w:val="0"/>
        <w:spacing w:before="120" w:line="240" w:lineRule="auto"/>
        <w:jc w:val="both"/>
        <w:rPr>
          <w:noProof/>
          <w:sz w:val="20"/>
          <w:lang w:eastAsia="en-GB"/>
        </w:rPr>
      </w:pPr>
      <w:r>
        <w:rPr>
          <w:noProof/>
          <w:sz w:val="20"/>
          <w:lang w:eastAsia="en-GB"/>
        </w:rPr>
        <w:t xml:space="preserve">Soil is an important resource for life and the economy. It provides key ecosystem services including the provision of food, fibre and biomass for renewable energy, carbon </w:t>
      </w:r>
      <w:r>
        <w:rPr>
          <w:noProof/>
          <w:sz w:val="20"/>
          <w:lang w:eastAsia="en-GB"/>
        </w:rPr>
        <w:t xml:space="preserve">sequestration, water purification and flood regulation, the provision of raw and building material. Soil is a finite and extremely fragile resource and increasingly degrading in the EU. Land taken by urban development and infrastructure is highly unlikely </w:t>
      </w:r>
      <w:r>
        <w:rPr>
          <w:noProof/>
          <w:sz w:val="20"/>
          <w:lang w:eastAsia="en-GB"/>
        </w:rPr>
        <w:t>to be reverted to its natural state; it consumes mostly agricultural land and increases fragmentation of habitats. Soil protection is indirectly addressed in existing EU policies in areas such as agriculture, water, waste, chemicals, and prevention of indu</w:t>
      </w:r>
      <w:r>
        <w:rPr>
          <w:noProof/>
          <w:sz w:val="20"/>
          <w:lang w:eastAsia="en-GB"/>
        </w:rPr>
        <w:t>strial pollution.</w:t>
      </w:r>
    </w:p>
    <w:p w:rsidR="004A120F" w:rsidRDefault="000A0796">
      <w:pPr>
        <w:widowControl w:val="0"/>
        <w:spacing w:line="240" w:lineRule="auto"/>
        <w:jc w:val="both"/>
        <w:rPr>
          <w:rFonts w:ascii="Calibri" w:eastAsia="Calibri" w:hAnsi="Calibri" w:cs="Times New Roman"/>
          <w:noProof/>
          <w:sz w:val="20"/>
          <w:szCs w:val="20"/>
        </w:rPr>
      </w:pPr>
      <w:r>
        <w:rPr>
          <w:rFonts w:ascii="Calibri" w:eastAsia="Calibri" w:hAnsi="Calibri" w:cs="Times New Roman"/>
          <w:noProof/>
          <w:sz w:val="20"/>
          <w:szCs w:val="20"/>
        </w:rPr>
        <w:t>The annual land take rate (growth of artificial areas) as provided by CORINE Land Cover was 0.03% in Malta over the period 2006-12, well below the EU average (0.41%). It represented 3 hectares per year</w:t>
      </w:r>
      <w:r>
        <w:rPr>
          <w:rFonts w:ascii="Calibri" w:eastAsia="Calibri" w:hAnsi="Calibri" w:cs="Times New Roman"/>
          <w:noProof/>
          <w:sz w:val="20"/>
          <w:szCs w:val="20"/>
          <w:vertAlign w:val="superscript"/>
        </w:rPr>
        <w:footnoteReference w:id="39"/>
      </w:r>
      <w:r>
        <w:rPr>
          <w:rFonts w:ascii="Calibri" w:eastAsia="Calibri" w:hAnsi="Calibri" w:cs="Times New Roman"/>
          <w:noProof/>
          <w:sz w:val="20"/>
          <w:szCs w:val="20"/>
        </w:rPr>
        <w:t>. The percentage of built up land in</w:t>
      </w:r>
      <w:r>
        <w:rPr>
          <w:rFonts w:ascii="Calibri" w:eastAsia="Calibri" w:hAnsi="Calibri" w:cs="Times New Roman"/>
          <w:noProof/>
          <w:sz w:val="20"/>
          <w:szCs w:val="20"/>
        </w:rPr>
        <w:t xml:space="preserve"> 2009 was 15.23%, well above the EU average (3.23%)</w:t>
      </w:r>
      <w:r>
        <w:rPr>
          <w:rFonts w:cs="Times New Roman"/>
          <w:noProof/>
          <w:sz w:val="20"/>
          <w:szCs w:val="20"/>
          <w:vertAlign w:val="superscript"/>
        </w:rPr>
        <w:footnoteReference w:id="40"/>
      </w:r>
      <w:r>
        <w:rPr>
          <w:rFonts w:ascii="Calibri" w:eastAsia="Calibri" w:hAnsi="Calibri" w:cs="Times New Roman"/>
          <w:noProof/>
          <w:sz w:val="20"/>
          <w:szCs w:val="20"/>
        </w:rPr>
        <w:t xml:space="preserve">. </w:t>
      </w:r>
      <w:r>
        <w:rPr>
          <w:rFonts w:ascii="Calibri" w:eastAsia="Calibri" w:hAnsi="Calibri" w:cs="Times New Roman"/>
          <w:noProof/>
          <w:sz w:val="20"/>
        </w:rPr>
        <w:t>The soil water erosion rate in 2010 was 5.39 tonnes per ha per year, well above EU-28 average (2.46 tonnes)</w:t>
      </w:r>
      <w:r>
        <w:rPr>
          <w:rFonts w:ascii="Calibri" w:eastAsia="Calibri" w:hAnsi="Calibri" w:cs="Times New Roman"/>
          <w:noProof/>
          <w:sz w:val="20"/>
          <w:vertAlign w:val="superscript"/>
        </w:rPr>
        <w:footnoteReference w:id="41"/>
      </w:r>
      <w:r>
        <w:rPr>
          <w:rFonts w:ascii="Calibri" w:eastAsia="Calibri" w:hAnsi="Calibri" w:cs="Times New Roman"/>
          <w:noProof/>
          <w:sz w:val="20"/>
        </w:rPr>
        <w:t xml:space="preserve">.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Figure 8 shows the different land cover types in Malta in 2012.</w:t>
      </w:r>
    </w:p>
    <w:p w:rsidR="004A120F" w:rsidRDefault="000A0796">
      <w:pPr>
        <w:widowControl w:val="0"/>
        <w:suppressLineNumbers/>
        <w:spacing w:line="240" w:lineRule="auto"/>
        <w:jc w:val="both"/>
        <w:rPr>
          <w:rFonts w:ascii="Calibri" w:eastAsia="Calibri" w:hAnsi="Calibri" w:cs="Times New Roman"/>
          <w:noProof/>
          <w:sz w:val="20"/>
        </w:rPr>
      </w:pPr>
      <w:bookmarkStart w:id="29" w:name="_Toc454460681"/>
      <w:bookmarkEnd w:id="25"/>
      <w:r>
        <w:rPr>
          <w:rFonts w:ascii="Calibri" w:eastAsia="Calibri" w:hAnsi="Calibri" w:cs="Times New Roman"/>
          <w:noProof/>
          <w:sz w:val="20"/>
          <w:lang w:eastAsia="en-GB"/>
        </w:rPr>
        <w:t xml:space="preserve">There are still not EU-wide datasets enabling the provision of benchmark indicators for soil organic matter decline, contaminated sites, pressures on soil biology and diffuse pollution. </w:t>
      </w:r>
      <w:r>
        <w:rPr>
          <w:rFonts w:ascii="Calibri" w:eastAsia="Calibri" w:hAnsi="Calibri" w:cs="Times New Roman"/>
          <w:noProof/>
          <w:sz w:val="20"/>
        </w:rPr>
        <w:t>An updated inventory and assessment of soil protection policy instrume</w:t>
      </w:r>
      <w:r>
        <w:rPr>
          <w:rFonts w:ascii="Calibri" w:eastAsia="Calibri" w:hAnsi="Calibri" w:cs="Times New Roman"/>
          <w:noProof/>
          <w:sz w:val="20"/>
        </w:rPr>
        <w:t>nts in Malta and other EU Member States is being performed by the EU Expert Group on Soil Protection.</w:t>
      </w:r>
    </w:p>
    <w:p w:rsidR="004A120F" w:rsidRDefault="004A120F">
      <w:pPr>
        <w:widowControl w:val="0"/>
        <w:suppressLineNumbers/>
        <w:spacing w:line="240" w:lineRule="auto"/>
        <w:jc w:val="both"/>
        <w:rPr>
          <w:rFonts w:ascii="Calibri" w:eastAsia="Calibri" w:hAnsi="Calibri" w:cs="Times New Roman"/>
          <w:noProof/>
          <w:sz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4A120F">
        <w:tc>
          <w:tcPr>
            <w:tcW w:w="4909" w:type="dxa"/>
          </w:tcPr>
          <w:p w:rsidR="004A120F" w:rsidRDefault="000A0796">
            <w:pPr>
              <w:widowControl w:val="0"/>
              <w:spacing w:after="0"/>
              <w:jc w:val="both"/>
              <w:rPr>
                <w:b/>
                <w:bCs/>
                <w:noProof/>
                <w:color w:val="1F497D"/>
              </w:rPr>
            </w:pPr>
            <w:r>
              <w:rPr>
                <w:b/>
                <w:bCs/>
                <w:noProof/>
                <w:color w:val="1F497D"/>
              </w:rPr>
              <w:t>Figure 8: Land Cover types in Malta in 2012</w:t>
            </w:r>
            <w:r>
              <w:rPr>
                <w:b/>
                <w:bCs/>
                <w:noProof/>
                <w:color w:val="1F497D"/>
                <w:vertAlign w:val="superscript"/>
              </w:rPr>
              <w:footnoteReference w:id="42"/>
            </w:r>
          </w:p>
        </w:tc>
      </w:tr>
      <w:tr w:rsidR="004A120F">
        <w:tc>
          <w:tcPr>
            <w:tcW w:w="4909" w:type="dxa"/>
          </w:tcPr>
          <w:p w:rsidR="004A120F" w:rsidRDefault="000A0796">
            <w:pPr>
              <w:widowControl w:val="0"/>
              <w:jc w:val="both"/>
              <w:rPr>
                <w:noProof/>
              </w:rPr>
            </w:pPr>
            <w:r>
              <w:rPr>
                <w:rFonts w:ascii="Arial" w:hAnsi="Arial" w:cs="Arial"/>
                <w:noProof/>
              </w:rPr>
              <w:drawing>
                <wp:inline distT="0" distB="0" distL="0" distR="0" wp14:anchorId="1FD8B053" wp14:editId="56F12888">
                  <wp:extent cx="3067050" cy="3648075"/>
                  <wp:effectExtent l="0" t="0" r="0" b="9525"/>
                  <wp:docPr id="30" name="Picture 30" descr="MT_CS_CLC_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_CS_CLC_typ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67050" cy="3648075"/>
                          </a:xfrm>
                          <a:prstGeom prst="rect">
                            <a:avLst/>
                          </a:prstGeom>
                          <a:noFill/>
                          <a:ln>
                            <a:noFill/>
                          </a:ln>
                        </pic:spPr>
                      </pic:pic>
                    </a:graphicData>
                  </a:graphic>
                </wp:inline>
              </w:drawing>
            </w:r>
          </w:p>
        </w:tc>
      </w:tr>
    </w:tbl>
    <w:p w:rsidR="004A120F" w:rsidRDefault="000A0796">
      <w:pPr>
        <w:widowControl w:val="0"/>
        <w:suppressLineNumbers/>
        <w:spacing w:before="240" w:line="240" w:lineRule="auto"/>
        <w:outlineLvl w:val="1"/>
        <w:rPr>
          <w:rFonts w:ascii="Calibri" w:eastAsia="Calibri" w:hAnsi="Calibri" w:cs="Times New Roman"/>
          <w:b/>
          <w:noProof/>
          <w:color w:val="1F497D"/>
          <w:sz w:val="24"/>
          <w:szCs w:val="24"/>
          <w:lang w:eastAsia="en-GB"/>
        </w:rPr>
      </w:pPr>
      <w:bookmarkStart w:id="30" w:name="_Toc469477810"/>
      <w:r>
        <w:rPr>
          <w:rFonts w:ascii="Calibri" w:eastAsia="Calibri" w:hAnsi="Calibri" w:cs="Times New Roman"/>
          <w:b/>
          <w:noProof/>
          <w:color w:val="1F497D"/>
          <w:sz w:val="24"/>
          <w:szCs w:val="24"/>
          <w:lang w:eastAsia="en-GB"/>
        </w:rPr>
        <w:t>Marine protection</w:t>
      </w:r>
      <w:bookmarkEnd w:id="29"/>
      <w:bookmarkEnd w:id="30"/>
    </w:p>
    <w:p w:rsidR="004A120F" w:rsidRDefault="000A0796">
      <w:pPr>
        <w:widowControl w:val="0"/>
        <w:suppressLineNumbers/>
        <w:shd w:val="clear" w:color="auto" w:fill="4F81BD"/>
        <w:spacing w:line="240" w:lineRule="auto"/>
        <w:jc w:val="both"/>
        <w:rPr>
          <w:rFonts w:ascii="Calibri" w:eastAsia="Calibri" w:hAnsi="Calibri" w:cs="Times New Roman"/>
          <w:noProof/>
          <w:color w:val="FFFFFF"/>
          <w:sz w:val="20"/>
        </w:rPr>
      </w:pPr>
      <w:r>
        <w:rPr>
          <w:rFonts w:ascii="Calibri" w:eastAsia="Calibri" w:hAnsi="Calibri" w:cs="Times New Roman"/>
          <w:noProof/>
          <w:color w:val="FFFFFF"/>
          <w:sz w:val="20"/>
        </w:rPr>
        <w:t xml:space="preserve">The EU Coastal and Marine Policy and legislation require that by 2020 the impact of </w:t>
      </w:r>
      <w:r>
        <w:rPr>
          <w:rFonts w:ascii="Calibri" w:eastAsia="Calibri" w:hAnsi="Calibri" w:cs="Times New Roman"/>
          <w:noProof/>
          <w:color w:val="FFFFFF"/>
          <w:sz w:val="20"/>
        </w:rPr>
        <w:t>pressures on marine waters is reduced to achieve or maintain good environmental status and coastal zones are managed sustainably.</w:t>
      </w:r>
    </w:p>
    <w:p w:rsidR="004A120F" w:rsidRDefault="000A0796">
      <w:pPr>
        <w:widowControl w:val="0"/>
        <w:suppressLineNumbers/>
        <w:shd w:val="clear" w:color="auto" w:fill="4F81BD"/>
        <w:spacing w:line="240" w:lineRule="auto"/>
        <w:jc w:val="both"/>
        <w:rPr>
          <w:rFonts w:ascii="Calibri" w:eastAsia="Calibri" w:hAnsi="Calibri" w:cs="Times New Roman"/>
          <w:noProof/>
          <w:color w:val="FFFFFF"/>
          <w:sz w:val="20"/>
        </w:rPr>
      </w:pPr>
      <w:r>
        <w:rPr>
          <w:rFonts w:ascii="Calibri" w:eastAsia="Calibri" w:hAnsi="Calibri" w:cs="Times New Roman"/>
          <w:noProof/>
          <w:color w:val="FFFFFF"/>
          <w:sz w:val="20"/>
        </w:rPr>
        <w:t>SDG 14 requires countries to conserve and sustainably use the oceans, seas and marine resources for sustainable development.</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T</w:t>
      </w:r>
      <w:r>
        <w:rPr>
          <w:rFonts w:ascii="Calibri" w:eastAsia="Calibri" w:hAnsi="Calibri" w:cs="Times New Roman"/>
          <w:noProof/>
          <w:sz w:val="20"/>
        </w:rPr>
        <w:t>he Marine Strategy Framework Directive (MSFD)</w:t>
      </w:r>
      <w:r>
        <w:rPr>
          <w:rFonts w:ascii="Calibri" w:eastAsia="Calibri" w:hAnsi="Calibri" w:cs="Times New Roman"/>
          <w:noProof/>
          <w:sz w:val="20"/>
          <w:vertAlign w:val="superscript"/>
        </w:rPr>
        <w:footnoteReference w:id="43"/>
      </w:r>
      <w:r>
        <w:rPr>
          <w:rFonts w:ascii="Calibri" w:eastAsia="Calibri" w:hAnsi="Calibri" w:cs="Times New Roman"/>
          <w:noProof/>
          <w:sz w:val="20"/>
        </w:rPr>
        <w:t xml:space="preserve"> aims to achieve Good Environmental Status (GES)</w:t>
      </w:r>
      <w:r>
        <w:rPr>
          <w:rFonts w:ascii="Calibri" w:eastAsia="Calibri" w:hAnsi="Calibri" w:cs="Times New Roman"/>
          <w:noProof/>
          <w:color w:val="000000"/>
          <w:sz w:val="20"/>
          <w:vertAlign w:val="superscript"/>
        </w:rPr>
        <w:t xml:space="preserve"> </w:t>
      </w:r>
      <w:r>
        <w:rPr>
          <w:rFonts w:ascii="Calibri" w:eastAsia="Calibri" w:hAnsi="Calibri" w:cs="Times New Roman"/>
          <w:noProof/>
          <w:color w:val="000000"/>
          <w:sz w:val="20"/>
          <w:vertAlign w:val="superscript"/>
        </w:rPr>
        <w:footnoteReference w:id="44"/>
      </w:r>
      <w:r>
        <w:rPr>
          <w:rFonts w:ascii="Calibri" w:eastAsia="Calibri" w:hAnsi="Calibri" w:cs="Times New Roman"/>
          <w:noProof/>
          <w:sz w:val="20"/>
        </w:rPr>
        <w:t xml:space="preserve"> of the EU's marine waters by 2020 by providing an ecosystem approach to the management of human activities with impact on the marine environment. The Directive</w:t>
      </w:r>
      <w:r>
        <w:rPr>
          <w:rFonts w:ascii="Calibri" w:eastAsia="Calibri" w:hAnsi="Calibri" w:cs="Times New Roman"/>
          <w:noProof/>
          <w:sz w:val="20"/>
        </w:rPr>
        <w:t xml:space="preserve"> requires Member States to develop and implement a marine strategy for their marine waters, and cooperate with Member States sharing the same marine region or subregion.</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As part of their marine strategies, Member States had to make an initial assessment of</w:t>
      </w:r>
      <w:r>
        <w:rPr>
          <w:rFonts w:ascii="Calibri" w:eastAsia="Calibri" w:hAnsi="Calibri" w:cs="Times New Roman"/>
          <w:noProof/>
          <w:sz w:val="20"/>
        </w:rPr>
        <w:t xml:space="preserve"> their marine waters, determine GES and establish environmental targets by July 2012. They also had to establish monitoring programmes for the on-going assessment of their marine waters by July 2014. The next element of their marine strategy is to establis</w:t>
      </w:r>
      <w:r>
        <w:rPr>
          <w:rFonts w:ascii="Calibri" w:eastAsia="Calibri" w:hAnsi="Calibri" w:cs="Times New Roman"/>
          <w:noProof/>
          <w:sz w:val="20"/>
        </w:rPr>
        <w:t>h a Programme of Measures (2016). The Commission assesses whether these elements constitute an appropriate framework to meet the requirements of the MSFD.</w:t>
      </w:r>
    </w:p>
    <w:p w:rsidR="004A120F" w:rsidRDefault="000A0796">
      <w:pPr>
        <w:widowControl w:val="0"/>
        <w:suppressLineNumbers/>
        <w:spacing w:line="240" w:lineRule="auto"/>
        <w:jc w:val="both"/>
        <w:rPr>
          <w:rFonts w:ascii="Calibri" w:eastAsia="Calibri" w:hAnsi="Calibri" w:cs="Times New Roman"/>
          <w:noProof/>
          <w:color w:val="FF0000"/>
          <w:sz w:val="20"/>
        </w:rPr>
      </w:pPr>
      <w:r>
        <w:rPr>
          <w:rFonts w:ascii="Calibri" w:eastAsia="Calibri" w:hAnsi="Calibri" w:cs="Times New Roman"/>
          <w:noProof/>
          <w:color w:val="FF0000"/>
          <w:sz w:val="20"/>
          <w:lang w:eastAsia="en-GB"/>
        </w:rPr>
        <w:drawing>
          <wp:inline distT="0" distB="0" distL="0" distR="0" wp14:anchorId="7CACD513" wp14:editId="0D773AC8">
            <wp:extent cx="2980055" cy="1942272"/>
            <wp:effectExtent l="0" t="0" r="0" b="1270"/>
            <wp:docPr id="34" name="Picture 15" descr="P:\ENV-E2\1. ENV IMPLEMENTATION REVIEW\EIR Data management\Pictures\LIFE pictures\Pictures_by_Country2\Malta\LIFE11 NAT-MT-00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NV-E2\1. ENV IMPLEMENTATION REVIEW\EIR Data management\Pictures\LIFE pictures\Pictures_by_Country2\Malta\LIFE11 NAT-MT-001070.jpg"/>
                    <pic:cNvPicPr>
                      <a:picLocks noChangeAspect="1" noChangeArrowheads="1"/>
                    </pic:cNvPicPr>
                  </pic:nvPicPr>
                  <pic:blipFill>
                    <a:blip r:embed="rId70" cstate="print"/>
                    <a:srcRect/>
                    <a:stretch>
                      <a:fillRect/>
                    </a:stretch>
                  </pic:blipFill>
                  <pic:spPr bwMode="auto">
                    <a:xfrm>
                      <a:off x="0" y="0"/>
                      <a:ext cx="2980055" cy="1942272"/>
                    </a:xfrm>
                    <a:prstGeom prst="rect">
                      <a:avLst/>
                    </a:prstGeom>
                    <a:noFill/>
                    <a:ln w="9525">
                      <a:noFill/>
                      <a:miter lim="800000"/>
                      <a:headEnd/>
                      <a:tailEnd/>
                    </a:ln>
                  </pic:spPr>
                </pic:pic>
              </a:graphicData>
            </a:graphic>
          </wp:inline>
        </w:drawing>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lang w:val="en-US"/>
        </w:rPr>
        <w:t>Malta's marine waters are part of the marine region of the Mediterranean Sea. Malta is party to the</w:t>
      </w:r>
      <w:r>
        <w:rPr>
          <w:rFonts w:ascii="Calibri" w:eastAsia="Calibri" w:hAnsi="Calibri" w:cs="Times New Roman"/>
          <w:noProof/>
          <w:sz w:val="20"/>
          <w:lang w:val="en-US"/>
        </w:rPr>
        <w:t xml:space="preserve"> </w:t>
      </w:r>
      <w:r>
        <w:rPr>
          <w:rFonts w:ascii="Calibri" w:eastAsia="Calibri" w:hAnsi="Calibri" w:cs="Times New Roman"/>
          <w:bCs/>
          <w:noProof/>
          <w:sz w:val="20"/>
        </w:rPr>
        <w:t>Convention for the Protection of the Marine Environment and the Coastal Region of the Mediterranean</w:t>
      </w:r>
      <w:r>
        <w:rPr>
          <w:rFonts w:ascii="Calibri" w:eastAsia="Calibri" w:hAnsi="Calibri" w:cs="Times New Roman"/>
          <w:noProof/>
          <w:sz w:val="20"/>
        </w:rPr>
        <w:t xml:space="preserve"> (</w:t>
      </w:r>
      <w:r>
        <w:rPr>
          <w:rFonts w:ascii="Calibri" w:eastAsia="Calibri" w:hAnsi="Calibri" w:cs="Times New Roman"/>
          <w:noProof/>
          <w:sz w:val="20"/>
          <w:lang w:val="en-US"/>
        </w:rPr>
        <w:t xml:space="preserve">Barcelona Convention). </w:t>
      </w:r>
      <w:r>
        <w:rPr>
          <w:rFonts w:ascii="Calibri" w:eastAsia="Times New Roman" w:hAnsi="Calibri" w:cs="Times New Roman"/>
          <w:noProof/>
          <w:sz w:val="20"/>
        </w:rPr>
        <w:t xml:space="preserve">The Mediterranean Sea region has been identified by the EEA in its 2015 State of the Environment report as one of the main climate </w:t>
      </w:r>
      <w:r>
        <w:rPr>
          <w:rFonts w:ascii="Calibri" w:eastAsia="Times New Roman" w:hAnsi="Calibri" w:cs="Times New Roman"/>
          <w:noProof/>
          <w:sz w:val="20"/>
        </w:rPr>
        <w:t>change hotspots (i.e. one of the areas most responsive to climate change) due to semi-arid climatic characteristics of the region leading to water scarcity, concentration of economic activities in coastal areas, and reliance on climate-sensitive agricultur</w:t>
      </w:r>
      <w:r>
        <w:rPr>
          <w:rFonts w:ascii="Calibri" w:eastAsia="Times New Roman" w:hAnsi="Calibri" w:cs="Times New Roman"/>
          <w:noProof/>
          <w:sz w:val="20"/>
        </w:rPr>
        <w:t>e. The introduction of invasive alien species presents an important threat in the Mediterranean Sea Region with the number of invasive alien species increasing significantly since 1970. Finally, the unique biodiversity of the Mediterranean Sea Region is al</w:t>
      </w:r>
      <w:r>
        <w:rPr>
          <w:rFonts w:ascii="Calibri" w:eastAsia="Times New Roman" w:hAnsi="Calibri" w:cs="Times New Roman"/>
          <w:noProof/>
          <w:sz w:val="20"/>
        </w:rPr>
        <w:t>so threatened by pollution from land-based sources, such as discharges of excess nutrients and hazardous substances, marine litter, over-fishing, and degradation of critical habitats.</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color w:val="000000"/>
          <w:sz w:val="20"/>
        </w:rPr>
        <w:t>With regards to specificities of the implementation of the MSFD in Malta</w:t>
      </w:r>
      <w:r>
        <w:rPr>
          <w:rFonts w:ascii="Calibri" w:eastAsia="Calibri" w:hAnsi="Calibri" w:cs="Times New Roman"/>
          <w:noProof/>
          <w:color w:val="000000"/>
          <w:sz w:val="20"/>
        </w:rPr>
        <w:t xml:space="preserve">, GES definitions are mainly qualitative and in some cases contain caveats that indicate a low level of ambition. In addition, the approach used to define GES varies and in most of the cases no threshold values, baselines or trends are provided. Thus, GES </w:t>
      </w:r>
      <w:r>
        <w:rPr>
          <w:rFonts w:ascii="Calibri" w:eastAsia="Calibri" w:hAnsi="Calibri" w:cs="Times New Roman"/>
          <w:noProof/>
          <w:color w:val="000000"/>
          <w:sz w:val="20"/>
        </w:rPr>
        <w:t>was not measurable</w:t>
      </w:r>
      <w:r>
        <w:rPr>
          <w:rFonts w:ascii="Calibri" w:eastAsia="Calibri" w:hAnsi="Calibri" w:cs="Times New Roman"/>
          <w:noProof/>
          <w:color w:val="000000"/>
          <w:sz w:val="20"/>
          <w:vertAlign w:val="superscript"/>
        </w:rPr>
        <w:footnoteReference w:id="45"/>
      </w:r>
      <w:r>
        <w:rPr>
          <w:rFonts w:ascii="Calibri" w:eastAsia="Calibri" w:hAnsi="Calibri" w:cs="Times New Roman"/>
          <w:noProof/>
          <w:color w:val="000000"/>
          <w:sz w:val="20"/>
        </w:rPr>
        <w:t>.</w:t>
      </w:r>
      <w:r>
        <w:rPr>
          <w:rFonts w:ascii="Calibri" w:eastAsia="Calibri" w:hAnsi="Calibri" w:cs="Times New Roman"/>
          <w:noProof/>
          <w:sz w:val="20"/>
        </w:rPr>
        <w:t xml:space="preserve"> It is therefore too early to say whether Maltese waters are in good status as there were weaknesses in identifying what GES is in the first place.</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 xml:space="preserve">Malta established a monitoring programme of its marine waters in 2014. However, because </w:t>
      </w:r>
      <w:r>
        <w:rPr>
          <w:rFonts w:ascii="Calibri" w:eastAsia="Calibri" w:hAnsi="Calibri" w:cs="Times New Roman"/>
          <w:noProof/>
          <w:sz w:val="20"/>
        </w:rPr>
        <w:t>this monitoring programme was reported late to the Commission, Malta's monitoring programme was not evaluated in the latest Commission's assessment</w:t>
      </w:r>
      <w:r>
        <w:rPr>
          <w:rFonts w:ascii="Calibri" w:eastAsia="Calibri" w:hAnsi="Calibri" w:cs="Times New Roman"/>
          <w:noProof/>
          <w:sz w:val="20"/>
          <w:vertAlign w:val="superscript"/>
        </w:rPr>
        <w:footnoteReference w:id="46"/>
      </w:r>
      <w:r>
        <w:rPr>
          <w:rFonts w:ascii="Calibri" w:eastAsia="Calibri" w:hAnsi="Calibri" w:cs="Times New Roman"/>
          <w:noProof/>
          <w:sz w:val="20"/>
        </w:rPr>
        <w:t>.</w:t>
      </w:r>
    </w:p>
    <w:p w:rsidR="004A120F" w:rsidRDefault="000A0796">
      <w:pPr>
        <w:widowControl w:val="0"/>
        <w:suppressLineNumbers/>
        <w:spacing w:line="240" w:lineRule="auto"/>
        <w:jc w:val="both"/>
        <w:rPr>
          <w:rFonts w:ascii="Calibri" w:eastAsia="Calibri" w:hAnsi="Calibri" w:cs="Times New Roman"/>
          <w:noProof/>
          <w:color w:val="FF0000"/>
          <w:sz w:val="20"/>
        </w:rPr>
      </w:pPr>
      <w:r>
        <w:rPr>
          <w:rFonts w:ascii="Calibri" w:eastAsia="Calibri" w:hAnsi="Calibri" w:cs="Times New Roman"/>
          <w:noProof/>
          <w:sz w:val="20"/>
          <w:lang w:val="en-US"/>
        </w:rPr>
        <w:t>In 2012, Maltese marine protected areas covered 193.3 km</w:t>
      </w:r>
      <w:r>
        <w:rPr>
          <w:rFonts w:ascii="Calibri" w:eastAsia="Calibri" w:hAnsi="Calibri" w:cs="Times New Roman"/>
          <w:noProof/>
          <w:sz w:val="20"/>
          <w:vertAlign w:val="superscript"/>
          <w:lang w:val="en-US"/>
        </w:rPr>
        <w:t>2</w:t>
      </w:r>
      <w:r>
        <w:rPr>
          <w:rFonts w:ascii="Calibri" w:eastAsia="Calibri" w:hAnsi="Calibri" w:cs="Times New Roman"/>
          <w:noProof/>
          <w:sz w:val="20"/>
          <w:lang w:val="en-US"/>
        </w:rPr>
        <w:t xml:space="preserve"> of its marine waters in the Ionian and Central M</w:t>
      </w:r>
      <w:r>
        <w:rPr>
          <w:rFonts w:ascii="Calibri" w:eastAsia="Calibri" w:hAnsi="Calibri" w:cs="Times New Roman"/>
          <w:noProof/>
          <w:sz w:val="20"/>
          <w:lang w:val="en-US"/>
        </w:rPr>
        <w:t>editerranean Sea</w:t>
      </w:r>
      <w:r>
        <w:rPr>
          <w:rFonts w:ascii="Calibri" w:eastAsia="Calibri" w:hAnsi="Calibri" w:cs="Times New Roman"/>
          <w:noProof/>
          <w:sz w:val="20"/>
          <w:vertAlign w:val="superscript"/>
          <w:lang w:val="en-US"/>
        </w:rPr>
        <w:footnoteReference w:id="47"/>
      </w:r>
      <w:r>
        <w:rPr>
          <w:rFonts w:ascii="Calibri" w:eastAsia="Calibri" w:hAnsi="Calibri" w:cs="Times New Roman"/>
          <w:noProof/>
          <w:sz w:val="20"/>
          <w:lang w:val="en-US"/>
        </w:rPr>
        <w:t xml:space="preserve">. However, Malta reported that it </w:t>
      </w:r>
      <w:r>
        <w:rPr>
          <w:rFonts w:ascii="Calibri" w:eastAsia="Calibri" w:hAnsi="Calibri" w:cs="Times New Roman"/>
          <w:noProof/>
          <w:sz w:val="20"/>
        </w:rPr>
        <w:t>designated an additional 9 marine protected sites in 2016 bringing the total area of coverage to 3487km².</w:t>
      </w:r>
    </w:p>
    <w:p w:rsidR="004A120F" w:rsidRDefault="000A0796">
      <w:pPr>
        <w:widowControl w:val="0"/>
        <w:suppressLineNumbers/>
        <w:spacing w:line="240" w:lineRule="auto"/>
        <w:jc w:val="both"/>
        <w:rPr>
          <w:rFonts w:ascii="Calibri" w:eastAsia="Calibri" w:hAnsi="Calibri" w:cs="Times New Roman"/>
          <w:noProof/>
          <w:sz w:val="20"/>
          <w:szCs w:val="20"/>
        </w:rPr>
      </w:pPr>
      <w:bookmarkStart w:id="31" w:name="_Toc433296162"/>
      <w:r>
        <w:rPr>
          <w:rFonts w:ascii="Calibri" w:eastAsia="Calibri" w:hAnsi="Calibri" w:cs="Times New Roman"/>
          <w:noProof/>
          <w:sz w:val="20"/>
          <w:szCs w:val="20"/>
        </w:rPr>
        <w:t>In its report on the implementation of the MSFD</w:t>
      </w:r>
      <w:r>
        <w:rPr>
          <w:rFonts w:ascii="Calibri" w:eastAsia="Calibri" w:hAnsi="Calibri" w:cs="Times New Roman"/>
          <w:noProof/>
          <w:sz w:val="20"/>
          <w:szCs w:val="20"/>
          <w:vertAlign w:val="superscript"/>
        </w:rPr>
        <w:footnoteReference w:id="48"/>
      </w:r>
      <w:r>
        <w:rPr>
          <w:rFonts w:ascii="Calibri" w:eastAsia="Calibri" w:hAnsi="Calibri" w:cs="Times New Roman"/>
          <w:noProof/>
          <w:sz w:val="20"/>
          <w:szCs w:val="20"/>
        </w:rPr>
        <w:t xml:space="preserve">, the Commission provided guidance to assist Malta in its implementation of the Marine Strategy Framework Directive. However, because of the late reporting of Malta's monitoring programme, the Commission's guidance only concerns Malta's good environmental </w:t>
      </w:r>
      <w:r>
        <w:rPr>
          <w:rFonts w:ascii="Calibri" w:eastAsia="Calibri" w:hAnsi="Calibri" w:cs="Times New Roman"/>
          <w:noProof/>
          <w:sz w:val="20"/>
          <w:szCs w:val="20"/>
        </w:rPr>
        <w:t xml:space="preserve">status, targets and initial assessment. </w:t>
      </w:r>
    </w:p>
    <w:p w:rsidR="004A120F" w:rsidRDefault="000A0796">
      <w:pPr>
        <w:widowControl w:val="0"/>
        <w:suppressLineNumbers/>
        <w:spacing w:line="240" w:lineRule="auto"/>
        <w:jc w:val="both"/>
        <w:rPr>
          <w:rFonts w:ascii="Calibri" w:eastAsia="Calibri" w:hAnsi="Calibri" w:cs="Calibri"/>
          <w:noProof/>
          <w:color w:val="1F497D"/>
          <w:szCs w:val="26"/>
        </w:rPr>
      </w:pPr>
      <w:r>
        <w:rPr>
          <w:rFonts w:ascii="Calibri" w:eastAsia="Calibri" w:hAnsi="Calibri" w:cs="Calibri"/>
          <w:noProof/>
          <w:color w:val="1F497D"/>
          <w:szCs w:val="26"/>
        </w:rPr>
        <w:t>Suggested action</w:t>
      </w:r>
    </w:p>
    <w:p w:rsidR="004A120F" w:rsidRDefault="000A0796">
      <w:pPr>
        <w:pStyle w:val="SuggActions"/>
        <w:rPr>
          <w:noProof/>
        </w:rPr>
      </w:pPr>
      <w:r>
        <w:rPr>
          <w:noProof/>
        </w:rPr>
        <w:t>Continue work to improve the definitions of GES, including through regional cooperation by using the work of the relevant Regional Sea Convention.</w:t>
      </w:r>
    </w:p>
    <w:p w:rsidR="004A120F" w:rsidRDefault="000A0796">
      <w:pPr>
        <w:pStyle w:val="SuggActions"/>
        <w:rPr>
          <w:noProof/>
        </w:rPr>
      </w:pPr>
      <w:r>
        <w:rPr>
          <w:noProof/>
        </w:rPr>
        <w:t>Address knowledge gaps.</w:t>
      </w:r>
    </w:p>
    <w:p w:rsidR="004A120F" w:rsidRDefault="000A0796">
      <w:pPr>
        <w:pStyle w:val="SuggActions"/>
        <w:rPr>
          <w:noProof/>
        </w:rPr>
      </w:pPr>
      <w:r>
        <w:rPr>
          <w:noProof/>
        </w:rPr>
        <w:t xml:space="preserve">Further develop approaches </w:t>
      </w:r>
      <w:r>
        <w:rPr>
          <w:noProof/>
        </w:rPr>
        <w:t>assessing (and quantifying) impacts from the main pressures in order to lead to improved and more conclusive assessment results for 2018 reporting.</w:t>
      </w:r>
    </w:p>
    <w:p w:rsidR="004A120F" w:rsidRDefault="000A0796">
      <w:pPr>
        <w:pStyle w:val="SuggActions"/>
        <w:rPr>
          <w:noProof/>
        </w:rPr>
      </w:pPr>
      <w:r>
        <w:rPr>
          <w:noProof/>
        </w:rPr>
        <w:t>Urgently report and implement its programme of measures</w:t>
      </w:r>
      <w:r>
        <w:rPr>
          <w:noProof/>
          <w:vertAlign w:val="superscript"/>
        </w:rPr>
        <w:footnoteReference w:id="49"/>
      </w:r>
    </w:p>
    <w:p w:rsidR="004A120F" w:rsidRDefault="000A0796">
      <w:pPr>
        <w:pStyle w:val="SuggActions"/>
        <w:rPr>
          <w:noProof/>
        </w:rPr>
      </w:pPr>
      <w:r>
        <w:rPr>
          <w:noProof/>
        </w:rPr>
        <w:t>Ensure that its monitoring programme is implemented</w:t>
      </w:r>
      <w:r>
        <w:rPr>
          <w:noProof/>
        </w:rPr>
        <w:t xml:space="preserve"> without delay, and is appropriate to monitor progress towards the GES.</w:t>
      </w:r>
    </w:p>
    <w:bookmarkEnd w:id="31"/>
    <w:p w:rsidR="004A120F" w:rsidRDefault="004A120F">
      <w:pPr>
        <w:widowControl w:val="0"/>
        <w:suppressLineNumbers/>
        <w:spacing w:line="240" w:lineRule="auto"/>
        <w:jc w:val="both"/>
        <w:rPr>
          <w:rFonts w:ascii="Calibri" w:eastAsia="Calibri" w:hAnsi="Calibri" w:cs="Times New Roman"/>
          <w:noProof/>
          <w:sz w:val="20"/>
        </w:rPr>
        <w:sectPr w:rsidR="004A120F">
          <w:headerReference w:type="even" r:id="rId71"/>
          <w:headerReference w:type="default" r:id="rId72"/>
          <w:footerReference w:type="even" r:id="rId73"/>
          <w:footerReference w:type="default" r:id="rId74"/>
          <w:headerReference w:type="first" r:id="rId75"/>
          <w:footerReference w:type="first" r:id="rId76"/>
          <w:type w:val="continuous"/>
          <w:pgSz w:w="11906" w:h="16838"/>
          <w:pgMar w:top="1440" w:right="1080" w:bottom="1440" w:left="1080" w:header="708" w:footer="708" w:gutter="0"/>
          <w:cols w:num="2" w:space="360"/>
          <w:docGrid w:linePitch="360"/>
        </w:sectPr>
      </w:pPr>
    </w:p>
    <w:p w:rsidR="004A120F" w:rsidRDefault="000A0796">
      <w:pPr>
        <w:widowControl w:val="0"/>
        <w:suppressLineNumbers/>
        <w:spacing w:after="0" w:line="240" w:lineRule="auto"/>
        <w:jc w:val="center"/>
        <w:outlineLvl w:val="0"/>
        <w:rPr>
          <w:rFonts w:ascii="Calibri" w:eastAsia="Times New Roman" w:hAnsi="Calibri" w:cs="Times New Roman"/>
          <w:b/>
          <w:bCs/>
          <w:noProof/>
          <w:color w:val="1F497D"/>
          <w:sz w:val="32"/>
          <w:szCs w:val="28"/>
        </w:rPr>
      </w:pPr>
      <w:bookmarkStart w:id="32" w:name="_Toc469477811"/>
      <w:r>
        <w:rPr>
          <w:rFonts w:ascii="Calibri" w:eastAsia="Times New Roman" w:hAnsi="Calibri" w:cs="Times New Roman"/>
          <w:b/>
          <w:bCs/>
          <w:noProof/>
          <w:color w:val="1F497D"/>
          <w:sz w:val="32"/>
          <w:szCs w:val="28"/>
        </w:rPr>
        <w:t xml:space="preserve">3. Ensuring </w:t>
      </w:r>
      <w:r>
        <w:rPr>
          <w:rFonts w:ascii="Calibri" w:eastAsia="Times New Roman" w:hAnsi="Calibri" w:cs="Times New Roman"/>
          <w:b/>
          <w:bCs/>
          <w:noProof/>
          <w:color w:val="1F497D"/>
          <w:sz w:val="32"/>
          <w:szCs w:val="28"/>
        </w:rPr>
        <w:t>citizens' health and quality of life</w:t>
      </w:r>
      <w:bookmarkEnd w:id="32"/>
    </w:p>
    <w:p w:rsidR="004A120F" w:rsidRDefault="004A120F">
      <w:pPr>
        <w:widowControl w:val="0"/>
        <w:suppressLineNumbers/>
        <w:spacing w:line="240" w:lineRule="auto"/>
        <w:jc w:val="both"/>
        <w:rPr>
          <w:rFonts w:ascii="Calibri" w:eastAsia="Calibri" w:hAnsi="Calibri" w:cs="Times New Roman"/>
          <w:noProof/>
          <w:sz w:val="20"/>
        </w:rPr>
      </w:pPr>
    </w:p>
    <w:p w:rsidR="004A120F" w:rsidRDefault="004A120F">
      <w:pPr>
        <w:widowControl w:val="0"/>
        <w:suppressLineNumbers/>
        <w:spacing w:line="240" w:lineRule="auto"/>
        <w:jc w:val="both"/>
        <w:rPr>
          <w:rFonts w:ascii="Calibri" w:eastAsia="Calibri" w:hAnsi="Calibri" w:cs="Times New Roman"/>
          <w:noProof/>
          <w:sz w:val="20"/>
        </w:rPr>
        <w:sectPr w:rsidR="004A120F">
          <w:headerReference w:type="even" r:id="rId77"/>
          <w:headerReference w:type="default" r:id="rId78"/>
          <w:footerReference w:type="even" r:id="rId79"/>
          <w:footerReference w:type="default" r:id="rId80"/>
          <w:headerReference w:type="first" r:id="rId81"/>
          <w:footerReference w:type="first" r:id="rId82"/>
          <w:type w:val="continuous"/>
          <w:pgSz w:w="11906" w:h="16838"/>
          <w:pgMar w:top="1440" w:right="1080" w:bottom="1440" w:left="1080" w:header="708" w:footer="708" w:gutter="0"/>
          <w:cols w:space="566"/>
          <w:docGrid w:linePitch="360"/>
        </w:sectPr>
      </w:pPr>
    </w:p>
    <w:p w:rsidR="004A120F" w:rsidRDefault="000A0796">
      <w:pPr>
        <w:widowControl w:val="0"/>
        <w:suppressLineNumbers/>
        <w:spacing w:before="240" w:line="240" w:lineRule="auto"/>
        <w:outlineLvl w:val="1"/>
        <w:rPr>
          <w:rFonts w:ascii="Calibri" w:eastAsia="Calibri" w:hAnsi="Calibri" w:cs="Times New Roman"/>
          <w:b/>
          <w:noProof/>
          <w:color w:val="1F497D"/>
          <w:sz w:val="24"/>
          <w:szCs w:val="24"/>
          <w:lang w:eastAsia="en-GB"/>
        </w:rPr>
      </w:pPr>
      <w:bookmarkStart w:id="33" w:name="_Toc433296166"/>
      <w:bookmarkStart w:id="34" w:name="_Toc469477812"/>
      <w:r>
        <w:rPr>
          <w:rFonts w:ascii="Calibri" w:eastAsia="Calibri" w:hAnsi="Calibri" w:cs="Times New Roman"/>
          <w:b/>
          <w:noProof/>
          <w:color w:val="1F497D"/>
          <w:sz w:val="24"/>
          <w:szCs w:val="24"/>
          <w:lang w:eastAsia="en-GB"/>
        </w:rPr>
        <w:t>Air quality</w:t>
      </w:r>
      <w:bookmarkEnd w:id="33"/>
      <w:bookmarkEnd w:id="34"/>
    </w:p>
    <w:p w:rsidR="004A120F" w:rsidRDefault="000A0796">
      <w:pPr>
        <w:widowControl w:val="0"/>
        <w:shd w:val="clear" w:color="auto" w:fill="4F81BD"/>
        <w:spacing w:line="240" w:lineRule="auto"/>
        <w:jc w:val="both"/>
        <w:rPr>
          <w:rFonts w:ascii="Calibri" w:eastAsia="Calibri" w:hAnsi="Calibri" w:cs="Times New Roman"/>
          <w:noProof/>
          <w:color w:val="FFFFFF"/>
          <w:sz w:val="20"/>
          <w:szCs w:val="20"/>
        </w:rPr>
      </w:pPr>
      <w:bookmarkStart w:id="35" w:name="_Toc433296167"/>
      <w:r>
        <w:rPr>
          <w:rFonts w:ascii="Calibri" w:eastAsia="Calibri" w:hAnsi="Calibri" w:cs="Times New Roman"/>
          <w:noProof/>
          <w:color w:val="FFFFFF"/>
          <w:sz w:val="20"/>
          <w:szCs w:val="20"/>
        </w:rPr>
        <w:t xml:space="preserve">The EU Clean Air Policy and </w:t>
      </w:r>
      <w:r>
        <w:rPr>
          <w:rFonts w:ascii="Calibri" w:eastAsia="Calibri" w:hAnsi="Calibri" w:cs="Times New Roman"/>
          <w:noProof/>
          <w:color w:val="FFFFFF"/>
          <w:sz w:val="20"/>
          <w:szCs w:val="20"/>
        </w:rPr>
        <w:t>legislation require that air quality in the Union is significantly improved, moving closer to the WHO recommended levels. Air pollution and its impacts on ecosystems and biodiversity should be further reduced with the long-term aim of not exceeding critica</w:t>
      </w:r>
      <w:r>
        <w:rPr>
          <w:rFonts w:ascii="Calibri" w:eastAsia="Calibri" w:hAnsi="Calibri" w:cs="Times New Roman"/>
          <w:noProof/>
          <w:color w:val="FFFFFF"/>
          <w:sz w:val="20"/>
          <w:szCs w:val="20"/>
        </w:rPr>
        <w:t>l loads and levels. This requires strengthening efforts to reach full compliance with Union air quality legislation and defining strategic targets and actions beyond 2020.</w:t>
      </w:r>
    </w:p>
    <w:tbl>
      <w:tblPr>
        <w:tblStyle w:val="TableGrid11"/>
        <w:tblpPr w:leftFromText="180" w:rightFromText="180" w:vertAnchor="text" w:horzAnchor="margin" w:tblpY="837"/>
        <w:tblW w:w="101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6"/>
      </w:tblGrid>
      <w:tr w:rsidR="004A120F">
        <w:trPr>
          <w:trHeight w:val="326"/>
        </w:trPr>
        <w:tc>
          <w:tcPr>
            <w:tcW w:w="10146" w:type="dxa"/>
          </w:tcPr>
          <w:p w:rsidR="004A120F" w:rsidRDefault="000A0796">
            <w:pPr>
              <w:rPr>
                <w:b/>
                <w:bCs/>
                <w:noProof/>
                <w:color w:val="1F497D"/>
              </w:rPr>
            </w:pPr>
            <w:r>
              <w:rPr>
                <w:b/>
                <w:bCs/>
                <w:noProof/>
                <w:color w:val="1F497D"/>
              </w:rPr>
              <w:t>Figure 9: Attainment situation for PM10, NO2 and O3 in 2014</w:t>
            </w:r>
          </w:p>
        </w:tc>
      </w:tr>
      <w:tr w:rsidR="004A120F">
        <w:trPr>
          <w:trHeight w:val="4008"/>
        </w:trPr>
        <w:tc>
          <w:tcPr>
            <w:tcW w:w="10146" w:type="dxa"/>
          </w:tcPr>
          <w:p w:rsidR="004A120F" w:rsidRDefault="000A0796">
            <w:pPr>
              <w:rPr>
                <w:noProof/>
              </w:rPr>
            </w:pPr>
            <w:r>
              <w:rPr>
                <w:noProof/>
                <w:lang w:eastAsia="en-GB"/>
              </w:rPr>
              <w:drawing>
                <wp:inline distT="0" distB="0" distL="0" distR="0" wp14:anchorId="3216CE51" wp14:editId="2FF5D417">
                  <wp:extent cx="6305550" cy="3116264"/>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312383" cy="3119641"/>
                          </a:xfrm>
                          <a:prstGeom prst="rect">
                            <a:avLst/>
                          </a:prstGeom>
                          <a:noFill/>
                        </pic:spPr>
                      </pic:pic>
                    </a:graphicData>
                  </a:graphic>
                </wp:inline>
              </w:drawing>
            </w:r>
          </w:p>
        </w:tc>
      </w:tr>
    </w:tbl>
    <w:p w:rsidR="004A120F" w:rsidRDefault="000A0796">
      <w:pPr>
        <w:widowControl w:val="0"/>
        <w:suppressLineNumbers/>
        <w:spacing w:line="240" w:lineRule="auto"/>
        <w:jc w:val="both"/>
        <w:rPr>
          <w:rFonts w:ascii="Calibri" w:eastAsia="Calibri" w:hAnsi="Calibri" w:cs="Times New Roman"/>
          <w:noProof/>
          <w:sz w:val="20"/>
          <w:szCs w:val="20"/>
        </w:rPr>
      </w:pPr>
      <w:r>
        <w:rPr>
          <w:rFonts w:ascii="Calibri" w:eastAsia="Calibri" w:hAnsi="Calibri" w:cs="Times New Roman"/>
          <w:noProof/>
          <w:sz w:val="20"/>
          <w:szCs w:val="20"/>
        </w:rPr>
        <w:t>The EU has developed</w:t>
      </w:r>
      <w:r>
        <w:rPr>
          <w:rFonts w:ascii="Calibri" w:eastAsia="Calibri" w:hAnsi="Calibri" w:cs="Times New Roman"/>
          <w:noProof/>
          <w:sz w:val="20"/>
          <w:szCs w:val="20"/>
        </w:rPr>
        <w:t xml:space="preserve"> a comprehensive suite of air quality legislation</w:t>
      </w:r>
      <w:r>
        <w:rPr>
          <w:rFonts w:ascii="Calibri" w:eastAsia="Calibri" w:hAnsi="Calibri" w:cs="Times New Roman"/>
          <w:noProof/>
          <w:sz w:val="20"/>
          <w:szCs w:val="20"/>
          <w:vertAlign w:val="superscript"/>
        </w:rPr>
        <w:footnoteReference w:id="50"/>
      </w:r>
      <w:r>
        <w:rPr>
          <w:rFonts w:ascii="Calibri" w:eastAsia="Calibri" w:hAnsi="Calibri" w:cs="Times New Roman"/>
          <w:noProof/>
          <w:sz w:val="20"/>
          <w:szCs w:val="20"/>
        </w:rPr>
        <w:t xml:space="preserve">, which establishes health-based standards and objectives for a number of air pollutants. As part of this, Member States are also required to ensure that up-to-date information on ambient concentrations of </w:t>
      </w:r>
      <w:r>
        <w:rPr>
          <w:rFonts w:ascii="Calibri" w:eastAsia="Calibri" w:hAnsi="Calibri" w:cs="Times New Roman"/>
          <w:noProof/>
          <w:sz w:val="20"/>
          <w:szCs w:val="20"/>
        </w:rPr>
        <w:t>different air pollutants is routinely made available to the public. In addition, the National Emission Ceilings Directive provides for emission reductions at national level that should be achieved for main pollutants.</w:t>
      </w:r>
    </w:p>
    <w:p w:rsidR="004A120F" w:rsidRDefault="000A0796">
      <w:pPr>
        <w:widowControl w:val="0"/>
        <w:suppressLineNumbers/>
        <w:spacing w:line="240" w:lineRule="auto"/>
        <w:jc w:val="both"/>
        <w:rPr>
          <w:rFonts w:ascii="Calibri" w:eastAsia="Calibri" w:hAnsi="Calibri" w:cs="Times New Roman"/>
          <w:noProof/>
          <w:sz w:val="20"/>
          <w:szCs w:val="20"/>
          <w:lang w:eastAsia="en-GB"/>
        </w:rPr>
      </w:pPr>
      <w:r>
        <w:rPr>
          <w:rFonts w:ascii="Calibri" w:eastAsia="Calibri" w:hAnsi="Calibri" w:cs="Times New Roman"/>
          <w:noProof/>
          <w:sz w:val="20"/>
          <w:szCs w:val="20"/>
          <w:lang w:eastAsia="en-GB"/>
        </w:rPr>
        <w:t>The emission of several air pollutants</w:t>
      </w:r>
      <w:r>
        <w:rPr>
          <w:rFonts w:ascii="Calibri" w:eastAsia="Calibri" w:hAnsi="Calibri" w:cs="Times New Roman"/>
          <w:noProof/>
          <w:sz w:val="20"/>
          <w:szCs w:val="20"/>
          <w:lang w:eastAsia="en-GB"/>
        </w:rPr>
        <w:t xml:space="preserve"> has decreased significantly in Malta</w:t>
      </w:r>
      <w:r>
        <w:rPr>
          <w:rFonts w:ascii="Calibri" w:eastAsia="Calibri" w:hAnsi="Calibri" w:cs="Times New Roman"/>
          <w:noProof/>
          <w:sz w:val="20"/>
          <w:szCs w:val="20"/>
          <w:vertAlign w:val="superscript"/>
          <w:lang w:eastAsia="en-GB"/>
        </w:rPr>
        <w:footnoteReference w:id="51"/>
      </w:r>
      <w:r>
        <w:rPr>
          <w:rFonts w:ascii="Calibri" w:eastAsia="Calibri" w:hAnsi="Calibri" w:cs="Times New Roman"/>
          <w:noProof/>
          <w:sz w:val="20"/>
          <w:szCs w:val="20"/>
          <w:lang w:eastAsia="en-GB"/>
        </w:rPr>
        <w:t>. Reductions between 1990 and 2014 for sulphur oxides (</w:t>
      </w:r>
      <w:r>
        <w:rPr>
          <w:rFonts w:ascii="Calibri" w:eastAsia="Calibri" w:hAnsi="Calibri" w:cs="Times New Roman"/>
          <w:noProof/>
          <w:sz w:val="20"/>
          <w:szCs w:val="20"/>
          <w:lang w:eastAsia="en-GB"/>
        </w:rPr>
        <w:noBreakHyphen/>
        <w:t>68%), nitrogen oxides</w:t>
      </w:r>
      <w:r>
        <w:rPr>
          <w:rFonts w:ascii="Calibri" w:eastAsia="Calibri" w:hAnsi="Calibri" w:cs="Times New Roman"/>
          <w:noProof/>
          <w:sz w:val="20"/>
          <w:szCs w:val="20"/>
          <w:vertAlign w:val="superscript"/>
          <w:lang w:eastAsia="en-GB"/>
        </w:rPr>
        <w:footnoteReference w:id="52"/>
      </w:r>
      <w:r>
        <w:rPr>
          <w:rFonts w:ascii="Calibri" w:eastAsia="Calibri" w:hAnsi="Calibri" w:cs="Times New Roman"/>
          <w:noProof/>
          <w:sz w:val="20"/>
          <w:szCs w:val="20"/>
          <w:lang w:eastAsia="en-GB"/>
        </w:rPr>
        <w:t xml:space="preserve"> (-1%) as well as ammonia (-16%) ensure air emissions for these pollutants are within the currently applicable national emission ceilings</w:t>
      </w:r>
      <w:r>
        <w:rPr>
          <w:rFonts w:ascii="Calibri" w:eastAsia="Calibri" w:hAnsi="Calibri" w:cs="Times New Roman"/>
          <w:noProof/>
          <w:sz w:val="20"/>
          <w:szCs w:val="20"/>
          <w:vertAlign w:val="superscript"/>
          <w:lang w:eastAsia="en-GB"/>
        </w:rPr>
        <w:footnoteReference w:id="53"/>
      </w:r>
      <w:r>
        <w:rPr>
          <w:rFonts w:ascii="Calibri" w:eastAsia="Calibri" w:hAnsi="Calibri" w:cs="Times New Roman"/>
          <w:noProof/>
          <w:sz w:val="20"/>
          <w:szCs w:val="20"/>
          <w:lang w:eastAsia="en-GB"/>
        </w:rPr>
        <w:t xml:space="preserve">. </w:t>
      </w:r>
      <w:r>
        <w:rPr>
          <w:rFonts w:ascii="Calibri" w:eastAsia="Calibri" w:hAnsi="Calibri" w:cs="Times New Roman"/>
          <w:noProof/>
          <w:sz w:val="20"/>
          <w:szCs w:val="20"/>
          <w:lang w:eastAsia="en-GB"/>
        </w:rPr>
        <w:t>While total emissions of volatile organic compounds increased with 65%, this pollutant is within its currently applicable national emission ceiling.</w:t>
      </w:r>
    </w:p>
    <w:p w:rsidR="004A120F" w:rsidRDefault="000A0796">
      <w:pPr>
        <w:widowControl w:val="0"/>
        <w:suppressLineNumbers/>
        <w:spacing w:line="240" w:lineRule="auto"/>
        <w:jc w:val="both"/>
        <w:rPr>
          <w:rFonts w:ascii="Calibri" w:eastAsia="Calibri" w:hAnsi="Calibri" w:cs="Times New Roman"/>
          <w:noProof/>
          <w:sz w:val="20"/>
          <w:szCs w:val="20"/>
          <w:lang w:eastAsia="en-GB"/>
        </w:rPr>
      </w:pPr>
      <w:r>
        <w:rPr>
          <w:rFonts w:ascii="Calibri" w:eastAsia="Calibri" w:hAnsi="Calibri" w:cs="Times New Roman"/>
          <w:noProof/>
          <w:sz w:val="20"/>
          <w:szCs w:val="20"/>
          <w:lang w:eastAsia="en-GB"/>
        </w:rPr>
        <w:t>In the last years, air quality in Malta is reported to be generally good, with exceptions. Nevertheless, fo</w:t>
      </w:r>
      <w:r>
        <w:rPr>
          <w:rFonts w:ascii="Calibri" w:eastAsia="Calibri" w:hAnsi="Calibri" w:cs="Times New Roman"/>
          <w:noProof/>
          <w:sz w:val="20"/>
          <w:szCs w:val="20"/>
          <w:lang w:eastAsia="en-GB"/>
        </w:rPr>
        <w:t xml:space="preserve">r the year 2013, the European Environment Agency estimated that about 230 premature deaths were attributable to fine particulate matter </w:t>
      </w:r>
      <w:r>
        <w:rPr>
          <w:rFonts w:ascii="Calibri" w:eastAsia="Calibri" w:hAnsi="Calibri" w:cs="Times New Roman"/>
          <w:noProof/>
          <w:sz w:val="20"/>
          <w:szCs w:val="20"/>
          <w:vertAlign w:val="superscript"/>
          <w:lang w:eastAsia="en-GB"/>
        </w:rPr>
        <w:footnoteReference w:id="54"/>
      </w:r>
      <w:r>
        <w:rPr>
          <w:rFonts w:ascii="Calibri" w:eastAsia="Calibri" w:hAnsi="Calibri" w:cs="Times New Roman"/>
          <w:noProof/>
          <w:sz w:val="20"/>
          <w:szCs w:val="20"/>
          <w:lang w:eastAsia="en-GB"/>
        </w:rPr>
        <w:t xml:space="preserve"> concentrations and 20 to ozone concentrations</w:t>
      </w:r>
      <w:r>
        <w:rPr>
          <w:rFonts w:ascii="Calibri" w:eastAsia="Calibri" w:hAnsi="Calibri" w:cs="Times New Roman"/>
          <w:noProof/>
          <w:sz w:val="20"/>
          <w:szCs w:val="20"/>
          <w:vertAlign w:val="superscript"/>
          <w:lang w:eastAsia="en-GB"/>
        </w:rPr>
        <w:footnoteReference w:id="55"/>
      </w:r>
      <w:r>
        <w:rPr>
          <w:rFonts w:ascii="Calibri" w:eastAsia="Calibri" w:hAnsi="Calibri" w:cs="Times New Roman"/>
          <w:noProof/>
          <w:sz w:val="20"/>
          <w:szCs w:val="20"/>
          <w:lang w:eastAsia="en-GB"/>
        </w:rPr>
        <w:t>. This is due also to exceedances above the EU air quality standards suc</w:t>
      </w:r>
      <w:r>
        <w:rPr>
          <w:rFonts w:ascii="Calibri" w:eastAsia="Calibri" w:hAnsi="Calibri" w:cs="Times New Roman"/>
          <w:noProof/>
          <w:sz w:val="20"/>
          <w:szCs w:val="20"/>
          <w:lang w:eastAsia="en-GB"/>
        </w:rPr>
        <w:t>h as shown in Figure 9</w:t>
      </w:r>
      <w:r>
        <w:rPr>
          <w:rFonts w:ascii="Calibri" w:eastAsia="Calibri" w:hAnsi="Calibri" w:cs="Times New Roman"/>
          <w:noProof/>
          <w:sz w:val="20"/>
          <w:szCs w:val="20"/>
          <w:vertAlign w:val="superscript"/>
          <w:lang w:eastAsia="en-GB"/>
        </w:rPr>
        <w:footnoteReference w:id="56"/>
      </w:r>
      <w:r>
        <w:rPr>
          <w:rFonts w:ascii="Calibri" w:eastAsia="Calibri" w:hAnsi="Calibri" w:cs="Times New Roman"/>
          <w:noProof/>
          <w:sz w:val="20"/>
          <w:szCs w:val="20"/>
          <w:lang w:eastAsia="en-GB"/>
        </w:rPr>
        <w:t xml:space="preserve">. </w:t>
      </w:r>
    </w:p>
    <w:p w:rsidR="004A120F" w:rsidRDefault="000A0796">
      <w:pPr>
        <w:widowControl w:val="0"/>
        <w:suppressLineNumbers/>
        <w:spacing w:line="240" w:lineRule="auto"/>
        <w:jc w:val="both"/>
        <w:rPr>
          <w:rFonts w:ascii="Calibri" w:eastAsia="Calibri" w:hAnsi="Calibri" w:cs="Times New Roman"/>
          <w:noProof/>
          <w:sz w:val="20"/>
          <w:szCs w:val="20"/>
          <w:lang w:eastAsia="en-GB"/>
        </w:rPr>
      </w:pPr>
      <w:r>
        <w:rPr>
          <w:rFonts w:ascii="Calibri" w:eastAsia="Calibri" w:hAnsi="Calibri" w:cs="Times New Roman"/>
          <w:noProof/>
          <w:sz w:val="20"/>
          <w:szCs w:val="20"/>
          <w:lang w:eastAsia="en-GB"/>
        </w:rPr>
        <w:t>For 2014, exceedances above the EU air quality standards have been registered related to target values and the long-term objectives regarding ozone</w:t>
      </w:r>
      <w:r>
        <w:rPr>
          <w:rFonts w:ascii="Calibri" w:eastAsia="Calibri" w:hAnsi="Calibri" w:cs="Times New Roman"/>
          <w:noProof/>
          <w:sz w:val="20"/>
          <w:szCs w:val="20"/>
          <w:vertAlign w:val="superscript"/>
          <w:lang w:eastAsia="en-GB"/>
        </w:rPr>
        <w:footnoteReference w:id="57"/>
      </w:r>
      <w:r>
        <w:rPr>
          <w:rFonts w:ascii="Calibri" w:eastAsia="Calibri" w:hAnsi="Calibri" w:cs="Times New Roman"/>
          <w:noProof/>
          <w:sz w:val="20"/>
          <w:szCs w:val="20"/>
          <w:lang w:eastAsia="en-GB"/>
        </w:rPr>
        <w:t xml:space="preserve"> concentration</w:t>
      </w:r>
      <w:r>
        <w:rPr>
          <w:rFonts w:ascii="Calibri" w:eastAsia="Calibri" w:hAnsi="Calibri" w:cs="Times New Roman"/>
          <w:noProof/>
          <w:sz w:val="20"/>
          <w:szCs w:val="20"/>
          <w:vertAlign w:val="superscript"/>
          <w:lang w:eastAsia="en-GB"/>
        </w:rPr>
        <w:footnoteReference w:id="58"/>
      </w:r>
      <w:r>
        <w:rPr>
          <w:rFonts w:ascii="Calibri" w:eastAsia="Calibri" w:hAnsi="Calibri" w:cs="Times New Roman"/>
          <w:noProof/>
          <w:sz w:val="20"/>
          <w:szCs w:val="20"/>
          <w:lang w:eastAsia="en-GB"/>
        </w:rPr>
        <w:t>.</w:t>
      </w:r>
    </w:p>
    <w:p w:rsidR="004A120F" w:rsidRDefault="000A0796">
      <w:pPr>
        <w:widowControl w:val="0"/>
        <w:suppressLineNumbers/>
        <w:spacing w:line="240" w:lineRule="auto"/>
        <w:jc w:val="both"/>
        <w:rPr>
          <w:rFonts w:ascii="Calibri" w:eastAsia="Calibri" w:hAnsi="Calibri" w:cs="Times New Roman"/>
          <w:noProof/>
          <w:sz w:val="20"/>
          <w:szCs w:val="20"/>
          <w:lang w:eastAsia="en-GB"/>
        </w:rPr>
      </w:pPr>
      <w:r>
        <w:rPr>
          <w:rFonts w:ascii="Calibri" w:eastAsia="Calibri" w:hAnsi="Calibri" w:cs="Times New Roman"/>
          <w:noProof/>
          <w:sz w:val="20"/>
          <w:szCs w:val="20"/>
          <w:lang w:eastAsia="en-GB"/>
        </w:rPr>
        <w:t>The external cost of traffic congestion has been estimated at EUR</w:t>
      </w:r>
      <w:r>
        <w:rPr>
          <w:rFonts w:ascii="Calibri" w:eastAsia="Calibri" w:hAnsi="Calibri" w:cs="Times New Roman"/>
          <w:noProof/>
          <w:sz w:val="20"/>
          <w:szCs w:val="20"/>
          <w:lang w:eastAsia="en-GB"/>
        </w:rPr>
        <w:t xml:space="preserve"> 274 million per year for 2012 and EUR 317 million in 2020 if there are no policy changes</w:t>
      </w:r>
      <w:r>
        <w:rPr>
          <w:noProof/>
          <w:vertAlign w:val="superscript"/>
        </w:rPr>
        <w:footnoteReference w:id="59"/>
      </w:r>
      <w:r>
        <w:rPr>
          <w:rFonts w:ascii="Calibri" w:eastAsia="Calibri" w:hAnsi="Calibri" w:cs="Times New Roman"/>
          <w:noProof/>
          <w:sz w:val="20"/>
          <w:szCs w:val="20"/>
          <w:lang w:eastAsia="en-GB"/>
        </w:rPr>
        <w:t>. Besides economic, this situation has considerable environmental impacts as well. Indeed, it is estimated that the health-related external costs from air pollution i</w:t>
      </w:r>
      <w:r>
        <w:rPr>
          <w:rFonts w:ascii="Calibri" w:eastAsia="Calibri" w:hAnsi="Calibri" w:cs="Times New Roman"/>
          <w:noProof/>
          <w:sz w:val="20"/>
          <w:szCs w:val="20"/>
          <w:lang w:eastAsia="en-GB"/>
        </w:rPr>
        <w:t>n Malta are above EUR 182 million/year (income adjusted, 2010), which include not only the intrinsic value of living a full health life but also direct costs to the economy. These direct economic costs relate to 44 thousand workdays lost each year due to s</w:t>
      </w:r>
      <w:r>
        <w:rPr>
          <w:rFonts w:ascii="Calibri" w:eastAsia="Calibri" w:hAnsi="Calibri" w:cs="Times New Roman"/>
          <w:noProof/>
          <w:sz w:val="20"/>
          <w:szCs w:val="20"/>
          <w:lang w:eastAsia="en-GB"/>
        </w:rPr>
        <w:t>ickness related to air pollution, with associated costs for employers of EUR 5 million/year (income adjusted, 2010), for healthcare of above EUR 0.6  million/year (income adjusted, 2010), and for agriculture (crop losses) of EUR 2 million/year (2010)</w:t>
      </w:r>
      <w:r>
        <w:rPr>
          <w:rFonts w:ascii="Calibri" w:eastAsia="Calibri" w:hAnsi="Calibri" w:cs="Times New Roman"/>
          <w:noProof/>
          <w:sz w:val="20"/>
          <w:szCs w:val="20"/>
          <w:vertAlign w:val="superscript"/>
          <w:lang w:eastAsia="en-GB"/>
        </w:rPr>
        <w:footnoteReference w:id="60"/>
      </w:r>
      <w:r>
        <w:rPr>
          <w:rFonts w:ascii="Calibri" w:eastAsia="Calibri" w:hAnsi="Calibri" w:cs="Times New Roman"/>
          <w:noProof/>
          <w:sz w:val="20"/>
          <w:szCs w:val="20"/>
          <w:lang w:eastAsia="en-GB"/>
        </w:rPr>
        <w:t>. The</w:t>
      </w:r>
      <w:r>
        <w:rPr>
          <w:rFonts w:ascii="Calibri" w:eastAsia="Calibri" w:hAnsi="Calibri" w:cs="Times New Roman"/>
          <w:noProof/>
          <w:sz w:val="20"/>
          <w:szCs w:val="20"/>
          <w:lang w:eastAsia="en-GB"/>
        </w:rPr>
        <w:t>se costs could be significantly reduced by stepping up pollution control or prevention measures.</w:t>
      </w:r>
    </w:p>
    <w:p w:rsidR="004A120F" w:rsidRDefault="000A0796">
      <w:pPr>
        <w:widowControl w:val="0"/>
        <w:suppressLineNumbers/>
        <w:spacing w:line="240" w:lineRule="auto"/>
        <w:jc w:val="both"/>
        <w:rPr>
          <w:rFonts w:ascii="Calibri" w:eastAsia="Calibri" w:hAnsi="Calibri" w:cs="Calibri"/>
          <w:noProof/>
          <w:color w:val="1F497D"/>
          <w:szCs w:val="20"/>
        </w:rPr>
      </w:pPr>
      <w:r>
        <w:rPr>
          <w:rFonts w:ascii="Calibri" w:eastAsia="Calibri" w:hAnsi="Calibri" w:cs="Calibri"/>
          <w:noProof/>
          <w:color w:val="1F497D"/>
          <w:szCs w:val="20"/>
        </w:rPr>
        <w:t>Suggested action</w:t>
      </w:r>
    </w:p>
    <w:p w:rsidR="004A120F" w:rsidRDefault="000A0796">
      <w:pPr>
        <w:pStyle w:val="SuggActions"/>
        <w:rPr>
          <w:noProof/>
        </w:rPr>
      </w:pPr>
      <w:r>
        <w:rPr>
          <w:noProof/>
        </w:rPr>
        <w:t>Develop a comprehensive strategy and action plan to tackle traffic congestion in order to decrease air pollution and related health costs.</w:t>
      </w:r>
    </w:p>
    <w:p w:rsidR="004A120F" w:rsidRDefault="000A0796">
      <w:pPr>
        <w:widowControl w:val="0"/>
        <w:suppressLineNumbers/>
        <w:spacing w:before="240" w:line="240" w:lineRule="auto"/>
        <w:outlineLvl w:val="1"/>
        <w:rPr>
          <w:rFonts w:ascii="Calibri" w:eastAsia="Calibri" w:hAnsi="Calibri" w:cs="Times New Roman"/>
          <w:b/>
          <w:noProof/>
          <w:color w:val="1F497D"/>
          <w:sz w:val="24"/>
          <w:szCs w:val="24"/>
          <w:lang w:eastAsia="en-GB"/>
        </w:rPr>
      </w:pPr>
      <w:bookmarkStart w:id="36" w:name="_Toc469477813"/>
      <w:r>
        <w:rPr>
          <w:rFonts w:ascii="Calibri" w:eastAsia="Calibri" w:hAnsi="Calibri" w:cs="Times New Roman"/>
          <w:b/>
          <w:noProof/>
          <w:color w:val="1F497D"/>
          <w:sz w:val="24"/>
          <w:szCs w:val="24"/>
          <w:lang w:eastAsia="en-GB"/>
        </w:rPr>
        <w:t>Noi</w:t>
      </w:r>
      <w:r>
        <w:rPr>
          <w:rFonts w:ascii="Calibri" w:eastAsia="Calibri" w:hAnsi="Calibri" w:cs="Times New Roman"/>
          <w:b/>
          <w:noProof/>
          <w:color w:val="1F497D"/>
          <w:sz w:val="24"/>
          <w:szCs w:val="24"/>
          <w:lang w:eastAsia="en-GB"/>
        </w:rPr>
        <w:t>se</w:t>
      </w:r>
      <w:bookmarkEnd w:id="36"/>
    </w:p>
    <w:p w:rsidR="004A120F" w:rsidRDefault="000A0796">
      <w:pPr>
        <w:widowControl w:val="0"/>
        <w:shd w:val="clear" w:color="auto" w:fill="4F81BD"/>
        <w:spacing w:before="240" w:line="240" w:lineRule="auto"/>
        <w:jc w:val="both"/>
        <w:rPr>
          <w:rFonts w:ascii="Calibri" w:eastAsia="Calibri" w:hAnsi="Calibri" w:cs="Times New Roman"/>
          <w:noProof/>
          <w:color w:val="FFFFFF"/>
          <w:sz w:val="20"/>
        </w:rPr>
      </w:pPr>
      <w:r>
        <w:rPr>
          <w:rFonts w:ascii="Calibri" w:eastAsia="Calibri" w:hAnsi="Calibri" w:cs="Times New Roman"/>
          <w:noProof/>
          <w:color w:val="FFFFFF"/>
          <w:sz w:val="20"/>
        </w:rPr>
        <w:t>The Environmental Noise Directive provides for a common approach for the avoidance, prevention and reduction of harmful effects due to exposure to environmental noise.</w:t>
      </w:r>
    </w:p>
    <w:p w:rsidR="004A120F" w:rsidRDefault="000A0796">
      <w:pPr>
        <w:widowControl w:val="0"/>
        <w:spacing w:line="240" w:lineRule="auto"/>
        <w:jc w:val="both"/>
        <w:rPr>
          <w:rFonts w:ascii="Calibri" w:eastAsia="Calibri" w:hAnsi="Calibri" w:cs="Times New Roman"/>
          <w:noProof/>
          <w:sz w:val="20"/>
        </w:rPr>
      </w:pPr>
      <w:r>
        <w:rPr>
          <w:rFonts w:ascii="Calibri" w:eastAsia="Calibri" w:hAnsi="Calibri" w:cs="Times New Roman"/>
          <w:noProof/>
          <w:sz w:val="20"/>
        </w:rPr>
        <w:t>Excessive noise is one of the main causes of health issues</w:t>
      </w:r>
      <w:r>
        <w:rPr>
          <w:rFonts w:ascii="Calibri" w:eastAsia="Calibri" w:hAnsi="Calibri" w:cs="Times New Roman"/>
          <w:noProof/>
          <w:sz w:val="20"/>
          <w:vertAlign w:val="superscript"/>
        </w:rPr>
        <w:footnoteReference w:id="61"/>
      </w:r>
      <w:r>
        <w:rPr>
          <w:rFonts w:ascii="Calibri" w:eastAsia="Calibri" w:hAnsi="Calibri" w:cs="Times New Roman"/>
          <w:noProof/>
          <w:sz w:val="20"/>
        </w:rPr>
        <w:t xml:space="preserve">. To alleviate this, the EU </w:t>
      </w:r>
      <w:r>
        <w:rPr>
          <w:rFonts w:ascii="Calibri" w:eastAsia="Calibri" w:hAnsi="Calibri" w:cs="Times New Roman"/>
          <w:i/>
          <w:noProof/>
          <w:sz w:val="20"/>
        </w:rPr>
        <w:t>acquis</w:t>
      </w:r>
      <w:r>
        <w:rPr>
          <w:rFonts w:ascii="Calibri" w:eastAsia="Calibri" w:hAnsi="Calibri" w:cs="Times New Roman"/>
          <w:noProof/>
          <w:sz w:val="20"/>
        </w:rPr>
        <w:t xml:space="preserve"> sets out several requirements, including assessing the exposure to environmental noise through noise mapping, ensuring that information on environmental noise and its effects is made available to the public, and adopting </w:t>
      </w:r>
      <w:r>
        <w:rPr>
          <w:rFonts w:ascii="Calibri" w:eastAsia="Calibri" w:hAnsi="Calibri" w:cs="Times New Roman"/>
          <w:noProof/>
          <w:sz w:val="20"/>
        </w:rPr>
        <w:t>action plans with a view to preventing and reducing environmental noise where necessary and to preserving the acoustic environment quality where it is good.</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Malta's implementation of the Environmental Noise Directive is delayed. For the agglomeration</w:t>
      </w:r>
      <w:r>
        <w:rPr>
          <w:rFonts w:ascii="Calibri" w:eastAsia="Calibri" w:hAnsi="Calibri" w:cs="Times New Roman"/>
          <w:noProof/>
          <w:sz w:val="20"/>
          <w:vertAlign w:val="superscript"/>
        </w:rPr>
        <w:footnoteReference w:id="62"/>
      </w:r>
      <w:r>
        <w:rPr>
          <w:rFonts w:ascii="Calibri" w:eastAsia="Calibri" w:hAnsi="Calibri" w:cs="Times New Roman"/>
          <w:noProof/>
          <w:sz w:val="20"/>
        </w:rPr>
        <w:t>, the</w:t>
      </w:r>
      <w:r>
        <w:rPr>
          <w:rFonts w:ascii="Calibri" w:eastAsia="Calibri" w:hAnsi="Calibri" w:cs="Times New Roman"/>
          <w:noProof/>
          <w:sz w:val="20"/>
        </w:rPr>
        <w:t xml:space="preserve"> noise mapping for the most recent reporting round, for the reference year 2011, is complete. However, the action plan for noise management in the current period has not been adopted for the agglomeration. For roads, the Maltese authorities have fulfilled </w:t>
      </w:r>
      <w:r>
        <w:rPr>
          <w:rFonts w:ascii="Calibri" w:eastAsia="Calibri" w:hAnsi="Calibri" w:cs="Times New Roman"/>
          <w:noProof/>
          <w:sz w:val="20"/>
        </w:rPr>
        <w:t>all their obligations.</w:t>
      </w:r>
    </w:p>
    <w:p w:rsidR="004A120F" w:rsidRDefault="000A0796">
      <w:pPr>
        <w:widowControl w:val="0"/>
        <w:suppressLineNumbers/>
        <w:spacing w:before="240" w:line="240" w:lineRule="auto"/>
        <w:outlineLvl w:val="1"/>
        <w:rPr>
          <w:rFonts w:ascii="Calibri" w:eastAsia="Calibri" w:hAnsi="Calibri" w:cs="Times New Roman"/>
          <w:b/>
          <w:noProof/>
          <w:color w:val="1F497D"/>
          <w:sz w:val="24"/>
          <w:szCs w:val="24"/>
          <w:lang w:eastAsia="en-GB"/>
        </w:rPr>
      </w:pPr>
      <w:bookmarkStart w:id="37" w:name="_Toc454460685"/>
      <w:bookmarkStart w:id="38" w:name="_Toc469477814"/>
      <w:bookmarkEnd w:id="35"/>
      <w:r>
        <w:rPr>
          <w:rFonts w:ascii="Calibri" w:eastAsia="Calibri" w:hAnsi="Calibri" w:cs="Times New Roman"/>
          <w:b/>
          <w:noProof/>
          <w:color w:val="1F497D"/>
          <w:sz w:val="24"/>
          <w:szCs w:val="24"/>
          <w:lang w:eastAsia="en-GB"/>
        </w:rPr>
        <w:t>Water quality and management</w:t>
      </w:r>
      <w:bookmarkEnd w:id="37"/>
      <w:bookmarkEnd w:id="38"/>
    </w:p>
    <w:p w:rsidR="004A120F" w:rsidRDefault="000A0796">
      <w:pPr>
        <w:widowControl w:val="0"/>
        <w:shd w:val="clear" w:color="auto" w:fill="4F81BD"/>
        <w:spacing w:before="240" w:line="240" w:lineRule="auto"/>
        <w:jc w:val="both"/>
        <w:rPr>
          <w:rFonts w:ascii="Calibri" w:eastAsia="Calibri" w:hAnsi="Calibri" w:cs="Times New Roman"/>
          <w:noProof/>
          <w:color w:val="FFFFFF"/>
          <w:sz w:val="20"/>
        </w:rPr>
      </w:pPr>
      <w:r>
        <w:rPr>
          <w:rFonts w:ascii="Calibri" w:eastAsia="Calibri" w:hAnsi="Calibri" w:cs="Times New Roman"/>
          <w:noProof/>
          <w:color w:val="FFFFFF"/>
          <w:sz w:val="20"/>
        </w:rPr>
        <w:t>The EU water policy and legislation require that the impact of pressures on transitional, coastal and fresh waters (including surface and ground waters) is significantly reduced to achieve, maintain or en</w:t>
      </w:r>
      <w:r>
        <w:rPr>
          <w:rFonts w:ascii="Calibri" w:eastAsia="Calibri" w:hAnsi="Calibri" w:cs="Times New Roman"/>
          <w:noProof/>
          <w:color w:val="FFFFFF"/>
          <w:sz w:val="20"/>
        </w:rPr>
        <w:t>hance good status of water bodies, as defined by the Water Framework Directive; that citizens throughout the Union benefit from high standards for safe drinking and bathing water; and that the nutrient cycle (nitrogen and phosphorus) is managed in a more s</w:t>
      </w:r>
      <w:r>
        <w:rPr>
          <w:rFonts w:ascii="Calibri" w:eastAsia="Calibri" w:hAnsi="Calibri" w:cs="Times New Roman"/>
          <w:noProof/>
          <w:color w:val="FFFFFF"/>
          <w:sz w:val="20"/>
        </w:rPr>
        <w:t>ustainable and resource-efficient way.</w:t>
      </w:r>
    </w:p>
    <w:p w:rsidR="004A120F" w:rsidRDefault="000A0796">
      <w:pPr>
        <w:widowControl w:val="0"/>
        <w:shd w:val="clear" w:color="auto" w:fill="4F81BD"/>
        <w:spacing w:before="240" w:line="240" w:lineRule="auto"/>
        <w:jc w:val="both"/>
        <w:rPr>
          <w:rFonts w:ascii="Calibri" w:eastAsia="Calibri" w:hAnsi="Calibri" w:cs="Times New Roman"/>
          <w:noProof/>
          <w:color w:val="FFFFFF"/>
          <w:sz w:val="20"/>
          <w:lang w:val="en"/>
        </w:rPr>
      </w:pPr>
      <w:r>
        <w:rPr>
          <w:rFonts w:ascii="Calibri" w:eastAsia="Calibri" w:hAnsi="Calibri" w:cs="Times New Roman"/>
          <w:noProof/>
          <w:color w:val="FFFFFF"/>
          <w:sz w:val="20"/>
        </w:rPr>
        <w:t>SDG 6 encourages countries to ensure availability and sustainable management of water and sanitation for all.</w:t>
      </w:r>
    </w:p>
    <w:p w:rsidR="004A120F" w:rsidRDefault="000A0796">
      <w:pPr>
        <w:widowControl w:val="0"/>
        <w:autoSpaceDE w:val="0"/>
        <w:spacing w:line="240" w:lineRule="auto"/>
        <w:jc w:val="both"/>
        <w:rPr>
          <w:rFonts w:ascii="Calibri" w:eastAsia="Times New Roman" w:hAnsi="Calibri" w:cs="Times New Roman"/>
          <w:noProof/>
          <w:color w:val="000000"/>
          <w:sz w:val="20"/>
          <w:szCs w:val="20"/>
        </w:rPr>
      </w:pPr>
      <w:r>
        <w:rPr>
          <w:rFonts w:ascii="Calibri" w:eastAsia="Times New Roman" w:hAnsi="Calibri" w:cs="Times New Roman"/>
          <w:noProof/>
          <w:color w:val="000000"/>
          <w:sz w:val="20"/>
          <w:szCs w:val="20"/>
        </w:rPr>
        <w:t xml:space="preserve">The main overall objective of EU water policy and legislation is to ensure access to good quality water in </w:t>
      </w:r>
      <w:r>
        <w:rPr>
          <w:rFonts w:ascii="Calibri" w:eastAsia="Times New Roman" w:hAnsi="Calibri" w:cs="Times New Roman"/>
          <w:noProof/>
          <w:color w:val="000000"/>
          <w:sz w:val="20"/>
          <w:szCs w:val="20"/>
        </w:rPr>
        <w:t xml:space="preserve">sufficient quantity for all Europeans. The EU water </w:t>
      </w:r>
      <w:r>
        <w:rPr>
          <w:rFonts w:ascii="Calibri" w:eastAsia="Times New Roman" w:hAnsi="Calibri" w:cs="Times New Roman"/>
          <w:i/>
          <w:noProof/>
          <w:color w:val="000000"/>
          <w:sz w:val="20"/>
          <w:szCs w:val="20"/>
        </w:rPr>
        <w:t>acquis</w:t>
      </w:r>
      <w:r>
        <w:rPr>
          <w:rFonts w:ascii="Calibri" w:eastAsia="Times New Roman" w:hAnsi="Calibri" w:cs="Times New Roman"/>
          <w:noProof/>
          <w:color w:val="000000"/>
          <w:sz w:val="20"/>
          <w:szCs w:val="20"/>
          <w:vertAlign w:val="superscript"/>
        </w:rPr>
        <w:footnoteReference w:id="63"/>
      </w:r>
      <w:r>
        <w:rPr>
          <w:rFonts w:ascii="Calibri" w:eastAsia="Times New Roman" w:hAnsi="Calibri" w:cs="Times New Roman"/>
          <w:noProof/>
          <w:color w:val="000000"/>
          <w:sz w:val="20"/>
          <w:szCs w:val="20"/>
        </w:rPr>
        <w:t xml:space="preserve"> seeks to ensure good status of all water bodies across Europe by addressing pollution sources (from e.g. agriculture, urban areas and industrial activities), physical and hydrological modifications to water bodies) and the management of risks of flooding.</w:t>
      </w:r>
      <w:r>
        <w:rPr>
          <w:rFonts w:ascii="Calibri" w:eastAsia="Times New Roman" w:hAnsi="Calibri" w:cs="Times New Roman"/>
          <w:noProof/>
          <w:color w:val="000000"/>
          <w:sz w:val="20"/>
          <w:szCs w:val="20"/>
        </w:rPr>
        <w:t xml:space="preserve"> </w:t>
      </w:r>
    </w:p>
    <w:p w:rsidR="004A120F" w:rsidRDefault="000A0796">
      <w:pPr>
        <w:widowControl w:val="0"/>
        <w:autoSpaceDE w:val="0"/>
        <w:spacing w:line="240" w:lineRule="auto"/>
        <w:jc w:val="both"/>
        <w:rPr>
          <w:rFonts w:ascii="Calibri" w:eastAsia="Calibri" w:hAnsi="Calibri" w:cs="Times New Roman"/>
          <w:noProof/>
          <w:sz w:val="20"/>
        </w:rPr>
      </w:pPr>
      <w:r>
        <w:rPr>
          <w:rFonts w:ascii="Calibri" w:eastAsia="Calibri" w:hAnsi="Calibri" w:cs="Times New Roman"/>
          <w:noProof/>
          <w:sz w:val="20"/>
        </w:rPr>
        <w:t>River Basin Management Plans (RBMPs) are a requirement of the Water Framework Directive and a means of achieving the protection, improvement and sustainable use of the water environment across Europe. This includes surface freshwaters such as lakes and r</w:t>
      </w:r>
      <w:r>
        <w:rPr>
          <w:rFonts w:ascii="Calibri" w:eastAsia="Calibri" w:hAnsi="Calibri" w:cs="Times New Roman"/>
          <w:noProof/>
          <w:sz w:val="20"/>
        </w:rPr>
        <w:t>ivers, groundwater, estuaries and coastal waters up to one nautical mile.</w:t>
      </w:r>
    </w:p>
    <w:p w:rsidR="004A120F" w:rsidRDefault="000A0796">
      <w:pPr>
        <w:widowControl w:val="0"/>
        <w:autoSpaceDE w:val="0"/>
        <w:spacing w:line="240" w:lineRule="auto"/>
        <w:jc w:val="both"/>
        <w:rPr>
          <w:rFonts w:ascii="Calibri" w:eastAsia="Calibri" w:hAnsi="Calibri" w:cs="Times New Roman"/>
          <w:noProof/>
          <w:sz w:val="20"/>
        </w:rPr>
      </w:pPr>
      <w:r>
        <w:rPr>
          <w:rFonts w:ascii="Calibri" w:eastAsia="Calibri" w:hAnsi="Calibri" w:cs="Times New Roman"/>
          <w:noProof/>
          <w:sz w:val="20"/>
        </w:rPr>
        <w:t>Malta has provided information to the Commission from its second RBMP in 2016. However, as the Commission has not yet been able to validate this information for all Member States, it</w:t>
      </w:r>
      <w:r>
        <w:rPr>
          <w:rFonts w:ascii="Calibri" w:eastAsia="Calibri" w:hAnsi="Calibri" w:cs="Times New Roman"/>
          <w:noProof/>
          <w:sz w:val="20"/>
        </w:rPr>
        <w:t xml:space="preserve"> is not reported here.</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In its first generation RBMP Malta reported the status of 9 coastal and 15 groundwater bodies. 71% of natural surface water bodies (coastal areas) achieve a good or high ecological status</w:t>
      </w:r>
      <w:r>
        <w:rPr>
          <w:rFonts w:ascii="Calibri" w:eastAsia="Calibri" w:hAnsi="Calibri" w:cs="Times New Roman"/>
          <w:noProof/>
          <w:sz w:val="20"/>
          <w:vertAlign w:val="superscript"/>
        </w:rPr>
        <w:footnoteReference w:id="64"/>
      </w:r>
      <w:r>
        <w:rPr>
          <w:rFonts w:ascii="Calibri" w:eastAsia="Calibri" w:hAnsi="Calibri" w:cs="Times New Roman"/>
          <w:noProof/>
          <w:sz w:val="20"/>
        </w:rPr>
        <w:t>. Only 13% of groundwater bodies achieve good</w:t>
      </w:r>
      <w:r>
        <w:rPr>
          <w:rFonts w:ascii="Calibri" w:eastAsia="Calibri" w:hAnsi="Calibri" w:cs="Times New Roman"/>
          <w:noProof/>
          <w:sz w:val="20"/>
        </w:rPr>
        <w:t xml:space="preserve"> chemical status</w:t>
      </w:r>
      <w:r>
        <w:rPr>
          <w:rFonts w:ascii="Calibri" w:eastAsia="Calibri" w:hAnsi="Calibri" w:cs="Times New Roman"/>
          <w:noProof/>
          <w:sz w:val="20"/>
          <w:vertAlign w:val="superscript"/>
        </w:rPr>
        <w:footnoteReference w:id="65"/>
      </w:r>
      <w:r>
        <w:rPr>
          <w:rFonts w:ascii="Calibri" w:eastAsia="Calibri" w:hAnsi="Calibri" w:cs="Times New Roman"/>
          <w:noProof/>
          <w:sz w:val="20"/>
        </w:rPr>
        <w:t xml:space="preserve"> and 73% of groundwater bodies are in good quantitative status</w:t>
      </w:r>
      <w:r>
        <w:rPr>
          <w:rFonts w:ascii="Calibri" w:eastAsia="Calibri" w:hAnsi="Calibri" w:cs="Times New Roman"/>
          <w:noProof/>
          <w:sz w:val="20"/>
          <w:vertAlign w:val="superscript"/>
        </w:rPr>
        <w:footnoteReference w:id="66"/>
      </w:r>
      <w:r>
        <w:rPr>
          <w:rFonts w:ascii="Calibri" w:eastAsia="Calibri" w:hAnsi="Calibri" w:cs="Times New Roman"/>
          <w:noProof/>
          <w:sz w:val="20"/>
        </w:rPr>
        <w:t>. The main pressure on Malta's surface water is diffuse pollution</w:t>
      </w:r>
      <w:r>
        <w:rPr>
          <w:rFonts w:ascii="Calibri" w:eastAsia="Calibri" w:hAnsi="Calibri" w:cs="Times New Roman"/>
          <w:noProof/>
          <w:sz w:val="20"/>
          <w:vertAlign w:val="superscript"/>
        </w:rPr>
        <w:footnoteReference w:id="67"/>
      </w:r>
      <w:r>
        <w:rPr>
          <w:rFonts w:ascii="Calibri" w:eastAsia="Calibri" w:hAnsi="Calibri" w:cs="Times New Roman"/>
          <w:noProof/>
          <w:sz w:val="20"/>
        </w:rPr>
        <w:t xml:space="preserve"> affecting 67% of water bodies followed by point sources of pollution affecting 56% and coastal management aff</w:t>
      </w:r>
      <w:r>
        <w:rPr>
          <w:rFonts w:ascii="Calibri" w:eastAsia="Calibri" w:hAnsi="Calibri" w:cs="Times New Roman"/>
          <w:noProof/>
          <w:sz w:val="20"/>
        </w:rPr>
        <w:t xml:space="preserve">ecting 33% of water bodies. </w:t>
      </w:r>
    </w:p>
    <w:p w:rsidR="004A120F" w:rsidRDefault="000A0796">
      <w:pPr>
        <w:widowControl w:val="0"/>
        <w:suppressLineNumbers/>
        <w:spacing w:line="240" w:lineRule="auto"/>
        <w:jc w:val="both"/>
        <w:rPr>
          <w:rFonts w:ascii="Calibri" w:eastAsia="Calibri" w:hAnsi="Calibri" w:cs="Times New Roman"/>
          <w:noProof/>
          <w:sz w:val="20"/>
          <w:szCs w:val="20"/>
        </w:rPr>
      </w:pPr>
      <w:r>
        <w:rPr>
          <w:rFonts w:ascii="Calibri" w:eastAsia="Calibri" w:hAnsi="Calibri" w:cs="Times New Roman"/>
          <w:noProof/>
          <w:sz w:val="20"/>
          <w:szCs w:val="20"/>
        </w:rPr>
        <w:t>This first Maltese RBMP has a number of deficiencies in view of the uncertainty about the status, pressures and effectiveness of Programmes of Measures. In particular there are weaknesses in monitoring and methods for assessmen</w:t>
      </w:r>
      <w:r>
        <w:rPr>
          <w:rFonts w:ascii="Calibri" w:eastAsia="Calibri" w:hAnsi="Calibri" w:cs="Times New Roman"/>
          <w:noProof/>
          <w:sz w:val="20"/>
          <w:szCs w:val="20"/>
        </w:rPr>
        <w:t>t and classification of the status of coastal waters.</w:t>
      </w:r>
      <w:r>
        <w:rPr>
          <w:rFonts w:ascii="Calibri" w:eastAsia="Calibri" w:hAnsi="Calibri" w:cs="Times New Roman"/>
          <w:noProof/>
          <w:sz w:val="20"/>
          <w:szCs w:val="20"/>
          <w:vertAlign w:val="superscript"/>
        </w:rPr>
        <w:footnoteReference w:id="68"/>
      </w:r>
      <w:r>
        <w:rPr>
          <w:rFonts w:ascii="Calibri" w:eastAsia="Calibri" w:hAnsi="Calibri" w:cs="Times New Roman"/>
          <w:noProof/>
          <w:sz w:val="20"/>
          <w:szCs w:val="20"/>
        </w:rPr>
        <w:t xml:space="preserve"> Private abstraction is an important pressure on groundwater, whereas the quantitative status is not monitored adequately. Exemptions are applied without transparent justifications. The planned measures</w:t>
      </w:r>
      <w:r>
        <w:rPr>
          <w:rFonts w:ascii="Calibri" w:eastAsia="Calibri" w:hAnsi="Calibri" w:cs="Times New Roman"/>
          <w:noProof/>
          <w:sz w:val="20"/>
          <w:szCs w:val="20"/>
        </w:rPr>
        <w:t xml:space="preserve"> are expected to result in improvement of ecological status of surface water bodies by 14%, chemical status of groundwater by 7% and quantitative status by 13%. </w:t>
      </w:r>
    </w:p>
    <w:p w:rsidR="004A120F" w:rsidRDefault="000A0796">
      <w:pPr>
        <w:widowControl w:val="0"/>
        <w:suppressLineNumbers/>
        <w:spacing w:line="240" w:lineRule="auto"/>
        <w:jc w:val="both"/>
        <w:rPr>
          <w:rFonts w:ascii="Calibri" w:eastAsia="Calibri" w:hAnsi="Calibri" w:cs="Times New Roman"/>
          <w:noProof/>
          <w:sz w:val="20"/>
          <w:szCs w:val="20"/>
        </w:rPr>
      </w:pPr>
      <w:r>
        <w:rPr>
          <w:rFonts w:ascii="Calibri" w:eastAsia="Calibri" w:hAnsi="Calibri" w:cs="Times New Roman"/>
          <w:noProof/>
          <w:sz w:val="20"/>
          <w:szCs w:val="20"/>
        </w:rPr>
        <w:t>As regards drinking water, Malta reaches very high compliance rates of 99-100% for microbiolog</w:t>
      </w:r>
      <w:r>
        <w:rPr>
          <w:rFonts w:ascii="Calibri" w:eastAsia="Calibri" w:hAnsi="Calibri" w:cs="Times New Roman"/>
          <w:noProof/>
          <w:sz w:val="20"/>
          <w:szCs w:val="20"/>
        </w:rPr>
        <w:t>ical and chemical parameters, but shows a 90.1% compliance rate with indicator parameters laid down in the Drinking Water Directive</w:t>
      </w:r>
      <w:r>
        <w:rPr>
          <w:rFonts w:ascii="Calibri" w:eastAsia="Calibri" w:hAnsi="Calibri" w:cs="Times New Roman"/>
          <w:noProof/>
          <w:sz w:val="20"/>
          <w:szCs w:val="20"/>
          <w:vertAlign w:val="superscript"/>
          <w:lang w:val="en-US"/>
        </w:rPr>
        <w:footnoteReference w:id="69"/>
      </w:r>
      <w:r>
        <w:rPr>
          <w:rFonts w:ascii="Calibri" w:eastAsia="Calibri" w:hAnsi="Calibri" w:cs="Times New Roman"/>
          <w:noProof/>
          <w:sz w:val="20"/>
          <w:szCs w:val="20"/>
        </w:rPr>
        <w:t>. The relatively low compliance rates for indicator parameters in drinking water in Malta are predominantly caused by chlori</w:t>
      </w:r>
      <w:r>
        <w:rPr>
          <w:rFonts w:ascii="Calibri" w:eastAsia="Calibri" w:hAnsi="Calibri" w:cs="Times New Roman"/>
          <w:noProof/>
          <w:sz w:val="20"/>
          <w:szCs w:val="20"/>
        </w:rPr>
        <w:t>de and sodium due to the likely intrusion of sea water, but which does not pose a risk to health.</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As shown in Figure 10, in 2015</w:t>
      </w:r>
      <w:r>
        <w:rPr>
          <w:rFonts w:ascii="Calibri" w:eastAsia="Calibri" w:hAnsi="Calibri" w:cs="Times New Roman"/>
          <w:noProof/>
          <w:sz w:val="20"/>
          <w:lang w:val="en-US"/>
        </w:rPr>
        <w:t>, in Malta out of 87 bathing waters, 97.7 % were of excellent quality, 2.3 % of good quality</w:t>
      </w:r>
      <w:r>
        <w:rPr>
          <w:rFonts w:ascii="Calibri" w:eastAsia="Calibri" w:hAnsi="Calibri" w:cs="Times New Roman"/>
          <w:noProof/>
          <w:sz w:val="20"/>
        </w:rPr>
        <w:t xml:space="preserve">, showing a slight decrease since </w:t>
      </w:r>
      <w:r>
        <w:rPr>
          <w:rFonts w:ascii="Calibri" w:eastAsia="Calibri" w:hAnsi="Calibri" w:cs="Times New Roman"/>
          <w:noProof/>
          <w:sz w:val="20"/>
        </w:rPr>
        <w:t>2014</w:t>
      </w:r>
      <w:r>
        <w:rPr>
          <w:rFonts w:ascii="Calibri" w:eastAsia="Calibri" w:hAnsi="Calibri" w:cs="Times New Roman"/>
          <w:noProof/>
          <w:sz w:val="20"/>
          <w:vertAlign w:val="superscript"/>
        </w:rPr>
        <w:footnoteReference w:id="70"/>
      </w:r>
      <w:r>
        <w:rPr>
          <w:rFonts w:ascii="Calibri" w:eastAsia="Calibri" w:hAnsi="Calibri" w:cs="Times New Roman"/>
          <w:noProof/>
          <w:sz w:val="20"/>
        </w:rPr>
        <w:t xml:space="preserve">. All bathing waters had at least </w:t>
      </w:r>
      <w:r>
        <w:rPr>
          <w:rFonts w:ascii="Calibri" w:eastAsia="Calibri" w:hAnsi="Calibri" w:cs="Times New Roman"/>
          <w:i/>
          <w:noProof/>
          <w:sz w:val="20"/>
        </w:rPr>
        <w:t>sufficient quality</w:t>
      </w:r>
      <w:r>
        <w:rPr>
          <w:rFonts w:ascii="Calibri" w:eastAsia="Calibri" w:hAnsi="Calibri" w:cs="Times New Roman"/>
          <w:noProof/>
          <w:sz w:val="20"/>
        </w:rPr>
        <w:t xml:space="preserve"> in 2015.</w:t>
      </w:r>
    </w:p>
    <w:p w:rsidR="004A120F" w:rsidRDefault="000A0796">
      <w:pPr>
        <w:widowControl w:val="0"/>
        <w:suppressLineNumbers/>
        <w:spacing w:line="240" w:lineRule="auto"/>
        <w:jc w:val="both"/>
        <w:rPr>
          <w:rFonts w:ascii="Calibri" w:eastAsia="Calibri" w:hAnsi="Calibri" w:cs="Times New Roman"/>
          <w:noProof/>
          <w:color w:val="FF0000"/>
          <w:sz w:val="20"/>
        </w:rPr>
      </w:pPr>
      <w:r>
        <w:rPr>
          <w:rFonts w:ascii="Calibri" w:eastAsia="Calibri" w:hAnsi="Calibri" w:cs="Times New Roman"/>
          <w:noProof/>
          <w:sz w:val="20"/>
        </w:rPr>
        <w:t>Since 2012, 100% of the waste water load in Malta was connected to a collecting system. However, the load collected is not treated in compliance with EU requirements as regards the secondar</w:t>
      </w:r>
      <w:r>
        <w:rPr>
          <w:rFonts w:ascii="Calibri" w:eastAsia="Calibri" w:hAnsi="Calibri" w:cs="Times New Roman"/>
          <w:noProof/>
          <w:sz w:val="20"/>
        </w:rPr>
        <w:t>y treatment requirement and the more stringent treatment. Malta has indicated that the non-compliance is due to an excess of farm manure discharges in collecting systems leading to poor performance of the plants where these discharges enter. Malta reported</w:t>
      </w:r>
      <w:r>
        <w:rPr>
          <w:rFonts w:ascii="Calibri" w:eastAsia="Calibri" w:hAnsi="Calibri" w:cs="Times New Roman"/>
          <w:noProof/>
          <w:sz w:val="20"/>
        </w:rPr>
        <w:t xml:space="preserve"> that it published a Farm Waste Management Plan in March 2016, whose aim is to tackle this specific issue.</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In a water-scarce country such as Malta, many economic activities, including the touristic sector, as well as industry and manufacturing, are heavily</w:t>
      </w:r>
      <w:r>
        <w:rPr>
          <w:rFonts w:ascii="Calibri" w:eastAsia="Calibri" w:hAnsi="Calibri" w:cs="Times New Roman"/>
          <w:noProof/>
          <w:sz w:val="20"/>
        </w:rPr>
        <w:t xml:space="preserve"> dependent on a stable water supply. However, Malta’s groundwater resources are heavily exploited, at a rate well above the natural recharge, and the island’s aquifers are slowly being invaded by seawater.</w:t>
      </w:r>
      <w:r>
        <w:rPr>
          <w:rFonts w:ascii="Calibri" w:eastAsia="Calibri" w:hAnsi="Calibri" w:cs="Times New Roman"/>
          <w:noProof/>
          <w:sz w:val="20"/>
          <w:vertAlign w:val="superscript"/>
        </w:rPr>
        <w:footnoteReference w:id="71"/>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 xml:space="preserve">The economic argument for using tariffs to regulate groundwater use, in addition to other measures, is strong. If groundwater resources continue to deteriorate, both in qualitative and quantitative terms, as it is happening today, drinking water will have </w:t>
      </w:r>
      <w:r>
        <w:rPr>
          <w:rFonts w:ascii="Calibri" w:eastAsia="Calibri" w:hAnsi="Calibri" w:cs="Times New Roman"/>
          <w:noProof/>
          <w:sz w:val="20"/>
        </w:rPr>
        <w:t xml:space="preserve">to be sourced almost entirely from desalination, which is definitely more expensive. The costs of substituting groundwater with desalinated water were estimated around EUR 1.7 million per year (2006 estimate), based on energy costs. Malta has informed the </w:t>
      </w:r>
      <w:r>
        <w:rPr>
          <w:rFonts w:ascii="Calibri" w:eastAsia="Calibri" w:hAnsi="Calibri" w:cs="Times New Roman"/>
          <w:noProof/>
          <w:sz w:val="20"/>
        </w:rPr>
        <w:t xml:space="preserve">Commission that ongoing energy efficiencies in the water sector show a decrease in energy demands and therefore energy costs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 xml:space="preserve">In addition, groundwater bodies are seriously contaminated by nitrates from the downward movement of fertilizers and animal waste </w:t>
      </w:r>
      <w:r>
        <w:rPr>
          <w:rFonts w:ascii="Calibri" w:eastAsia="Calibri" w:hAnsi="Calibri" w:cs="Times New Roman"/>
          <w:noProof/>
          <w:sz w:val="20"/>
        </w:rPr>
        <w:t>into the aquifer.</w:t>
      </w:r>
    </w:p>
    <w:tbl>
      <w:tblPr>
        <w:tblW w:w="4956" w:type="dxa"/>
        <w:tblLook w:val="04A0" w:firstRow="1" w:lastRow="0" w:firstColumn="1" w:lastColumn="0" w:noHBand="0" w:noVBand="1"/>
      </w:tblPr>
      <w:tblGrid>
        <w:gridCol w:w="4956"/>
      </w:tblGrid>
      <w:tr w:rsidR="004A120F">
        <w:trPr>
          <w:trHeight w:val="208"/>
        </w:trPr>
        <w:tc>
          <w:tcPr>
            <w:tcW w:w="4956" w:type="dxa"/>
          </w:tcPr>
          <w:p w:rsidR="004A120F" w:rsidRDefault="000A0796">
            <w:pPr>
              <w:widowControl w:val="0"/>
              <w:suppressLineNumbers/>
              <w:spacing w:line="240" w:lineRule="auto"/>
              <w:jc w:val="both"/>
              <w:rPr>
                <w:rFonts w:ascii="Calibri" w:eastAsia="Calibri" w:hAnsi="Calibri" w:cs="Times New Roman"/>
                <w:b/>
                <w:bCs/>
                <w:noProof/>
                <w:sz w:val="20"/>
              </w:rPr>
            </w:pPr>
            <w:r>
              <w:rPr>
                <w:rFonts w:ascii="Calibri" w:eastAsia="Calibri" w:hAnsi="Calibri" w:cs="Times New Roman"/>
                <w:b/>
                <w:bCs/>
                <w:noProof/>
                <w:color w:val="1F497D"/>
                <w:sz w:val="20"/>
              </w:rPr>
              <w:t>Figure 10: Bathing water quality 2012 – 2015</w:t>
            </w:r>
            <w:r>
              <w:rPr>
                <w:rFonts w:ascii="Calibri" w:eastAsia="Calibri" w:hAnsi="Calibri" w:cs="Times New Roman"/>
                <w:b/>
                <w:bCs/>
                <w:noProof/>
                <w:color w:val="1F497D"/>
                <w:sz w:val="20"/>
                <w:vertAlign w:val="superscript"/>
              </w:rPr>
              <w:footnoteReference w:id="72"/>
            </w:r>
          </w:p>
        </w:tc>
      </w:tr>
      <w:tr w:rsidR="004A120F">
        <w:trPr>
          <w:trHeight w:val="2310"/>
        </w:trPr>
        <w:tc>
          <w:tcPr>
            <w:tcW w:w="4956" w:type="dxa"/>
          </w:tcPr>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lang w:eastAsia="en-GB"/>
              </w:rPr>
              <w:drawing>
                <wp:inline distT="0" distB="0" distL="0" distR="0" wp14:anchorId="04D647F5" wp14:editId="2B932E10">
                  <wp:extent cx="2935224" cy="25163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37296" cy="2518158"/>
                          </a:xfrm>
                          <a:prstGeom prst="rect">
                            <a:avLst/>
                          </a:prstGeom>
                          <a:noFill/>
                        </pic:spPr>
                      </pic:pic>
                    </a:graphicData>
                  </a:graphic>
                </wp:inline>
              </w:drawing>
            </w:r>
          </w:p>
        </w:tc>
      </w:tr>
    </w:tbl>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With regards to nitrates contamination, despite the existence of rules for water protection, implementation on the ground and enforcement remain very challenging. The whole of Malta is des</w:t>
      </w:r>
      <w:r>
        <w:rPr>
          <w:rFonts w:ascii="Calibri" w:eastAsia="Calibri" w:hAnsi="Calibri" w:cs="Times New Roman"/>
          <w:noProof/>
          <w:sz w:val="20"/>
        </w:rPr>
        <w:t>ignated as Nitrate Vulnerable Zone under the EU Nitrates Directive and is subject to restrictions upon management under the Nitrates Action Plan for Malta and related national legislation. Malta has informed that the second RBMP also has a focus in this.</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F</w:t>
      </w:r>
      <w:r>
        <w:rPr>
          <w:rFonts w:ascii="Calibri" w:eastAsia="Calibri" w:hAnsi="Calibri" w:cs="Times New Roman"/>
          <w:noProof/>
          <w:sz w:val="20"/>
        </w:rPr>
        <w:t>loods in Malta are of the flash flood type</w:t>
      </w:r>
      <w:r>
        <w:rPr>
          <w:rFonts w:ascii="Calibri" w:eastAsia="Calibri" w:hAnsi="Calibri" w:cs="Times New Roman"/>
          <w:noProof/>
          <w:sz w:val="20"/>
          <w:vertAlign w:val="superscript"/>
        </w:rPr>
        <w:footnoteReference w:id="73"/>
      </w:r>
      <w:r>
        <w:rPr>
          <w:rFonts w:ascii="Calibri" w:eastAsia="Calibri" w:hAnsi="Calibri" w:cs="Times New Roman"/>
          <w:noProof/>
          <w:sz w:val="20"/>
        </w:rPr>
        <w:t xml:space="preserve"> and 13 floods occurred between 2002-2013, of which one (2003) with an estimated damage of EUR 30 million</w:t>
      </w:r>
      <w:r>
        <w:rPr>
          <w:rFonts w:ascii="Calibri" w:eastAsia="Calibri" w:hAnsi="Calibri" w:cs="Times New Roman"/>
          <w:noProof/>
          <w:sz w:val="20"/>
          <w:vertAlign w:val="superscript"/>
        </w:rPr>
        <w:footnoteReference w:id="74"/>
      </w:r>
      <w:r>
        <w:rPr>
          <w:rFonts w:ascii="Calibri" w:eastAsia="Calibri" w:hAnsi="Calibri" w:cs="Times New Roman"/>
          <w:noProof/>
          <w:sz w:val="20"/>
        </w:rPr>
        <w:t xml:space="preserve">. Malta has received EUR 0.96 million from the EU Solidarity Fund for the damage caused by storm and floods in 2013. A National Flood Relief project, co-funded by the EU Cohesion Fund, is being implemented. </w:t>
      </w:r>
    </w:p>
    <w:p w:rsidR="004A120F" w:rsidRDefault="000A0796">
      <w:pPr>
        <w:widowControl w:val="0"/>
        <w:suppressLineNumbers/>
        <w:spacing w:line="240" w:lineRule="auto"/>
        <w:jc w:val="both"/>
        <w:rPr>
          <w:rFonts w:ascii="Calibri" w:eastAsia="Calibri" w:hAnsi="Calibri" w:cs="Calibri"/>
          <w:noProof/>
          <w:color w:val="1F497D"/>
          <w:szCs w:val="26"/>
        </w:rPr>
      </w:pPr>
      <w:r>
        <w:rPr>
          <w:rFonts w:ascii="Calibri" w:eastAsia="Calibri" w:hAnsi="Calibri" w:cs="Calibri"/>
          <w:noProof/>
          <w:color w:val="1F497D"/>
          <w:szCs w:val="26"/>
        </w:rPr>
        <w:t>Suggested action</w:t>
      </w:r>
    </w:p>
    <w:p w:rsidR="004A120F" w:rsidRDefault="000A0796">
      <w:pPr>
        <w:pStyle w:val="SuggActions"/>
        <w:rPr>
          <w:noProof/>
        </w:rPr>
      </w:pPr>
      <w:bookmarkStart w:id="39" w:name="_Toc433296168"/>
      <w:r>
        <w:rPr>
          <w:noProof/>
        </w:rPr>
        <w:t>Improve monitoring and status a</w:t>
      </w:r>
      <w:r>
        <w:rPr>
          <w:noProof/>
        </w:rPr>
        <w:t>ssessment under the Water Framework Directive</w:t>
      </w:r>
      <w:r>
        <w:rPr>
          <w:rFonts w:cs="Calibri"/>
          <w:noProof/>
          <w:szCs w:val="26"/>
          <w:vertAlign w:val="superscript"/>
        </w:rPr>
        <w:footnoteReference w:id="75"/>
      </w:r>
      <w:r>
        <w:rPr>
          <w:noProof/>
        </w:rPr>
        <w:t>. Better justify the exemptions to the Water Framework Directive environmental objectives applied on the basis of article 4(4). Further improve the RBMP Programme of Measures to address all relevant pressures a</w:t>
      </w:r>
      <w:r>
        <w:rPr>
          <w:noProof/>
        </w:rPr>
        <w:t>nd implementation gaps, in particular linked to agricultural pollution by nutrients and over-abstraction of groundwater. Measures should be properly financed.</w:t>
      </w:r>
    </w:p>
    <w:p w:rsidR="004A120F" w:rsidRDefault="000A0796">
      <w:pPr>
        <w:pStyle w:val="SuggActions"/>
        <w:rPr>
          <w:noProof/>
        </w:rPr>
      </w:pPr>
      <w:r>
        <w:rPr>
          <w:noProof/>
        </w:rPr>
        <w:t>Combine flood management with water retention in a comprehensive way, considering also the seriou</w:t>
      </w:r>
      <w:r>
        <w:rPr>
          <w:noProof/>
        </w:rPr>
        <w:t>s water scarcity problems.</w:t>
      </w:r>
    </w:p>
    <w:p w:rsidR="004A120F" w:rsidRDefault="000A0796">
      <w:pPr>
        <w:pStyle w:val="SuggActions"/>
        <w:rPr>
          <w:noProof/>
        </w:rPr>
      </w:pPr>
      <w:r>
        <w:rPr>
          <w:noProof/>
        </w:rPr>
        <w:t xml:space="preserve">Strengthen control and enforcement of measures to prevent and reduce nitrate pollution. </w:t>
      </w:r>
    </w:p>
    <w:p w:rsidR="004A120F" w:rsidRDefault="000A0796">
      <w:pPr>
        <w:widowControl w:val="0"/>
        <w:suppressLineNumbers/>
        <w:spacing w:before="240" w:line="240" w:lineRule="auto"/>
        <w:outlineLvl w:val="1"/>
        <w:rPr>
          <w:rFonts w:ascii="Calibri" w:eastAsia="Calibri" w:hAnsi="Calibri" w:cs="Times New Roman"/>
          <w:b/>
          <w:noProof/>
          <w:color w:val="1F497D"/>
          <w:sz w:val="24"/>
          <w:szCs w:val="24"/>
          <w:lang w:eastAsia="en-GB"/>
        </w:rPr>
      </w:pPr>
      <w:bookmarkStart w:id="40" w:name="_Toc436815691"/>
      <w:bookmarkStart w:id="41" w:name="_Toc454460686"/>
      <w:bookmarkStart w:id="42" w:name="_Toc469477815"/>
      <w:bookmarkEnd w:id="39"/>
      <w:r>
        <w:rPr>
          <w:rFonts w:ascii="Calibri" w:eastAsia="Calibri" w:hAnsi="Calibri" w:cs="Times New Roman"/>
          <w:b/>
          <w:noProof/>
          <w:color w:val="1F497D"/>
          <w:sz w:val="24"/>
          <w:szCs w:val="24"/>
          <w:lang w:eastAsia="en-GB"/>
        </w:rPr>
        <w:t>Enhancing the sustainability of cities</w:t>
      </w:r>
      <w:bookmarkEnd w:id="40"/>
      <w:bookmarkEnd w:id="41"/>
      <w:bookmarkEnd w:id="42"/>
      <w:r>
        <w:rPr>
          <w:rFonts w:ascii="Calibri" w:eastAsia="Calibri" w:hAnsi="Calibri" w:cs="Times New Roman"/>
          <w:b/>
          <w:noProof/>
          <w:color w:val="1F497D"/>
          <w:sz w:val="24"/>
          <w:szCs w:val="24"/>
          <w:lang w:eastAsia="en-GB"/>
        </w:rPr>
        <w:t xml:space="preserve"> </w:t>
      </w:r>
    </w:p>
    <w:p w:rsidR="004A120F" w:rsidRDefault="000A0796">
      <w:pPr>
        <w:widowControl w:val="0"/>
        <w:shd w:val="clear" w:color="auto" w:fill="4F81BD"/>
        <w:spacing w:line="240" w:lineRule="auto"/>
        <w:jc w:val="both"/>
        <w:rPr>
          <w:rFonts w:ascii="Calibri" w:eastAsia="Calibri" w:hAnsi="Calibri" w:cs="Times New Roman"/>
          <w:noProof/>
          <w:color w:val="FFFFFF"/>
          <w:sz w:val="20"/>
        </w:rPr>
      </w:pPr>
      <w:r>
        <w:rPr>
          <w:rFonts w:ascii="Calibri" w:eastAsia="Calibri" w:hAnsi="Calibri" w:cs="Times New Roman"/>
          <w:noProof/>
          <w:color w:val="FFFFFF"/>
          <w:sz w:val="20"/>
        </w:rPr>
        <w:t>The EU Policy on the urban environment encourages cities to implement policies for sustainable urban</w:t>
      </w:r>
      <w:r>
        <w:rPr>
          <w:rFonts w:ascii="Calibri" w:eastAsia="Calibri" w:hAnsi="Calibri" w:cs="Times New Roman"/>
          <w:noProof/>
          <w:color w:val="FFFFFF"/>
          <w:sz w:val="20"/>
        </w:rPr>
        <w:t xml:space="preserve"> planning and design, including innovative approaches for urban public transport and mobility, sustainable buildings, energy efficiency and urban biodiversity conservation. </w:t>
      </w:r>
    </w:p>
    <w:p w:rsidR="004A120F" w:rsidRDefault="000A0796">
      <w:pPr>
        <w:widowControl w:val="0"/>
        <w:shd w:val="clear" w:color="auto" w:fill="4F81BD"/>
        <w:spacing w:line="240" w:lineRule="auto"/>
        <w:jc w:val="both"/>
        <w:rPr>
          <w:rFonts w:ascii="Calibri" w:eastAsia="Calibri" w:hAnsi="Calibri" w:cs="Times New Roman"/>
          <w:i/>
          <w:noProof/>
          <w:color w:val="FFFFFF"/>
          <w:sz w:val="20"/>
        </w:rPr>
      </w:pPr>
      <w:r>
        <w:rPr>
          <w:rFonts w:ascii="Calibri" w:eastAsia="Calibri" w:hAnsi="Calibri" w:cs="Times New Roman"/>
          <w:noProof/>
          <w:color w:val="FFFFFF"/>
          <w:sz w:val="20"/>
        </w:rPr>
        <w:t xml:space="preserve">SDG11 aims at making cities and human settlements inclusive, safe, resilient and </w:t>
      </w:r>
      <w:r>
        <w:rPr>
          <w:rFonts w:ascii="Calibri" w:eastAsia="Calibri" w:hAnsi="Calibri" w:cs="Times New Roman"/>
          <w:noProof/>
          <w:color w:val="FFFFFF"/>
          <w:sz w:val="20"/>
        </w:rPr>
        <w:t>sustainable.</w:t>
      </w:r>
    </w:p>
    <w:p w:rsidR="004A120F" w:rsidRDefault="000A0796">
      <w:pPr>
        <w:widowControl w:val="0"/>
        <w:spacing w:line="240" w:lineRule="auto"/>
        <w:jc w:val="both"/>
        <w:rPr>
          <w:rFonts w:ascii="Calibri" w:eastAsia="Calibri" w:hAnsi="Calibri" w:cs="Times New Roman"/>
          <w:noProof/>
          <w:sz w:val="20"/>
        </w:rPr>
      </w:pPr>
      <w:r>
        <w:rPr>
          <w:rFonts w:ascii="Calibri" w:eastAsia="Calibri" w:hAnsi="Calibri" w:cs="Times New Roman"/>
          <w:noProof/>
          <w:sz w:val="20"/>
        </w:rPr>
        <w:t>Europe is a Union of cities and towns; around 75% of the EU population are living in urban areas.</w:t>
      </w:r>
      <w:r>
        <w:rPr>
          <w:rFonts w:ascii="Calibri" w:eastAsia="Calibri" w:hAnsi="Calibri" w:cs="Times New Roman"/>
          <w:noProof/>
          <w:sz w:val="20"/>
          <w:vertAlign w:val="superscript"/>
        </w:rPr>
        <w:footnoteReference w:id="76"/>
      </w:r>
      <w:r>
        <w:rPr>
          <w:rFonts w:ascii="Calibri" w:eastAsia="Calibri" w:hAnsi="Calibri" w:cs="Times New Roman"/>
          <w:noProof/>
          <w:sz w:val="20"/>
        </w:rPr>
        <w:t xml:space="preserve"> The urban environment poses particular challenges for the environment and human health, whilst also providing opportunities and efficiency gains</w:t>
      </w:r>
      <w:r>
        <w:rPr>
          <w:rFonts w:ascii="Calibri" w:eastAsia="Calibri" w:hAnsi="Calibri" w:cs="Times New Roman"/>
          <w:noProof/>
          <w:sz w:val="20"/>
        </w:rPr>
        <w:t xml:space="preserve"> in the use of resources. </w:t>
      </w:r>
    </w:p>
    <w:p w:rsidR="004A120F" w:rsidRDefault="000A0796">
      <w:pPr>
        <w:widowControl w:val="0"/>
        <w:spacing w:line="240" w:lineRule="auto"/>
        <w:jc w:val="both"/>
        <w:rPr>
          <w:rFonts w:cs="Times New Roman"/>
          <w:noProof/>
          <w:sz w:val="20"/>
        </w:rPr>
      </w:pPr>
      <w:r>
        <w:rPr>
          <w:rFonts w:cs="Times New Roman"/>
          <w:noProof/>
          <w:sz w:val="20"/>
        </w:rPr>
        <w:t xml:space="preserve">The Member States, European institutions, cities and stakeholders have prepared a new Urban Agenda for the EU (incorporating the Smart Cities initiative) to tackle these issues in a comprehensive way, including their connections </w:t>
      </w:r>
      <w:r>
        <w:rPr>
          <w:rFonts w:cs="Times New Roman"/>
          <w:noProof/>
          <w:sz w:val="20"/>
        </w:rPr>
        <w:t>with social and economic challenges. At the heart of this Urban Agenda will be the development of twelve partnerships on the identified urban challenges, including air quality and housing</w:t>
      </w:r>
      <w:r>
        <w:rPr>
          <w:rFonts w:cs="Times New Roman"/>
          <w:noProof/>
          <w:sz w:val="20"/>
          <w:vertAlign w:val="superscript"/>
        </w:rPr>
        <w:footnoteReference w:id="77"/>
      </w:r>
      <w:r>
        <w:rPr>
          <w:rFonts w:cs="Times New Roman"/>
          <w:noProof/>
          <w:sz w:val="20"/>
        </w:rPr>
        <w:t xml:space="preserve">. </w:t>
      </w:r>
    </w:p>
    <w:p w:rsidR="004A120F" w:rsidRDefault="000A0796">
      <w:pPr>
        <w:widowControl w:val="0"/>
        <w:spacing w:line="240" w:lineRule="auto"/>
        <w:jc w:val="both"/>
        <w:rPr>
          <w:rFonts w:cs="Times New Roman"/>
          <w:noProof/>
          <w:sz w:val="20"/>
        </w:rPr>
      </w:pPr>
      <w:r>
        <w:rPr>
          <w:rFonts w:cs="Times New Roman"/>
          <w:noProof/>
          <w:sz w:val="20"/>
        </w:rPr>
        <w:t xml:space="preserve">The European Commission will launch a new EU benchmark system in </w:t>
      </w:r>
      <w:r>
        <w:rPr>
          <w:rFonts w:cs="Times New Roman"/>
          <w:noProof/>
          <w:sz w:val="20"/>
        </w:rPr>
        <w:t>2017</w:t>
      </w:r>
      <w:r>
        <w:rPr>
          <w:rFonts w:cs="Times New Roman"/>
          <w:noProof/>
          <w:sz w:val="20"/>
          <w:vertAlign w:val="superscript"/>
        </w:rPr>
        <w:footnoteReference w:id="78"/>
      </w:r>
      <w:r>
        <w:rPr>
          <w:rFonts w:cs="Times New Roman"/>
          <w:noProof/>
          <w:sz w:val="20"/>
        </w:rPr>
        <w:t>.</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The EU stimulates green cities through awards and funding, such as the EU Green Capital Award aimed at cities with more than 100,000 inhabitants and the EU Green Leaf initiative aimed at cities and towns, with between 20,000 and 100,000 inhabitants.</w:t>
      </w:r>
      <w:r>
        <w:rPr>
          <w:rFonts w:ascii="Calibri" w:eastAsia="Calibri" w:hAnsi="Calibri" w:cs="Times New Roman"/>
          <w:noProof/>
          <w:sz w:val="20"/>
        </w:rPr>
        <w:t xml:space="preserve">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lang w:eastAsia="en-GB"/>
        </w:rPr>
        <w:drawing>
          <wp:inline distT="0" distB="0" distL="0" distR="0" wp14:anchorId="485AEE29" wp14:editId="636F6645">
            <wp:extent cx="2981325" cy="1990725"/>
            <wp:effectExtent l="19050" t="0" r="9525" b="0"/>
            <wp:docPr id="37" name="Picture 10" descr="P:\ENV-E2\1. ENV IMPLEMENTATION REVIEW\EIR Data management\Pictures\Final versions\MT Valetta cit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NV-E2\1. ENV IMPLEMENTATION REVIEW\EIR Data management\Pictures\Final versions\MT Valetta city .jpg"/>
                    <pic:cNvPicPr>
                      <a:picLocks noChangeAspect="1" noChangeArrowheads="1"/>
                    </pic:cNvPicPr>
                  </pic:nvPicPr>
                  <pic:blipFill>
                    <a:blip r:embed="rId85" cstate="print"/>
                    <a:srcRect/>
                    <a:stretch>
                      <a:fillRect/>
                    </a:stretch>
                  </pic:blipFill>
                  <pic:spPr bwMode="auto">
                    <a:xfrm>
                      <a:off x="0" y="0"/>
                      <a:ext cx="2981325" cy="1990725"/>
                    </a:xfrm>
                    <a:prstGeom prst="rect">
                      <a:avLst/>
                    </a:prstGeom>
                    <a:noFill/>
                    <a:ln w="9525">
                      <a:noFill/>
                      <a:miter lim="800000"/>
                      <a:headEnd/>
                      <a:tailEnd/>
                    </a:ln>
                  </pic:spPr>
                </pic:pic>
              </a:graphicData>
            </a:graphic>
          </wp:inline>
        </w:drawing>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 xml:space="preserve">Around 34 per cent of Malta is built up area. It is the country with the highest proportion of built up areas within the whole EU. Given the limited space available, land use and urban planning issues are at the centre of discussions in Malta. </w:t>
      </w:r>
    </w:p>
    <w:p w:rsidR="004A120F" w:rsidRDefault="000A0796">
      <w:pPr>
        <w:widowControl w:val="0"/>
        <w:suppressLineNumbers/>
        <w:spacing w:line="240" w:lineRule="auto"/>
        <w:jc w:val="both"/>
        <w:rPr>
          <w:rFonts w:ascii="Calibri" w:eastAsia="Calibri" w:hAnsi="Calibri" w:cs="Times New Roman"/>
          <w:noProof/>
          <w:sz w:val="20"/>
          <w:lang w:eastAsia="en-GB"/>
        </w:rPr>
      </w:pPr>
      <w:r>
        <w:rPr>
          <w:rFonts w:ascii="Calibri" w:eastAsia="Calibri" w:hAnsi="Calibri" w:cs="Times New Roman"/>
          <w:noProof/>
          <w:sz w:val="20"/>
          <w:lang w:eastAsia="en-GB"/>
        </w:rPr>
        <w:t>Malta a</w:t>
      </w:r>
      <w:r>
        <w:rPr>
          <w:rFonts w:ascii="Calibri" w:eastAsia="Calibri" w:hAnsi="Calibri" w:cs="Times New Roman"/>
          <w:noProof/>
          <w:sz w:val="20"/>
          <w:lang w:eastAsia="en-GB"/>
        </w:rPr>
        <w:t>lso has 9.5 per cent of the total road network heavily congested when compared to the EU average of 1.7 per cent. The average number of seconds of delay per km is estimated at 16.93 seconds when the European average is 5.74 seconds. The results also sugges</w:t>
      </w:r>
      <w:r>
        <w:rPr>
          <w:rFonts w:ascii="Calibri" w:eastAsia="Calibri" w:hAnsi="Calibri" w:cs="Times New Roman"/>
          <w:noProof/>
          <w:sz w:val="20"/>
          <w:lang w:eastAsia="en-GB"/>
        </w:rPr>
        <w:t xml:space="preserve">t the strongest deterioration in the levels of congestion of all member states. This growth in car dependence has had impacts on the island’s environment and public health (see also the section on air quality). </w:t>
      </w:r>
    </w:p>
    <w:p w:rsidR="004A120F" w:rsidRDefault="000A0796">
      <w:pPr>
        <w:widowControl w:val="0"/>
        <w:spacing w:line="240" w:lineRule="auto"/>
        <w:jc w:val="both"/>
        <w:rPr>
          <w:rFonts w:ascii="Calibri" w:eastAsia="Calibri" w:hAnsi="Calibri" w:cs="Times New Roman"/>
          <w:noProof/>
          <w:sz w:val="20"/>
        </w:rPr>
      </w:pPr>
      <w:r>
        <w:rPr>
          <w:rFonts w:ascii="Calibri" w:eastAsia="Calibri" w:hAnsi="Calibri" w:cs="Times New Roman"/>
          <w:noProof/>
          <w:sz w:val="20"/>
        </w:rPr>
        <w:t>Making cities more sustainable can be stimul</w:t>
      </w:r>
      <w:r>
        <w:rPr>
          <w:rFonts w:ascii="Calibri" w:eastAsia="Calibri" w:hAnsi="Calibri" w:cs="Times New Roman"/>
          <w:noProof/>
          <w:sz w:val="20"/>
        </w:rPr>
        <w:t>ated in various ways. Recurring events are able to energise follow-up activities. An example is the Valletta Green Festival</w:t>
      </w:r>
      <w:r>
        <w:rPr>
          <w:rFonts w:ascii="Calibri" w:eastAsia="Calibri" w:hAnsi="Calibri" w:cs="Times New Roman"/>
          <w:b/>
          <w:noProof/>
          <w:sz w:val="20"/>
        </w:rPr>
        <w:t xml:space="preserve"> </w:t>
      </w:r>
      <w:r>
        <w:rPr>
          <w:rFonts w:ascii="Calibri" w:eastAsia="Calibri" w:hAnsi="Calibri" w:cs="Times New Roman"/>
          <w:noProof/>
          <w:sz w:val="20"/>
        </w:rPr>
        <w:t>which takes place since 2014 and aims to raise awareness, improve and contribute towards the ecological aspects of Malta's capital c</w:t>
      </w:r>
      <w:r>
        <w:rPr>
          <w:rFonts w:ascii="Calibri" w:eastAsia="Calibri" w:hAnsi="Calibri" w:cs="Times New Roman"/>
          <w:noProof/>
          <w:sz w:val="20"/>
        </w:rPr>
        <w:t>ity and that of other towns in Malta and Gozo. Another notable initiative was the international Sustainable Built Environment conference which took place on 16-18 March 2016 and focused on new opportunities. Malta will be using 2014-20 ESIF to support clea</w:t>
      </w:r>
      <w:r>
        <w:rPr>
          <w:rFonts w:ascii="Calibri" w:eastAsia="Calibri" w:hAnsi="Calibri" w:cs="Times New Roman"/>
          <w:noProof/>
          <w:sz w:val="20"/>
        </w:rPr>
        <w:t xml:space="preserve">n urban infrastructure and promotion. </w:t>
      </w:r>
    </w:p>
    <w:p w:rsidR="004A120F" w:rsidRDefault="000A0796">
      <w:pPr>
        <w:widowControl w:val="0"/>
        <w:suppressLineNumbers/>
        <w:spacing w:before="240" w:line="240" w:lineRule="auto"/>
        <w:outlineLvl w:val="1"/>
        <w:rPr>
          <w:rFonts w:ascii="Calibri" w:eastAsia="Calibri" w:hAnsi="Calibri" w:cs="Times New Roman"/>
          <w:b/>
          <w:noProof/>
          <w:color w:val="1F497D"/>
          <w:sz w:val="24"/>
          <w:szCs w:val="24"/>
          <w:lang w:eastAsia="en-GB"/>
        </w:rPr>
      </w:pPr>
      <w:bookmarkStart w:id="43" w:name="_Toc454460687"/>
      <w:bookmarkStart w:id="44" w:name="_Toc469477816"/>
      <w:r>
        <w:rPr>
          <w:rFonts w:ascii="Calibri" w:eastAsia="Calibri" w:hAnsi="Calibri" w:cs="Times New Roman"/>
          <w:b/>
          <w:noProof/>
          <w:color w:val="1F497D"/>
          <w:sz w:val="24"/>
          <w:szCs w:val="24"/>
          <w:lang w:eastAsia="en-GB"/>
        </w:rPr>
        <w:t>International agreements</w:t>
      </w:r>
      <w:bookmarkEnd w:id="43"/>
      <w:bookmarkEnd w:id="44"/>
      <w:r>
        <w:rPr>
          <w:rFonts w:ascii="Calibri" w:eastAsia="Calibri" w:hAnsi="Calibri" w:cs="Times New Roman"/>
          <w:b/>
          <w:noProof/>
          <w:color w:val="1F497D"/>
          <w:sz w:val="24"/>
          <w:szCs w:val="24"/>
          <w:lang w:eastAsia="en-GB"/>
        </w:rPr>
        <w:t xml:space="preserve"> </w:t>
      </w:r>
    </w:p>
    <w:p w:rsidR="004A120F" w:rsidRDefault="000A0796">
      <w:pPr>
        <w:widowControl w:val="0"/>
        <w:shd w:val="clear" w:color="auto" w:fill="4F81BD"/>
        <w:spacing w:line="240" w:lineRule="auto"/>
        <w:jc w:val="both"/>
        <w:rPr>
          <w:rFonts w:ascii="Calibri" w:eastAsia="Calibri" w:hAnsi="Calibri" w:cs="Calibri"/>
          <w:noProof/>
          <w:color w:val="1F497D"/>
          <w:szCs w:val="26"/>
        </w:rPr>
      </w:pPr>
      <w:r>
        <w:rPr>
          <w:rFonts w:ascii="Calibri" w:eastAsia="Calibri" w:hAnsi="Calibri" w:cs="Times New Roman"/>
          <w:noProof/>
          <w:color w:val="FFFFFF"/>
          <w:sz w:val="20"/>
        </w:rPr>
        <w:t>The EU Treaties require that the Union policy on the environment promotes measures at the international level to deal with regional or worldwide environmental problems.</w:t>
      </w:r>
    </w:p>
    <w:p w:rsidR="004A120F" w:rsidRDefault="000A0796">
      <w:pPr>
        <w:widowControl w:val="0"/>
        <w:spacing w:before="120" w:line="240" w:lineRule="auto"/>
        <w:jc w:val="both"/>
        <w:rPr>
          <w:rFonts w:cs="Times New Roman"/>
          <w:noProof/>
          <w:sz w:val="20"/>
        </w:rPr>
      </w:pPr>
      <w:r>
        <w:rPr>
          <w:rFonts w:cs="Times New Roman"/>
          <w:noProof/>
          <w:sz w:val="20"/>
        </w:rPr>
        <w:t xml:space="preserve">Most environmental </w:t>
      </w:r>
      <w:r>
        <w:rPr>
          <w:rFonts w:cs="Times New Roman"/>
          <w:noProof/>
          <w:sz w:val="20"/>
        </w:rPr>
        <w:t>problems have a transboundary nature and often a global scope and they can only be addressed effectively through international co-operation. International environmental agreements concluded by the Union are binding upon the institutions of the Union and on</w:t>
      </w:r>
      <w:r>
        <w:rPr>
          <w:rFonts w:cs="Times New Roman"/>
          <w:noProof/>
          <w:sz w:val="20"/>
        </w:rPr>
        <w:t xml:space="preserve"> its Member States. This requires the EU and the Member States to sign, ratify and effectively implement all relevant multilateral environmental agreements (MEAs) in a timely manner. This will also be an important contribution towards the achievement of th</w:t>
      </w:r>
      <w:r>
        <w:rPr>
          <w:rFonts w:cs="Times New Roman"/>
          <w:noProof/>
          <w:sz w:val="20"/>
        </w:rPr>
        <w:t>e SDGs, which Member States committed to in 2015 and include many commitments contained already in legally binding agreements.</w:t>
      </w:r>
    </w:p>
    <w:p w:rsidR="004A120F" w:rsidRDefault="000A0796">
      <w:pPr>
        <w:widowControl w:val="0"/>
        <w:suppressLineNumbers/>
        <w:spacing w:line="240" w:lineRule="auto"/>
        <w:jc w:val="both"/>
        <w:rPr>
          <w:rFonts w:ascii="Calibri" w:eastAsia="Calibri" w:hAnsi="Calibri" w:cs="Times New Roman"/>
          <w:noProof/>
          <w:sz w:val="20"/>
        </w:rPr>
      </w:pPr>
      <w:r>
        <w:rPr>
          <w:rFonts w:cs="Times New Roman"/>
          <w:noProof/>
          <w:sz w:val="20"/>
        </w:rPr>
        <w:t xml:space="preserve">The fact that some Member States did not sign and/or ratify a number of MEAs compromises environmental implementation, including </w:t>
      </w:r>
      <w:r>
        <w:rPr>
          <w:rFonts w:cs="Times New Roman"/>
          <w:noProof/>
          <w:sz w:val="20"/>
        </w:rPr>
        <w:t>within the Union, as well as the Union’s credibility in related negotiations and international meetings where supporting the participation of third countries to such agreements is an established EU policy objective. In agreements where voting takes place i</w:t>
      </w:r>
      <w:r>
        <w:rPr>
          <w:rFonts w:cs="Times New Roman"/>
          <w:noProof/>
          <w:sz w:val="20"/>
        </w:rPr>
        <w:t xml:space="preserve">t has a direct impact on the number of votes to be cast by the EU. </w:t>
      </w:r>
      <w:r>
        <w:rPr>
          <w:rFonts w:ascii="Calibri" w:eastAsia="Calibri" w:hAnsi="Calibri" w:cs="Times New Roman"/>
          <w:noProof/>
          <w:sz w:val="20"/>
        </w:rPr>
        <w:t>Currently, Malta has signed but not yet ratified the Stockholm Convention on Persistent Organic Pollutants, the Offshore Protocol of the Barcelona Convention</w:t>
      </w:r>
      <w:r>
        <w:rPr>
          <w:rFonts w:ascii="Calibri" w:eastAsia="Calibri" w:hAnsi="Calibri" w:cs="Times New Roman"/>
          <w:noProof/>
          <w:sz w:val="20"/>
          <w:vertAlign w:val="superscript"/>
        </w:rPr>
        <w:footnoteReference w:id="79"/>
      </w:r>
      <w:r>
        <w:rPr>
          <w:rFonts w:ascii="Calibri" w:eastAsia="Calibri" w:hAnsi="Calibri" w:cs="Times New Roman"/>
          <w:noProof/>
          <w:sz w:val="20"/>
        </w:rPr>
        <w:t xml:space="preserve"> and the Protocol on Integrated</w:t>
      </w:r>
      <w:r>
        <w:rPr>
          <w:rFonts w:ascii="Calibri" w:eastAsia="Calibri" w:hAnsi="Calibri" w:cs="Times New Roman"/>
          <w:noProof/>
          <w:sz w:val="20"/>
        </w:rPr>
        <w:t xml:space="preserve"> Coastal Zone Management.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It has neither signed nor ratified three agreements under the Convention on Long-range Transboundary Air Pollution: the Gothenburg Protocol to Abate Acidification, Eutrophication and Ground-level Ozone, the Persistent Organic Pol</w:t>
      </w:r>
      <w:r>
        <w:rPr>
          <w:rFonts w:ascii="Calibri" w:eastAsia="Calibri" w:hAnsi="Calibri" w:cs="Times New Roman"/>
          <w:noProof/>
          <w:sz w:val="20"/>
        </w:rPr>
        <w:t xml:space="preserve">lutions Protocol and the Heavy Metals Protocol. The same applies to the Rotterdam Convention on a Prior Informed Consent Procedure for Certain Hazardous Chemicals and Pesticides in International Trade, the Helsinki Convention on Industrial Accidents, the  </w:t>
      </w:r>
      <w:r>
        <w:rPr>
          <w:rFonts w:ascii="Calibri" w:eastAsia="Calibri" w:hAnsi="Calibri" w:cs="Times New Roman"/>
          <w:noProof/>
          <w:sz w:val="20"/>
        </w:rPr>
        <w:t>African-Eurasian Migratory Waterbird Agreement, the Nagoya Protocol</w:t>
      </w:r>
      <w:r>
        <w:rPr>
          <w:rFonts w:ascii="Calibri" w:eastAsia="Calibri" w:hAnsi="Calibri" w:cs="Times New Roman"/>
          <w:noProof/>
          <w:sz w:val="20"/>
          <w:vertAlign w:val="superscript"/>
        </w:rPr>
        <w:footnoteReference w:id="80"/>
      </w:r>
      <w:r>
        <w:rPr>
          <w:rFonts w:ascii="Calibri" w:eastAsia="Calibri" w:hAnsi="Calibri" w:cs="Times New Roman"/>
          <w:noProof/>
          <w:sz w:val="20"/>
        </w:rPr>
        <w:t>, and the International Convention for the Regulation of Whaling.</w:t>
      </w:r>
    </w:p>
    <w:p w:rsidR="004A120F" w:rsidRDefault="000A0796">
      <w:pPr>
        <w:widowControl w:val="0"/>
        <w:suppressLineNumbers/>
        <w:spacing w:line="240" w:lineRule="auto"/>
        <w:jc w:val="both"/>
        <w:rPr>
          <w:rFonts w:ascii="Calibri" w:eastAsia="Calibri" w:hAnsi="Calibri" w:cs="Calibri"/>
          <w:noProof/>
          <w:color w:val="1F497D"/>
          <w:szCs w:val="26"/>
        </w:rPr>
      </w:pPr>
      <w:r>
        <w:rPr>
          <w:rFonts w:ascii="Calibri" w:eastAsia="Calibri" w:hAnsi="Calibri" w:cs="Calibri"/>
          <w:noProof/>
          <w:color w:val="1F497D"/>
          <w:szCs w:val="26"/>
        </w:rPr>
        <w:t>Suggested action</w:t>
      </w:r>
    </w:p>
    <w:p w:rsidR="004A120F" w:rsidRDefault="000A0796">
      <w:pPr>
        <w:pStyle w:val="SuggActions"/>
        <w:rPr>
          <w:noProof/>
        </w:rPr>
      </w:pPr>
      <w:r>
        <w:rPr>
          <w:noProof/>
        </w:rPr>
        <w:t xml:space="preserve">Increase efforts to be party to relevant multilateral environmental agreements, by signing and ratifying </w:t>
      </w:r>
      <w:r>
        <w:rPr>
          <w:noProof/>
        </w:rPr>
        <w:t>the remaining agreements.</w:t>
      </w:r>
    </w:p>
    <w:p w:rsidR="004A120F" w:rsidRDefault="004A120F">
      <w:pPr>
        <w:widowControl w:val="0"/>
        <w:suppressLineNumbers/>
        <w:spacing w:line="240" w:lineRule="auto"/>
        <w:jc w:val="both"/>
        <w:rPr>
          <w:rFonts w:ascii="Calibri" w:eastAsia="Calibri" w:hAnsi="Calibri" w:cs="Times New Roman"/>
          <w:noProof/>
          <w:sz w:val="20"/>
        </w:rPr>
      </w:pPr>
    </w:p>
    <w:p w:rsidR="004A120F" w:rsidRDefault="004A120F">
      <w:pPr>
        <w:widowControl w:val="0"/>
        <w:suppressLineNumbers/>
        <w:spacing w:line="240" w:lineRule="auto"/>
        <w:jc w:val="both"/>
        <w:rPr>
          <w:rFonts w:ascii="Calibri" w:eastAsia="Calibri" w:hAnsi="Calibri" w:cs="Times New Roman"/>
          <w:noProof/>
          <w:sz w:val="20"/>
        </w:rPr>
      </w:pPr>
    </w:p>
    <w:p w:rsidR="004A120F" w:rsidRDefault="004A120F">
      <w:pPr>
        <w:widowControl w:val="0"/>
        <w:suppressLineNumbers/>
        <w:spacing w:line="240" w:lineRule="auto"/>
        <w:jc w:val="both"/>
        <w:rPr>
          <w:rFonts w:ascii="Calibri" w:eastAsia="Calibri" w:hAnsi="Calibri" w:cs="Times New Roman"/>
          <w:noProof/>
          <w:sz w:val="20"/>
        </w:rPr>
      </w:pPr>
    </w:p>
    <w:p w:rsidR="004A120F" w:rsidRDefault="004A120F">
      <w:pPr>
        <w:widowControl w:val="0"/>
        <w:suppressLineNumbers/>
        <w:spacing w:line="240" w:lineRule="auto"/>
        <w:jc w:val="both"/>
        <w:rPr>
          <w:rFonts w:ascii="Calibri" w:eastAsia="Calibri" w:hAnsi="Calibri" w:cs="Times New Roman"/>
          <w:noProof/>
          <w:sz w:val="20"/>
        </w:rPr>
      </w:pPr>
    </w:p>
    <w:p w:rsidR="004A120F" w:rsidRDefault="004A120F">
      <w:pPr>
        <w:widowControl w:val="0"/>
        <w:suppressLineNumbers/>
        <w:spacing w:line="240" w:lineRule="auto"/>
        <w:jc w:val="both"/>
        <w:rPr>
          <w:rFonts w:ascii="Calibri" w:eastAsia="Calibri" w:hAnsi="Calibri" w:cs="Times New Roman"/>
          <w:noProof/>
          <w:sz w:val="20"/>
        </w:rPr>
        <w:sectPr w:rsidR="004A120F">
          <w:headerReference w:type="even" r:id="rId86"/>
          <w:headerReference w:type="default" r:id="rId87"/>
          <w:footerReference w:type="even" r:id="rId88"/>
          <w:footerReference w:type="default" r:id="rId89"/>
          <w:headerReference w:type="first" r:id="rId90"/>
          <w:footerReference w:type="first" r:id="rId91"/>
          <w:type w:val="continuous"/>
          <w:pgSz w:w="11906" w:h="16838"/>
          <w:pgMar w:top="1440" w:right="1080" w:bottom="1440" w:left="1080" w:header="708" w:footer="708" w:gutter="0"/>
          <w:cols w:num="2" w:space="360"/>
          <w:docGrid w:linePitch="360"/>
        </w:sectPr>
      </w:pPr>
    </w:p>
    <w:p w:rsidR="004A120F" w:rsidRDefault="000A0796">
      <w:pPr>
        <w:widowControl w:val="0"/>
        <w:suppressLineNumbers/>
        <w:spacing w:after="0" w:line="240" w:lineRule="auto"/>
        <w:jc w:val="center"/>
        <w:outlineLvl w:val="0"/>
        <w:rPr>
          <w:rFonts w:ascii="Calibri" w:eastAsia="Times New Roman" w:hAnsi="Calibri" w:cs="Times New Roman"/>
          <w:b/>
          <w:bCs/>
          <w:noProof/>
          <w:color w:val="1F497D"/>
          <w:sz w:val="32"/>
          <w:szCs w:val="28"/>
        </w:rPr>
      </w:pPr>
      <w:bookmarkStart w:id="45" w:name="_Toc433296176"/>
      <w:bookmarkStart w:id="46" w:name="_Toc469477817"/>
      <w:r>
        <w:rPr>
          <w:rFonts w:ascii="Calibri" w:eastAsia="Times New Roman" w:hAnsi="Calibri" w:cs="Times New Roman"/>
          <w:b/>
          <w:bCs/>
          <w:noProof/>
          <w:color w:val="1F497D"/>
          <w:sz w:val="32"/>
          <w:szCs w:val="28"/>
        </w:rPr>
        <w:t xml:space="preserve">Part II: </w:t>
      </w:r>
      <w:bookmarkEnd w:id="45"/>
      <w:r>
        <w:rPr>
          <w:rFonts w:ascii="Calibri" w:eastAsia="Times New Roman" w:hAnsi="Calibri" w:cs="Times New Roman"/>
          <w:b/>
          <w:bCs/>
          <w:noProof/>
          <w:color w:val="1F497D"/>
          <w:sz w:val="32"/>
          <w:szCs w:val="28"/>
        </w:rPr>
        <w:t>Enabling Framework: Implementation Tools</w:t>
      </w:r>
      <w:bookmarkEnd w:id="46"/>
    </w:p>
    <w:p w:rsidR="004A120F" w:rsidRDefault="004A120F">
      <w:pPr>
        <w:widowControl w:val="0"/>
        <w:suppressLineNumbers/>
        <w:ind w:left="-360"/>
        <w:rPr>
          <w:rFonts w:ascii="Calibri" w:eastAsia="Calibri" w:hAnsi="Calibri" w:cs="Times New Roman"/>
          <w:noProof/>
          <w:sz w:val="20"/>
        </w:rPr>
      </w:pPr>
    </w:p>
    <w:p w:rsidR="004A120F" w:rsidRDefault="004A120F">
      <w:pPr>
        <w:widowControl w:val="0"/>
        <w:suppressLineNumbers/>
        <w:ind w:left="-360"/>
        <w:rPr>
          <w:rFonts w:ascii="Calibri" w:eastAsia="Calibri" w:hAnsi="Calibri" w:cs="Times New Roman"/>
          <w:noProof/>
          <w:sz w:val="20"/>
        </w:rPr>
        <w:sectPr w:rsidR="004A120F">
          <w:headerReference w:type="even" r:id="rId92"/>
          <w:headerReference w:type="default" r:id="rId93"/>
          <w:footerReference w:type="even" r:id="rId94"/>
          <w:footerReference w:type="default" r:id="rId95"/>
          <w:headerReference w:type="first" r:id="rId96"/>
          <w:footerReference w:type="first" r:id="rId97"/>
          <w:pgSz w:w="11906" w:h="16838" w:code="9"/>
          <w:pgMar w:top="1080" w:right="1440" w:bottom="1080" w:left="1440" w:header="709" w:footer="709" w:gutter="0"/>
          <w:cols w:space="566"/>
          <w:docGrid w:linePitch="360"/>
        </w:sectPr>
      </w:pPr>
    </w:p>
    <w:p w:rsidR="004A120F" w:rsidRDefault="000A0796">
      <w:pPr>
        <w:widowControl w:val="0"/>
        <w:suppressLineNumbers/>
        <w:spacing w:after="0" w:line="240" w:lineRule="auto"/>
        <w:jc w:val="center"/>
        <w:outlineLvl w:val="0"/>
        <w:rPr>
          <w:rFonts w:ascii="Calibri" w:eastAsia="Times New Roman" w:hAnsi="Calibri" w:cs="Times New Roman"/>
          <w:b/>
          <w:bCs/>
          <w:noProof/>
          <w:color w:val="1F497D"/>
          <w:sz w:val="32"/>
          <w:szCs w:val="28"/>
        </w:rPr>
      </w:pPr>
      <w:bookmarkStart w:id="47" w:name="_Toc469477818"/>
      <w:r>
        <w:rPr>
          <w:rFonts w:ascii="Calibri" w:eastAsia="Times New Roman" w:hAnsi="Calibri" w:cs="Times New Roman"/>
          <w:b/>
          <w:bCs/>
          <w:noProof/>
          <w:color w:val="1F497D"/>
          <w:sz w:val="32"/>
          <w:szCs w:val="28"/>
        </w:rPr>
        <w:t>4. Market based instruments and investment</w:t>
      </w:r>
      <w:bookmarkStart w:id="48" w:name="_Toc433296178"/>
      <w:bookmarkStart w:id="49" w:name="_Toc433296181"/>
      <w:bookmarkEnd w:id="47"/>
      <w:r>
        <w:rPr>
          <w:rFonts w:ascii="Calibri" w:eastAsia="Times New Roman" w:hAnsi="Calibri" w:cs="Times New Roman"/>
          <w:b/>
          <w:bCs/>
          <w:noProof/>
          <w:color w:val="1F497D"/>
          <w:sz w:val="32"/>
          <w:szCs w:val="28"/>
        </w:rPr>
        <w:t xml:space="preserve"> </w:t>
      </w:r>
    </w:p>
    <w:p w:rsidR="004A120F" w:rsidRDefault="004A120F">
      <w:pPr>
        <w:widowControl w:val="0"/>
        <w:suppressLineNumbers/>
        <w:rPr>
          <w:rFonts w:ascii="Calibri" w:eastAsia="Calibri" w:hAnsi="Calibri" w:cs="Times New Roman"/>
          <w:noProof/>
          <w:sz w:val="20"/>
        </w:rPr>
      </w:pPr>
    </w:p>
    <w:p w:rsidR="004A120F" w:rsidRDefault="004A120F">
      <w:pPr>
        <w:widowControl w:val="0"/>
        <w:suppressLineNumbers/>
        <w:rPr>
          <w:rFonts w:ascii="Calibri" w:eastAsia="Calibri" w:hAnsi="Calibri" w:cs="Times New Roman"/>
          <w:noProof/>
          <w:sz w:val="20"/>
        </w:rPr>
        <w:sectPr w:rsidR="004A120F">
          <w:headerReference w:type="even" r:id="rId98"/>
          <w:headerReference w:type="default" r:id="rId99"/>
          <w:footerReference w:type="even" r:id="rId100"/>
          <w:footerReference w:type="default" r:id="rId101"/>
          <w:headerReference w:type="first" r:id="rId102"/>
          <w:footerReference w:type="first" r:id="rId103"/>
          <w:type w:val="continuous"/>
          <w:pgSz w:w="11906" w:h="16838" w:code="9"/>
          <w:pgMar w:top="1080" w:right="1440" w:bottom="1080" w:left="1440" w:header="709" w:footer="709" w:gutter="0"/>
          <w:cols w:space="566"/>
          <w:docGrid w:linePitch="360"/>
        </w:sectPr>
      </w:pPr>
    </w:p>
    <w:p w:rsidR="004A120F" w:rsidRDefault="000A0796">
      <w:pPr>
        <w:widowControl w:val="0"/>
        <w:suppressLineNumbers/>
        <w:spacing w:before="240" w:line="240" w:lineRule="auto"/>
        <w:outlineLvl w:val="1"/>
        <w:rPr>
          <w:rFonts w:ascii="Calibri" w:eastAsia="Calibri" w:hAnsi="Calibri" w:cs="Times New Roman"/>
          <w:b/>
          <w:noProof/>
          <w:color w:val="1F497D"/>
          <w:sz w:val="24"/>
          <w:szCs w:val="24"/>
          <w:lang w:eastAsia="en-GB"/>
        </w:rPr>
      </w:pPr>
      <w:bookmarkStart w:id="50" w:name="_Toc454457661"/>
      <w:bookmarkStart w:id="51" w:name="_Toc469477819"/>
      <w:bookmarkEnd w:id="48"/>
      <w:r>
        <w:rPr>
          <w:rFonts w:ascii="Calibri" w:eastAsia="Calibri" w:hAnsi="Calibri" w:cs="Times New Roman"/>
          <w:b/>
          <w:noProof/>
          <w:color w:val="1F497D"/>
          <w:sz w:val="24"/>
          <w:szCs w:val="24"/>
          <w:lang w:eastAsia="en-GB"/>
        </w:rPr>
        <w:t>Green taxation and environmentally harmful subsidies</w:t>
      </w:r>
      <w:bookmarkEnd w:id="50"/>
      <w:bookmarkEnd w:id="51"/>
    </w:p>
    <w:p w:rsidR="004A120F" w:rsidRDefault="000A0796">
      <w:pPr>
        <w:widowControl w:val="0"/>
        <w:shd w:val="clear" w:color="auto" w:fill="4F81BD"/>
        <w:suppressAutoHyphens/>
        <w:spacing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 xml:space="preserve">The Circular Economy Action Plan encourages the use of financial </w:t>
      </w:r>
      <w:r>
        <w:rPr>
          <w:rFonts w:ascii="Calibri" w:eastAsia="Calibri" w:hAnsi="Calibri" w:cs="Times New Roman"/>
          <w:noProof/>
          <w:color w:val="FFFFFF"/>
          <w:sz w:val="20"/>
          <w:lang w:eastAsia="ar-SA"/>
        </w:rPr>
        <w:t>incentives and economic instruments, such as taxation to ensure that product prices better reflect environmental costs. The phasing out of environmentally harmful subsidies is monitored in the context of the European Semester and in national reform program</w:t>
      </w:r>
      <w:r>
        <w:rPr>
          <w:rFonts w:ascii="Calibri" w:eastAsia="Calibri" w:hAnsi="Calibri" w:cs="Times New Roman"/>
          <w:noProof/>
          <w:color w:val="FFFFFF"/>
          <w:sz w:val="20"/>
          <w:lang w:eastAsia="ar-SA"/>
        </w:rPr>
        <w:t>mes submitted by Member States.</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Taxing pollution and resource use can generate increased revenue and bring important social and environmental benefits.</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 xml:space="preserve">Expressed as a proportion of GDP, Malta ranked 10th among the EU-28 in 2014 in terms of revenue derived </w:t>
      </w:r>
      <w:r>
        <w:rPr>
          <w:rFonts w:ascii="Calibri" w:eastAsia="Calibri" w:hAnsi="Calibri" w:cs="Times New Roman"/>
          <w:noProof/>
          <w:sz w:val="20"/>
        </w:rPr>
        <w:t xml:space="preserve">from environmental taxes. Malta ranked low, in 23rd place, for the percentage share of GDP from energy taxes, but was in 2nd place in terms of percentage share of GDP from transport taxes (excluding fuel).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Malta is one of the EU countries that could benef</w:t>
      </w:r>
      <w:r>
        <w:rPr>
          <w:rFonts w:ascii="Calibri" w:eastAsia="Calibri" w:hAnsi="Calibri" w:cs="Times New Roman"/>
          <w:noProof/>
          <w:sz w:val="20"/>
        </w:rPr>
        <w:t>it from a redesign of environment-related taxation, among others because of its subsidies on company cars. A 2016 study</w:t>
      </w:r>
      <w:r>
        <w:rPr>
          <w:rFonts w:eastAsia="Calibri" w:cs="Times New Roman"/>
          <w:bCs/>
          <w:noProof/>
          <w:sz w:val="20"/>
          <w:szCs w:val="24"/>
          <w:vertAlign w:val="superscript"/>
          <w:lang w:val="hu-HU"/>
        </w:rPr>
        <w:footnoteReference w:id="81"/>
      </w:r>
      <w:r>
        <w:rPr>
          <w:rFonts w:ascii="Calibri" w:eastAsia="Calibri" w:hAnsi="Calibri" w:cs="Times New Roman"/>
          <w:noProof/>
          <w:sz w:val="20"/>
        </w:rPr>
        <w:t xml:space="preserve"> suggests that there is considerable potential for shifting taxes from labour to environmental taxes in Malta. </w:t>
      </w:r>
      <w:r>
        <w:rPr>
          <w:rFonts w:eastAsia="Calibri" w:cs="Times New Roman"/>
          <w:bCs/>
          <w:noProof/>
          <w:sz w:val="20"/>
          <w:szCs w:val="24"/>
          <w:lang w:val="hu-HU"/>
        </w:rPr>
        <w:t>Under a good practice sce</w:t>
      </w:r>
      <w:r>
        <w:rPr>
          <w:rFonts w:eastAsia="Calibri" w:cs="Times New Roman"/>
          <w:bCs/>
          <w:noProof/>
          <w:sz w:val="20"/>
          <w:szCs w:val="24"/>
          <w:lang w:val="hu-HU"/>
        </w:rPr>
        <w:t>nario</w:t>
      </w:r>
      <w:r>
        <w:rPr>
          <w:rStyle w:val="FootnoteReference"/>
          <w:rFonts w:eastAsia="Calibri" w:cs="Times New Roman"/>
          <w:bCs/>
          <w:noProof/>
          <w:sz w:val="20"/>
          <w:szCs w:val="24"/>
          <w:lang w:val="hu-HU"/>
        </w:rPr>
        <w:footnoteReference w:id="82"/>
      </w:r>
      <w:r>
        <w:rPr>
          <w:rFonts w:eastAsia="Calibri" w:cs="Times New Roman"/>
          <w:bCs/>
          <w:noProof/>
          <w:sz w:val="20"/>
          <w:szCs w:val="24"/>
          <w:lang w:val="hu-HU"/>
        </w:rPr>
        <w:t>, these</w:t>
      </w:r>
      <w:r>
        <w:rPr>
          <w:rFonts w:ascii="Calibri" w:eastAsia="Calibri" w:hAnsi="Calibri" w:cs="Times New Roman"/>
          <w:noProof/>
          <w:sz w:val="20"/>
        </w:rPr>
        <w:t xml:space="preserve"> taxes could generate an additional EUR 0.05 billion in 2018, rising to EUR 0.11 billion in 2030 (both in real 2015 terms). This is equivalent to 0.57% and 0.83% of GDP in 2018 and 2030, respectively. In the same year environmental tax revenue</w:t>
      </w:r>
      <w:r>
        <w:rPr>
          <w:rFonts w:ascii="Calibri" w:eastAsia="Calibri" w:hAnsi="Calibri" w:cs="Times New Roman"/>
          <w:noProof/>
          <w:sz w:val="20"/>
        </w:rPr>
        <w:t xml:space="preserve">s accounted for 8.51% of total revenues from taxes and social-security contributions (EU 28 average: 6.35%) as shown in Figure 11.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 xml:space="preserve">Using the full potential of taxing pollution and resource use would not only bring in additional revenues to substitute for </w:t>
      </w:r>
      <w:r>
        <w:rPr>
          <w:rFonts w:ascii="Calibri" w:eastAsia="Calibri" w:hAnsi="Calibri" w:cs="Times New Roman"/>
          <w:noProof/>
          <w:sz w:val="20"/>
        </w:rPr>
        <w:t>cuts in spending and therefore help achieving a similar net budgetary outcome, but also help discouraging activities that will bring additional cost in the future in terms of clean up, health costs, etc. Green taxes generate sizeable revenues, are simple i</w:t>
      </w:r>
      <w:r>
        <w:rPr>
          <w:rFonts w:ascii="Calibri" w:eastAsia="Calibri" w:hAnsi="Calibri" w:cs="Times New Roman"/>
          <w:noProof/>
          <w:sz w:val="20"/>
        </w:rPr>
        <w:t>n implementation, and have a useful additional function in the total policy package.</w:t>
      </w:r>
    </w:p>
    <w:tbl>
      <w:tblPr>
        <w:tblW w:w="0" w:type="auto"/>
        <w:tblLook w:val="04A0" w:firstRow="1" w:lastRow="0" w:firstColumn="1" w:lastColumn="0" w:noHBand="0" w:noVBand="1"/>
      </w:tblPr>
      <w:tblGrid>
        <w:gridCol w:w="4909"/>
      </w:tblGrid>
      <w:tr w:rsidR="004A120F">
        <w:tc>
          <w:tcPr>
            <w:tcW w:w="4909" w:type="dxa"/>
          </w:tcPr>
          <w:p w:rsidR="004A120F" w:rsidRDefault="000A0796">
            <w:pPr>
              <w:widowControl w:val="0"/>
              <w:suppressLineNumbers/>
              <w:spacing w:line="240" w:lineRule="auto"/>
              <w:jc w:val="both"/>
              <w:rPr>
                <w:rFonts w:ascii="Calibri" w:eastAsia="Calibri" w:hAnsi="Calibri" w:cs="Times New Roman"/>
                <w:b/>
                <w:bCs/>
                <w:noProof/>
                <w:color w:val="1F497D"/>
                <w:sz w:val="20"/>
              </w:rPr>
            </w:pPr>
            <w:r>
              <w:rPr>
                <w:rFonts w:ascii="Calibri" w:eastAsia="Calibri" w:hAnsi="Calibri" w:cs="Times New Roman"/>
                <w:b/>
                <w:bCs/>
                <w:noProof/>
                <w:color w:val="1F497D"/>
                <w:sz w:val="20"/>
              </w:rPr>
              <w:t>Figure 11: Environmental tax revenues as a share of total revenues from taxes and social contributions (excluding imputed social contributions) in 2014</w:t>
            </w:r>
            <w:r>
              <w:rPr>
                <w:rFonts w:ascii="Calibri" w:eastAsia="Calibri" w:hAnsi="Calibri" w:cs="Times New Roman"/>
                <w:b/>
                <w:bCs/>
                <w:noProof/>
                <w:color w:val="1F497D"/>
                <w:sz w:val="20"/>
                <w:vertAlign w:val="superscript"/>
              </w:rPr>
              <w:footnoteReference w:id="83"/>
            </w:r>
          </w:p>
        </w:tc>
      </w:tr>
      <w:tr w:rsidR="004A120F">
        <w:tc>
          <w:tcPr>
            <w:tcW w:w="4909" w:type="dxa"/>
          </w:tcPr>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lang w:eastAsia="en-GB"/>
              </w:rPr>
              <w:drawing>
                <wp:inline distT="0" distB="0" distL="0" distR="0" wp14:anchorId="43B35AEE" wp14:editId="52B42B96">
                  <wp:extent cx="3067383" cy="4362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69625" cy="4365639"/>
                          </a:xfrm>
                          <a:prstGeom prst="rect">
                            <a:avLst/>
                          </a:prstGeom>
                          <a:noFill/>
                        </pic:spPr>
                      </pic:pic>
                    </a:graphicData>
                  </a:graphic>
                </wp:inline>
              </w:drawing>
            </w:r>
          </w:p>
        </w:tc>
      </w:tr>
    </w:tbl>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 xml:space="preserve">It should be noted, however, that specific national circumstances will determine what is feasible in practice, and that changes in tax policy should be preceded by an assessment to identify potential negative distributional impacts.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Compared to other Memb</w:t>
      </w:r>
      <w:r>
        <w:rPr>
          <w:rFonts w:ascii="Calibri" w:eastAsia="Calibri" w:hAnsi="Calibri" w:cs="Times New Roman"/>
          <w:noProof/>
          <w:sz w:val="20"/>
        </w:rPr>
        <w:t>er States, Malta could investigate if further taxation of transport fuels, a non-hazardous landfill tax, and a water abstraction tax or charge would have the dual benefit of improving the environment and raising additional revenues.</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In 2013 all Member Stat</w:t>
      </w:r>
      <w:r>
        <w:rPr>
          <w:rFonts w:ascii="Calibri" w:eastAsia="Calibri" w:hAnsi="Calibri" w:cs="Times New Roman"/>
          <w:noProof/>
          <w:sz w:val="20"/>
        </w:rPr>
        <w:t>es agreed to phase out environmentally harmful subsidies 'without delay'. Malta has not yet presented a policy programme with such a target. Harmonisation of fuel taxes and reducing car taxation subsidies could be part such a programme.</w:t>
      </w:r>
    </w:p>
    <w:p w:rsidR="004A120F" w:rsidRDefault="000A0796">
      <w:pPr>
        <w:widowControl w:val="0"/>
        <w:suppressLineNumbers/>
        <w:spacing w:before="240" w:line="240" w:lineRule="auto"/>
        <w:outlineLvl w:val="1"/>
        <w:rPr>
          <w:rFonts w:ascii="Calibri" w:eastAsia="Calibri" w:hAnsi="Calibri" w:cs="Times New Roman"/>
          <w:b/>
          <w:noProof/>
          <w:color w:val="1F497D"/>
          <w:sz w:val="24"/>
          <w:szCs w:val="24"/>
          <w:lang w:eastAsia="en-GB"/>
        </w:rPr>
      </w:pPr>
      <w:bookmarkStart w:id="52" w:name="_Toc454460691"/>
      <w:bookmarkStart w:id="53" w:name="_Toc469477820"/>
      <w:bookmarkStart w:id="54" w:name="_Toc448925421"/>
      <w:r>
        <w:rPr>
          <w:rFonts w:ascii="Calibri" w:eastAsia="Calibri" w:hAnsi="Calibri" w:cs="Times New Roman"/>
          <w:b/>
          <w:noProof/>
          <w:color w:val="1F497D"/>
          <w:sz w:val="24"/>
          <w:szCs w:val="24"/>
          <w:lang w:eastAsia="en-GB"/>
        </w:rPr>
        <w:t>Green Public Procur</w:t>
      </w:r>
      <w:r>
        <w:rPr>
          <w:rFonts w:ascii="Calibri" w:eastAsia="Calibri" w:hAnsi="Calibri" w:cs="Times New Roman"/>
          <w:b/>
          <w:noProof/>
          <w:color w:val="1F497D"/>
          <w:sz w:val="24"/>
          <w:szCs w:val="24"/>
          <w:lang w:eastAsia="en-GB"/>
        </w:rPr>
        <w:t>ement</w:t>
      </w:r>
      <w:bookmarkEnd w:id="52"/>
      <w:bookmarkEnd w:id="53"/>
      <w:r>
        <w:rPr>
          <w:rFonts w:ascii="Calibri" w:eastAsia="Calibri" w:hAnsi="Calibri" w:cs="Times New Roman"/>
          <w:b/>
          <w:noProof/>
          <w:color w:val="1F497D"/>
          <w:sz w:val="24"/>
          <w:szCs w:val="24"/>
          <w:lang w:eastAsia="en-GB"/>
        </w:rPr>
        <w:t xml:space="preserve"> </w:t>
      </w:r>
    </w:p>
    <w:bookmarkEnd w:id="54"/>
    <w:p w:rsidR="004A120F" w:rsidRDefault="000A0796">
      <w:pPr>
        <w:widowControl w:val="0"/>
        <w:shd w:val="clear" w:color="auto" w:fill="4F81BD"/>
        <w:spacing w:before="240" w:line="240" w:lineRule="auto"/>
        <w:contextualSpacing/>
        <w:jc w:val="both"/>
        <w:rPr>
          <w:rFonts w:ascii="Calibri" w:eastAsia="Calibri" w:hAnsi="Calibri" w:cs="Times New Roman"/>
          <w:noProof/>
          <w:color w:val="FFFFFF"/>
          <w:sz w:val="20"/>
        </w:rPr>
      </w:pPr>
      <w:r>
        <w:rPr>
          <w:rFonts w:ascii="Calibri" w:eastAsia="Calibri" w:hAnsi="Calibri" w:cs="Times New Roman"/>
          <w:noProof/>
          <w:color w:val="FFFFFF"/>
          <w:sz w:val="20"/>
        </w:rPr>
        <w:t>The EU green public procurement policies encourage Member States to take further steps to reach the target of applying green procurement criteria to at least 50% of public tenders.</w:t>
      </w:r>
    </w:p>
    <w:p w:rsidR="004A120F" w:rsidRDefault="000A0796">
      <w:pPr>
        <w:widowControl w:val="0"/>
        <w:spacing w:before="240" w:line="240" w:lineRule="auto"/>
        <w:jc w:val="both"/>
        <w:rPr>
          <w:rFonts w:ascii="Calibri" w:eastAsia="Calibri" w:hAnsi="Calibri" w:cs="Times New Roman"/>
          <w:noProof/>
          <w:sz w:val="20"/>
        </w:rPr>
      </w:pPr>
      <w:r>
        <w:rPr>
          <w:rFonts w:ascii="Calibri" w:eastAsia="Calibri" w:hAnsi="Calibri" w:cs="Times New Roman"/>
          <w:noProof/>
          <w:sz w:val="20"/>
        </w:rPr>
        <w:t>Green Public Procurement (GPP) is a process whereby public authoriti</w:t>
      </w:r>
      <w:r>
        <w:rPr>
          <w:rFonts w:ascii="Calibri" w:eastAsia="Calibri" w:hAnsi="Calibri" w:cs="Times New Roman"/>
          <w:noProof/>
          <w:sz w:val="20"/>
        </w:rPr>
        <w:t xml:space="preserve">es seek to procure goods, services and works with a reduced environmental impact throughout their life-cycle when compared to goods, services and works with the same primary function that would otherwise be procured. </w:t>
      </w:r>
    </w:p>
    <w:p w:rsidR="004A120F" w:rsidRDefault="000A0796">
      <w:pPr>
        <w:widowControl w:val="0"/>
        <w:spacing w:line="240" w:lineRule="auto"/>
        <w:jc w:val="both"/>
        <w:rPr>
          <w:rFonts w:cs="Times New Roman"/>
          <w:noProof/>
          <w:sz w:val="20"/>
        </w:rPr>
      </w:pPr>
      <w:r>
        <w:rPr>
          <w:rFonts w:cs="Times New Roman"/>
          <w:noProof/>
          <w:sz w:val="20"/>
        </w:rPr>
        <w:t xml:space="preserve">The purchasing power of public </w:t>
      </w:r>
      <w:r>
        <w:rPr>
          <w:rFonts w:cs="Times New Roman"/>
          <w:noProof/>
          <w:sz w:val="20"/>
        </w:rPr>
        <w:t>procurement in the EU equals to approximately 14% of GDP</w:t>
      </w:r>
      <w:r>
        <w:rPr>
          <w:rFonts w:cs="Times New Roman"/>
          <w:noProof/>
          <w:sz w:val="20"/>
          <w:vertAlign w:val="superscript"/>
        </w:rPr>
        <w:footnoteReference w:id="84"/>
      </w:r>
      <w:r>
        <w:rPr>
          <w:rFonts w:cs="Times New Roman"/>
          <w:noProof/>
          <w:sz w:val="20"/>
        </w:rPr>
        <w:t>. A substantial part of this money is spent on sectors with high environmental impact such as construction or transport, so GPP can help to significantly lower the impact of public spending and foste</w:t>
      </w:r>
      <w:r>
        <w:rPr>
          <w:rFonts w:cs="Times New Roman"/>
          <w:noProof/>
          <w:sz w:val="20"/>
        </w:rPr>
        <w:t>r sustainable innovative businesses. The Commission has proposed EU GPP criteria</w:t>
      </w:r>
      <w:r>
        <w:rPr>
          <w:rFonts w:cs="Times New Roman"/>
          <w:noProof/>
          <w:sz w:val="20"/>
          <w:vertAlign w:val="superscript"/>
        </w:rPr>
        <w:footnoteReference w:id="85"/>
      </w:r>
      <w:r>
        <w:rPr>
          <w:rFonts w:cs="Times New Roman"/>
          <w:noProof/>
          <w:sz w:val="20"/>
        </w:rPr>
        <w:t>.</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 xml:space="preserve">Malta adopted a National Acton Plan (NAP) in August 2011. The review process started in 2015. There is no specific national legislation concerning GPP, however an </w:t>
      </w:r>
      <w:r>
        <w:rPr>
          <w:rFonts w:ascii="Calibri" w:eastAsia="Calibri" w:hAnsi="Calibri" w:cs="Times New Roman"/>
          <w:noProof/>
          <w:sz w:val="20"/>
        </w:rPr>
        <w:t xml:space="preserve">administrative procedure is in place whereby all contracting authorities are required to complete a GPP checklist prior to tender publication. A circular has been issued in December 2014 outlining the decentralization of administrative responsibilities to </w:t>
      </w:r>
      <w:r>
        <w:rPr>
          <w:rFonts w:ascii="Calibri" w:eastAsia="Calibri" w:hAnsi="Calibri" w:cs="Times New Roman"/>
          <w:noProof/>
          <w:sz w:val="20"/>
        </w:rPr>
        <w:t>all line ministries with respect to GPP. Each ministry has nominated a GPP Coordinator with a remit to ensure that all tenders issued by that ministry are in accord with the national GPP criteria.</w:t>
      </w:r>
      <w:r>
        <w:rPr>
          <w:rFonts w:ascii="Calibri" w:eastAsia="Calibri" w:hAnsi="Calibri" w:cs="Times New Roman"/>
          <w:noProof/>
          <w:sz w:val="20"/>
          <w:vertAlign w:val="superscript"/>
        </w:rPr>
        <w:footnoteReference w:id="86"/>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During 2015, the Green Public Procurement Office within th</w:t>
      </w:r>
      <w:r>
        <w:rPr>
          <w:rFonts w:ascii="Calibri" w:eastAsia="Calibri" w:hAnsi="Calibri" w:cs="Times New Roman"/>
          <w:noProof/>
          <w:sz w:val="20"/>
        </w:rPr>
        <w:t>e Ministry for Sustainable Development, the Environment and Climate Change (MSDEC) continued its mainstreaming mainly through substantive training sessions across all Government sectors. According to Malta</w:t>
      </w:r>
      <w:r>
        <w:rPr>
          <w:rFonts w:ascii="Calibri" w:eastAsia="Calibri" w:hAnsi="Calibri" w:cs="Times New Roman"/>
          <w:noProof/>
          <w:sz w:val="20"/>
          <w:vertAlign w:val="superscript"/>
        </w:rPr>
        <w:footnoteReference w:id="87"/>
      </w:r>
      <w:r>
        <w:rPr>
          <w:rFonts w:ascii="Calibri" w:eastAsia="Calibri" w:hAnsi="Calibri" w:cs="Times New Roman"/>
          <w:noProof/>
          <w:sz w:val="20"/>
        </w:rPr>
        <w:t>, this led to a more sustainable public expenditur</w:t>
      </w:r>
      <w:r>
        <w:rPr>
          <w:rFonts w:ascii="Calibri" w:eastAsia="Calibri" w:hAnsi="Calibri" w:cs="Times New Roman"/>
          <w:noProof/>
          <w:sz w:val="20"/>
        </w:rPr>
        <w:t xml:space="preserve">e model through the inclusion of the national GPP criteria. GPP criteria have been developed at the national level for 18 product groups, for which the NAP establishes targets ranging from 10 % up to 100 %.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Additionally, actions on GPP will continue in 20</w:t>
      </w:r>
      <w:r>
        <w:rPr>
          <w:rFonts w:ascii="Calibri" w:eastAsia="Calibri" w:hAnsi="Calibri" w:cs="Times New Roman"/>
          <w:noProof/>
          <w:sz w:val="20"/>
        </w:rPr>
        <w:t>16 with an emphasis on the development of the second National Action plan to further integrate resource efficiency and sustainable production and consumption principles into public expenditure.</w:t>
      </w:r>
    </w:p>
    <w:p w:rsidR="004A120F" w:rsidRDefault="000A0796">
      <w:pPr>
        <w:widowControl w:val="0"/>
        <w:suppressLineNumbers/>
        <w:spacing w:before="240" w:line="240" w:lineRule="auto"/>
        <w:outlineLvl w:val="1"/>
        <w:rPr>
          <w:rFonts w:ascii="Calibri" w:eastAsia="Calibri" w:hAnsi="Calibri" w:cs="Times New Roman"/>
          <w:b/>
          <w:noProof/>
          <w:color w:val="1F497D"/>
          <w:sz w:val="24"/>
          <w:szCs w:val="24"/>
          <w:lang w:eastAsia="en-GB"/>
        </w:rPr>
      </w:pPr>
      <w:bookmarkStart w:id="55" w:name="_Toc469477821"/>
      <w:r>
        <w:rPr>
          <w:rFonts w:ascii="Calibri" w:eastAsia="Calibri" w:hAnsi="Calibri" w:cs="Times New Roman"/>
          <w:b/>
          <w:noProof/>
          <w:color w:val="1F497D"/>
          <w:sz w:val="24"/>
          <w:szCs w:val="24"/>
          <w:lang w:eastAsia="en-GB"/>
        </w:rPr>
        <w:t>Investments: the contribution of EU funds</w:t>
      </w:r>
      <w:bookmarkEnd w:id="49"/>
      <w:bookmarkEnd w:id="55"/>
      <w:r>
        <w:rPr>
          <w:rFonts w:ascii="Calibri" w:eastAsia="Calibri" w:hAnsi="Calibri" w:cs="Times New Roman"/>
          <w:b/>
          <w:noProof/>
          <w:color w:val="1F497D"/>
          <w:sz w:val="24"/>
          <w:szCs w:val="24"/>
          <w:lang w:eastAsia="en-GB"/>
        </w:rPr>
        <w:t xml:space="preserve"> </w:t>
      </w:r>
    </w:p>
    <w:p w:rsidR="004A120F" w:rsidRDefault="000A0796">
      <w:pPr>
        <w:widowControl w:val="0"/>
        <w:shd w:val="clear" w:color="auto" w:fill="4F81BD"/>
        <w:spacing w:before="240" w:line="240" w:lineRule="auto"/>
        <w:jc w:val="both"/>
        <w:rPr>
          <w:rFonts w:ascii="Calibri" w:eastAsia="Calibri" w:hAnsi="Calibri" w:cs="Times New Roman"/>
          <w:noProof/>
          <w:color w:val="FFFFFF"/>
          <w:sz w:val="20"/>
        </w:rPr>
      </w:pPr>
      <w:r>
        <w:rPr>
          <w:rFonts w:ascii="Calibri" w:eastAsia="Calibri" w:hAnsi="Calibri" w:cs="Times New Roman"/>
          <w:noProof/>
          <w:color w:val="FFFFFF"/>
          <w:sz w:val="20"/>
        </w:rPr>
        <w:t>European Structural</w:t>
      </w:r>
      <w:r>
        <w:rPr>
          <w:rFonts w:ascii="Calibri" w:eastAsia="Calibri" w:hAnsi="Calibri" w:cs="Times New Roman"/>
          <w:noProof/>
          <w:color w:val="FFFFFF"/>
          <w:sz w:val="20"/>
        </w:rPr>
        <w:t xml:space="preserve"> and Investment Funds Regulations provide that Member States to promote environment and climate objectives in their funding strategies and programmes for economic, social and territorial cohesion, rural development and maritime policy, and reinforce the ca</w:t>
      </w:r>
      <w:r>
        <w:rPr>
          <w:rFonts w:ascii="Calibri" w:eastAsia="Calibri" w:hAnsi="Calibri" w:cs="Times New Roman"/>
          <w:noProof/>
          <w:color w:val="FFFFFF"/>
          <w:sz w:val="20"/>
        </w:rPr>
        <w:t>pacity of implementing bodies to deliver cost-effective and sustainable investments in these areas.</w:t>
      </w:r>
    </w:p>
    <w:p w:rsidR="004A120F" w:rsidRDefault="000A0796">
      <w:pPr>
        <w:widowControl w:val="0"/>
        <w:suppressAutoHyphens/>
        <w:spacing w:line="240" w:lineRule="auto"/>
        <w:jc w:val="both"/>
        <w:rPr>
          <w:rFonts w:ascii="Calibri" w:eastAsia="Calibri" w:hAnsi="Calibri" w:cs="Times New Roman"/>
          <w:noProof/>
          <w:sz w:val="20"/>
          <w:szCs w:val="24"/>
          <w:lang w:eastAsia="ar-SA"/>
        </w:rPr>
      </w:pPr>
      <w:r>
        <w:rPr>
          <w:rFonts w:ascii="Calibri" w:eastAsia="Calibri" w:hAnsi="Calibri" w:cs="Times New Roman"/>
          <w:noProof/>
          <w:sz w:val="20"/>
          <w:szCs w:val="24"/>
          <w:lang w:eastAsia="ar-SA"/>
        </w:rPr>
        <w:t>Making good use of the European Structural and Investment Funds (ESIF)</w:t>
      </w:r>
      <w:r>
        <w:rPr>
          <w:rFonts w:ascii="Calibri" w:eastAsia="Calibri" w:hAnsi="Calibri" w:cs="Times New Roman"/>
          <w:noProof/>
          <w:vertAlign w:val="superscript"/>
          <w:lang w:eastAsia="ar-SA"/>
        </w:rPr>
        <w:footnoteReference w:id="88"/>
      </w:r>
      <w:r>
        <w:rPr>
          <w:rFonts w:ascii="Calibri" w:eastAsia="Calibri" w:hAnsi="Calibri" w:cs="Times New Roman"/>
          <w:noProof/>
          <w:sz w:val="20"/>
          <w:szCs w:val="24"/>
          <w:lang w:eastAsia="ar-SA"/>
        </w:rPr>
        <w:t xml:space="preserve"> is essential to achieve the environmental goals and integrate these into other polic</w:t>
      </w:r>
      <w:r>
        <w:rPr>
          <w:rFonts w:ascii="Calibri" w:eastAsia="Calibri" w:hAnsi="Calibri" w:cs="Times New Roman"/>
          <w:noProof/>
          <w:sz w:val="20"/>
          <w:szCs w:val="24"/>
          <w:lang w:eastAsia="ar-SA"/>
        </w:rPr>
        <w:t>y areas. Other instruments such as the Horizon 2020, the LIFE programme and the EFSI</w:t>
      </w:r>
      <w:r>
        <w:rPr>
          <w:rFonts w:ascii="Calibri" w:eastAsia="Calibri" w:hAnsi="Calibri" w:cs="Times New Roman"/>
          <w:noProof/>
          <w:vertAlign w:val="superscript"/>
          <w:lang w:eastAsia="ar-SA"/>
        </w:rPr>
        <w:footnoteReference w:id="89"/>
      </w:r>
      <w:r>
        <w:rPr>
          <w:rFonts w:ascii="Calibri" w:eastAsia="Calibri" w:hAnsi="Calibri" w:cs="Times New Roman"/>
          <w:noProof/>
          <w:sz w:val="20"/>
          <w:szCs w:val="24"/>
          <w:lang w:eastAsia="ar-SA"/>
        </w:rPr>
        <w:t xml:space="preserve"> may also support implementation and spread of best practice.</w:t>
      </w:r>
    </w:p>
    <w:p w:rsidR="004A120F" w:rsidRDefault="000A0796">
      <w:pPr>
        <w:widowControl w:val="0"/>
        <w:suppressLineNumbers/>
        <w:spacing w:before="240" w:line="240" w:lineRule="auto"/>
        <w:contextualSpacing/>
        <w:jc w:val="both"/>
        <w:rPr>
          <w:rFonts w:ascii="Calibri" w:eastAsia="Calibri" w:hAnsi="Calibri" w:cs="Times New Roman"/>
          <w:noProof/>
          <w:sz w:val="20"/>
        </w:rPr>
      </w:pPr>
      <w:r>
        <w:rPr>
          <w:rFonts w:ascii="Calibri" w:eastAsia="Calibri" w:hAnsi="Calibri" w:cs="Times New Roman"/>
          <w:noProof/>
          <w:sz w:val="20"/>
        </w:rPr>
        <w:t xml:space="preserve">In 2007-2013, EU funding (European Regional Development Fund and Cohesion Fund) to the environmental sector </w:t>
      </w:r>
      <w:r>
        <w:rPr>
          <w:rFonts w:ascii="Calibri" w:eastAsia="Calibri" w:hAnsi="Calibri" w:cs="Times New Roman"/>
          <w:noProof/>
          <w:sz w:val="20"/>
        </w:rPr>
        <w:t>was very important, EUR 89.2 million for climate change and resource efficient and EUR 160.9 million for safeguarding the environment and risk prevention, supporting key infrastructure investments which contributed to the improvement of the environment con</w:t>
      </w:r>
      <w:r>
        <w:rPr>
          <w:rFonts w:ascii="Calibri" w:eastAsia="Calibri" w:hAnsi="Calibri" w:cs="Times New Roman"/>
          <w:noProof/>
          <w:sz w:val="20"/>
        </w:rPr>
        <w:t>ditions in Malta. Examples of these are Malta's South Sewage Treatment facility as well as other investments in solid waste management and flash flood risk prevention infrastructure.</w:t>
      </w:r>
    </w:p>
    <w:p w:rsidR="004A120F" w:rsidRDefault="000A0796">
      <w:pPr>
        <w:widowControl w:val="0"/>
        <w:suppressLineNumbers/>
        <w:spacing w:before="240" w:line="240" w:lineRule="auto"/>
        <w:jc w:val="both"/>
        <w:rPr>
          <w:rFonts w:ascii="Calibri" w:eastAsia="Calibri" w:hAnsi="Calibri" w:cs="Times New Roman"/>
          <w:noProof/>
          <w:sz w:val="20"/>
        </w:rPr>
      </w:pPr>
      <w:r>
        <w:rPr>
          <w:rFonts w:ascii="Calibri" w:eastAsia="Calibri" w:hAnsi="Calibri" w:cs="Times New Roman"/>
          <w:noProof/>
          <w:sz w:val="20"/>
        </w:rPr>
        <w:t xml:space="preserve">The Partnership Agreement (PA) 2014-2020 was agreed in October 2014. The </w:t>
      </w:r>
      <w:r>
        <w:rPr>
          <w:rFonts w:ascii="Calibri" w:eastAsia="Calibri" w:hAnsi="Calibri" w:cs="Times New Roman"/>
          <w:noProof/>
          <w:sz w:val="20"/>
        </w:rPr>
        <w:t>main environmental challenge is the non-fulfilment of the water ex ante conditionality which aims to ensure that Malta will ensure the existence of a water pricing policy which provides adequate incentives for users to use water resources efficiently and a</w:t>
      </w:r>
      <w:r>
        <w:rPr>
          <w:rFonts w:ascii="Calibri" w:eastAsia="Calibri" w:hAnsi="Calibri" w:cs="Times New Roman"/>
          <w:noProof/>
          <w:sz w:val="20"/>
        </w:rPr>
        <w:t>n adequate contribution of the different water uses to the recovery of the costs of water services at a rate determined in the approved river basin management plan for investment supported by the programmes.</w:t>
      </w:r>
      <w:r>
        <w:rPr>
          <w:rFonts w:ascii="Calibri" w:eastAsia="Calibri" w:hAnsi="Calibri" w:cs="Times New Roman"/>
          <w:noProof/>
          <w:sz w:val="20"/>
          <w:vertAlign w:val="superscript"/>
        </w:rPr>
        <w:footnoteReference w:id="90"/>
      </w:r>
      <w:r>
        <w:rPr>
          <w:rFonts w:ascii="Calibri" w:eastAsia="Calibri" w:hAnsi="Calibri" w:cs="Times New Roman"/>
          <w:noProof/>
          <w:sz w:val="20"/>
        </w:rPr>
        <w:t xml:space="preserve">.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The PA implies investing EUR 729 million in t</w:t>
      </w:r>
      <w:r>
        <w:rPr>
          <w:rFonts w:ascii="Calibri" w:eastAsia="Calibri" w:hAnsi="Calibri" w:cs="Times New Roman"/>
          <w:noProof/>
          <w:sz w:val="20"/>
        </w:rPr>
        <w:t>otal Cohesion Policy funding over 2014-2020 (current prices, including EUR 17 million for European Territorial Cooperation funding and EUR 3.9 million for the FEAD allocation). Malta also receives EUR 97.3 million for rural development and EUR 22.6 million</w:t>
      </w:r>
      <w:r>
        <w:rPr>
          <w:rFonts w:ascii="Calibri" w:eastAsia="Calibri" w:hAnsi="Calibri" w:cs="Times New Roman"/>
          <w:noProof/>
          <w:sz w:val="20"/>
        </w:rPr>
        <w:t xml:space="preserve"> for fisheries and the maritime sector. </w:t>
      </w:r>
    </w:p>
    <w:tbl>
      <w:tblPr>
        <w:tblW w:w="0" w:type="auto"/>
        <w:tblLook w:val="04A0" w:firstRow="1" w:lastRow="0" w:firstColumn="1" w:lastColumn="0" w:noHBand="0" w:noVBand="1"/>
      </w:tblPr>
      <w:tblGrid>
        <w:gridCol w:w="4909"/>
      </w:tblGrid>
      <w:tr w:rsidR="004A120F">
        <w:trPr>
          <w:trHeight w:val="541"/>
        </w:trPr>
        <w:tc>
          <w:tcPr>
            <w:tcW w:w="4909" w:type="dxa"/>
          </w:tcPr>
          <w:p w:rsidR="004A120F" w:rsidRDefault="000A0796">
            <w:pPr>
              <w:spacing w:line="240" w:lineRule="auto"/>
              <w:jc w:val="both"/>
              <w:rPr>
                <w:rFonts w:ascii="Calibri" w:eastAsia="Calibri" w:hAnsi="Calibri" w:cs="Times New Roman"/>
                <w:noProof/>
                <w:sz w:val="20"/>
              </w:rPr>
            </w:pPr>
            <w:r>
              <w:rPr>
                <w:rFonts w:ascii="Calibri" w:eastAsia="Calibri" w:hAnsi="Calibri" w:cs="Times New Roman"/>
                <w:noProof/>
                <w:sz w:val="20"/>
              </w:rPr>
              <w:t xml:space="preserve"> </w:t>
            </w:r>
            <w:r>
              <w:rPr>
                <w:rFonts w:ascii="Calibri" w:eastAsia="Calibri" w:hAnsi="Calibri" w:cs="Times New Roman"/>
                <w:b/>
                <w:bCs/>
                <w:noProof/>
                <w:color w:val="1F497D"/>
                <w:sz w:val="20"/>
              </w:rPr>
              <w:t>Figure 12: European Structural and Investment Funds 2014-2020: Budget Malta by theme, EUR billion</w:t>
            </w:r>
            <w:r>
              <w:rPr>
                <w:rFonts w:ascii="Calibri" w:eastAsia="Calibri" w:hAnsi="Calibri" w:cs="Times New Roman"/>
                <w:noProof/>
                <w:sz w:val="20"/>
                <w:vertAlign w:val="superscript"/>
              </w:rPr>
              <w:footnoteReference w:id="91"/>
            </w:r>
          </w:p>
        </w:tc>
      </w:tr>
      <w:tr w:rsidR="004A120F">
        <w:trPr>
          <w:trHeight w:val="558"/>
        </w:trPr>
        <w:tc>
          <w:tcPr>
            <w:tcW w:w="4909" w:type="dxa"/>
          </w:tcPr>
          <w:p w:rsidR="004A120F" w:rsidRDefault="000A0796">
            <w:pPr>
              <w:spacing w:line="240" w:lineRule="auto"/>
              <w:jc w:val="both"/>
              <w:rPr>
                <w:rFonts w:ascii="Calibri" w:eastAsia="Calibri" w:hAnsi="Calibri" w:cs="Times New Roman"/>
                <w:noProof/>
                <w:sz w:val="20"/>
              </w:rPr>
            </w:pPr>
            <w:r>
              <w:rPr>
                <w:rFonts w:ascii="Calibri" w:eastAsia="Calibri" w:hAnsi="Calibri" w:cs="Times New Roman"/>
                <w:noProof/>
                <w:sz w:val="20"/>
                <w:lang w:eastAsia="en-GB"/>
              </w:rPr>
              <w:drawing>
                <wp:inline distT="0" distB="0" distL="0" distR="0" wp14:anchorId="64F8EC23" wp14:editId="3C87E1F7">
                  <wp:extent cx="2800350" cy="3379733"/>
                  <wp:effectExtent l="0" t="0" r="0" b="0"/>
                  <wp:docPr id="3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5" cstate="print"/>
                          <a:srcRect/>
                          <a:stretch>
                            <a:fillRect/>
                          </a:stretch>
                        </pic:blipFill>
                        <pic:spPr bwMode="auto">
                          <a:xfrm>
                            <a:off x="0" y="0"/>
                            <a:ext cx="2803999" cy="3384137"/>
                          </a:xfrm>
                          <a:prstGeom prst="rect">
                            <a:avLst/>
                          </a:prstGeom>
                          <a:noFill/>
                          <a:ln w="9525">
                            <a:noFill/>
                            <a:miter lim="800000"/>
                            <a:headEnd/>
                            <a:tailEnd/>
                          </a:ln>
                        </pic:spPr>
                      </pic:pic>
                    </a:graphicData>
                  </a:graphic>
                </wp:inline>
              </w:drawing>
            </w:r>
          </w:p>
        </w:tc>
      </w:tr>
    </w:tbl>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 xml:space="preserve">With regard to environmental expenditure, the allocation for Thematic Objective (TO) 4 (low carbon economy) is </w:t>
      </w:r>
      <w:r>
        <w:rPr>
          <w:rFonts w:ascii="Calibri" w:eastAsia="Calibri" w:hAnsi="Calibri" w:cs="Times New Roman"/>
          <w:noProof/>
          <w:sz w:val="20"/>
        </w:rPr>
        <w:t>EUR 46 million (ERDF) plus EUR 8.4 million (EAFRD/EMFF), for TO5 (adaptation to climate change and prevention and risk management) EUR 15 million (EAFRD), and for TO6 (environment and cultural heritage) EUR 250 million (EUR 77 million ERDF, EUR 141 million</w:t>
      </w:r>
      <w:r>
        <w:rPr>
          <w:rFonts w:ascii="Calibri" w:eastAsia="Calibri" w:hAnsi="Calibri" w:cs="Times New Roman"/>
          <w:noProof/>
          <w:sz w:val="20"/>
        </w:rPr>
        <w:t xml:space="preserve"> CF, EUR 20 million EAFRD, EUR 12 million EMFF).  EUR 28.4 million (ERDF) plus EUR 76 million (CF) is allocated for TO7 (sustainable transport). Figure 12 depicts the 2014-2020 EU Structural and Investment Funds budget allocation for Malta.</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 xml:space="preserve">EUR 58 million </w:t>
      </w:r>
      <w:r>
        <w:rPr>
          <w:rFonts w:ascii="Calibri" w:eastAsia="Calibri" w:hAnsi="Calibri" w:cs="Times New Roman"/>
          <w:noProof/>
          <w:sz w:val="20"/>
        </w:rPr>
        <w:t xml:space="preserve">ERDF and CF will contribute to mitigation and adaptation to climate change.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The expected results from ERDF and CF investments in the environmental sector include that 69,000 tonnes/year of additional waste recycling capacity will be created; 32000 additio</w:t>
      </w:r>
      <w:r>
        <w:rPr>
          <w:rFonts w:ascii="Calibri" w:eastAsia="Calibri" w:hAnsi="Calibri" w:cs="Times New Roman"/>
          <w:noProof/>
          <w:sz w:val="20"/>
        </w:rPr>
        <w:t xml:space="preserve">nal persons will be  served by improved water supply; 10 Hectares of land will be rehabilitated.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On this basis, in 2014-2020, Malta will manage three operational programmes (OPs) under EU Cohesion Policy. The ERDF/CF OP (adopted December 2014) contains m</w:t>
      </w:r>
      <w:r>
        <w:rPr>
          <w:rFonts w:ascii="Calibri" w:eastAsia="Calibri" w:hAnsi="Calibri" w:cs="Times New Roman"/>
          <w:noProof/>
          <w:sz w:val="20"/>
        </w:rPr>
        <w:t>ost of the environmental investments.</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The National Rural Development Program of Malta, its EARDF part, amounts to EUR 97.3 million</w:t>
      </w:r>
      <w:r>
        <w:rPr>
          <w:rFonts w:ascii="Calibri" w:eastAsia="Calibri" w:hAnsi="Calibri" w:cs="Times New Roman"/>
          <w:bCs/>
          <w:noProof/>
          <w:sz w:val="20"/>
        </w:rPr>
        <w:t xml:space="preserve">. </w:t>
      </w:r>
      <w:r>
        <w:rPr>
          <w:rFonts w:ascii="Calibri" w:eastAsia="Calibri" w:hAnsi="Calibri" w:cs="Times New Roman"/>
          <w:noProof/>
          <w:sz w:val="20"/>
        </w:rPr>
        <w:t>Budget for agri-environmental-climate measures represents 39% of the total EAFRD budget (but it is to cover only 671 ha, whi</w:t>
      </w:r>
      <w:r>
        <w:rPr>
          <w:rFonts w:ascii="Calibri" w:eastAsia="Calibri" w:hAnsi="Calibri" w:cs="Times New Roman"/>
          <w:noProof/>
          <w:sz w:val="20"/>
        </w:rPr>
        <w:t>ch is very low percentage of utilized agricultural area, ca 5%). The measures list the most basic, good standard practice to be supported, by highest rates per ha in the whole EU. The RDP addresses nutrient overload in water bodies, among others by targeti</w:t>
      </w:r>
      <w:r>
        <w:rPr>
          <w:rFonts w:ascii="Calibri" w:eastAsia="Calibri" w:hAnsi="Calibri" w:cs="Times New Roman"/>
          <w:noProof/>
          <w:sz w:val="20"/>
        </w:rPr>
        <w:t>ng livestock farming and prioritising investments in manure storage.</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Malta did not programme specific measures on compensation for limitations emanating from implementation of Natura 2000 (nor WFD). The only dedicated support for Natura 2000 on agricultura</w:t>
      </w:r>
      <w:r>
        <w:rPr>
          <w:rFonts w:ascii="Calibri" w:eastAsia="Calibri" w:hAnsi="Calibri" w:cs="Times New Roman"/>
          <w:noProof/>
          <w:sz w:val="20"/>
        </w:rPr>
        <w:t xml:space="preserve">l land is supporting pollination services (by domestic bees). Small forestry measure includes afforestation by native endemic species, which is appreciated. </w:t>
      </w:r>
    </w:p>
    <w:p w:rsidR="004A120F" w:rsidRDefault="000A0796">
      <w:pPr>
        <w:widowControl w:val="0"/>
        <w:suppressLineNumbers/>
        <w:spacing w:line="240" w:lineRule="auto"/>
        <w:jc w:val="both"/>
        <w:rPr>
          <w:rFonts w:ascii="Calibri" w:eastAsia="Times New Roman" w:hAnsi="Calibri" w:cs="Times New Roman"/>
          <w:noProof/>
          <w:color w:val="000000"/>
          <w:lang w:eastAsia="en-GB"/>
        </w:rPr>
      </w:pPr>
      <w:r>
        <w:rPr>
          <w:rFonts w:ascii="Calibri" w:eastAsia="Calibri" w:hAnsi="Calibri" w:cs="Times New Roman"/>
          <w:noProof/>
          <w:sz w:val="20"/>
          <w:szCs w:val="20"/>
        </w:rPr>
        <w:t>With regard to the integration of environmental concerns into the Common Agricultural Policy (CAP)</w:t>
      </w:r>
      <w:r>
        <w:rPr>
          <w:rFonts w:ascii="Calibri" w:eastAsia="Calibri" w:hAnsi="Calibri" w:cs="Times New Roman"/>
          <w:noProof/>
          <w:sz w:val="20"/>
          <w:szCs w:val="20"/>
        </w:rPr>
        <w:t>, the two key areas are, first, using Rural Development funds to pay for environmental land management and other environmental measures, while avoiding financing measures which could damage the environment; and secondly, ensuring an effective implementatio</w:t>
      </w:r>
      <w:r>
        <w:rPr>
          <w:rFonts w:ascii="Calibri" w:eastAsia="Calibri" w:hAnsi="Calibri" w:cs="Times New Roman"/>
          <w:noProof/>
          <w:sz w:val="20"/>
          <w:szCs w:val="20"/>
        </w:rPr>
        <w:t xml:space="preserve">n of the first pillar of the CAP with regard to cross compliance and 1st pillar 'greening'. 30 % of direct payment envelope (out of total EUR </w:t>
      </w:r>
      <w:r>
        <w:rPr>
          <w:rFonts w:ascii="Calibri" w:eastAsia="Times New Roman" w:hAnsi="Calibri" w:cs="Times New Roman"/>
          <w:noProof/>
          <w:color w:val="000000"/>
          <w:sz w:val="20"/>
          <w:szCs w:val="20"/>
          <w:lang w:eastAsia="en-GB"/>
        </w:rPr>
        <w:t>30.7 million 2015-2020</w:t>
      </w:r>
      <w:r>
        <w:rPr>
          <w:rFonts w:ascii="Calibri" w:eastAsia="Times New Roman" w:hAnsi="Calibri" w:cs="Times New Roman"/>
          <w:noProof/>
          <w:color w:val="000000"/>
          <w:sz w:val="20"/>
          <w:szCs w:val="20"/>
          <w:vertAlign w:val="superscript"/>
          <w:lang w:eastAsia="en-GB"/>
        </w:rPr>
        <w:footnoteReference w:id="92"/>
      </w:r>
      <w:r>
        <w:rPr>
          <w:rFonts w:ascii="Calibri" w:eastAsia="Times New Roman" w:hAnsi="Calibri" w:cs="Times New Roman"/>
          <w:noProof/>
          <w:color w:val="000000"/>
          <w:sz w:val="20"/>
          <w:szCs w:val="20"/>
          <w:lang w:eastAsia="en-GB"/>
        </w:rPr>
        <w:t xml:space="preserve"> </w:t>
      </w:r>
      <w:r>
        <w:rPr>
          <w:rFonts w:ascii="Calibri" w:eastAsia="Calibri" w:hAnsi="Calibri" w:cs="Times New Roman"/>
          <w:noProof/>
          <w:sz w:val="20"/>
          <w:szCs w:val="20"/>
        </w:rPr>
        <w:t xml:space="preserve">is allocated to greening practices beneficial for the environment. An environmentally </w:t>
      </w:r>
      <w:r>
        <w:rPr>
          <w:rFonts w:ascii="Calibri" w:eastAsia="Calibri" w:hAnsi="Calibri" w:cs="Times New Roman"/>
          <w:noProof/>
          <w:sz w:val="20"/>
          <w:szCs w:val="20"/>
        </w:rPr>
        <w:t>ambitious implementation of 1st pillar greening would clearly help to improve the environmental situation in areas not covered by rural development, including intensive area, and if appropriate Malta could review its implementation of this.</w:t>
      </w:r>
    </w:p>
    <w:p w:rsidR="004A120F" w:rsidRDefault="000A0796">
      <w:pPr>
        <w:widowControl w:val="0"/>
        <w:suppressLineNumbers/>
        <w:spacing w:line="240" w:lineRule="auto"/>
        <w:jc w:val="both"/>
        <w:rPr>
          <w:rFonts w:ascii="Calibri" w:eastAsia="Calibri" w:hAnsi="Calibri" w:cs="Times New Roman"/>
          <w:noProof/>
          <w:sz w:val="20"/>
          <w:szCs w:val="20"/>
        </w:rPr>
      </w:pPr>
      <w:r>
        <w:rPr>
          <w:rFonts w:ascii="Calibri" w:eastAsia="Calibri" w:hAnsi="Calibri" w:cs="Times New Roman"/>
          <w:noProof/>
          <w:sz w:val="20"/>
          <w:szCs w:val="20"/>
        </w:rPr>
        <w:t xml:space="preserve">For 2015 Malta </w:t>
      </w:r>
      <w:r>
        <w:rPr>
          <w:rFonts w:ascii="Calibri" w:eastAsia="Calibri" w:hAnsi="Calibri" w:cs="Times New Roman"/>
          <w:noProof/>
          <w:sz w:val="20"/>
          <w:szCs w:val="20"/>
        </w:rPr>
        <w:t>proposed to allow 7 elements laid down by the regulation as Ecological Focus Area (out of 19- 9 of which are landscape features). However, in the end the only ones activated (as being responded by farmers) were land laying fallow and - less ambitious - nit</w:t>
      </w:r>
      <w:r>
        <w:rPr>
          <w:rFonts w:ascii="Calibri" w:eastAsia="Calibri" w:hAnsi="Calibri" w:cs="Times New Roman"/>
          <w:noProof/>
          <w:sz w:val="20"/>
          <w:szCs w:val="20"/>
        </w:rPr>
        <w:t xml:space="preserve">rogen fixing crops. Due to small parcels and farms, it is expected that few holdings will need to implement greening. </w:t>
      </w:r>
    </w:p>
    <w:p w:rsidR="004A120F" w:rsidRDefault="004A120F">
      <w:pPr>
        <w:widowControl w:val="0"/>
        <w:suppressLineNumbers/>
        <w:spacing w:after="200"/>
        <w:rPr>
          <w:rFonts w:ascii="Calibri" w:eastAsia="Calibri" w:hAnsi="Calibri" w:cs="Times New Roman"/>
          <w:noProof/>
          <w:sz w:val="20"/>
        </w:rPr>
        <w:sectPr w:rsidR="004A120F">
          <w:headerReference w:type="even" r:id="rId106"/>
          <w:headerReference w:type="default" r:id="rId107"/>
          <w:footerReference w:type="even" r:id="rId108"/>
          <w:footerReference w:type="default" r:id="rId109"/>
          <w:headerReference w:type="first" r:id="rId110"/>
          <w:footerReference w:type="first" r:id="rId111"/>
          <w:type w:val="continuous"/>
          <w:pgSz w:w="11906" w:h="16838"/>
          <w:pgMar w:top="1440" w:right="1080" w:bottom="1440" w:left="1080" w:header="708" w:footer="708" w:gutter="0"/>
          <w:cols w:num="2" w:space="360"/>
          <w:docGrid w:linePitch="360"/>
        </w:sectPr>
      </w:pPr>
    </w:p>
    <w:p w:rsidR="004A120F" w:rsidRDefault="000A0796">
      <w:pPr>
        <w:widowControl w:val="0"/>
        <w:suppressLineNumbers/>
        <w:spacing w:after="0" w:line="240" w:lineRule="auto"/>
        <w:jc w:val="center"/>
        <w:outlineLvl w:val="0"/>
        <w:rPr>
          <w:rFonts w:ascii="Calibri" w:eastAsia="Times New Roman" w:hAnsi="Calibri" w:cs="Times New Roman"/>
          <w:b/>
          <w:bCs/>
          <w:noProof/>
          <w:color w:val="1F497D"/>
          <w:sz w:val="32"/>
          <w:szCs w:val="28"/>
        </w:rPr>
      </w:pPr>
      <w:bookmarkStart w:id="56" w:name="_Toc469477822"/>
      <w:r>
        <w:rPr>
          <w:rFonts w:ascii="Calibri" w:eastAsia="Times New Roman" w:hAnsi="Calibri" w:cs="Times New Roman"/>
          <w:b/>
          <w:bCs/>
          <w:noProof/>
          <w:color w:val="1F497D"/>
          <w:sz w:val="32"/>
          <w:szCs w:val="28"/>
        </w:rPr>
        <w:t>5. Effective governance and knowledge</w:t>
      </w:r>
      <w:bookmarkEnd w:id="56"/>
    </w:p>
    <w:p w:rsidR="004A120F" w:rsidRDefault="004A120F">
      <w:pPr>
        <w:widowControl w:val="0"/>
        <w:suppressLineNumbers/>
        <w:spacing w:line="240" w:lineRule="auto"/>
        <w:jc w:val="both"/>
        <w:rPr>
          <w:rFonts w:ascii="Calibri" w:eastAsia="Calibri" w:hAnsi="Calibri" w:cs="Times New Roman"/>
          <w:noProof/>
          <w:sz w:val="20"/>
        </w:rPr>
        <w:sectPr w:rsidR="004A120F">
          <w:headerReference w:type="even" r:id="rId112"/>
          <w:headerReference w:type="default" r:id="rId113"/>
          <w:footerReference w:type="even" r:id="rId114"/>
          <w:footerReference w:type="default" r:id="rId115"/>
          <w:headerReference w:type="first" r:id="rId116"/>
          <w:footerReference w:type="first" r:id="rId117"/>
          <w:type w:val="continuous"/>
          <w:pgSz w:w="11906" w:h="16838"/>
          <w:pgMar w:top="1440" w:right="1080" w:bottom="1440" w:left="1080" w:header="708" w:footer="708" w:gutter="0"/>
          <w:cols w:space="360"/>
          <w:docGrid w:linePitch="360"/>
        </w:sectPr>
      </w:pPr>
    </w:p>
    <w:p w:rsidR="004A120F" w:rsidRDefault="004A120F">
      <w:pPr>
        <w:widowControl w:val="0"/>
        <w:suppressLineNumbers/>
        <w:spacing w:line="240" w:lineRule="auto"/>
        <w:jc w:val="both"/>
        <w:rPr>
          <w:rFonts w:ascii="Calibri" w:eastAsia="Calibri" w:hAnsi="Calibri" w:cs="Times New Roman"/>
          <w:noProof/>
          <w:sz w:val="20"/>
        </w:rPr>
      </w:pPr>
    </w:p>
    <w:p w:rsidR="004A120F" w:rsidRDefault="004A120F">
      <w:pPr>
        <w:widowControl w:val="0"/>
        <w:suppressLineNumbers/>
        <w:spacing w:line="240" w:lineRule="auto"/>
        <w:jc w:val="both"/>
        <w:rPr>
          <w:rFonts w:ascii="Calibri" w:eastAsia="Calibri" w:hAnsi="Calibri" w:cs="Times New Roman"/>
          <w:noProof/>
          <w:sz w:val="20"/>
        </w:rPr>
        <w:sectPr w:rsidR="004A120F">
          <w:headerReference w:type="even" r:id="rId118"/>
          <w:headerReference w:type="default" r:id="rId119"/>
          <w:footerReference w:type="even" r:id="rId120"/>
          <w:footerReference w:type="default" r:id="rId121"/>
          <w:headerReference w:type="first" r:id="rId122"/>
          <w:footerReference w:type="first" r:id="rId123"/>
          <w:type w:val="continuous"/>
          <w:pgSz w:w="11906" w:h="16838"/>
          <w:pgMar w:top="1440" w:right="1080" w:bottom="1440" w:left="1080" w:header="708" w:footer="708" w:gutter="0"/>
          <w:cols w:num="2" w:space="360"/>
          <w:docGrid w:linePitch="360"/>
        </w:sectPr>
      </w:pPr>
    </w:p>
    <w:p w:rsidR="004A120F" w:rsidRDefault="000A0796">
      <w:pPr>
        <w:widowControl w:val="0"/>
        <w:suppressLineNumbers/>
        <w:shd w:val="clear" w:color="auto" w:fill="4F81BD"/>
        <w:spacing w:before="240" w:line="240" w:lineRule="auto"/>
        <w:jc w:val="both"/>
        <w:rPr>
          <w:rFonts w:ascii="Calibri" w:eastAsia="Calibri" w:hAnsi="Calibri" w:cs="Times New Roman"/>
          <w:noProof/>
          <w:color w:val="FFFFFF"/>
          <w:sz w:val="20"/>
        </w:rPr>
      </w:pPr>
      <w:bookmarkStart w:id="57" w:name="_Toc454457665"/>
      <w:bookmarkStart w:id="58" w:name="_Toc433798401"/>
      <w:r>
        <w:rPr>
          <w:rFonts w:ascii="Calibri" w:eastAsia="Calibri" w:hAnsi="Calibri" w:cs="Times New Roman"/>
          <w:noProof/>
          <w:color w:val="FFFFFF"/>
          <w:sz w:val="20"/>
        </w:rPr>
        <w:t xml:space="preserve">SDG 16 aims at providing access to justice and building effective, accountable and </w:t>
      </w:r>
      <w:r>
        <w:rPr>
          <w:rFonts w:ascii="Calibri" w:eastAsia="Calibri" w:hAnsi="Calibri" w:cs="Times New Roman"/>
          <w:noProof/>
          <w:color w:val="FFFFFF"/>
          <w:sz w:val="20"/>
        </w:rPr>
        <w:t>inclusive institutions at all levels. SDG 17 aims at better implementation, improving policy coordination and policy coherence, stimulating science, technology and innovation, establishing partnerships and developing measurements of progress.</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 xml:space="preserve">Effective </w:t>
      </w:r>
      <w:r>
        <w:rPr>
          <w:rFonts w:ascii="Calibri" w:eastAsia="Calibri" w:hAnsi="Calibri" w:cs="Times New Roman"/>
          <w:noProof/>
          <w:sz w:val="20"/>
        </w:rPr>
        <w:t>governance of EU environmental legislation and policies requires having an appropriate institutional framework, policy coherence and coordination, applying legal and non-legal instruments, engaging with non-governmental stakeholders, and having adequate le</w:t>
      </w:r>
      <w:r>
        <w:rPr>
          <w:rFonts w:ascii="Calibri" w:eastAsia="Calibri" w:hAnsi="Calibri" w:cs="Times New Roman"/>
          <w:noProof/>
          <w:sz w:val="20"/>
        </w:rPr>
        <w:t>vels of knowledge and skills</w:t>
      </w:r>
      <w:r>
        <w:rPr>
          <w:rFonts w:ascii="Calibri" w:eastAsia="Calibri" w:hAnsi="Calibri" w:cs="Times New Roman"/>
          <w:noProof/>
          <w:sz w:val="20"/>
          <w:vertAlign w:val="superscript"/>
        </w:rPr>
        <w:footnoteReference w:id="93"/>
      </w:r>
      <w:r>
        <w:rPr>
          <w:rFonts w:ascii="Calibri" w:eastAsia="Calibri" w:hAnsi="Calibri" w:cs="Times New Roman"/>
          <w:noProof/>
          <w:sz w:val="20"/>
        </w:rPr>
        <w:t>. Successful implementation depends, to a large extent, on central, regional and local government fulfilling key legislative and administrative tasks, notably adoption of sound implementing legislation, co-ordinated action to m</w:t>
      </w:r>
      <w:r>
        <w:rPr>
          <w:rFonts w:ascii="Calibri" w:eastAsia="Calibri" w:hAnsi="Calibri" w:cs="Times New Roman"/>
          <w:noProof/>
          <w:sz w:val="20"/>
        </w:rPr>
        <w:t>eet environmental objectives and correct decision-making on matters such as industrial permits. Beyond fulfilment of these tasks, government must intervene to ensure day-to-day compliance by economic operators, utilities and individuals ("compliance assura</w:t>
      </w:r>
      <w:r>
        <w:rPr>
          <w:rFonts w:ascii="Calibri" w:eastAsia="Calibri" w:hAnsi="Calibri" w:cs="Times New Roman"/>
          <w:noProof/>
          <w:sz w:val="20"/>
        </w:rPr>
        <w:t>nce"). Civil society also has a role to play, including through legal action. To underpin the roles of all actors, it is crucial to collect and share knowledge and evidence on the state of the environment and on environmental pressures, drivers and impacts</w:t>
      </w:r>
      <w:r>
        <w:rPr>
          <w:rFonts w:ascii="Calibri" w:eastAsia="Calibri" w:hAnsi="Calibri" w:cs="Times New Roman"/>
          <w:noProof/>
          <w:sz w:val="20"/>
        </w:rPr>
        <w:t>.</w:t>
      </w:r>
    </w:p>
    <w:p w:rsidR="004A120F" w:rsidRDefault="000A0796">
      <w:pPr>
        <w:widowControl w:val="0"/>
        <w:spacing w:line="240" w:lineRule="auto"/>
        <w:jc w:val="both"/>
        <w:rPr>
          <w:rFonts w:ascii="Calibri" w:eastAsia="Calibri" w:hAnsi="Calibri" w:cs="Times New Roman"/>
          <w:noProof/>
          <w:sz w:val="20"/>
        </w:rPr>
      </w:pPr>
      <w:r>
        <w:rPr>
          <w:rFonts w:ascii="Calibri" w:eastAsia="Calibri" w:hAnsi="Calibri" w:cs="Times New Roman"/>
          <w:noProof/>
          <w:sz w:val="20"/>
          <w:szCs w:val="20"/>
          <w:lang w:val="en-US"/>
        </w:rPr>
        <w:t xml:space="preserve">Equally, effective governance of EU environmental legislation and policies benefits from a dialogue within Member States and between Member States and the Commission on whether the current EU environmental legislation is fit for purpose. Legislation can </w:t>
      </w:r>
      <w:r>
        <w:rPr>
          <w:rFonts w:ascii="Calibri" w:eastAsia="Calibri" w:hAnsi="Calibri" w:cs="Times New Roman"/>
          <w:noProof/>
          <w:sz w:val="20"/>
          <w:szCs w:val="20"/>
          <w:lang w:val="en-US"/>
        </w:rPr>
        <w:t>only be properly implemented when it takes into account experiences at Member State level with putting EU commitments into effect. The Make it Work initiative, a Member State driven project, established in 2014, organizes a discussion on how the clarity, c</w:t>
      </w:r>
      <w:r>
        <w:rPr>
          <w:rFonts w:ascii="Calibri" w:eastAsia="Calibri" w:hAnsi="Calibri" w:cs="Times New Roman"/>
          <w:noProof/>
          <w:sz w:val="20"/>
          <w:szCs w:val="20"/>
          <w:lang w:val="en-US"/>
        </w:rPr>
        <w:t>oherence and structure of EU environmental legislation can be improved without lowering existing protection standards.</w:t>
      </w:r>
    </w:p>
    <w:p w:rsidR="004A120F" w:rsidRDefault="000A0796">
      <w:pPr>
        <w:widowControl w:val="0"/>
        <w:suppressLineNumbers/>
        <w:spacing w:before="240" w:line="240" w:lineRule="auto"/>
        <w:outlineLvl w:val="1"/>
        <w:rPr>
          <w:rFonts w:ascii="Calibri" w:eastAsia="Calibri" w:hAnsi="Calibri" w:cs="Times New Roman"/>
          <w:b/>
          <w:noProof/>
          <w:color w:val="1F497D"/>
          <w:sz w:val="24"/>
          <w:szCs w:val="24"/>
          <w:lang w:eastAsia="en-GB"/>
        </w:rPr>
      </w:pPr>
      <w:bookmarkStart w:id="59" w:name="_Toc469477823"/>
      <w:r>
        <w:rPr>
          <w:rFonts w:ascii="Calibri" w:eastAsia="Calibri" w:hAnsi="Calibri" w:cs="Times New Roman"/>
          <w:b/>
          <w:noProof/>
          <w:color w:val="1F497D"/>
          <w:sz w:val="24"/>
          <w:szCs w:val="24"/>
          <w:lang w:eastAsia="en-GB"/>
        </w:rPr>
        <w:t>Effective governance within central, regional and local government</w:t>
      </w:r>
      <w:bookmarkEnd w:id="57"/>
      <w:bookmarkEnd w:id="59"/>
    </w:p>
    <w:bookmarkEnd w:id="58"/>
    <w:p w:rsidR="004A120F" w:rsidRDefault="000A0796">
      <w:pPr>
        <w:widowControl w:val="0"/>
        <w:shd w:val="clear" w:color="auto" w:fill="4F81BD"/>
        <w:spacing w:line="240" w:lineRule="auto"/>
        <w:jc w:val="both"/>
        <w:rPr>
          <w:rFonts w:ascii="Calibri" w:eastAsia="Calibri" w:hAnsi="Calibri" w:cs="Times New Roman"/>
          <w:noProof/>
          <w:color w:val="FFFFFF"/>
          <w:sz w:val="20"/>
        </w:rPr>
      </w:pPr>
      <w:r>
        <w:rPr>
          <w:rFonts w:ascii="Calibri" w:eastAsia="Calibri" w:hAnsi="Calibri" w:cs="Times New Roman"/>
          <w:noProof/>
          <w:color w:val="FFFFFF"/>
          <w:sz w:val="20"/>
        </w:rPr>
        <w:t xml:space="preserve">Those involved in implementing environment legislation at Union, </w:t>
      </w:r>
      <w:r>
        <w:rPr>
          <w:rFonts w:ascii="Calibri" w:eastAsia="Calibri" w:hAnsi="Calibri" w:cs="Times New Roman"/>
          <w:noProof/>
          <w:color w:val="FFFFFF"/>
          <w:sz w:val="20"/>
        </w:rPr>
        <w:t>national, regional and local levels need to be equipped with the knowledge, tools and capacity to improve the delivery of benefits from that legislation, and the governance of the enforcement process.</w:t>
      </w:r>
    </w:p>
    <w:p w:rsidR="004A120F" w:rsidRDefault="000A0796">
      <w:pPr>
        <w:widowControl w:val="0"/>
        <w:suppressLineNumbers/>
        <w:spacing w:before="240" w:line="240" w:lineRule="auto"/>
        <w:jc w:val="both"/>
        <w:outlineLvl w:val="2"/>
        <w:rPr>
          <w:rFonts w:ascii="Calibri" w:eastAsia="Calibri" w:hAnsi="Calibri" w:cs="Times New Roman"/>
          <w:b/>
          <w:noProof/>
          <w:color w:val="1F497D"/>
          <w:szCs w:val="20"/>
        </w:rPr>
      </w:pPr>
      <w:r>
        <w:rPr>
          <w:rFonts w:ascii="Calibri" w:eastAsia="Calibri" w:hAnsi="Calibri" w:cs="Times New Roman"/>
          <w:b/>
          <w:noProof/>
          <w:color w:val="1F497D"/>
          <w:szCs w:val="20"/>
        </w:rPr>
        <w:t>Capacity to implement rules</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The assessment here is only</w:t>
      </w:r>
      <w:r>
        <w:rPr>
          <w:rFonts w:ascii="Calibri" w:eastAsia="Calibri" w:hAnsi="Calibri" w:cs="Times New Roman"/>
          <w:noProof/>
          <w:sz w:val="20"/>
        </w:rPr>
        <w:t xml:space="preserve"> preliminary and the Commission has work ongoing to improve its country-specific knowledge about quality and functioning of Member States' administrative systems.</w:t>
      </w:r>
    </w:p>
    <w:p w:rsidR="004A120F" w:rsidRDefault="000A0796">
      <w:pPr>
        <w:widowControl w:val="0"/>
        <w:suppressLineNumbers/>
        <w:spacing w:line="240" w:lineRule="auto"/>
        <w:jc w:val="both"/>
        <w:rPr>
          <w:rFonts w:ascii="Calibri" w:eastAsia="Calibri" w:hAnsi="Calibri" w:cs="Times New Roman"/>
          <w:noProof/>
          <w:color w:val="000000"/>
          <w:sz w:val="20"/>
        </w:rPr>
      </w:pPr>
      <w:r>
        <w:rPr>
          <w:rFonts w:ascii="Calibri" w:eastAsia="Calibri" w:hAnsi="Calibri" w:cs="Times New Roman"/>
          <w:noProof/>
          <w:color w:val="000000"/>
          <w:sz w:val="20"/>
        </w:rPr>
        <w:t xml:space="preserve">It is crucial that central, regional and local administrations have the necessary capacities </w:t>
      </w:r>
      <w:r>
        <w:rPr>
          <w:rFonts w:ascii="Calibri" w:eastAsia="Calibri" w:hAnsi="Calibri" w:cs="Times New Roman"/>
          <w:noProof/>
          <w:color w:val="000000"/>
          <w:sz w:val="20"/>
        </w:rPr>
        <w:t>and skills and training to carry out their own tasks and co-operate and co-ordinate effectively with each other, within a system of multi-level governance.</w:t>
      </w:r>
    </w:p>
    <w:p w:rsidR="004A120F" w:rsidRDefault="000A0796">
      <w:pPr>
        <w:widowControl w:val="0"/>
        <w:suppressLineNumbers/>
        <w:spacing w:line="240" w:lineRule="auto"/>
        <w:jc w:val="both"/>
        <w:rPr>
          <w:rFonts w:ascii="Calibri" w:eastAsia="Calibri" w:hAnsi="Calibri" w:cs="Times New Roman"/>
          <w:noProof/>
          <w:color w:val="000000"/>
          <w:sz w:val="20"/>
        </w:rPr>
      </w:pPr>
      <w:r>
        <w:rPr>
          <w:rFonts w:ascii="Calibri" w:eastAsia="Calibri" w:hAnsi="Calibri" w:cs="Times New Roman"/>
          <w:noProof/>
          <w:color w:val="000000"/>
          <w:sz w:val="20"/>
        </w:rPr>
        <w:t>The Maltese public sector scores high in terms of efficiency and effectiveness. According to the Wor</w:t>
      </w:r>
      <w:r>
        <w:rPr>
          <w:rFonts w:ascii="Calibri" w:eastAsia="Calibri" w:hAnsi="Calibri" w:cs="Times New Roman"/>
          <w:noProof/>
          <w:color w:val="000000"/>
          <w:sz w:val="20"/>
        </w:rPr>
        <w:t>ld Bank 2015 Worldwide Governance Indicators, Malta scores 80% for the government effectiveness indicator, which captures the perceptions of the quality of public services</w:t>
      </w:r>
      <w:r>
        <w:rPr>
          <w:rFonts w:ascii="Calibri" w:eastAsia="Calibri" w:hAnsi="Calibri" w:cs="Times New Roman"/>
          <w:noProof/>
          <w:color w:val="000000"/>
          <w:sz w:val="20"/>
          <w:vertAlign w:val="superscript"/>
        </w:rPr>
        <w:footnoteReference w:id="94"/>
      </w:r>
      <w:r>
        <w:rPr>
          <w:rFonts w:ascii="Calibri" w:eastAsia="Calibri" w:hAnsi="Calibri" w:cs="Times New Roman"/>
          <w:noProof/>
          <w:color w:val="000000"/>
          <w:sz w:val="20"/>
        </w:rPr>
        <w:t>.</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color w:val="000000"/>
          <w:sz w:val="20"/>
          <w:lang w:eastAsia="en-GB"/>
        </w:rPr>
        <w:drawing>
          <wp:inline distT="0" distB="0" distL="0" distR="0" wp14:anchorId="43F4A61C" wp14:editId="1B9550CC">
            <wp:extent cx="2980690" cy="1989238"/>
            <wp:effectExtent l="0" t="0" r="0" b="0"/>
            <wp:docPr id="1" name="Picture 1" descr="P:\ENV-E2\1. ENV IMPLEMENTATION REVIEW\EIR Data management\Pictures\remaining pictures istock\clean\MT Parliament iStock-61366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V-E2\1. ENV IMPLEMENTATION REVIEW\EIR Data management\Pictures\remaining pictures istock\clean\MT Parliament iStock-613662506.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80690" cy="1989238"/>
                    </a:xfrm>
                    <a:prstGeom prst="rect">
                      <a:avLst/>
                    </a:prstGeom>
                    <a:noFill/>
                    <a:ln>
                      <a:noFill/>
                    </a:ln>
                  </pic:spPr>
                </pic:pic>
              </a:graphicData>
            </a:graphic>
          </wp:inline>
        </w:drawing>
      </w:r>
      <w:r>
        <w:rPr>
          <w:rFonts w:ascii="Calibri" w:eastAsia="Calibri" w:hAnsi="Calibri" w:cs="Times New Roman"/>
          <w:noProof/>
          <w:color w:val="000000"/>
          <w:sz w:val="20"/>
        </w:rPr>
        <w:t>However, there is also much room for improvement as s</w:t>
      </w:r>
      <w:r>
        <w:rPr>
          <w:rFonts w:ascii="Calibri" w:eastAsia="Calibri" w:hAnsi="Calibri" w:cs="Times New Roman"/>
          <w:noProof/>
          <w:sz w:val="20"/>
        </w:rPr>
        <w:t>everal structural challenges</w:t>
      </w:r>
      <w:r>
        <w:rPr>
          <w:rFonts w:ascii="Calibri" w:eastAsia="Calibri" w:hAnsi="Calibri" w:cs="Times New Roman"/>
          <w:noProof/>
          <w:sz w:val="20"/>
        </w:rPr>
        <w:t xml:space="preserve"> pose a barrier to innovation. The recent assessment by the European Commission within the European Semester process concluded that the low efficiency of government administration and of the judicial system, an inefficient transport system, and skills mism</w:t>
      </w:r>
      <w:r>
        <w:rPr>
          <w:rFonts w:ascii="Calibri" w:eastAsia="Calibri" w:hAnsi="Calibri" w:cs="Times New Roman"/>
          <w:noProof/>
          <w:sz w:val="20"/>
        </w:rPr>
        <w:t>atches lower Malta’s attractiveness to foreign investors and hamper the ability of businesses to invest. A weak human resources base in science and technologies and the lack of a critical mass in specific research areas hinders the capacity to innovate (Eu</w:t>
      </w:r>
      <w:r>
        <w:rPr>
          <w:rFonts w:ascii="Calibri" w:eastAsia="Calibri" w:hAnsi="Calibri" w:cs="Times New Roman"/>
          <w:noProof/>
          <w:sz w:val="20"/>
        </w:rPr>
        <w:t>ropean Commission, 2016</w:t>
      </w:r>
      <w:r>
        <w:rPr>
          <w:rFonts w:ascii="Calibri" w:eastAsia="Calibri" w:hAnsi="Calibri" w:cs="Times New Roman"/>
          <w:noProof/>
          <w:color w:val="000000"/>
          <w:sz w:val="20"/>
          <w:vertAlign w:val="superscript"/>
        </w:rPr>
        <w:footnoteReference w:id="95"/>
      </w:r>
      <w:r>
        <w:rPr>
          <w:rFonts w:ascii="Calibri" w:eastAsia="Calibri" w:hAnsi="Calibri" w:cs="Times New Roman"/>
          <w:noProof/>
          <w:sz w:val="20"/>
        </w:rPr>
        <w:t>). Stronger linkages between the academic and the private sector for effective knowledge transfer are needed, as well as further investment in R&amp;D.</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In April 2016, a reorganisation has occurred in order to simplify and speed up permi</w:t>
      </w:r>
      <w:r>
        <w:rPr>
          <w:rFonts w:ascii="Calibri" w:eastAsia="Calibri" w:hAnsi="Calibri" w:cs="Times New Roman"/>
          <w:noProof/>
          <w:sz w:val="20"/>
        </w:rPr>
        <w:t>tting procedures with the result that the section of Environmental Permitting is now within the Environment and Resources Authority.  Finally, specific aspects of the consultation processes for new legislation have to be improved, including more feedback t</w:t>
      </w:r>
      <w:r>
        <w:rPr>
          <w:rFonts w:ascii="Calibri" w:eastAsia="Calibri" w:hAnsi="Calibri" w:cs="Times New Roman"/>
          <w:noProof/>
          <w:sz w:val="20"/>
        </w:rPr>
        <w:t>o stakeholders on how their input has been taken into account.</w:t>
      </w:r>
    </w:p>
    <w:p w:rsidR="004A120F" w:rsidRDefault="000A0796">
      <w:pPr>
        <w:widowControl w:val="0"/>
        <w:suppressLineNumbers/>
        <w:spacing w:line="240" w:lineRule="auto"/>
        <w:jc w:val="both"/>
        <w:rPr>
          <w:rFonts w:ascii="Calibri" w:eastAsia="Calibri" w:hAnsi="Calibri" w:cs="Times New Roman"/>
          <w:noProof/>
          <w:color w:val="000000"/>
          <w:sz w:val="20"/>
        </w:rPr>
      </w:pPr>
      <w:r>
        <w:rPr>
          <w:rFonts w:ascii="Calibri" w:eastAsia="Calibri" w:hAnsi="Calibri" w:cs="Times New Roman"/>
          <w:noProof/>
          <w:color w:val="000000"/>
          <w:sz w:val="20"/>
        </w:rPr>
        <w:t>In the Partnership Agreement (2014)</w:t>
      </w:r>
      <w:r>
        <w:rPr>
          <w:rFonts w:ascii="Calibri" w:eastAsia="Calibri" w:hAnsi="Calibri" w:cs="Times New Roman"/>
          <w:noProof/>
          <w:color w:val="000000"/>
          <w:sz w:val="20"/>
          <w:vertAlign w:val="superscript"/>
        </w:rPr>
        <w:footnoteReference w:id="96"/>
      </w:r>
      <w:r>
        <w:rPr>
          <w:rFonts w:ascii="Calibri" w:eastAsia="Calibri" w:hAnsi="Calibri" w:cs="Times New Roman"/>
          <w:noProof/>
          <w:color w:val="000000"/>
          <w:sz w:val="20"/>
        </w:rPr>
        <w:t xml:space="preserve"> for Malta on the EU Structural and Investment Funds 2014-2020, it was recognised that resources for environmental permitting procedures should be further en</w:t>
      </w:r>
      <w:r>
        <w:rPr>
          <w:rFonts w:ascii="Calibri" w:eastAsia="Calibri" w:hAnsi="Calibri" w:cs="Times New Roman"/>
          <w:noProof/>
          <w:color w:val="000000"/>
          <w:sz w:val="20"/>
        </w:rPr>
        <w:t>hanced during the 2014-2020 funding period</w:t>
      </w:r>
      <w:r>
        <w:rPr>
          <w:rFonts w:ascii="Calibri" w:eastAsia="Calibri" w:hAnsi="Calibri" w:cs="Times New Roman"/>
          <w:noProof/>
          <w:color w:val="000000"/>
          <w:sz w:val="20"/>
          <w:vertAlign w:val="superscript"/>
        </w:rPr>
        <w:footnoteReference w:id="97"/>
      </w:r>
      <w:r>
        <w:rPr>
          <w:rFonts w:ascii="Calibri" w:eastAsia="Calibri" w:hAnsi="Calibri" w:cs="Times New Roman"/>
          <w:noProof/>
          <w:color w:val="000000"/>
          <w:sz w:val="20"/>
        </w:rPr>
        <w:t xml:space="preserve">. </w:t>
      </w:r>
    </w:p>
    <w:p w:rsidR="004A120F" w:rsidRDefault="000A0796">
      <w:pPr>
        <w:widowControl w:val="0"/>
        <w:suppressLineNumbers/>
        <w:spacing w:line="240" w:lineRule="auto"/>
        <w:jc w:val="both"/>
        <w:rPr>
          <w:rFonts w:ascii="Calibri" w:eastAsia="Calibri" w:hAnsi="Calibri" w:cs="Times New Roman"/>
          <w:noProof/>
          <w:color w:val="000000"/>
          <w:sz w:val="20"/>
        </w:rPr>
      </w:pPr>
      <w:r>
        <w:rPr>
          <w:rFonts w:ascii="Calibri" w:eastAsia="Calibri" w:hAnsi="Calibri" w:cs="Times New Roman"/>
          <w:noProof/>
          <w:color w:val="000000"/>
          <w:sz w:val="20"/>
        </w:rPr>
        <w:t>Moreover, there is a systemic problem of lack of timely reporting under EU environmental legislation. This might be related to shortage of staff resources.</w:t>
      </w:r>
    </w:p>
    <w:p w:rsidR="004A120F" w:rsidRDefault="000A0796">
      <w:pPr>
        <w:widowControl w:val="0"/>
        <w:suppressLineNumbers/>
        <w:spacing w:line="240" w:lineRule="auto"/>
        <w:jc w:val="both"/>
        <w:rPr>
          <w:rFonts w:ascii="Calibri" w:eastAsia="Calibri" w:hAnsi="Calibri" w:cs="Times New Roman"/>
          <w:noProof/>
          <w:color w:val="000000"/>
          <w:sz w:val="20"/>
        </w:rPr>
      </w:pPr>
      <w:r>
        <w:rPr>
          <w:rFonts w:ascii="Calibri" w:eastAsia="Calibri" w:hAnsi="Calibri" w:cs="Times New Roman"/>
          <w:noProof/>
          <w:color w:val="000000"/>
          <w:sz w:val="20"/>
        </w:rPr>
        <w:t>Arrangements for the effective application of Union en</w:t>
      </w:r>
      <w:r>
        <w:rPr>
          <w:rFonts w:ascii="Calibri" w:eastAsia="Calibri" w:hAnsi="Calibri" w:cs="Times New Roman"/>
          <w:noProof/>
          <w:color w:val="000000"/>
          <w:sz w:val="20"/>
        </w:rPr>
        <w:t xml:space="preserve">vironmental legislation related to Environmental Impact Assessment and Strategic Environmental Assessment are in place, as well as arrangements for training and dissemination of information for staff involved. The proper implementation of EU environmental </w:t>
      </w:r>
      <w:r>
        <w:rPr>
          <w:rFonts w:ascii="Calibri" w:eastAsia="Calibri" w:hAnsi="Calibri" w:cs="Times New Roman"/>
          <w:noProof/>
          <w:color w:val="000000"/>
          <w:sz w:val="20"/>
        </w:rPr>
        <w:t>legislation relating to land use (EIA and SEA Directives) is of particular importance, especially in view of the fact that Malta has the largest proportion of built up areas within the whole EU</w:t>
      </w:r>
      <w:r>
        <w:rPr>
          <w:rFonts w:ascii="Calibri" w:eastAsia="Calibri" w:hAnsi="Calibri" w:cs="Times New Roman"/>
          <w:noProof/>
          <w:color w:val="000000"/>
          <w:sz w:val="20"/>
          <w:vertAlign w:val="superscript"/>
        </w:rPr>
        <w:footnoteReference w:id="98"/>
      </w:r>
      <w:r>
        <w:rPr>
          <w:rFonts w:ascii="Calibri" w:eastAsia="Calibri" w:hAnsi="Calibri" w:cs="Times New Roman"/>
          <w:noProof/>
          <w:color w:val="000000"/>
          <w:sz w:val="20"/>
        </w:rPr>
        <w:t xml:space="preserve">. </w:t>
      </w:r>
    </w:p>
    <w:p w:rsidR="004A120F" w:rsidRDefault="000A0796">
      <w:pPr>
        <w:widowControl w:val="0"/>
        <w:suppressLineNumbers/>
        <w:spacing w:line="240" w:lineRule="auto"/>
        <w:jc w:val="both"/>
        <w:rPr>
          <w:rFonts w:ascii="Calibri" w:eastAsia="Calibri" w:hAnsi="Calibri" w:cs="Times New Roman"/>
          <w:noProof/>
          <w:color w:val="000000"/>
          <w:sz w:val="20"/>
        </w:rPr>
      </w:pPr>
      <w:r>
        <w:rPr>
          <w:rFonts w:ascii="Calibri" w:eastAsia="Calibri" w:hAnsi="Calibri" w:cs="Times New Roman"/>
          <w:noProof/>
          <w:color w:val="000000"/>
          <w:sz w:val="20"/>
        </w:rPr>
        <w:t>The transposition of the revised Directive on Environmental</w:t>
      </w:r>
      <w:r>
        <w:rPr>
          <w:rFonts w:ascii="Calibri" w:eastAsia="Calibri" w:hAnsi="Calibri" w:cs="Times New Roman"/>
          <w:noProof/>
          <w:color w:val="000000"/>
          <w:sz w:val="20"/>
        </w:rPr>
        <w:t xml:space="preserve"> Impact Assessment (EIA)</w:t>
      </w:r>
      <w:r>
        <w:rPr>
          <w:rFonts w:ascii="Calibri" w:eastAsia="Calibri" w:hAnsi="Calibri" w:cs="Times New Roman"/>
          <w:noProof/>
          <w:color w:val="000000"/>
          <w:sz w:val="20"/>
          <w:vertAlign w:val="superscript"/>
        </w:rPr>
        <w:footnoteReference w:id="99"/>
      </w:r>
      <w:r>
        <w:rPr>
          <w:rFonts w:ascii="Calibri" w:eastAsia="Calibri" w:hAnsi="Calibri" w:cs="Times New Roman"/>
          <w:noProof/>
          <w:color w:val="000000"/>
          <w:sz w:val="20"/>
        </w:rPr>
        <w:t xml:space="preserve">  will be an opportunity to streamline the regulatory framework on environmental assessments. The Commission encourages the streamlining of the environmental assessments because this approach reduces duplication and avoids unnecess</w:t>
      </w:r>
      <w:r>
        <w:rPr>
          <w:rFonts w:ascii="Calibri" w:eastAsia="Calibri" w:hAnsi="Calibri" w:cs="Times New Roman"/>
          <w:noProof/>
          <w:color w:val="000000"/>
          <w:sz w:val="20"/>
        </w:rPr>
        <w:t xml:space="preserve">ary overlaps in environmental assessments applicable for a particular project. </w:t>
      </w:r>
      <w:r>
        <w:rPr>
          <w:rFonts w:cstheme="minorHAnsi"/>
          <w:noProof/>
          <w:color w:val="000000"/>
          <w:sz w:val="20"/>
        </w:rPr>
        <w:t>The Commission has issued a guidance document in 2016</w:t>
      </w:r>
      <w:r>
        <w:rPr>
          <w:rFonts w:cstheme="minorHAnsi"/>
          <w:noProof/>
          <w:color w:val="000000"/>
          <w:sz w:val="20"/>
          <w:vertAlign w:val="superscript"/>
        </w:rPr>
        <w:footnoteReference w:id="100"/>
      </w:r>
      <w:r>
        <w:rPr>
          <w:rFonts w:cstheme="minorHAnsi"/>
          <w:noProof/>
          <w:color w:val="000000"/>
          <w:sz w:val="20"/>
          <w:vertAlign w:val="superscript"/>
        </w:rPr>
        <w:t xml:space="preserve"> </w:t>
      </w:r>
      <w:r>
        <w:rPr>
          <w:rFonts w:cstheme="minorHAnsi"/>
          <w:noProof/>
          <w:color w:val="000000"/>
          <w:sz w:val="20"/>
        </w:rPr>
        <w:t>regarding the setting up of coordinated and/or joint procedures that are simultaneously subject to assessments under the E</w:t>
      </w:r>
      <w:r>
        <w:rPr>
          <w:rFonts w:cstheme="minorHAnsi"/>
          <w:noProof/>
          <w:color w:val="000000"/>
          <w:sz w:val="20"/>
        </w:rPr>
        <w:t>IA Directive, Habitats Directive, Water Framework Directive, and the Industrial Emissions Directive.</w:t>
      </w:r>
    </w:p>
    <w:p w:rsidR="004A120F" w:rsidRDefault="000A0796">
      <w:pPr>
        <w:widowControl w:val="0"/>
        <w:suppressLineNumbers/>
        <w:spacing w:line="240" w:lineRule="auto"/>
        <w:jc w:val="both"/>
        <w:rPr>
          <w:rFonts w:ascii="Calibri" w:eastAsia="Calibri" w:hAnsi="Calibri" w:cs="Calibri"/>
          <w:noProof/>
          <w:color w:val="1F497D"/>
          <w:szCs w:val="26"/>
        </w:rPr>
      </w:pPr>
      <w:r>
        <w:rPr>
          <w:rFonts w:ascii="Calibri" w:eastAsia="Calibri" w:hAnsi="Calibri" w:cs="Calibri"/>
          <w:noProof/>
          <w:color w:val="1F497D"/>
          <w:szCs w:val="26"/>
        </w:rPr>
        <w:t>Suggested action</w:t>
      </w:r>
    </w:p>
    <w:p w:rsidR="004A120F" w:rsidRDefault="000A0796">
      <w:pPr>
        <w:pStyle w:val="SuggActions"/>
        <w:rPr>
          <w:noProof/>
        </w:rPr>
      </w:pPr>
      <w:r>
        <w:rPr>
          <w:noProof/>
        </w:rPr>
        <w:t xml:space="preserve">Improve the timely reporting under the EU environmental legislation and ensure sufficient staff capacity for this purpose in particular </w:t>
      </w:r>
      <w:r>
        <w:rPr>
          <w:noProof/>
        </w:rPr>
        <w:t>and more generally for a more effective implementation and enforcement of the environmental policy.</w:t>
      </w:r>
    </w:p>
    <w:p w:rsidR="004A120F" w:rsidRDefault="000A0796">
      <w:pPr>
        <w:widowControl w:val="0"/>
        <w:suppressLineNumbers/>
        <w:spacing w:before="240" w:line="240" w:lineRule="auto"/>
        <w:jc w:val="both"/>
        <w:outlineLvl w:val="2"/>
        <w:rPr>
          <w:rFonts w:ascii="Calibri" w:eastAsia="Calibri" w:hAnsi="Calibri" w:cs="Times New Roman"/>
          <w:b/>
          <w:noProof/>
          <w:color w:val="1F497D"/>
          <w:szCs w:val="20"/>
        </w:rPr>
      </w:pPr>
      <w:r>
        <w:rPr>
          <w:rFonts w:ascii="Calibri" w:eastAsia="Calibri" w:hAnsi="Calibri" w:cs="Times New Roman"/>
          <w:b/>
          <w:noProof/>
          <w:color w:val="1F497D"/>
          <w:szCs w:val="20"/>
        </w:rPr>
        <w:t>Coordination and integration</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The Ministry for Sustainable Development, the Environment, and Climate Change (MSDEC) is the public authority in charge of coor</w:t>
      </w:r>
      <w:r>
        <w:rPr>
          <w:rFonts w:ascii="Calibri" w:eastAsia="Calibri" w:hAnsi="Calibri" w:cs="Times New Roman"/>
          <w:noProof/>
          <w:sz w:val="20"/>
        </w:rPr>
        <w:t xml:space="preserve">dinating and streamlining environmental policy developments in Malta.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In 2014, the MSDEC underwent organisational improvements in setting up a Strategic Office dedicated to mainstreaming of sustainable development approaches and environmental matters in t</w:t>
      </w:r>
      <w:r>
        <w:rPr>
          <w:rFonts w:ascii="Calibri" w:eastAsia="Calibri" w:hAnsi="Calibri" w:cs="Times New Roman"/>
          <w:noProof/>
          <w:sz w:val="20"/>
        </w:rPr>
        <w:t>he operational work of the ministry.  Within this division the policy streams of Sustainable Development, Environment and Climate Change are being developed in conjunction with the Policy Development and Programme Implementation Directorate.  Together thes</w:t>
      </w:r>
      <w:r>
        <w:rPr>
          <w:rFonts w:ascii="Calibri" w:eastAsia="Calibri" w:hAnsi="Calibri" w:cs="Times New Roman"/>
          <w:noProof/>
          <w:sz w:val="20"/>
        </w:rPr>
        <w:t>e structures are targeting to secure a more integrated approach for policy development and implementation</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Malta has recently established an Environment and Resources Authority whose main goals are: (i) to mainstream environmental targets and objectives acr</w:t>
      </w:r>
      <w:r>
        <w:rPr>
          <w:rFonts w:ascii="Calibri" w:eastAsia="Calibri" w:hAnsi="Calibri" w:cs="Times New Roman"/>
          <w:noProof/>
          <w:sz w:val="20"/>
        </w:rPr>
        <w:t xml:space="preserve">oss Government and society; (ii) to take the leading role in advising Government on environmental policy-making at the national level, as well as in the context of international environmental negotiations; (iii) to develop evidence-based policy; backed by </w:t>
      </w:r>
      <w:r>
        <w:rPr>
          <w:rFonts w:ascii="Calibri" w:eastAsia="Calibri" w:hAnsi="Calibri" w:cs="Times New Roman"/>
          <w:noProof/>
          <w:sz w:val="20"/>
        </w:rPr>
        <w:t>a robust data gathering structure; and (iv) to draw up plans, provide a licensing regime and monitor activities having an environmental impact and to integrate environmental considerations within the development control process</w:t>
      </w:r>
      <w:r>
        <w:rPr>
          <w:rFonts w:ascii="Calibri" w:eastAsia="Calibri" w:hAnsi="Calibri" w:cs="Times New Roman"/>
          <w:noProof/>
          <w:sz w:val="20"/>
          <w:vertAlign w:val="superscript"/>
        </w:rPr>
        <w:footnoteReference w:id="101"/>
      </w:r>
      <w:r>
        <w:rPr>
          <w:rFonts w:ascii="Calibri" w:eastAsia="Calibri" w:hAnsi="Calibri" w:cs="Times New Roman"/>
          <w:noProof/>
          <w:sz w:val="20"/>
        </w:rPr>
        <w:t>.</w:t>
      </w:r>
    </w:p>
    <w:p w:rsidR="004A120F" w:rsidRDefault="000A0796">
      <w:pPr>
        <w:widowControl w:val="0"/>
        <w:suppressLineNumbers/>
        <w:spacing w:line="240" w:lineRule="auto"/>
        <w:jc w:val="both"/>
        <w:rPr>
          <w:rFonts w:ascii="Calibri" w:eastAsia="Calibri" w:hAnsi="Calibri" w:cs="Calibri"/>
          <w:noProof/>
          <w:color w:val="1F497D"/>
          <w:szCs w:val="26"/>
        </w:rPr>
      </w:pPr>
      <w:r>
        <w:rPr>
          <w:rFonts w:ascii="Calibri" w:eastAsia="Calibri" w:hAnsi="Calibri" w:cs="Calibri"/>
          <w:noProof/>
          <w:color w:val="1F497D"/>
          <w:szCs w:val="26"/>
        </w:rPr>
        <w:t>Suggested action</w:t>
      </w:r>
    </w:p>
    <w:p w:rsidR="004A120F" w:rsidRDefault="000A0796">
      <w:pPr>
        <w:pStyle w:val="SuggActions"/>
        <w:rPr>
          <w:noProof/>
        </w:rPr>
      </w:pPr>
      <w:r>
        <w:rPr>
          <w:noProof/>
        </w:rPr>
        <w:t>Ensure th</w:t>
      </w:r>
      <w:r>
        <w:rPr>
          <w:noProof/>
        </w:rPr>
        <w:t>at the newly established Environment and Resources Authority has strong responsibilities. There should be clear and transparent processes for the authorization of facilities and activities that have impact on the environment.</w:t>
      </w:r>
    </w:p>
    <w:p w:rsidR="004A120F" w:rsidRDefault="000A0796">
      <w:pPr>
        <w:widowControl w:val="0"/>
        <w:suppressLineNumbers/>
        <w:spacing w:before="240" w:line="240" w:lineRule="auto"/>
        <w:outlineLvl w:val="1"/>
        <w:rPr>
          <w:rFonts w:ascii="Calibri" w:eastAsia="Calibri" w:hAnsi="Calibri" w:cs="Times New Roman"/>
          <w:b/>
          <w:noProof/>
          <w:color w:val="1F497D"/>
          <w:sz w:val="24"/>
          <w:szCs w:val="24"/>
          <w:lang w:eastAsia="en-GB"/>
        </w:rPr>
      </w:pPr>
      <w:bookmarkStart w:id="60" w:name="_Toc469477824"/>
      <w:r>
        <w:rPr>
          <w:rFonts w:ascii="Calibri" w:eastAsia="Calibri" w:hAnsi="Calibri" w:cs="Times New Roman"/>
          <w:b/>
          <w:noProof/>
          <w:color w:val="1F497D"/>
          <w:sz w:val="24"/>
          <w:szCs w:val="24"/>
          <w:lang w:eastAsia="en-GB"/>
        </w:rPr>
        <w:t>Compliance assurance</w:t>
      </w:r>
      <w:bookmarkEnd w:id="60"/>
    </w:p>
    <w:p w:rsidR="004A120F" w:rsidRDefault="000A0796">
      <w:pPr>
        <w:widowControl w:val="0"/>
        <w:shd w:val="clear" w:color="auto" w:fill="4F81BD"/>
        <w:spacing w:before="240" w:line="240" w:lineRule="auto"/>
        <w:jc w:val="both"/>
        <w:rPr>
          <w:rFonts w:ascii="Calibri" w:eastAsia="Calibri" w:hAnsi="Calibri" w:cs="Times New Roman"/>
          <w:noProof/>
          <w:color w:val="FFFFFF"/>
          <w:sz w:val="20"/>
        </w:rPr>
      </w:pPr>
      <w:r>
        <w:rPr>
          <w:rFonts w:ascii="Calibri" w:eastAsia="Calibri" w:hAnsi="Calibri" w:cs="Times New Roman"/>
          <w:noProof/>
          <w:color w:val="FFFFFF"/>
          <w:sz w:val="20"/>
        </w:rPr>
        <w:t xml:space="preserve">EU law </w:t>
      </w:r>
      <w:r>
        <w:rPr>
          <w:rFonts w:ascii="Calibri" w:eastAsia="Calibri" w:hAnsi="Calibri" w:cs="Times New Roman"/>
          <w:noProof/>
          <w:color w:val="FFFFFF"/>
          <w:sz w:val="20"/>
        </w:rPr>
        <w:t>generally and specific provisions on inspections, other checks, penalties and environmental liability help lay the basis for the systems Member States need to have in place to secure compliance with EU environmental rules.</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Public authorities help ensure ac</w:t>
      </w:r>
      <w:r>
        <w:rPr>
          <w:rFonts w:ascii="Calibri" w:eastAsia="Calibri" w:hAnsi="Calibri" w:cs="Times New Roman"/>
          <w:noProof/>
          <w:sz w:val="20"/>
        </w:rPr>
        <w:t xml:space="preserve">countability of duty-holders by monitoring and promoting compliance and by taking credible follow-up action (i.e. enforcement) when breaches occur or liabilities arise. Compliance monitoring can be done both on the initiative of authorities themselves and </w:t>
      </w:r>
      <w:r>
        <w:rPr>
          <w:rFonts w:ascii="Calibri" w:eastAsia="Calibri" w:hAnsi="Calibri" w:cs="Times New Roman"/>
          <w:noProof/>
          <w:sz w:val="20"/>
        </w:rPr>
        <w:t>in response to citizen complaints. It can involve using various kinds of checks, including inspections for permitted activities, surveillance for possible illegal activities, investigations for crimes and audits for systemic weaknesses. Similarly, there is</w:t>
      </w:r>
      <w:r>
        <w:rPr>
          <w:rFonts w:ascii="Calibri" w:eastAsia="Calibri" w:hAnsi="Calibri" w:cs="Times New Roman"/>
          <w:noProof/>
          <w:sz w:val="20"/>
        </w:rPr>
        <w:t xml:space="preserve"> a range of means to promote compliance, including awareness-raising campaigns and use of guidance documents and online information tools. Follow-up to breaches and liabilities can include administrative action (e.g. withdrawal of a permit), use of crimina</w:t>
      </w:r>
      <w:r>
        <w:rPr>
          <w:rFonts w:ascii="Calibri" w:eastAsia="Calibri" w:hAnsi="Calibri" w:cs="Times New Roman"/>
          <w:noProof/>
          <w:sz w:val="20"/>
        </w:rPr>
        <w:t>l law</w:t>
      </w:r>
      <w:r>
        <w:rPr>
          <w:rFonts w:ascii="Calibri" w:eastAsia="Calibri" w:hAnsi="Calibri" w:cs="Times New Roman"/>
          <w:noProof/>
          <w:sz w:val="20"/>
          <w:vertAlign w:val="superscript"/>
        </w:rPr>
        <w:footnoteReference w:id="102"/>
      </w:r>
      <w:r>
        <w:rPr>
          <w:rFonts w:ascii="Calibri" w:eastAsia="Calibri" w:hAnsi="Calibri" w:cs="Times New Roman"/>
          <w:noProof/>
          <w:sz w:val="20"/>
        </w:rPr>
        <w:t xml:space="preserve"> and action under liability law (e.g. required remediation after damage from an accident using liability rules) and contractual law (e.g. measures to require compliance with nature conservation contracts). Taken together, all of these interventions r</w:t>
      </w:r>
      <w:r>
        <w:rPr>
          <w:rFonts w:ascii="Calibri" w:eastAsia="Calibri" w:hAnsi="Calibri" w:cs="Times New Roman"/>
          <w:noProof/>
          <w:sz w:val="20"/>
        </w:rPr>
        <w:t xml:space="preserve">epresent "compliance assurance" as shown in Figure 13.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Best practice has moved towards a risk-based approach at strategic and operational levels in which the best mix of compliance monitoring, promotion and enforcement is directed at the most serious prob</w:t>
      </w:r>
      <w:r>
        <w:rPr>
          <w:rFonts w:ascii="Calibri" w:eastAsia="Calibri" w:hAnsi="Calibri" w:cs="Times New Roman"/>
          <w:noProof/>
          <w:sz w:val="20"/>
        </w:rPr>
        <w:t>lems. Best practice also recognises the need for coordination and cooperation between different authorities to ensure consistency, avoid duplication of work and reduce administrative burden. Active participation in established pan-European networks of insp</w:t>
      </w:r>
      <w:r>
        <w:rPr>
          <w:rFonts w:ascii="Calibri" w:eastAsia="Calibri" w:hAnsi="Calibri" w:cs="Times New Roman"/>
          <w:noProof/>
          <w:sz w:val="20"/>
        </w:rPr>
        <w:t>ectors, police, prosecutors and judges, such as</w:t>
      </w:r>
      <w:r>
        <w:rPr>
          <w:rFonts w:ascii="Calibri" w:eastAsia="Calibri" w:hAnsi="Calibri" w:cs="Times New Roman"/>
          <w:i/>
          <w:noProof/>
          <w:sz w:val="20"/>
        </w:rPr>
        <w:t xml:space="preserve"> IMPEL</w:t>
      </w:r>
      <w:r>
        <w:rPr>
          <w:rFonts w:ascii="Calibri" w:eastAsia="Calibri" w:hAnsi="Calibri" w:cs="Times New Roman"/>
          <w:i/>
          <w:noProof/>
          <w:sz w:val="20"/>
          <w:vertAlign w:val="superscript"/>
        </w:rPr>
        <w:footnoteReference w:id="103"/>
      </w:r>
      <w:r>
        <w:rPr>
          <w:rFonts w:ascii="Calibri" w:eastAsia="Calibri" w:hAnsi="Calibri" w:cs="Times New Roman"/>
          <w:i/>
          <w:noProof/>
          <w:sz w:val="20"/>
        </w:rPr>
        <w:t>, EUFJE</w:t>
      </w:r>
      <w:r>
        <w:rPr>
          <w:rFonts w:ascii="Calibri" w:eastAsia="Calibri" w:hAnsi="Calibri" w:cs="Times New Roman"/>
          <w:i/>
          <w:noProof/>
          <w:sz w:val="20"/>
          <w:vertAlign w:val="superscript"/>
        </w:rPr>
        <w:footnoteReference w:id="104"/>
      </w:r>
      <w:r>
        <w:rPr>
          <w:rFonts w:ascii="Calibri" w:eastAsia="Calibri" w:hAnsi="Calibri" w:cs="Times New Roman"/>
          <w:i/>
          <w:noProof/>
          <w:sz w:val="20"/>
        </w:rPr>
        <w:t>, ENPE</w:t>
      </w:r>
      <w:r>
        <w:rPr>
          <w:rFonts w:ascii="Calibri" w:eastAsia="Calibri" w:hAnsi="Calibri" w:cs="Times New Roman"/>
          <w:i/>
          <w:noProof/>
          <w:sz w:val="20"/>
          <w:vertAlign w:val="superscript"/>
        </w:rPr>
        <w:footnoteReference w:id="105"/>
      </w:r>
      <w:r>
        <w:rPr>
          <w:rFonts w:ascii="Calibri" w:eastAsia="Calibri" w:hAnsi="Calibri" w:cs="Times New Roman"/>
          <w:i/>
          <w:noProof/>
          <w:sz w:val="20"/>
        </w:rPr>
        <w:t xml:space="preserve"> and EnviCrimeNet</w:t>
      </w:r>
      <w:r>
        <w:rPr>
          <w:rFonts w:ascii="Calibri" w:eastAsia="Calibri" w:hAnsi="Calibri" w:cs="Times New Roman"/>
          <w:i/>
          <w:noProof/>
          <w:sz w:val="20"/>
          <w:vertAlign w:val="superscript"/>
        </w:rPr>
        <w:footnoteReference w:id="106"/>
      </w:r>
      <w:r>
        <w:rPr>
          <w:rFonts w:ascii="Calibri" w:eastAsia="Calibri" w:hAnsi="Calibri" w:cs="Times New Roman"/>
          <w:noProof/>
          <w:sz w:val="20"/>
        </w:rPr>
        <w:t>, is a valuable tool for sharing experience and good practices.</w:t>
      </w:r>
    </w:p>
    <w:tbl>
      <w:tblPr>
        <w:tblW w:w="0" w:type="auto"/>
        <w:tblLook w:val="04A0" w:firstRow="1" w:lastRow="0" w:firstColumn="1" w:lastColumn="0" w:noHBand="0" w:noVBand="1"/>
      </w:tblPr>
      <w:tblGrid>
        <w:gridCol w:w="4910"/>
      </w:tblGrid>
      <w:tr w:rsidR="004A120F">
        <w:tc>
          <w:tcPr>
            <w:tcW w:w="4909" w:type="dxa"/>
          </w:tcPr>
          <w:p w:rsidR="004A120F" w:rsidRDefault="000A0796">
            <w:pPr>
              <w:widowControl w:val="0"/>
              <w:suppressLineNumbers/>
              <w:spacing w:line="240" w:lineRule="auto"/>
              <w:jc w:val="both"/>
              <w:rPr>
                <w:rFonts w:ascii="Calibri" w:eastAsia="Calibri" w:hAnsi="Calibri" w:cs="Times New Roman"/>
                <w:b/>
                <w:bCs/>
                <w:noProof/>
                <w:color w:val="1F497D"/>
                <w:sz w:val="20"/>
              </w:rPr>
            </w:pPr>
            <w:r>
              <w:rPr>
                <w:rFonts w:ascii="Calibri" w:eastAsia="Calibri" w:hAnsi="Calibri" w:cs="Times New Roman"/>
                <w:b/>
                <w:bCs/>
                <w:noProof/>
                <w:color w:val="1F497D"/>
                <w:sz w:val="20"/>
              </w:rPr>
              <w:t>Figure 13: Environmental compliance assurance</w:t>
            </w:r>
          </w:p>
          <w:p w:rsidR="004A120F" w:rsidRDefault="000A0796">
            <w:pPr>
              <w:widowControl w:val="0"/>
              <w:suppressLineNumbers/>
              <w:spacing w:line="240" w:lineRule="auto"/>
              <w:jc w:val="both"/>
              <w:rPr>
                <w:rFonts w:ascii="Calibri" w:eastAsia="Calibri" w:hAnsi="Calibri" w:cs="Times New Roman"/>
                <w:b/>
                <w:bCs/>
                <w:noProof/>
                <w:color w:val="1F497D"/>
                <w:sz w:val="20"/>
              </w:rPr>
            </w:pPr>
            <w:r>
              <w:rPr>
                <w:rFonts w:ascii="Calibri" w:eastAsia="Calibri" w:hAnsi="Calibri" w:cs="Times New Roman"/>
                <w:noProof/>
                <w:sz w:val="20"/>
                <w:lang w:eastAsia="en-GB"/>
              </w:rPr>
              <w:drawing>
                <wp:inline distT="0" distB="0" distL="0" distR="0" wp14:anchorId="4A4966AB" wp14:editId="7CF48FAD">
                  <wp:extent cx="2981325" cy="2105025"/>
                  <wp:effectExtent l="19050" t="0" r="9525"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srcRect/>
                          <a:stretch>
                            <a:fillRect/>
                          </a:stretch>
                        </pic:blipFill>
                        <pic:spPr bwMode="auto">
                          <a:xfrm>
                            <a:off x="0" y="0"/>
                            <a:ext cx="2981325" cy="2105025"/>
                          </a:xfrm>
                          <a:prstGeom prst="rect">
                            <a:avLst/>
                          </a:prstGeom>
                          <a:noFill/>
                          <a:ln w="9525">
                            <a:noFill/>
                            <a:miter lim="800000"/>
                            <a:headEnd/>
                            <a:tailEnd/>
                          </a:ln>
                        </pic:spPr>
                      </pic:pic>
                    </a:graphicData>
                  </a:graphic>
                </wp:inline>
              </w:drawing>
            </w:r>
          </w:p>
        </w:tc>
      </w:tr>
    </w:tbl>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 xml:space="preserve">Currently, there exist a number of sectoral obligations </w:t>
      </w:r>
      <w:r>
        <w:rPr>
          <w:rFonts w:ascii="Calibri" w:eastAsia="Calibri" w:hAnsi="Calibri" w:cs="Times New Roman"/>
          <w:noProof/>
          <w:sz w:val="20"/>
        </w:rPr>
        <w:t>on inspections and the EU directive on environmental liability (ELD)</w:t>
      </w:r>
      <w:r>
        <w:rPr>
          <w:rFonts w:ascii="Calibri" w:eastAsia="Calibri" w:hAnsi="Calibri" w:cs="Times New Roman"/>
          <w:noProof/>
          <w:sz w:val="20"/>
          <w:vertAlign w:val="superscript"/>
        </w:rPr>
        <w:footnoteReference w:id="107"/>
      </w:r>
      <w:r>
        <w:rPr>
          <w:rFonts w:ascii="Calibri" w:eastAsia="Calibri" w:hAnsi="Calibri" w:cs="Times New Roman"/>
          <w:noProof/>
          <w:sz w:val="20"/>
        </w:rPr>
        <w:t xml:space="preserve"> provides a means of ensuring that the "polluter-pays principle" is applied when there are accidents and incidents that harm the environment. There is also publically available information giving insights into existing strengths and weaknesses in each Memb</w:t>
      </w:r>
      <w:r>
        <w:rPr>
          <w:rFonts w:ascii="Calibri" w:eastAsia="Calibri" w:hAnsi="Calibri" w:cs="Times New Roman"/>
          <w:noProof/>
          <w:sz w:val="20"/>
        </w:rPr>
        <w:t xml:space="preserve">er State.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For each Member State, the following were therefore reviewed: use of risk-based compliance assurance; coordination and co-operation between authorities and participation in pan-European networks; and key aspects of implementation of the ELD base</w:t>
      </w:r>
      <w:r>
        <w:rPr>
          <w:rFonts w:ascii="Calibri" w:eastAsia="Calibri" w:hAnsi="Calibri" w:cs="Times New Roman"/>
          <w:noProof/>
          <w:sz w:val="20"/>
        </w:rPr>
        <w:t>d on the Commission's recently published implementation report and REFIT evaluation</w:t>
      </w:r>
      <w:r>
        <w:rPr>
          <w:rFonts w:ascii="Calibri" w:eastAsia="Calibri" w:hAnsi="Calibri" w:cs="Times New Roman"/>
          <w:noProof/>
          <w:sz w:val="20"/>
          <w:vertAlign w:val="superscript"/>
        </w:rPr>
        <w:footnoteReference w:id="108"/>
      </w:r>
      <w:r>
        <w:rPr>
          <w:rFonts w:ascii="Calibri" w:eastAsia="Calibri" w:hAnsi="Calibri" w:cs="Times New Roman"/>
          <w:noProof/>
          <w:sz w:val="20"/>
        </w:rPr>
        <w:t xml:space="preserve">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Since 2007</w:t>
      </w:r>
      <w:r>
        <w:rPr>
          <w:rFonts w:ascii="Calibri" w:eastAsia="Calibri" w:hAnsi="Calibri" w:cs="Times New Roman"/>
          <w:noProof/>
          <w:sz w:val="20"/>
          <w:vertAlign w:val="superscript"/>
        </w:rPr>
        <w:footnoteReference w:id="109"/>
      </w:r>
      <w:r>
        <w:rPr>
          <w:rFonts w:ascii="Calibri" w:eastAsia="Calibri" w:hAnsi="Calibri" w:cs="Times New Roman"/>
          <w:noProof/>
          <w:sz w:val="20"/>
        </w:rPr>
        <w:t>, Malta has made progress on compliance assurance. There has been an emphasis on compliance promotion, with steps taken to introduce a risk-based approach to i</w:t>
      </w:r>
      <w:r>
        <w:rPr>
          <w:rFonts w:ascii="Calibri" w:eastAsia="Calibri" w:hAnsi="Calibri" w:cs="Times New Roman"/>
          <w:noProof/>
          <w:sz w:val="20"/>
        </w:rPr>
        <w:t>nspection work</w:t>
      </w:r>
      <w:r>
        <w:rPr>
          <w:rFonts w:ascii="Calibri" w:eastAsia="Calibri" w:hAnsi="Calibri" w:cs="Times New Roman"/>
          <w:noProof/>
          <w:sz w:val="20"/>
          <w:vertAlign w:val="superscript"/>
        </w:rPr>
        <w:footnoteReference w:id="110"/>
      </w:r>
      <w:r>
        <w:rPr>
          <w:rFonts w:ascii="Calibri" w:eastAsia="Calibri" w:hAnsi="Calibri" w:cs="Times New Roman"/>
          <w:noProof/>
          <w:sz w:val="20"/>
        </w:rPr>
        <w:t xml:space="preserve"> and some guidance for individual inspection activities put in place.</w:t>
      </w:r>
      <w:r>
        <w:rPr>
          <w:rFonts w:ascii="Calibri" w:eastAsia="Calibri" w:hAnsi="Calibri" w:cs="Times New Roman"/>
          <w:noProof/>
          <w:sz w:val="20"/>
          <w:vertAlign w:val="superscript"/>
        </w:rPr>
        <w:footnoteReference w:id="111"/>
      </w:r>
      <w:r>
        <w:rPr>
          <w:rFonts w:ascii="Calibri" w:eastAsia="Calibri" w:hAnsi="Calibri" w:cs="Times New Roman"/>
          <w:noProof/>
          <w:sz w:val="20"/>
        </w:rPr>
        <w:t xml:space="preserve"> However, a recent decrease in staff numbers combined with low availability of technical equipment could hamper effectiveness</w:t>
      </w:r>
      <w:r>
        <w:rPr>
          <w:rFonts w:ascii="Calibri" w:eastAsia="Calibri" w:hAnsi="Calibri" w:cs="Times New Roman"/>
          <w:noProof/>
          <w:sz w:val="20"/>
          <w:vertAlign w:val="superscript"/>
        </w:rPr>
        <w:footnoteReference w:id="112"/>
      </w:r>
      <w:r>
        <w:rPr>
          <w:rFonts w:ascii="Calibri" w:eastAsia="Calibri" w:hAnsi="Calibri" w:cs="Times New Roman"/>
          <w:noProof/>
          <w:sz w:val="20"/>
        </w:rPr>
        <w:t xml:space="preserve"> </w:t>
      </w:r>
      <w:r>
        <w:rPr>
          <w:rFonts w:ascii="Calibri" w:eastAsia="Calibri" w:hAnsi="Calibri" w:cs="Times New Roman"/>
          <w:noProof/>
          <w:sz w:val="20"/>
          <w:vertAlign w:val="superscript"/>
        </w:rPr>
        <w:footnoteReference w:id="113"/>
      </w:r>
      <w:r>
        <w:rPr>
          <w:rFonts w:ascii="Calibri" w:eastAsia="Calibri" w:hAnsi="Calibri" w:cs="Times New Roman"/>
          <w:noProof/>
          <w:sz w:val="20"/>
        </w:rPr>
        <w:t xml:space="preserve">.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Despite limited resources, Malta is acti</w:t>
      </w:r>
      <w:r>
        <w:rPr>
          <w:rFonts w:ascii="Calibri" w:eastAsia="Calibri" w:hAnsi="Calibri" w:cs="Times New Roman"/>
          <w:noProof/>
          <w:sz w:val="20"/>
        </w:rPr>
        <w:t xml:space="preserve">ve within IMPEL and it hosted an IMPEL peer review in 2014.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Up-to-date information is lacking in relation to the following:</w:t>
      </w:r>
    </w:p>
    <w:p w:rsidR="004A120F" w:rsidRDefault="000A0796">
      <w:pPr>
        <w:widowControl w:val="0"/>
        <w:numPr>
          <w:ilvl w:val="0"/>
          <w:numId w:val="6"/>
        </w:numPr>
        <w:suppressLineNumbers/>
        <w:spacing w:line="240" w:lineRule="auto"/>
        <w:contextualSpacing/>
        <w:jc w:val="both"/>
        <w:rPr>
          <w:rFonts w:ascii="Calibri" w:eastAsia="Calibri" w:hAnsi="Calibri" w:cs="Times New Roman"/>
          <w:noProof/>
          <w:sz w:val="20"/>
        </w:rPr>
      </w:pPr>
      <w:r>
        <w:rPr>
          <w:rFonts w:ascii="Calibri" w:eastAsia="Calibri" w:hAnsi="Calibri" w:cs="Times New Roman"/>
          <w:noProof/>
          <w:sz w:val="20"/>
        </w:rPr>
        <w:t>data-collection arrangements to track the use and effectiveness of different compliance assurance interventions</w:t>
      </w:r>
      <w:r>
        <w:rPr>
          <w:rFonts w:ascii="Calibri" w:eastAsia="Calibri" w:hAnsi="Calibri" w:cs="Times New Roman"/>
          <w:noProof/>
          <w:sz w:val="20"/>
          <w:vertAlign w:val="superscript"/>
        </w:rPr>
        <w:footnoteReference w:id="114"/>
      </w:r>
      <w:r>
        <w:rPr>
          <w:rFonts w:ascii="Calibri" w:eastAsia="Calibri" w:hAnsi="Calibri" w:cs="Times New Roman"/>
          <w:noProof/>
          <w:sz w:val="20"/>
        </w:rPr>
        <w:t>;</w:t>
      </w:r>
    </w:p>
    <w:p w:rsidR="004A120F" w:rsidRDefault="000A0796">
      <w:pPr>
        <w:widowControl w:val="0"/>
        <w:numPr>
          <w:ilvl w:val="0"/>
          <w:numId w:val="6"/>
        </w:numPr>
        <w:suppressLineNumbers/>
        <w:spacing w:line="240" w:lineRule="auto"/>
        <w:contextualSpacing/>
        <w:jc w:val="both"/>
        <w:rPr>
          <w:rFonts w:ascii="Calibri" w:eastAsia="Calibri" w:hAnsi="Calibri" w:cs="Times New Roman"/>
          <w:noProof/>
          <w:sz w:val="20"/>
        </w:rPr>
      </w:pPr>
      <w:r>
        <w:rPr>
          <w:rFonts w:ascii="Calibri" w:eastAsia="Calibri" w:hAnsi="Calibri" w:cs="Times New Roman"/>
          <w:noProof/>
          <w:sz w:val="20"/>
        </w:rPr>
        <w:t>the extent to whi</w:t>
      </w:r>
      <w:r>
        <w:rPr>
          <w:rFonts w:ascii="Calibri" w:eastAsia="Calibri" w:hAnsi="Calibri" w:cs="Times New Roman"/>
          <w:noProof/>
          <w:sz w:val="20"/>
        </w:rPr>
        <w:t>ch risk-based methods are used to direct compliance assurance at the strategic level and in relation to specific problem-areas highlighted elsewhere in this Country Report, i.e. unsatisfactory waste management, the threats to protected habitat types and sp</w:t>
      </w:r>
      <w:r>
        <w:rPr>
          <w:rFonts w:ascii="Calibri" w:eastAsia="Calibri" w:hAnsi="Calibri" w:cs="Times New Roman"/>
          <w:noProof/>
          <w:sz w:val="20"/>
        </w:rPr>
        <w:t>ecies, in particular wild birds, air quality breaches and the pressures on groundwater resources</w:t>
      </w:r>
      <w:r>
        <w:rPr>
          <w:rFonts w:ascii="Calibri" w:eastAsia="Calibri" w:hAnsi="Calibri" w:cs="Times New Roman"/>
          <w:noProof/>
          <w:color w:val="000000"/>
          <w:sz w:val="20"/>
        </w:rPr>
        <w:t xml:space="preserve">.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For the period 2007 – 2013, Malta reported one pending and one dismissed case handled under the Environmental Liability Directive. Due to the country's small</w:t>
      </w:r>
      <w:r>
        <w:rPr>
          <w:rFonts w:ascii="Calibri" w:eastAsia="Calibri" w:hAnsi="Calibri" w:cs="Times New Roman"/>
          <w:noProof/>
          <w:sz w:val="20"/>
        </w:rPr>
        <w:t xml:space="preserve"> size, resources for the Directive's implementation are scarce. The availability of insurance to provide financial security (where an operator cannot meet the costs of remediation) is also insufficient. The focus of the Directive on prevention is viewed as</w:t>
      </w:r>
      <w:r>
        <w:rPr>
          <w:rFonts w:ascii="Calibri" w:eastAsia="Calibri" w:hAnsi="Calibri" w:cs="Times New Roman"/>
          <w:noProof/>
          <w:sz w:val="20"/>
        </w:rPr>
        <w:t xml:space="preserve"> particularly valuable by Malta. </w:t>
      </w:r>
    </w:p>
    <w:p w:rsidR="004A120F" w:rsidRDefault="000A0796">
      <w:pPr>
        <w:widowControl w:val="0"/>
        <w:suppressLineNumbers/>
        <w:spacing w:line="240" w:lineRule="auto"/>
        <w:jc w:val="both"/>
        <w:rPr>
          <w:rFonts w:ascii="Calibri" w:eastAsia="Calibri" w:hAnsi="Calibri" w:cs="Calibri"/>
          <w:noProof/>
          <w:color w:val="1F497D"/>
          <w:szCs w:val="26"/>
        </w:rPr>
      </w:pPr>
      <w:r>
        <w:rPr>
          <w:rFonts w:ascii="Calibri" w:eastAsia="Calibri" w:hAnsi="Calibri" w:cs="Calibri"/>
          <w:noProof/>
          <w:color w:val="1F497D"/>
          <w:szCs w:val="26"/>
        </w:rPr>
        <w:t>Suggested action</w:t>
      </w:r>
    </w:p>
    <w:p w:rsidR="004A120F" w:rsidRDefault="000A0796">
      <w:pPr>
        <w:pStyle w:val="SuggActions"/>
        <w:rPr>
          <w:noProof/>
          <w:szCs w:val="20"/>
        </w:rPr>
      </w:pPr>
      <w:r>
        <w:rPr>
          <w:noProof/>
        </w:rPr>
        <w:t xml:space="preserve">Improve transparency on the organisation and functioning of compliance assurance and on how </w:t>
      </w:r>
      <w:r>
        <w:rPr>
          <w:noProof/>
          <w:szCs w:val="20"/>
        </w:rPr>
        <w:t xml:space="preserve">significant risks are addressed, as outlined above. </w:t>
      </w:r>
    </w:p>
    <w:p w:rsidR="004A120F" w:rsidRDefault="000A0796">
      <w:pPr>
        <w:pStyle w:val="SuggActions"/>
        <w:rPr>
          <w:noProof/>
        </w:rPr>
      </w:pPr>
      <w:bookmarkStart w:id="61" w:name="_Toc439678163"/>
      <w:r>
        <w:rPr>
          <w:noProof/>
          <w:szCs w:val="20"/>
        </w:rPr>
        <w:t xml:space="preserve">Step up efforts in the implementation of the Environmental Liability Directive (ELD) with proactive initiatives, in particular by setting up a national register of ELD incidents and drafting national guidance, as well as </w:t>
      </w:r>
      <w:r>
        <w:rPr>
          <w:noProof/>
        </w:rPr>
        <w:t>ensuring an effective system of fin</w:t>
      </w:r>
      <w:r>
        <w:rPr>
          <w:noProof/>
        </w:rPr>
        <w:t xml:space="preserve">ancial security for environmental liabilities (so that operators not only have insurance cover available to them but actually take it up). </w:t>
      </w:r>
    </w:p>
    <w:p w:rsidR="004A120F" w:rsidRDefault="000A0796">
      <w:pPr>
        <w:widowControl w:val="0"/>
        <w:suppressLineNumbers/>
        <w:spacing w:before="240" w:line="240" w:lineRule="auto"/>
        <w:outlineLvl w:val="1"/>
        <w:rPr>
          <w:rFonts w:ascii="Calibri" w:eastAsia="Calibri" w:hAnsi="Calibri" w:cs="Times New Roman"/>
          <w:b/>
          <w:noProof/>
          <w:color w:val="1F497D"/>
          <w:sz w:val="24"/>
          <w:szCs w:val="24"/>
          <w:lang w:eastAsia="en-GB"/>
        </w:rPr>
      </w:pPr>
      <w:bookmarkStart w:id="62" w:name="_Toc469477825"/>
      <w:r>
        <w:rPr>
          <w:rFonts w:ascii="Calibri" w:eastAsia="Calibri" w:hAnsi="Calibri" w:cs="Times New Roman"/>
          <w:b/>
          <w:noProof/>
          <w:color w:val="1F497D"/>
          <w:sz w:val="24"/>
          <w:szCs w:val="24"/>
          <w:lang w:eastAsia="en-GB"/>
        </w:rPr>
        <w:t>Public participation and access to justice</w:t>
      </w:r>
      <w:bookmarkEnd w:id="61"/>
      <w:bookmarkEnd w:id="62"/>
    </w:p>
    <w:p w:rsidR="004A120F" w:rsidRDefault="000A0796">
      <w:pPr>
        <w:widowControl w:val="0"/>
        <w:shd w:val="clear" w:color="auto" w:fill="4F81BD"/>
        <w:spacing w:line="240" w:lineRule="auto"/>
        <w:jc w:val="both"/>
        <w:rPr>
          <w:rFonts w:ascii="Calibri" w:eastAsia="Calibri" w:hAnsi="Calibri" w:cs="Times New Roman"/>
          <w:noProof/>
          <w:color w:val="FFFFFF"/>
          <w:sz w:val="20"/>
        </w:rPr>
      </w:pPr>
      <w:r>
        <w:rPr>
          <w:rFonts w:ascii="Calibri" w:eastAsia="Calibri" w:hAnsi="Calibri" w:cs="Times New Roman"/>
          <w:noProof/>
          <w:color w:val="FFFFFF"/>
          <w:sz w:val="20"/>
        </w:rPr>
        <w:t>The Aarhus Convention, related EU legislation on public participation and</w:t>
      </w:r>
      <w:r>
        <w:rPr>
          <w:rFonts w:ascii="Calibri" w:eastAsia="Calibri" w:hAnsi="Calibri" w:cs="Times New Roman"/>
          <w:noProof/>
          <w:color w:val="FFFFFF"/>
          <w:sz w:val="20"/>
        </w:rPr>
        <w:t xml:space="preserve"> environmental impact assessment, and the case-law of the Court of Justice require that citizens and their associations should be able to participate in decision-making on projects and plans and should enjoy effective environmental access to justice.</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color w:val="000000"/>
          <w:sz w:val="20"/>
        </w:rPr>
        <w:t>Citiz</w:t>
      </w:r>
      <w:r>
        <w:rPr>
          <w:rFonts w:ascii="Calibri" w:eastAsia="Calibri" w:hAnsi="Calibri" w:cs="Times New Roman"/>
          <w:noProof/>
          <w:color w:val="000000"/>
          <w:sz w:val="20"/>
        </w:rPr>
        <w:t>ens can more effectively protect the environment if they can rely on the three "pillars" of the</w:t>
      </w:r>
      <w:r>
        <w:rPr>
          <w:rFonts w:ascii="Calibri" w:eastAsia="Calibri" w:hAnsi="Calibri" w:cs="Times New Roman"/>
          <w:noProof/>
          <w:sz w:val="20"/>
        </w:rPr>
        <w:t xml:space="preserve"> Convention on Access to Information, Public Participation in Decision-making and Access to Justice in Environmental Matters ("the</w:t>
      </w:r>
      <w:r>
        <w:rPr>
          <w:rFonts w:ascii="Calibri" w:eastAsia="Calibri" w:hAnsi="Calibri" w:cs="Times New Roman"/>
          <w:b/>
          <w:noProof/>
          <w:sz w:val="20"/>
        </w:rPr>
        <w:t xml:space="preserve"> </w:t>
      </w:r>
      <w:r>
        <w:rPr>
          <w:rFonts w:ascii="Calibri" w:eastAsia="Calibri" w:hAnsi="Calibri" w:cs="Times New Roman"/>
          <w:noProof/>
          <w:color w:val="000000"/>
          <w:sz w:val="20"/>
        </w:rPr>
        <w:t xml:space="preserve">Aarhus Convention"). </w:t>
      </w:r>
      <w:r>
        <w:rPr>
          <w:rFonts w:ascii="Calibri" w:eastAsia="Calibri" w:hAnsi="Calibri" w:cs="Times New Roman"/>
          <w:noProof/>
          <w:sz w:val="20"/>
        </w:rPr>
        <w:t>Public pa</w:t>
      </w:r>
      <w:r>
        <w:rPr>
          <w:rFonts w:ascii="Calibri" w:eastAsia="Calibri" w:hAnsi="Calibri" w:cs="Times New Roman"/>
          <w:noProof/>
          <w:sz w:val="20"/>
        </w:rPr>
        <w:t>rticipation in the administrative decision making process is an important element to ensure that the authority takes its decision on the best possible basis. The Commission intends to examine compliance with mandatory public participation requirements more</w:t>
      </w:r>
      <w:r>
        <w:rPr>
          <w:rFonts w:ascii="Calibri" w:eastAsia="Calibri" w:hAnsi="Calibri" w:cs="Times New Roman"/>
          <w:noProof/>
          <w:sz w:val="20"/>
        </w:rPr>
        <w:t xml:space="preserve"> systematically at a later stage.</w:t>
      </w:r>
      <w:r>
        <w:rPr>
          <w:rFonts w:ascii="Calibri" w:eastAsia="Calibri" w:hAnsi="Calibri" w:cs="Times New Roman"/>
          <w:noProof/>
          <w:sz w:val="20"/>
          <w:vertAlign w:val="superscript"/>
        </w:rPr>
        <w:footnoteReference w:id="115"/>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Access to justice in environmental matters is a set of guarantees that allows citizens and their associations to challenge acts or omissions of the public administration before a court. It is a tool for decentralised impl</w:t>
      </w:r>
      <w:r>
        <w:rPr>
          <w:rFonts w:ascii="Calibri" w:eastAsia="Calibri" w:hAnsi="Calibri" w:cs="Times New Roman"/>
          <w:noProof/>
          <w:sz w:val="20"/>
        </w:rPr>
        <w:t>ementation of EU environmental law.</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For each Member State, two crucial elements for effective access to justice have been systematically reviewed: the legal standing for the public, including NGOs and the extent to which prohibitive costs represent a barri</w:t>
      </w:r>
      <w:r>
        <w:rPr>
          <w:rFonts w:ascii="Calibri" w:eastAsia="Calibri" w:hAnsi="Calibri" w:cs="Times New Roman"/>
          <w:noProof/>
          <w:sz w:val="20"/>
        </w:rPr>
        <w:t>er.</w:t>
      </w:r>
    </w:p>
    <w:p w:rsidR="004A120F" w:rsidRDefault="000A0796">
      <w:pPr>
        <w:widowControl w:val="0"/>
        <w:suppressLineNumbers/>
        <w:spacing w:line="240" w:lineRule="auto"/>
        <w:jc w:val="both"/>
        <w:rPr>
          <w:rFonts w:ascii="Calibri" w:eastAsia="Calibri" w:hAnsi="Calibri" w:cs="Times New Roman"/>
          <w:noProof/>
          <w:color w:val="000000"/>
          <w:sz w:val="20"/>
        </w:rPr>
      </w:pPr>
      <w:r>
        <w:rPr>
          <w:rFonts w:ascii="Calibri" w:eastAsia="Calibri" w:hAnsi="Calibri" w:cs="Times New Roman"/>
          <w:noProof/>
          <w:color w:val="000000"/>
          <w:sz w:val="20"/>
        </w:rPr>
        <w:t>In general, Malta provides legal standing for the public, notably environmental NGO and individuals in environmental cases</w:t>
      </w:r>
      <w:r>
        <w:rPr>
          <w:rFonts w:ascii="Calibri" w:eastAsia="Calibri" w:hAnsi="Calibri" w:cs="Times New Roman"/>
          <w:noProof/>
          <w:color w:val="000000"/>
          <w:sz w:val="20"/>
          <w:vertAlign w:val="superscript"/>
        </w:rPr>
        <w:footnoteReference w:id="116"/>
      </w:r>
      <w:r>
        <w:rPr>
          <w:rFonts w:ascii="Calibri" w:eastAsia="Calibri" w:hAnsi="Calibri" w:cs="Times New Roman"/>
          <w:noProof/>
          <w:color w:val="000000"/>
          <w:sz w:val="20"/>
        </w:rPr>
        <w:t xml:space="preserve">. Access to justice for nature protection matters, such as challenging hunting derogations, has not yet been tested in practice. </w:t>
      </w:r>
      <w:r>
        <w:rPr>
          <w:rFonts w:ascii="Calibri" w:eastAsia="Calibri" w:hAnsi="Calibri" w:cs="Times New Roman"/>
          <w:noProof/>
          <w:color w:val="000000"/>
          <w:sz w:val="20"/>
        </w:rPr>
        <w:t>The costs for court procedures can also prevent potential litigants to take court action in environmental matters</w:t>
      </w:r>
      <w:r>
        <w:rPr>
          <w:rFonts w:ascii="Calibri" w:eastAsia="Calibri" w:hAnsi="Calibri" w:cs="Times New Roman"/>
          <w:noProof/>
          <w:color w:val="000000"/>
          <w:sz w:val="20"/>
          <w:vertAlign w:val="superscript"/>
        </w:rPr>
        <w:footnoteReference w:id="117"/>
      </w:r>
      <w:r>
        <w:rPr>
          <w:rFonts w:ascii="Calibri" w:eastAsia="Calibri" w:hAnsi="Calibri" w:cs="Times New Roman"/>
          <w:noProof/>
          <w:color w:val="000000"/>
          <w:sz w:val="20"/>
        </w:rPr>
        <w:t xml:space="preserve">. </w:t>
      </w:r>
    </w:p>
    <w:p w:rsidR="004A120F" w:rsidRDefault="000A0796">
      <w:pPr>
        <w:widowControl w:val="0"/>
        <w:suppressLineNumbers/>
        <w:spacing w:after="200" w:line="240" w:lineRule="auto"/>
        <w:jc w:val="both"/>
        <w:rPr>
          <w:rFonts w:ascii="Calibri" w:eastAsia="Calibri" w:hAnsi="Calibri" w:cs="Calibri"/>
          <w:noProof/>
          <w:color w:val="1F497D"/>
          <w:szCs w:val="26"/>
        </w:rPr>
      </w:pPr>
      <w:r>
        <w:rPr>
          <w:rFonts w:ascii="Calibri" w:eastAsia="Calibri" w:hAnsi="Calibri" w:cs="Calibri"/>
          <w:noProof/>
          <w:color w:val="1F497D"/>
          <w:szCs w:val="26"/>
        </w:rPr>
        <w:t>Suggested action</w:t>
      </w:r>
    </w:p>
    <w:p w:rsidR="004A120F" w:rsidRDefault="000A0796">
      <w:pPr>
        <w:pStyle w:val="SuggActions"/>
        <w:rPr>
          <w:noProof/>
        </w:rPr>
      </w:pPr>
      <w:bookmarkStart w:id="63" w:name="_Toc439678165"/>
      <w:r>
        <w:rPr>
          <w:noProof/>
        </w:rPr>
        <w:t>Take the necessary measures to ensure that the costs of legal challenges involving EU environmental law are not prohibitiv</w:t>
      </w:r>
      <w:r>
        <w:rPr>
          <w:noProof/>
        </w:rPr>
        <w:t>ely expensive, and in line with the requirements of EU law as well as the Aarhus Convention.</w:t>
      </w:r>
    </w:p>
    <w:p w:rsidR="004A120F" w:rsidRDefault="000A0796">
      <w:pPr>
        <w:widowControl w:val="0"/>
        <w:suppressLineNumbers/>
        <w:spacing w:before="240" w:line="240" w:lineRule="auto"/>
        <w:outlineLvl w:val="1"/>
        <w:rPr>
          <w:rFonts w:ascii="Times New Roman" w:eastAsia="Calibri" w:hAnsi="Times New Roman" w:cs="Times New Roman"/>
          <w:b/>
          <w:noProof/>
          <w:color w:val="1F497D"/>
          <w:sz w:val="24"/>
          <w:szCs w:val="24"/>
          <w:lang w:eastAsia="en-GB"/>
        </w:rPr>
      </w:pPr>
      <w:bookmarkStart w:id="64" w:name="_Toc469477826"/>
      <w:r>
        <w:rPr>
          <w:rFonts w:ascii="Calibri" w:eastAsia="Calibri" w:hAnsi="Calibri" w:cs="Times New Roman"/>
          <w:b/>
          <w:noProof/>
          <w:color w:val="1F497D"/>
          <w:sz w:val="24"/>
          <w:szCs w:val="24"/>
          <w:lang w:eastAsia="en-GB"/>
        </w:rPr>
        <w:t>Access to Information, knowledge and evidence</w:t>
      </w:r>
      <w:bookmarkEnd w:id="63"/>
      <w:bookmarkEnd w:id="64"/>
    </w:p>
    <w:p w:rsidR="004A120F" w:rsidRDefault="000A0796">
      <w:pPr>
        <w:widowControl w:val="0"/>
        <w:shd w:val="clear" w:color="auto" w:fill="4F81BD"/>
        <w:spacing w:line="240" w:lineRule="auto"/>
        <w:jc w:val="both"/>
        <w:rPr>
          <w:rFonts w:ascii="Calibri" w:eastAsia="Calibri" w:hAnsi="Calibri" w:cs="Times New Roman"/>
          <w:noProof/>
          <w:color w:val="FFFFFF"/>
          <w:sz w:val="20"/>
        </w:rPr>
      </w:pPr>
      <w:r>
        <w:rPr>
          <w:rFonts w:ascii="Calibri" w:eastAsia="Calibri" w:hAnsi="Calibri" w:cs="Times New Roman"/>
          <w:noProof/>
          <w:color w:val="FFFFFF"/>
          <w:sz w:val="20"/>
        </w:rPr>
        <w:t>The Aarhus Convention and related EU legislation on access to information and the sharing of spatial data require tha</w:t>
      </w:r>
      <w:r>
        <w:rPr>
          <w:rFonts w:ascii="Calibri" w:eastAsia="Calibri" w:hAnsi="Calibri" w:cs="Times New Roman"/>
          <w:noProof/>
          <w:color w:val="FFFFFF"/>
          <w:sz w:val="20"/>
        </w:rPr>
        <w:t>t the public has access to clear information on the environment, including on how Union environmental law is being implemented.</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It is of crucial importance to public authorities, the public and business that environmental information is shared in an effici</w:t>
      </w:r>
      <w:r>
        <w:rPr>
          <w:rFonts w:ascii="Calibri" w:eastAsia="Calibri" w:hAnsi="Calibri" w:cs="Times New Roman"/>
          <w:noProof/>
          <w:sz w:val="20"/>
        </w:rPr>
        <w:t>ent and effective way. This covers reporting by businesses and public authorities and active dissemination to the public, increasingly through electronic means.</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The Aarhus Convention</w:t>
      </w:r>
      <w:r>
        <w:rPr>
          <w:rFonts w:ascii="Calibri" w:eastAsia="Calibri" w:hAnsi="Calibri" w:cs="Times New Roman"/>
          <w:noProof/>
          <w:sz w:val="20"/>
          <w:vertAlign w:val="superscript"/>
        </w:rPr>
        <w:footnoteReference w:id="118"/>
      </w:r>
      <w:r>
        <w:rPr>
          <w:rFonts w:ascii="Calibri" w:eastAsia="Calibri" w:hAnsi="Calibri" w:cs="Times New Roman"/>
          <w:noProof/>
          <w:sz w:val="20"/>
        </w:rPr>
        <w:t>, the Access to Environmental Information Directive</w:t>
      </w:r>
      <w:r>
        <w:rPr>
          <w:rFonts w:ascii="Calibri" w:eastAsia="Calibri" w:hAnsi="Calibri" w:cs="Times New Roman"/>
          <w:noProof/>
          <w:sz w:val="20"/>
          <w:vertAlign w:val="superscript"/>
        </w:rPr>
        <w:footnoteReference w:id="119"/>
      </w:r>
      <w:r>
        <w:rPr>
          <w:rFonts w:ascii="Calibri" w:eastAsia="Calibri" w:hAnsi="Calibri" w:cs="Times New Roman"/>
          <w:noProof/>
          <w:sz w:val="20"/>
        </w:rPr>
        <w:t xml:space="preserve"> and the INSPIRE Directive</w:t>
      </w:r>
      <w:r>
        <w:rPr>
          <w:rFonts w:ascii="Calibri" w:eastAsia="Calibri" w:hAnsi="Calibri" w:cs="Times New Roman"/>
          <w:noProof/>
          <w:sz w:val="20"/>
          <w:vertAlign w:val="superscript"/>
        </w:rPr>
        <w:footnoteReference w:id="120"/>
      </w:r>
      <w:r>
        <w:rPr>
          <w:rFonts w:ascii="Calibri" w:eastAsia="Calibri" w:hAnsi="Calibri" w:cs="Times New Roman"/>
          <w:noProof/>
          <w:sz w:val="20"/>
        </w:rPr>
        <w:t xml:space="preserve"> together create a legal foundation for the sharing of environmental information between public authorities and with the public. They also represent the green part of the ongoing EU e-Government Action Plan</w:t>
      </w:r>
      <w:r>
        <w:rPr>
          <w:rFonts w:ascii="Calibri" w:eastAsia="Calibri" w:hAnsi="Calibri" w:cs="Times New Roman"/>
          <w:noProof/>
          <w:sz w:val="20"/>
          <w:vertAlign w:val="superscript"/>
        </w:rPr>
        <w:footnoteReference w:id="121"/>
      </w:r>
      <w:r>
        <w:rPr>
          <w:rFonts w:ascii="Calibri" w:eastAsia="Calibri" w:hAnsi="Calibri" w:cs="Times New Roman"/>
          <w:noProof/>
          <w:sz w:val="20"/>
        </w:rPr>
        <w:t>. The first two instru</w:t>
      </w:r>
      <w:r>
        <w:rPr>
          <w:rFonts w:ascii="Calibri" w:eastAsia="Calibri" w:hAnsi="Calibri" w:cs="Times New Roman"/>
          <w:noProof/>
          <w:sz w:val="20"/>
        </w:rPr>
        <w:t>ments create obligations to provide information to the public, both on request and actively. The INSPIRE Directive is a pioneering instrument for electronic data-sharing between public authorities who can vary in their data-sharing policies, e.g. on whethe</w:t>
      </w:r>
      <w:r>
        <w:rPr>
          <w:rFonts w:ascii="Calibri" w:eastAsia="Calibri" w:hAnsi="Calibri" w:cs="Times New Roman"/>
          <w:noProof/>
          <w:sz w:val="20"/>
        </w:rPr>
        <w:t>r access to data is for free. The INSPIRE Directive sets up a geoportal which indicates the level of shared spatial data in each Member State – i.e. data related to specific locations, such as air quality monitoring data. Amongst other benefits it facilita</w:t>
      </w:r>
      <w:r>
        <w:rPr>
          <w:rFonts w:ascii="Calibri" w:eastAsia="Calibri" w:hAnsi="Calibri" w:cs="Times New Roman"/>
          <w:noProof/>
          <w:sz w:val="20"/>
        </w:rPr>
        <w:t xml:space="preserve">tes the public authorities' reporting obligations.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 xml:space="preserve">For each Member State, the accessibility of environmental data (based on what the INSPIRE Directive envisages) as well as data-sharing policies ('open data') have been systematically reviewed. </w:t>
      </w:r>
    </w:p>
    <w:p w:rsidR="004A120F" w:rsidRDefault="000A0796">
      <w:pPr>
        <w:widowControl w:val="0"/>
        <w:suppressLineNumbers/>
        <w:spacing w:line="240" w:lineRule="auto"/>
        <w:jc w:val="both"/>
        <w:rPr>
          <w:rFonts w:ascii="Calibri" w:eastAsia="Calibri" w:hAnsi="Calibri" w:cs="Times New Roman"/>
          <w:noProof/>
          <w:sz w:val="20"/>
        </w:rPr>
      </w:pPr>
      <w:r>
        <w:rPr>
          <w:rFonts w:ascii="Calibri" w:eastAsia="Calibri" w:hAnsi="Calibri" w:cs="Times New Roman"/>
          <w:noProof/>
          <w:sz w:val="20"/>
        </w:rPr>
        <w:t>Malta's pe</w:t>
      </w:r>
      <w:r>
        <w:rPr>
          <w:rFonts w:ascii="Calibri" w:eastAsia="Calibri" w:hAnsi="Calibri" w:cs="Times New Roman"/>
          <w:noProof/>
          <w:sz w:val="20"/>
        </w:rPr>
        <w:t>rformance on the implementation of the INSPIRE Directive as enabling framework to actively disseminate environmental information to the public is lagging behind.</w:t>
      </w:r>
      <w:r>
        <w:rPr>
          <w:rFonts w:ascii="Calibri" w:eastAsia="Calibri" w:hAnsi="Calibri" w:cs="Times New Roman"/>
          <w:noProof/>
          <w:sz w:val="20"/>
          <w:vertAlign w:val="superscript"/>
        </w:rPr>
        <w:footnoteReference w:id="122"/>
      </w:r>
      <w:r>
        <w:rPr>
          <w:rFonts w:ascii="Calibri" w:eastAsia="Calibri" w:hAnsi="Calibri" w:cs="Times New Roman"/>
          <w:noProof/>
          <w:sz w:val="20"/>
        </w:rPr>
        <w:t xml:space="preserve"> Malta has indicated in the 3-yearly INSPIRE implementation report</w:t>
      </w:r>
      <w:r>
        <w:rPr>
          <w:rFonts w:ascii="Calibri" w:eastAsia="Calibri" w:hAnsi="Calibri" w:cs="Times New Roman"/>
          <w:noProof/>
          <w:sz w:val="20"/>
          <w:vertAlign w:val="superscript"/>
        </w:rPr>
        <w:footnoteReference w:id="123"/>
      </w:r>
      <w:r>
        <w:rPr>
          <w:rFonts w:ascii="Calibri" w:eastAsia="Calibri" w:hAnsi="Calibri" w:cs="Times New Roman"/>
          <w:noProof/>
          <w:sz w:val="20"/>
        </w:rPr>
        <w:t xml:space="preserve"> that the necessary data-sh</w:t>
      </w:r>
      <w:r>
        <w:rPr>
          <w:rFonts w:ascii="Calibri" w:eastAsia="Calibri" w:hAnsi="Calibri" w:cs="Times New Roman"/>
          <w:noProof/>
          <w:sz w:val="20"/>
        </w:rPr>
        <w:t>aring policies allowing access and use of spatial data by national administrations, other Member States' administrations and EU institutions without procedural obstacles are available and implemented. In general spatial data is made available to public adm</w:t>
      </w:r>
      <w:r>
        <w:rPr>
          <w:rFonts w:ascii="Calibri" w:eastAsia="Calibri" w:hAnsi="Calibri" w:cs="Times New Roman"/>
          <w:noProof/>
          <w:sz w:val="20"/>
        </w:rPr>
        <w:t xml:space="preserve">inistrations and the public at no cost. However there are some exceptions where a fee is charged, such as for the Malta base map. Malta has no common license model; data–sharing is promoted and coordinated through national data-sharing guidelines.  </w:t>
      </w:r>
    </w:p>
    <w:p w:rsidR="004A120F" w:rsidRDefault="000A0796">
      <w:pPr>
        <w:widowControl w:val="0"/>
        <w:suppressLineNumbers/>
        <w:spacing w:line="240" w:lineRule="auto"/>
        <w:jc w:val="both"/>
        <w:rPr>
          <w:rFonts w:ascii="Calibri" w:eastAsia="Calibri" w:hAnsi="Calibri" w:cs="Times New Roman"/>
          <w:noProof/>
          <w:sz w:val="20"/>
          <w:szCs w:val="20"/>
        </w:rPr>
      </w:pPr>
      <w:r>
        <w:rPr>
          <w:rFonts w:ascii="Calibri" w:eastAsia="Calibri" w:hAnsi="Calibri" w:cs="Times New Roman"/>
          <w:noProof/>
          <w:sz w:val="20"/>
        </w:rPr>
        <w:t>Assess</w:t>
      </w:r>
      <w:r>
        <w:rPr>
          <w:rFonts w:ascii="Calibri" w:eastAsia="Calibri" w:hAnsi="Calibri" w:cs="Times New Roman"/>
          <w:noProof/>
          <w:sz w:val="20"/>
        </w:rPr>
        <w:t>ments of monitoring reports</w:t>
      </w:r>
      <w:r>
        <w:rPr>
          <w:rFonts w:ascii="Calibri" w:eastAsia="Calibri" w:hAnsi="Calibri" w:cs="Times New Roman"/>
          <w:noProof/>
          <w:sz w:val="20"/>
          <w:vertAlign w:val="superscript"/>
        </w:rPr>
        <w:footnoteReference w:id="124"/>
      </w:r>
      <w:r>
        <w:rPr>
          <w:rFonts w:ascii="Calibri" w:eastAsia="Calibri" w:hAnsi="Calibri" w:cs="Times New Roman"/>
          <w:noProof/>
          <w:sz w:val="20"/>
        </w:rPr>
        <w:t xml:space="preserve"> issued by Malta and the spatial information that Malta has published on the INSPIRE geoportal</w:t>
      </w:r>
      <w:r>
        <w:rPr>
          <w:rFonts w:ascii="Calibri" w:eastAsia="Calibri" w:hAnsi="Calibri" w:cs="Times New Roman"/>
          <w:noProof/>
          <w:sz w:val="20"/>
          <w:vertAlign w:val="superscript"/>
        </w:rPr>
        <w:footnoteReference w:id="125"/>
      </w:r>
      <w:r>
        <w:rPr>
          <w:rFonts w:ascii="Calibri" w:eastAsia="Calibri" w:hAnsi="Calibri" w:cs="Times New Roman"/>
          <w:noProof/>
          <w:sz w:val="20"/>
        </w:rPr>
        <w:t xml:space="preserve"> indicate that not all spatial information needed for the evaluation and implementation of EU environmental law has been made availab</w:t>
      </w:r>
      <w:r>
        <w:rPr>
          <w:rFonts w:ascii="Calibri" w:eastAsia="Calibri" w:hAnsi="Calibri" w:cs="Times New Roman"/>
          <w:noProof/>
          <w:sz w:val="20"/>
        </w:rPr>
        <w:t>le or is accessible. The larger part of this missing spatial information consists of the environmental data</w:t>
      </w:r>
      <w:r>
        <w:rPr>
          <w:rFonts w:ascii="Calibri" w:eastAsia="Calibri" w:hAnsi="Calibri" w:cs="Times New Roman"/>
          <w:noProof/>
          <w:color w:val="FF0000"/>
          <w:sz w:val="20"/>
        </w:rPr>
        <w:t xml:space="preserve"> </w:t>
      </w:r>
      <w:r>
        <w:rPr>
          <w:rFonts w:ascii="Calibri" w:eastAsia="Calibri" w:hAnsi="Calibri" w:cs="Times New Roman"/>
          <w:noProof/>
          <w:sz w:val="20"/>
        </w:rPr>
        <w:t>required to be made available under the existing reporting and monitoring regulations of EU environmental law.</w:t>
      </w:r>
    </w:p>
    <w:p w:rsidR="004A120F" w:rsidRDefault="000A0796">
      <w:pPr>
        <w:widowControl w:val="0"/>
        <w:suppressLineNumbers/>
        <w:spacing w:line="240" w:lineRule="auto"/>
        <w:jc w:val="both"/>
        <w:rPr>
          <w:rFonts w:ascii="Calibri" w:eastAsia="Calibri" w:hAnsi="Calibri" w:cs="Calibri"/>
          <w:noProof/>
          <w:color w:val="1F497D"/>
          <w:szCs w:val="26"/>
        </w:rPr>
      </w:pPr>
      <w:r>
        <w:rPr>
          <w:rFonts w:ascii="Calibri" w:eastAsia="Calibri" w:hAnsi="Calibri" w:cs="Calibri"/>
          <w:noProof/>
          <w:color w:val="1F497D"/>
          <w:szCs w:val="26"/>
        </w:rPr>
        <w:t>Suggested action</w:t>
      </w:r>
    </w:p>
    <w:p w:rsidR="004A120F" w:rsidRDefault="000A0796">
      <w:pPr>
        <w:pStyle w:val="SuggActions"/>
        <w:rPr>
          <w:noProof/>
        </w:rPr>
      </w:pPr>
      <w:r>
        <w:rPr>
          <w:noProof/>
        </w:rPr>
        <w:t>Critically review th</w:t>
      </w:r>
      <w:r>
        <w:rPr>
          <w:noProof/>
        </w:rPr>
        <w:t xml:space="preserve">e effectiveness of Malta's data policies and amend them, taking good practices into consideration. </w:t>
      </w:r>
    </w:p>
    <w:p w:rsidR="004A120F" w:rsidRDefault="000A0796">
      <w:pPr>
        <w:pStyle w:val="SuggActions"/>
        <w:rPr>
          <w:noProof/>
        </w:rPr>
      </w:pPr>
      <w:r>
        <w:rPr>
          <w:noProof/>
        </w:rPr>
        <w:t>Identify and document all spatial data sets required for the implementation of environmental law, and make the data and documentation at least accessible 'a</w:t>
      </w:r>
      <w:r>
        <w:rPr>
          <w:noProof/>
        </w:rPr>
        <w:t>s is' to other public authorities and the public through the digital services foreseen in the INSPIRE Directive.</w:t>
      </w:r>
    </w:p>
    <w:p w:rsidR="004A120F" w:rsidRDefault="004A120F">
      <w:pPr>
        <w:widowControl w:val="0"/>
        <w:suppressLineNumbers/>
        <w:spacing w:line="240" w:lineRule="auto"/>
        <w:jc w:val="both"/>
        <w:rPr>
          <w:rFonts w:ascii="Calibri" w:eastAsia="Calibri" w:hAnsi="Calibri" w:cs="Times New Roman"/>
          <w:noProof/>
          <w:sz w:val="20"/>
        </w:rPr>
      </w:pPr>
    </w:p>
    <w:p w:rsidR="004A120F" w:rsidRDefault="004A120F">
      <w:pPr>
        <w:spacing w:line="240" w:lineRule="auto"/>
        <w:jc w:val="both"/>
        <w:rPr>
          <w:rFonts w:ascii="Segoe UI" w:eastAsia="Calibri" w:hAnsi="Segoe UI" w:cs="Segoe UI"/>
          <w:noProof/>
          <w:color w:val="606060"/>
          <w:sz w:val="20"/>
          <w:szCs w:val="20"/>
        </w:rPr>
      </w:pPr>
    </w:p>
    <w:p w:rsidR="004A120F" w:rsidRDefault="004A120F">
      <w:pPr>
        <w:spacing w:line="240" w:lineRule="auto"/>
        <w:jc w:val="both"/>
        <w:rPr>
          <w:rFonts w:ascii="Segoe UI" w:eastAsia="Calibri" w:hAnsi="Segoe UI" w:cs="Segoe UI"/>
          <w:noProof/>
          <w:color w:val="606060"/>
          <w:sz w:val="20"/>
          <w:szCs w:val="20"/>
        </w:rPr>
      </w:pPr>
    </w:p>
    <w:p w:rsidR="004A120F" w:rsidRDefault="004A120F">
      <w:pPr>
        <w:spacing w:line="240" w:lineRule="auto"/>
        <w:jc w:val="both"/>
        <w:rPr>
          <w:rFonts w:ascii="Segoe UI" w:eastAsia="Calibri" w:hAnsi="Segoe UI" w:cs="Segoe UI"/>
          <w:noProof/>
          <w:color w:val="606060"/>
          <w:sz w:val="20"/>
          <w:szCs w:val="20"/>
        </w:rPr>
      </w:pPr>
    </w:p>
    <w:p w:rsidR="004A120F" w:rsidRDefault="004A120F">
      <w:pPr>
        <w:widowControl w:val="0"/>
        <w:suppressLineNumbers/>
        <w:spacing w:line="240" w:lineRule="auto"/>
        <w:jc w:val="both"/>
        <w:rPr>
          <w:rFonts w:ascii="Calibri" w:eastAsia="Calibri" w:hAnsi="Calibri" w:cs="Times New Roman"/>
          <w:noProof/>
          <w:sz w:val="20"/>
        </w:rPr>
      </w:pPr>
    </w:p>
    <w:p w:rsidR="004A120F" w:rsidRDefault="004A120F">
      <w:pPr>
        <w:widowControl w:val="0"/>
        <w:suppressLineNumbers/>
        <w:spacing w:line="240" w:lineRule="auto"/>
        <w:jc w:val="both"/>
        <w:rPr>
          <w:rFonts w:ascii="Calibri" w:eastAsia="Calibri" w:hAnsi="Calibri" w:cs="Times New Roman"/>
          <w:noProof/>
          <w:sz w:val="20"/>
        </w:rPr>
      </w:pPr>
    </w:p>
    <w:p w:rsidR="004A120F" w:rsidRDefault="004A120F">
      <w:pPr>
        <w:widowControl w:val="0"/>
        <w:suppressLineNumbers/>
        <w:spacing w:after="0" w:line="240" w:lineRule="auto"/>
        <w:jc w:val="both"/>
        <w:outlineLvl w:val="0"/>
        <w:rPr>
          <w:rFonts w:ascii="Calibri" w:eastAsia="Times New Roman" w:hAnsi="Calibri" w:cs="Times New Roman"/>
          <w:b/>
          <w:bCs/>
          <w:noProof/>
          <w:color w:val="1F497D"/>
          <w:sz w:val="32"/>
          <w:szCs w:val="28"/>
        </w:rPr>
      </w:pPr>
    </w:p>
    <w:p w:rsidR="004A120F" w:rsidRDefault="004A120F">
      <w:pPr>
        <w:widowControl w:val="0"/>
        <w:suppressLineNumbers/>
        <w:spacing w:line="240" w:lineRule="auto"/>
        <w:jc w:val="center"/>
        <w:rPr>
          <w:noProof/>
          <w:sz w:val="20"/>
        </w:rPr>
      </w:pPr>
    </w:p>
    <w:sectPr w:rsidR="004A120F">
      <w:headerReference w:type="even" r:id="rId126"/>
      <w:headerReference w:type="default" r:id="rId127"/>
      <w:footerReference w:type="even" r:id="rId128"/>
      <w:footerReference w:type="default" r:id="rId129"/>
      <w:headerReference w:type="first" r:id="rId130"/>
      <w:footerReference w:type="first" r:id="rId131"/>
      <w:type w:val="continuous"/>
      <w:pgSz w:w="11906" w:h="16838" w:code="9"/>
      <w:pgMar w:top="1440" w:right="1080" w:bottom="1440" w:left="1080" w:header="709" w:footer="709" w:gutter="0"/>
      <w:cols w:num="2" w:space="35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20F" w:rsidRDefault="000A0796">
      <w:pPr>
        <w:spacing w:after="0" w:line="240" w:lineRule="auto"/>
      </w:pPr>
      <w:r>
        <w:separator/>
      </w:r>
    </w:p>
  </w:endnote>
  <w:endnote w:type="continuationSeparator" w:id="0">
    <w:p w:rsidR="004A120F" w:rsidRDefault="000A0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izQuadrata-Bol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796" w:rsidRPr="000A0796" w:rsidRDefault="000A0796" w:rsidP="000A079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0A0796">
    <w:pPr>
      <w:pStyle w:val="Footer"/>
      <w:jc w:val="center"/>
    </w:pPr>
    <w:r>
      <w:t>Environmental Implementation Report 2016 – Malta</w:t>
    </w:r>
  </w:p>
  <w:p w:rsidR="004A120F" w:rsidRDefault="004A120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p w:rsidR="004A120F" w:rsidRDefault="000A0796">
    <w:pPr>
      <w:pStyle w:val="Footer"/>
      <w:jc w:val="center"/>
    </w:pPr>
    <w:r>
      <w:t>Environmental Implementation Report – Malta</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0A0796">
    <w:pPr>
      <w:pStyle w:val="Footer"/>
      <w:jc w:val="center"/>
    </w:pPr>
    <w:r>
      <w:t>Environmental Implementation Report 2016 – Malta</w:t>
    </w:r>
  </w:p>
  <w:p w:rsidR="004A120F" w:rsidRDefault="004A120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p w:rsidR="004A120F" w:rsidRDefault="004A120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0A0796">
    <w:pPr>
      <w:pStyle w:val="Footer"/>
      <w:jc w:val="center"/>
    </w:pPr>
    <w:r>
      <w:t>Environmental Implementation Report – Malta</w:t>
    </w:r>
  </w:p>
  <w:p w:rsidR="004A120F" w:rsidRDefault="004A120F">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p w:rsidR="004A120F" w:rsidRDefault="004A120F">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796" w:rsidRPr="000A0796" w:rsidRDefault="000A0796" w:rsidP="000A0796">
    <w:pPr>
      <w:pStyle w:val="FooterCoverPage"/>
      <w:rPr>
        <w:rFonts w:ascii="Arial" w:hAnsi="Arial" w:cs="Arial"/>
        <w:b/>
        <w:sz w:val="48"/>
      </w:rPr>
    </w:pPr>
    <w:r w:rsidRPr="000A0796">
      <w:rPr>
        <w:rFonts w:ascii="Arial" w:hAnsi="Arial" w:cs="Arial"/>
        <w:b/>
        <w:sz w:val="48"/>
      </w:rPr>
      <w:t>EN</w:t>
    </w:r>
    <w:r w:rsidRPr="000A0796">
      <w:rPr>
        <w:rFonts w:ascii="Arial" w:hAnsi="Arial" w:cs="Arial"/>
        <w:b/>
        <w:sz w:val="48"/>
      </w:rPr>
      <w:tab/>
    </w:r>
    <w:r w:rsidRPr="000A0796">
      <w:rPr>
        <w:rFonts w:ascii="Arial" w:hAnsi="Arial" w:cs="Arial"/>
        <w:b/>
        <w:sz w:val="48"/>
      </w:rPr>
      <w:tab/>
    </w:r>
    <w:fldSimple w:instr=" DOCVARIABLE &quot;LW_Confidence&quot; \* MERGEFORMAT ">
      <w:r>
        <w:t xml:space="preserve"> </w:t>
      </w:r>
    </w:fldSimple>
    <w:r w:rsidRPr="000A0796">
      <w:tab/>
    </w:r>
    <w:proofErr w:type="spellStart"/>
    <w:r w:rsidRPr="000A0796">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0A0796">
    <w:pPr>
      <w:pStyle w:val="Footer"/>
      <w:jc w:val="center"/>
    </w:pPr>
    <w:r>
      <w:t>Environmental Implementation Report – Malta</w:t>
    </w:r>
  </w:p>
  <w:p w:rsidR="004A120F" w:rsidRDefault="004A120F">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p w:rsidR="004A120F" w:rsidRDefault="004A120F">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0A0796">
    <w:pPr>
      <w:pStyle w:val="Footer"/>
      <w:jc w:val="center"/>
    </w:pPr>
    <w:r>
      <w:t>Environmental Implementation Report – Malta</w:t>
    </w:r>
  </w:p>
  <w:p w:rsidR="004A120F" w:rsidRDefault="004A120F">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p w:rsidR="004A120F" w:rsidRDefault="004A120F">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0A0796">
    <w:pPr>
      <w:pStyle w:val="Footer"/>
      <w:jc w:val="center"/>
    </w:pPr>
    <w:r>
      <w:t>Environmental Implementation Report – Malta</w:t>
    </w:r>
  </w:p>
  <w:p w:rsidR="004A120F" w:rsidRDefault="004A120F">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p w:rsidR="004A120F" w:rsidRDefault="004A120F">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0A0796">
    <w:pPr>
      <w:pStyle w:val="Footer"/>
      <w:jc w:val="center"/>
    </w:pPr>
    <w:r>
      <w:t>Environmental Implementation Report – Malta</w:t>
    </w:r>
  </w:p>
  <w:p w:rsidR="004A120F" w:rsidRDefault="004A12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796" w:rsidRPr="000A0796" w:rsidRDefault="000A0796" w:rsidP="000A0796">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p w:rsidR="004A120F" w:rsidRDefault="004A120F">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0A0796">
    <w:pPr>
      <w:pStyle w:val="Footer"/>
      <w:jc w:val="center"/>
    </w:pPr>
    <w:r>
      <w:t>Environmental Implementation Report – Malta</w:t>
    </w:r>
  </w:p>
  <w:p w:rsidR="004A120F" w:rsidRDefault="004A120F">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p w:rsidR="004A120F" w:rsidRDefault="004A120F">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0A0796">
    <w:pPr>
      <w:pStyle w:val="Footer"/>
      <w:jc w:val="center"/>
    </w:pPr>
    <w:r>
      <w:t>Environmental Implementation Report – Malta</w:t>
    </w:r>
  </w:p>
  <w:p w:rsidR="004A120F" w:rsidRDefault="004A120F">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p w:rsidR="004A120F" w:rsidRDefault="004A120F">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0A0796">
    <w:pPr>
      <w:pStyle w:val="Footer"/>
      <w:jc w:val="center"/>
    </w:pPr>
    <w:r>
      <w:t>Environmental Implementation Report 2016 – Malta</w:t>
    </w:r>
  </w:p>
  <w:p w:rsidR="004A120F" w:rsidRDefault="004A120F">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p w:rsidR="004A120F" w:rsidRDefault="004A120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0A0796">
    <w:pPr>
      <w:pStyle w:val="Footer"/>
      <w:jc w:val="center"/>
    </w:pPr>
    <w:r>
      <w:t>Environmental Implementation Report – Malta</w:t>
    </w:r>
  </w:p>
  <w:p w:rsidR="004A120F" w:rsidRDefault="004A120F">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p w:rsidR="004A120F" w:rsidRDefault="004A120F">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0A0796">
    <w:pPr>
      <w:pStyle w:val="Footer"/>
      <w:jc w:val="center"/>
    </w:pPr>
    <w:r>
      <w:t>Environmental Implementation Report – Malta</w:t>
    </w:r>
  </w:p>
  <w:p w:rsidR="004A120F" w:rsidRDefault="004A120F">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p w:rsidR="004A120F" w:rsidRDefault="004A120F">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0A0796">
    <w:pPr>
      <w:pStyle w:val="Footer"/>
      <w:jc w:val="center"/>
    </w:pPr>
    <w:r>
      <w:t>Environmental Implementation Report 2016 – Malta</w:t>
    </w:r>
  </w:p>
  <w:p w:rsidR="004A120F" w:rsidRDefault="004A120F">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p w:rsidR="004A120F" w:rsidRDefault="004A120F">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0A0796">
    <w:pPr>
      <w:pStyle w:val="Footer"/>
      <w:jc w:val="center"/>
    </w:pPr>
    <w:r>
      <w:t>Environmental Implementation Report – Malta</w:t>
    </w:r>
  </w:p>
  <w:p w:rsidR="004A120F" w:rsidRDefault="004A120F">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0A0796">
    <w:pPr>
      <w:pStyle w:val="Footer"/>
      <w:jc w:val="center"/>
    </w:pPr>
    <w:r>
      <w:t>Environmental Implementation Report – Malta</w:t>
    </w:r>
  </w:p>
  <w:p w:rsidR="004A120F" w:rsidRDefault="004A120F">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p w:rsidR="004A120F" w:rsidRDefault="004A120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p w:rsidR="004A120F" w:rsidRDefault="004A120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0A0796">
    <w:pPr>
      <w:pStyle w:val="Footer"/>
      <w:jc w:val="center"/>
    </w:pPr>
    <w:r>
      <w:t>Environmental Implementation Report 2016 – Malta</w:t>
    </w:r>
  </w:p>
  <w:p w:rsidR="004A120F" w:rsidRDefault="004A120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Footer"/>
    </w:pPr>
  </w:p>
  <w:p w:rsidR="004A120F" w:rsidRDefault="004A12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20F" w:rsidRDefault="000A0796">
      <w:pPr>
        <w:spacing w:after="0" w:line="240" w:lineRule="auto"/>
      </w:pPr>
      <w:r>
        <w:separator/>
      </w:r>
    </w:p>
  </w:footnote>
  <w:footnote w:type="continuationSeparator" w:id="0">
    <w:p w:rsidR="004A120F" w:rsidRDefault="000A0796">
      <w:pPr>
        <w:spacing w:after="0" w:line="240" w:lineRule="auto"/>
      </w:pPr>
      <w:r>
        <w:continuationSeparator/>
      </w:r>
    </w:p>
  </w:footnote>
  <w:footnote w:id="1">
    <w:p w:rsidR="004A120F" w:rsidRDefault="000A0796">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Communication "Delivering the benefits of EU environmental policies through a regular Environmental Implementation Review" (</w:t>
      </w:r>
      <w:hyperlink r:id="rId1" w:history="1">
        <w:r>
          <w:rPr>
            <w:rStyle w:val="Hyperlink"/>
            <w:rFonts w:asciiTheme="minorHAnsi" w:hAnsiTheme="minorHAnsi"/>
            <w:sz w:val="16"/>
            <w:szCs w:val="16"/>
          </w:rPr>
          <w:t>COM/2016/ 316 final</w:t>
        </w:r>
      </w:hyperlink>
      <w:r>
        <w:rPr>
          <w:rFonts w:asciiTheme="minorHAnsi" w:hAnsiTheme="minorHAnsi"/>
          <w:sz w:val="16"/>
          <w:szCs w:val="16"/>
        </w:rPr>
        <w:t>).</w:t>
      </w:r>
      <w:proofErr w:type="gramEnd"/>
    </w:p>
  </w:footnote>
  <w:footnote w:id="2">
    <w:p w:rsidR="004A120F" w:rsidRDefault="000A0796">
      <w:pPr>
        <w:pStyle w:val="FootnoteText"/>
        <w:keepLines/>
        <w:widowControl w:val="0"/>
        <w:ind w:left="170" w:hanging="170"/>
        <w:mirrorIndents/>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Decision No. 1386/2013/EU of 20 November 2013 on a General Union Environmental Action Programme to 2020 "</w:t>
      </w:r>
      <w:hyperlink r:id="rId2" w:history="1">
        <w:r>
          <w:rPr>
            <w:rStyle w:val="Hyperlink"/>
            <w:rFonts w:asciiTheme="minorHAnsi" w:hAnsiTheme="minorHAnsi"/>
            <w:sz w:val="16"/>
            <w:szCs w:val="16"/>
          </w:rPr>
          <w:t>Living well, within the limits of our planet</w:t>
        </w:r>
      </w:hyperlink>
      <w:r>
        <w:rPr>
          <w:rFonts w:asciiTheme="minorHAnsi" w:hAnsiTheme="minorHAnsi"/>
          <w:sz w:val="16"/>
          <w:szCs w:val="16"/>
        </w:rPr>
        <w:t>".</w:t>
      </w:r>
      <w:proofErr w:type="gramEnd"/>
    </w:p>
  </w:footnote>
  <w:footnote w:id="3">
    <w:p w:rsidR="004A120F" w:rsidRDefault="000A0796">
      <w:pPr>
        <w:pStyle w:val="FootnoteText"/>
        <w:keepLines/>
        <w:widowControl w:val="0"/>
        <w:tabs>
          <w:tab w:val="left" w:pos="142"/>
        </w:tabs>
        <w:ind w:left="170" w:hanging="170"/>
        <w:mirrorIndents/>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United Nations, 2015.</w:t>
      </w:r>
      <w:proofErr w:type="gramEnd"/>
      <w:r>
        <w:rPr>
          <w:rFonts w:asciiTheme="minorHAnsi" w:hAnsiTheme="minorHAnsi"/>
          <w:sz w:val="16"/>
          <w:szCs w:val="16"/>
        </w:rPr>
        <w:t xml:space="preserve"> </w:t>
      </w:r>
      <w:hyperlink r:id="rId3" w:history="1">
        <w:r>
          <w:rPr>
            <w:rStyle w:val="Hyperlink"/>
            <w:rFonts w:asciiTheme="minorHAnsi" w:hAnsiTheme="minorHAnsi"/>
            <w:sz w:val="16"/>
            <w:szCs w:val="16"/>
          </w:rPr>
          <w:t>The Sustainable Development Goals</w:t>
        </w:r>
      </w:hyperlink>
      <w:r>
        <w:rPr>
          <w:rFonts w:asciiTheme="minorHAnsi" w:hAnsiTheme="minorHAnsi"/>
          <w:sz w:val="16"/>
          <w:szCs w:val="16"/>
          <w:vertAlign w:val="superscript"/>
        </w:rPr>
        <w:t xml:space="preserve"> </w:t>
      </w:r>
    </w:p>
  </w:footnote>
  <w:footnote w:id="4">
    <w:p w:rsidR="004A120F" w:rsidRDefault="000A0796">
      <w:pPr>
        <w:pStyle w:val="FootnoteText"/>
        <w:keepLines/>
        <w:widowControl w:val="0"/>
        <w:ind w:left="170" w:hanging="170"/>
        <w:mirrorIndents/>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This EIR report does not cover climate change, chemicals and energy.</w:t>
      </w:r>
    </w:p>
  </w:footnote>
  <w:footnote w:id="5">
    <w:p w:rsidR="004A120F" w:rsidRDefault="000A0796">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4" w:history="1">
        <w:r>
          <w:rPr>
            <w:rStyle w:val="Hyperlink"/>
            <w:rFonts w:asciiTheme="minorHAnsi" w:hAnsiTheme="minorHAnsi"/>
            <w:sz w:val="16"/>
            <w:szCs w:val="16"/>
          </w:rPr>
          <w:t>Proposed Circular Economy Package</w:t>
        </w:r>
      </w:hyperlink>
      <w:r>
        <w:rPr>
          <w:rFonts w:asciiTheme="minorHAnsi" w:hAnsiTheme="minorHAnsi"/>
          <w:sz w:val="16"/>
          <w:szCs w:val="16"/>
        </w:rPr>
        <w:t xml:space="preserve"> </w:t>
      </w:r>
    </w:p>
  </w:footnote>
  <w:footnote w:id="6">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spellStart"/>
      <w:proofErr w:type="gramStart"/>
      <w:r>
        <w:rPr>
          <w:rFonts w:asciiTheme="minorHAnsi" w:hAnsiTheme="minorHAnsi"/>
          <w:sz w:val="16"/>
          <w:szCs w:val="16"/>
        </w:rPr>
        <w:t>Lauri</w:t>
      </w:r>
      <w:proofErr w:type="spellEnd"/>
      <w:r>
        <w:rPr>
          <w:rFonts w:asciiTheme="minorHAnsi" w:hAnsiTheme="minorHAnsi"/>
          <w:sz w:val="16"/>
          <w:szCs w:val="16"/>
        </w:rPr>
        <w:t xml:space="preserve">, S., </w:t>
      </w:r>
      <w:proofErr w:type="spellStart"/>
      <w:r>
        <w:rPr>
          <w:rFonts w:asciiTheme="minorHAnsi" w:hAnsiTheme="minorHAnsi"/>
          <w:sz w:val="16"/>
          <w:szCs w:val="16"/>
        </w:rPr>
        <w:t>Caan</w:t>
      </w:r>
      <w:proofErr w:type="spellEnd"/>
      <w:r>
        <w:rPr>
          <w:rFonts w:asciiTheme="minorHAnsi" w:hAnsiTheme="minorHAnsi"/>
          <w:sz w:val="16"/>
          <w:szCs w:val="16"/>
        </w:rPr>
        <w:t xml:space="preserve">, T.F., </w:t>
      </w:r>
      <w:proofErr w:type="spellStart"/>
      <w:r>
        <w:rPr>
          <w:rFonts w:asciiTheme="minorHAnsi" w:hAnsiTheme="minorHAnsi"/>
          <w:sz w:val="16"/>
          <w:szCs w:val="16"/>
        </w:rPr>
        <w:t>Azzopardi</w:t>
      </w:r>
      <w:proofErr w:type="spellEnd"/>
      <w:r>
        <w:rPr>
          <w:rFonts w:asciiTheme="minorHAnsi" w:hAnsiTheme="minorHAnsi"/>
          <w:sz w:val="16"/>
          <w:szCs w:val="16"/>
        </w:rPr>
        <w:t xml:space="preserve">, J.P. and </w:t>
      </w:r>
      <w:proofErr w:type="spellStart"/>
      <w:r>
        <w:rPr>
          <w:rFonts w:asciiTheme="minorHAnsi" w:hAnsiTheme="minorHAnsi"/>
          <w:sz w:val="16"/>
          <w:szCs w:val="16"/>
        </w:rPr>
        <w:t>Bezzina</w:t>
      </w:r>
      <w:proofErr w:type="spellEnd"/>
      <w:r>
        <w:rPr>
          <w:rFonts w:asciiTheme="minorHAnsi" w:hAnsiTheme="minorHAnsi"/>
          <w:sz w:val="16"/>
          <w:szCs w:val="16"/>
        </w:rPr>
        <w:t>, A., 2015.</w:t>
      </w:r>
      <w:proofErr w:type="gramEnd"/>
      <w:r>
        <w:rPr>
          <w:rFonts w:asciiTheme="minorHAnsi" w:hAnsiTheme="minorHAnsi"/>
          <w:sz w:val="16"/>
          <w:szCs w:val="16"/>
        </w:rPr>
        <w:t xml:space="preserve"> </w:t>
      </w:r>
      <w:hyperlink r:id="rId5" w:history="1">
        <w:r>
          <w:rPr>
            <w:rStyle w:val="Hyperlink"/>
            <w:rFonts w:asciiTheme="minorHAnsi" w:hAnsiTheme="minorHAnsi"/>
            <w:sz w:val="16"/>
            <w:szCs w:val="16"/>
          </w:rPr>
          <w:t>Energy Efficiency</w:t>
        </w:r>
        <w:r>
          <w:rPr>
            <w:rStyle w:val="Hyperlink"/>
            <w:rFonts w:asciiTheme="minorHAnsi" w:hAnsiTheme="minorHAnsi"/>
            <w:sz w:val="16"/>
            <w:szCs w:val="16"/>
          </w:rPr>
          <w:t xml:space="preserve"> Trends and Policies in Malta</w:t>
        </w:r>
      </w:hyperlink>
      <w:r>
        <w:rPr>
          <w:rFonts w:asciiTheme="minorHAnsi" w:hAnsiTheme="minorHAnsi"/>
          <w:sz w:val="16"/>
          <w:szCs w:val="16"/>
        </w:rPr>
        <w:t xml:space="preserve">, ODYSSEE-MURE </w:t>
      </w:r>
    </w:p>
  </w:footnote>
  <w:footnote w:id="7">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Idem</w:t>
      </w:r>
    </w:p>
  </w:footnote>
  <w:footnote w:id="8">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Ministry for Finance, 2016.</w:t>
      </w:r>
      <w:proofErr w:type="gramEnd"/>
      <w:r>
        <w:rPr>
          <w:rFonts w:asciiTheme="minorHAnsi" w:hAnsiTheme="minorHAnsi"/>
          <w:sz w:val="16"/>
          <w:szCs w:val="16"/>
        </w:rPr>
        <w:t xml:space="preserve"> </w:t>
      </w:r>
      <w:hyperlink r:id="rId6" w:history="1">
        <w:r>
          <w:rPr>
            <w:rStyle w:val="Hyperlink"/>
            <w:rFonts w:asciiTheme="minorHAnsi" w:hAnsiTheme="minorHAnsi"/>
            <w:sz w:val="16"/>
            <w:szCs w:val="16"/>
          </w:rPr>
          <w:t>National Reform Programme Malta 2016</w:t>
        </w:r>
      </w:hyperlink>
      <w:r>
        <w:rPr>
          <w:rFonts w:asciiTheme="minorHAnsi" w:hAnsiTheme="minorHAnsi"/>
          <w:sz w:val="16"/>
          <w:szCs w:val="16"/>
        </w:rPr>
        <w:t xml:space="preserve"> </w:t>
      </w:r>
    </w:p>
  </w:footnote>
  <w:footnote w:id="9">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Resource productivity is defined as the ratio between </w:t>
      </w:r>
      <w:r>
        <w:rPr>
          <w:rFonts w:asciiTheme="minorHAnsi" w:hAnsiTheme="minorHAnsi"/>
          <w:sz w:val="16"/>
          <w:szCs w:val="16"/>
        </w:rPr>
        <w:t xml:space="preserve">gross domestic product (GDP) and domestic material consumption (DMC). </w:t>
      </w:r>
    </w:p>
  </w:footnote>
  <w:footnote w:id="10">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7" w:history="1">
        <w:r>
          <w:rPr>
            <w:rStyle w:val="Hyperlink"/>
            <w:rFonts w:asciiTheme="minorHAnsi" w:hAnsiTheme="minorHAnsi" w:cstheme="minorHAnsi"/>
            <w:sz w:val="16"/>
            <w:szCs w:val="16"/>
          </w:rPr>
          <w:t>Resource productivity</w:t>
        </w:r>
      </w:hyperlink>
      <w:r>
        <w:rPr>
          <w:rFonts w:asciiTheme="minorHAnsi" w:hAnsiTheme="minorHAnsi" w:cstheme="minorHAnsi"/>
          <w:sz w:val="16"/>
          <w:szCs w:val="16"/>
        </w:rPr>
        <w:t>,</w:t>
      </w:r>
      <w:r>
        <w:rPr>
          <w:rStyle w:val="Hyperlink"/>
          <w:rFonts w:asciiTheme="minorHAnsi" w:hAnsiTheme="minorHAnsi" w:cstheme="minorHAnsi"/>
          <w:sz w:val="16"/>
          <w:szCs w:val="16"/>
        </w:rPr>
        <w:t xml:space="preserve"> </w:t>
      </w:r>
      <w:r>
        <w:rPr>
          <w:rStyle w:val="Hyperlink"/>
          <w:rFonts w:asciiTheme="minorHAnsi" w:hAnsiTheme="minorHAnsi" w:cstheme="minorHAnsi"/>
          <w:color w:val="auto"/>
          <w:sz w:val="16"/>
          <w:szCs w:val="16"/>
          <w:u w:val="none"/>
        </w:rPr>
        <w:t>accessed October 2016</w:t>
      </w:r>
    </w:p>
  </w:footnote>
  <w:footnote w:id="11">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hyperlink r:id="rId8" w:history="1">
        <w:r>
          <w:rPr>
            <w:rStyle w:val="Hyperlink"/>
            <w:rFonts w:asciiTheme="minorHAnsi" w:hAnsiTheme="minorHAnsi"/>
            <w:sz w:val="16"/>
            <w:szCs w:val="16"/>
          </w:rPr>
          <w:t xml:space="preserve"> MARSOL</w:t>
        </w:r>
      </w:hyperlink>
    </w:p>
  </w:footnote>
  <w:footnote w:id="12">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RPA, 2015.</w:t>
      </w:r>
      <w:proofErr w:type="gramEnd"/>
      <w:r>
        <w:rPr>
          <w:rFonts w:asciiTheme="minorHAnsi" w:hAnsiTheme="minorHAnsi"/>
          <w:sz w:val="16"/>
          <w:szCs w:val="16"/>
        </w:rPr>
        <w:t xml:space="preserve"> </w:t>
      </w:r>
      <w:hyperlink r:id="rId9" w:history="1">
        <w:r>
          <w:rPr>
            <w:rStyle w:val="Hyperlink"/>
            <w:rFonts w:asciiTheme="minorHAnsi" w:hAnsiTheme="minorHAnsi"/>
            <w:bCs/>
            <w:sz w:val="16"/>
            <w:szCs w:val="16"/>
          </w:rPr>
          <w:t>Assessing the Potential Cost Savings and Resource S</w:t>
        </w:r>
        <w:r>
          <w:rPr>
            <w:rStyle w:val="Hyperlink"/>
            <w:rFonts w:asciiTheme="minorHAnsi" w:hAnsiTheme="minorHAnsi"/>
            <w:bCs/>
            <w:sz w:val="16"/>
            <w:szCs w:val="16"/>
          </w:rPr>
          <w:t>avings of Investments in 4 SME sectors</w:t>
        </w:r>
      </w:hyperlink>
      <w:r>
        <w:rPr>
          <w:rFonts w:asciiTheme="minorHAnsi" w:hAnsiTheme="minorHAnsi"/>
          <w:bCs/>
          <w:sz w:val="16"/>
          <w:szCs w:val="16"/>
        </w:rPr>
        <w:t>, study for European Commission</w:t>
      </w:r>
    </w:p>
  </w:footnote>
  <w:footnote w:id="13">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10" w:history="1">
        <w:r>
          <w:rPr>
            <w:rStyle w:val="Hyperlink"/>
            <w:rFonts w:asciiTheme="minorHAnsi" w:hAnsiTheme="minorHAnsi"/>
            <w:sz w:val="16"/>
            <w:szCs w:val="16"/>
          </w:rPr>
          <w:t>Eco-innovation Observatory</w:t>
        </w:r>
      </w:hyperlink>
      <w:r>
        <w:rPr>
          <w:rFonts w:asciiTheme="minorHAnsi" w:hAnsiTheme="minorHAnsi"/>
          <w:sz w:val="16"/>
          <w:szCs w:val="16"/>
        </w:rPr>
        <w:t>: Eco-Innovation scoreboard 2015</w:t>
      </w:r>
    </w:p>
  </w:footnote>
  <w:footnote w:id="14">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Waste Management Plans/Waste Prevention Programmes</w:t>
      </w:r>
    </w:p>
  </w:footnote>
  <w:footnote w:id="15">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w:t>
      </w:r>
      <w:r>
        <w:rPr>
          <w:rFonts w:asciiTheme="minorHAnsi" w:hAnsiTheme="minorHAnsi"/>
          <w:sz w:val="16"/>
          <w:szCs w:val="16"/>
        </w:rPr>
        <w:t xml:space="preserve">unicipal waste consists of waste collected by or on behalf of municipal authorities, or directly by the private sector (business or private non-profit institutions) not on behalf of municipalities. </w:t>
      </w:r>
    </w:p>
  </w:footnote>
  <w:footnote w:id="16">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Style w:val="FootnoteReference"/>
          <w:rFonts w:asciiTheme="minorHAnsi" w:hAnsiTheme="minorHAnsi"/>
          <w:sz w:val="16"/>
          <w:szCs w:val="16"/>
        </w:rPr>
        <w:t xml:space="preserve"> </w:t>
      </w:r>
      <w:r>
        <w:rPr>
          <w:rFonts w:asciiTheme="minorHAnsi" w:hAnsiTheme="minorHAnsi"/>
          <w:sz w:val="16"/>
          <w:szCs w:val="16"/>
        </w:rPr>
        <w:t>Waste generation per capita in Malta is inflated by the</w:t>
      </w:r>
      <w:r>
        <w:rPr>
          <w:rFonts w:asciiTheme="minorHAnsi" w:hAnsiTheme="minorHAnsi"/>
          <w:sz w:val="16"/>
          <w:szCs w:val="16"/>
        </w:rPr>
        <w:t xml:space="preserve"> tourism sector: some 1.6 million tourists visit Malta every year.</w:t>
      </w:r>
    </w:p>
  </w:footnote>
  <w:footnote w:id="17">
    <w:p w:rsidR="004A120F" w:rsidRDefault="000A0796">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11" w:history="1">
        <w:r>
          <w:rPr>
            <w:rStyle w:val="Hyperlink"/>
            <w:rFonts w:asciiTheme="minorHAnsi" w:hAnsiTheme="minorHAnsi"/>
            <w:sz w:val="16"/>
            <w:szCs w:val="16"/>
          </w:rPr>
          <w:t>Municipal waste and treatment, by type of treatment method,</w:t>
        </w:r>
      </w:hyperlink>
      <w:r>
        <w:rPr>
          <w:rFonts w:asciiTheme="minorHAnsi" w:hAnsiTheme="minorHAnsi"/>
          <w:sz w:val="16"/>
          <w:szCs w:val="16"/>
        </w:rPr>
        <w:t xml:space="preserve"> access</w:t>
      </w:r>
      <w:r>
        <w:rPr>
          <w:rFonts w:asciiTheme="minorHAnsi" w:hAnsiTheme="minorHAnsi"/>
          <w:sz w:val="16"/>
          <w:szCs w:val="16"/>
        </w:rPr>
        <w:t>ed October 2016</w:t>
      </w:r>
    </w:p>
  </w:footnote>
  <w:footnote w:id="18">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Member States may choose a different method than the one used by ESTAT (and referred to in this report) to calculate their recycling rates and track compliance with the 2020 target of 50% recycling of municipal waste.</w:t>
      </w:r>
    </w:p>
  </w:footnote>
  <w:footnote w:id="19">
    <w:p w:rsidR="004A120F" w:rsidRDefault="000A0796">
      <w:pPr>
        <w:widowControl w:val="0"/>
        <w:autoSpaceDE w:val="0"/>
        <w:autoSpaceDN w:val="0"/>
        <w:adjustRightInd w:val="0"/>
        <w:spacing w:after="0" w:line="240" w:lineRule="auto"/>
        <w:ind w:left="170" w:hanging="170"/>
        <w:rPr>
          <w:bCs/>
          <w:sz w:val="16"/>
          <w:szCs w:val="16"/>
        </w:rPr>
      </w:pPr>
      <w:r>
        <w:rPr>
          <w:rStyle w:val="FootnoteReference"/>
          <w:sz w:val="16"/>
          <w:szCs w:val="16"/>
        </w:rPr>
        <w:footnoteRef/>
      </w:r>
      <w:r>
        <w:rPr>
          <w:sz w:val="16"/>
          <w:szCs w:val="16"/>
        </w:rPr>
        <w:t xml:space="preserve"> Eurostat, </w:t>
      </w:r>
      <w:hyperlink r:id="rId12" w:history="1">
        <w:r>
          <w:rPr>
            <w:rStyle w:val="Hyperlink"/>
            <w:sz w:val="16"/>
            <w:szCs w:val="16"/>
          </w:rPr>
          <w:t>Municipal waste and treatment, by type of treatment method,</w:t>
        </w:r>
      </w:hyperlink>
      <w:r>
        <w:rPr>
          <w:sz w:val="16"/>
          <w:szCs w:val="16"/>
        </w:rPr>
        <w:t xml:space="preserve"> accessed October 2016</w:t>
      </w:r>
    </w:p>
  </w:footnote>
  <w:footnote w:id="20">
    <w:p w:rsidR="004A120F" w:rsidRDefault="000A0796">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13" w:history="1">
        <w:r>
          <w:rPr>
            <w:rStyle w:val="Hyperlink"/>
            <w:rFonts w:asciiTheme="minorHAnsi" w:hAnsiTheme="minorHAnsi"/>
            <w:sz w:val="16"/>
            <w:szCs w:val="16"/>
          </w:rPr>
          <w:t>Recycling rate of municipal waste</w:t>
        </w:r>
      </w:hyperlink>
      <w:r>
        <w:rPr>
          <w:rFonts w:asciiTheme="minorHAnsi" w:hAnsiTheme="minorHAnsi"/>
          <w:sz w:val="16"/>
          <w:szCs w:val="16"/>
        </w:rPr>
        <w:t xml:space="preserve">, accessed </w:t>
      </w:r>
      <w:r>
        <w:rPr>
          <w:rStyle w:val="Hyperlink"/>
          <w:rFonts w:asciiTheme="minorHAnsi" w:hAnsiTheme="minorHAnsi" w:cstheme="minorHAnsi"/>
          <w:color w:val="auto"/>
          <w:sz w:val="16"/>
          <w:szCs w:val="16"/>
          <w:u w:val="none"/>
        </w:rPr>
        <w:t>October 2016</w:t>
      </w:r>
    </w:p>
  </w:footnote>
  <w:footnote w:id="21">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Bio Intelligence service, 2011. </w:t>
      </w:r>
      <w:hyperlink r:id="rId14" w:history="1">
        <w:r>
          <w:rPr>
            <w:rStyle w:val="Hyperlink"/>
            <w:rFonts w:asciiTheme="minorHAnsi" w:hAnsiTheme="minorHAnsi"/>
            <w:sz w:val="16"/>
            <w:szCs w:val="16"/>
          </w:rPr>
          <w:t>Implementing EU Waste legislation for Green Growth</w:t>
        </w:r>
      </w:hyperlink>
      <w:r>
        <w:rPr>
          <w:rFonts w:asciiTheme="minorHAnsi" w:hAnsiTheme="minorHAnsi"/>
          <w:sz w:val="16"/>
          <w:szCs w:val="16"/>
        </w:rPr>
        <w:t xml:space="preserve">, study for European Commission. The breakdown per country on job creation was made by the consultant on Commission demand but was not included in the published </w:t>
      </w:r>
      <w:r>
        <w:rPr>
          <w:rFonts w:asciiTheme="minorHAnsi" w:hAnsiTheme="minorHAnsi"/>
          <w:sz w:val="16"/>
          <w:szCs w:val="16"/>
        </w:rPr>
        <w:t>document.</w:t>
      </w:r>
      <w:r>
        <w:rPr>
          <w:rStyle w:val="Hyperlink"/>
          <w:rFonts w:asciiTheme="minorHAnsi" w:hAnsiTheme="minorHAnsi"/>
          <w:color w:val="auto"/>
          <w:sz w:val="16"/>
          <w:szCs w:val="16"/>
        </w:rPr>
        <w:t xml:space="preserve">  </w:t>
      </w:r>
    </w:p>
  </w:footnote>
  <w:footnote w:id="22">
    <w:p w:rsidR="004A120F" w:rsidRDefault="000A0796">
      <w:pPr>
        <w:widowControl w:val="0"/>
        <w:autoSpaceDE w:val="0"/>
        <w:autoSpaceDN w:val="0"/>
        <w:adjustRightInd w:val="0"/>
        <w:spacing w:after="0" w:line="240" w:lineRule="auto"/>
        <w:ind w:left="170" w:hanging="170"/>
        <w:rPr>
          <w:sz w:val="16"/>
          <w:szCs w:val="16"/>
        </w:rPr>
      </w:pPr>
      <w:r>
        <w:rPr>
          <w:rStyle w:val="FootnoteReference"/>
          <w:sz w:val="16"/>
          <w:szCs w:val="16"/>
        </w:rPr>
        <w:footnoteRef/>
      </w:r>
      <w:r>
        <w:rPr>
          <w:sz w:val="16"/>
          <w:szCs w:val="16"/>
        </w:rPr>
        <w:t xml:space="preserve"> </w:t>
      </w:r>
      <w:proofErr w:type="gramStart"/>
      <w:r>
        <w:rPr>
          <w:sz w:val="16"/>
          <w:szCs w:val="16"/>
        </w:rPr>
        <w:t>European Commission, 2013.</w:t>
      </w:r>
      <w:proofErr w:type="gramEnd"/>
      <w:r>
        <w:rPr>
          <w:sz w:val="16"/>
          <w:szCs w:val="16"/>
        </w:rPr>
        <w:t xml:space="preserve"> </w:t>
      </w:r>
      <w:hyperlink r:id="rId15" w:history="1">
        <w:r>
          <w:rPr>
            <w:rStyle w:val="Hyperlink"/>
            <w:sz w:val="16"/>
            <w:szCs w:val="16"/>
          </w:rPr>
          <w:t>Support to Implementation</w:t>
        </w:r>
        <w:r>
          <w:rPr>
            <w:rStyle w:val="Hyperlink"/>
            <w:b/>
            <w:sz w:val="16"/>
            <w:szCs w:val="16"/>
          </w:rPr>
          <w:t xml:space="preserve"> – </w:t>
        </w:r>
        <w:r>
          <w:rPr>
            <w:rStyle w:val="Hyperlink"/>
            <w:sz w:val="16"/>
            <w:szCs w:val="16"/>
          </w:rPr>
          <w:t>Municipal Waste</w:t>
        </w:r>
      </w:hyperlink>
      <w:r>
        <w:rPr>
          <w:sz w:val="16"/>
          <w:szCs w:val="16"/>
        </w:rPr>
        <w:t xml:space="preserve">. Country fiche </w:t>
      </w:r>
      <w:hyperlink r:id="rId16" w:tgtFrame="_blank" w:history="1">
        <w:r>
          <w:rPr>
            <w:rStyle w:val="Hyperlink"/>
            <w:sz w:val="16"/>
            <w:szCs w:val="16"/>
          </w:rPr>
          <w:t>Malta</w:t>
        </w:r>
      </w:hyperlink>
      <w:r>
        <w:rPr>
          <w:sz w:val="16"/>
          <w:szCs w:val="16"/>
        </w:rPr>
        <w:t xml:space="preserve"> </w:t>
      </w:r>
    </w:p>
    <w:p w:rsidR="004A120F" w:rsidRDefault="004A120F">
      <w:pPr>
        <w:pStyle w:val="FootnoteText"/>
        <w:widowControl w:val="0"/>
        <w:ind w:left="170" w:hanging="170"/>
        <w:rPr>
          <w:rFonts w:asciiTheme="minorHAnsi" w:hAnsiTheme="minorHAnsi"/>
          <w:sz w:val="16"/>
          <w:szCs w:val="16"/>
        </w:rPr>
      </w:pPr>
    </w:p>
  </w:footnote>
  <w:footnote w:id="23">
    <w:p w:rsidR="004A120F" w:rsidRDefault="000A0796">
      <w:pPr>
        <w:pStyle w:val="FootnoteText"/>
        <w:widowControl w:val="0"/>
        <w:ind w:left="170" w:hanging="170"/>
        <w:outlineLvl w:val="4"/>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rPr>
        <w:t xml:space="preserve"> Sites of Community Importance (SCIs) are designated pursuant to the Habitats Directive whereas Special Areas of Protection (SPAs) are designated pursuant to the Birds Directive; figures of coverage do not add up due to the fact that some SCIs and SPAs ove</w:t>
      </w:r>
      <w:r>
        <w:rPr>
          <w:rFonts w:asciiTheme="minorHAnsi" w:hAnsiTheme="minorHAnsi"/>
          <w:sz w:val="16"/>
          <w:szCs w:val="16"/>
        </w:rPr>
        <w:t xml:space="preserve">rlap. Special Areas of Conservation (SACs) </w:t>
      </w:r>
      <w:r>
        <w:rPr>
          <w:rFonts w:asciiTheme="minorHAnsi" w:hAnsiTheme="minorHAnsi"/>
          <w:sz w:val="16"/>
          <w:szCs w:val="16"/>
          <w:lang w:val="en"/>
        </w:rPr>
        <w:t>means a SCI designated by the Member States.</w:t>
      </w:r>
    </w:p>
  </w:footnote>
  <w:footnote w:id="24">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each Member State, the Commission assesses whether the species and habitat types on Annexes I and II of the Habitats Directive, are sufficiently represented by th</w:t>
      </w:r>
      <w:r>
        <w:rPr>
          <w:rFonts w:asciiTheme="minorHAnsi" w:hAnsiTheme="minorHAnsi"/>
          <w:sz w:val="16"/>
          <w:szCs w:val="16"/>
        </w:rPr>
        <w:t xml:space="preserve">e sites designated to date. This is expressed as a percentage of species and habitats for which further areas need to be designated in order to complete the network in that country. A scientific reserve is given when further research is needed to identify </w:t>
      </w:r>
      <w:r>
        <w:rPr>
          <w:rFonts w:asciiTheme="minorHAnsi" w:hAnsiTheme="minorHAnsi"/>
          <w:sz w:val="16"/>
          <w:szCs w:val="16"/>
        </w:rPr>
        <w:t xml:space="preserve">the most appropriate sites to be added for a species or habitat. </w:t>
      </w:r>
      <w:hyperlink r:id="rId17" w:history="1">
        <w:r>
          <w:rPr>
            <w:rStyle w:val="Hyperlink"/>
            <w:rFonts w:asciiTheme="minorHAnsi" w:hAnsiTheme="minorHAnsi"/>
            <w:sz w:val="16"/>
            <w:szCs w:val="16"/>
          </w:rPr>
          <w:t>The current data</w:t>
        </w:r>
      </w:hyperlink>
      <w:r>
        <w:rPr>
          <w:rFonts w:asciiTheme="minorHAnsi" w:hAnsiTheme="minorHAnsi"/>
          <w:sz w:val="16"/>
          <w:szCs w:val="16"/>
        </w:rPr>
        <w:t>, which were assessed in 2014-2015, reflect the situation up until December 201</w:t>
      </w:r>
      <w:r>
        <w:rPr>
          <w:rFonts w:asciiTheme="minorHAnsi" w:hAnsiTheme="minorHAnsi"/>
          <w:sz w:val="16"/>
          <w:szCs w:val="16"/>
        </w:rPr>
        <w:t>3.</w:t>
      </w:r>
    </w:p>
  </w:footnote>
  <w:footnote w:id="25">
    <w:p w:rsidR="004A120F" w:rsidRDefault="000A0796">
      <w:pPr>
        <w:pStyle w:val="FootnoteText"/>
        <w:ind w:left="170" w:hanging="170"/>
        <w:rPr>
          <w:rFonts w:asciiTheme="minorHAnsi" w:hAnsiTheme="minorHAnsi"/>
          <w:sz w:val="16"/>
          <w:szCs w:val="16"/>
          <w:lang w:val="en-US"/>
        </w:rPr>
      </w:pPr>
      <w:r>
        <w:rPr>
          <w:rStyle w:val="FootnoteReference"/>
          <w:rFonts w:asciiTheme="minorHAnsi" w:hAnsiTheme="minorHAnsi"/>
          <w:sz w:val="16"/>
          <w:szCs w:val="16"/>
        </w:rPr>
        <w:footnoteRef/>
      </w:r>
      <w:r>
        <w:rPr>
          <w:rFonts w:asciiTheme="minorHAnsi" w:hAnsiTheme="minorHAnsi"/>
          <w:sz w:val="16"/>
          <w:szCs w:val="16"/>
        </w:rPr>
        <w:t xml:space="preserve"> Malta has sent new data suggesting an improved situation, but they could not yet be included in this figure for consistency reasons.</w:t>
      </w:r>
    </w:p>
  </w:footnote>
  <w:footnote w:id="26">
    <w:p w:rsidR="004A120F" w:rsidRDefault="000A0796">
      <w:pPr>
        <w:pStyle w:val="FootnoteText"/>
        <w:ind w:left="170" w:hanging="170"/>
      </w:pPr>
      <w:r>
        <w:rPr>
          <w:rStyle w:val="FootnoteReference"/>
        </w:rPr>
        <w:footnoteRef/>
      </w:r>
      <w:r>
        <w:t xml:space="preserve"> </w:t>
      </w:r>
      <w:r>
        <w:rPr>
          <w:sz w:val="16"/>
          <w:szCs w:val="16"/>
        </w:rPr>
        <w:t>The percentages in Figure 5 refer to percentages of the total number of assessments (one assessment covering 1 speci</w:t>
      </w:r>
      <w:r>
        <w:rPr>
          <w:sz w:val="16"/>
          <w:szCs w:val="16"/>
        </w:rPr>
        <w:t>es or 1 habitat in a given biographical region with the Member State); if a habitat type or a species occurs in more than 1 Biogeographic region within a given Member State, there will be as many individual assessments as there are Biogeographic regions wi</w:t>
      </w:r>
      <w:r>
        <w:rPr>
          <w:sz w:val="16"/>
          <w:szCs w:val="16"/>
        </w:rPr>
        <w:t>th an occurrence of that species or habitat in this Member State.</w:t>
      </w:r>
    </w:p>
  </w:footnote>
  <w:footnote w:id="27">
    <w:p w:rsidR="004A120F" w:rsidRDefault="000A0796">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According to the Maltese authorities, work is ongoing and the designation process should be finalised in 2016.</w:t>
      </w:r>
    </w:p>
  </w:footnote>
  <w:footnote w:id="28">
    <w:p w:rsidR="004A120F" w:rsidRDefault="000A0796">
      <w:pPr>
        <w:widowControl w:val="0"/>
        <w:spacing w:after="0" w:line="240" w:lineRule="auto"/>
        <w:ind w:left="170" w:hanging="170"/>
        <w:rPr>
          <w:sz w:val="16"/>
          <w:szCs w:val="16"/>
        </w:rPr>
      </w:pPr>
      <w:r>
        <w:rPr>
          <w:rStyle w:val="FootnoteReference"/>
          <w:sz w:val="16"/>
          <w:szCs w:val="16"/>
        </w:rPr>
        <w:footnoteRef/>
      </w:r>
      <w:r>
        <w:rPr>
          <w:sz w:val="16"/>
          <w:szCs w:val="16"/>
        </w:rPr>
        <w:t xml:space="preserve"> The core of the ‘Article 17’ report is the assessment of conservation statu</w:t>
      </w:r>
      <w:r>
        <w:rPr>
          <w:sz w:val="16"/>
          <w:szCs w:val="16"/>
        </w:rPr>
        <w:t>s of the habitats and species targeted by the Habitats Directive.</w:t>
      </w:r>
    </w:p>
  </w:footnote>
  <w:footnote w:id="29">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Conservation status is assessed using a standard methodology as being either ‘favourable’, ‘unfavourable-inadequate’ and ‘unfavourable-bad’, based on four parameters as defined in Article </w:t>
      </w:r>
      <w:r>
        <w:rPr>
          <w:rFonts w:asciiTheme="minorHAnsi" w:hAnsiTheme="minorHAnsi"/>
          <w:sz w:val="16"/>
          <w:szCs w:val="16"/>
        </w:rPr>
        <w:t>1 of the Habitats Directive.</w:t>
      </w:r>
    </w:p>
  </w:footnote>
  <w:footnote w:id="30">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Please note that a direct comparison between 2007 and 2013 data is complicated by the fact that Bulgaria and Romania were not covered by the 2007 reporting cycle, that the ‘unknown’ assessments have strongly diminished partic</w:t>
      </w:r>
      <w:r>
        <w:rPr>
          <w:rFonts w:asciiTheme="minorHAnsi" w:hAnsiTheme="minorHAnsi"/>
          <w:sz w:val="16"/>
          <w:szCs w:val="16"/>
        </w:rPr>
        <w:t>ularly for species, and that some reported changes are not genuine as they result from improved data / monitoring methods.</w:t>
      </w:r>
    </w:p>
  </w:footnote>
  <w:footnote w:id="31">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internal assessment.</w:t>
      </w:r>
      <w:proofErr w:type="gramEnd"/>
      <w:r>
        <w:rPr>
          <w:rFonts w:asciiTheme="minorHAnsi" w:hAnsiTheme="minorHAnsi"/>
          <w:sz w:val="16"/>
          <w:szCs w:val="16"/>
        </w:rPr>
        <w:t xml:space="preserve"> It should be noted, however, that Figure 5 does not yet incorporate the designation of the</w:t>
      </w:r>
      <w:r>
        <w:rPr>
          <w:rFonts w:asciiTheme="minorHAnsi" w:hAnsiTheme="minorHAnsi"/>
          <w:sz w:val="16"/>
          <w:szCs w:val="16"/>
        </w:rPr>
        <w:t xml:space="preserve"> latest three marine Sites of Community Importance. This revision would bring the relevant sufficiency of the Malta marine SCI network up to 75%, according to the Maltese authorities.</w:t>
      </w:r>
    </w:p>
  </w:footnote>
  <w:footnote w:id="32">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For example the decisions to open spring hunting seasons or trapping o</w:t>
      </w:r>
      <w:r>
        <w:rPr>
          <w:rFonts w:asciiTheme="minorHAnsi" w:hAnsiTheme="minorHAnsi"/>
          <w:sz w:val="16"/>
          <w:szCs w:val="16"/>
        </w:rPr>
        <w:t>f finch species.</w:t>
      </w:r>
      <w:proofErr w:type="gramEnd"/>
      <w:r>
        <w:rPr>
          <w:rFonts w:asciiTheme="minorHAnsi" w:hAnsiTheme="minorHAnsi"/>
          <w:sz w:val="16"/>
          <w:szCs w:val="16"/>
        </w:rPr>
        <w:t xml:space="preserve">  </w:t>
      </w:r>
    </w:p>
  </w:footnote>
  <w:footnote w:id="33">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iCs/>
          <w:sz w:val="16"/>
          <w:szCs w:val="16"/>
        </w:rPr>
        <w:t xml:space="preserve">These figures show the percentage of </w:t>
      </w:r>
      <w:proofErr w:type="spellStart"/>
      <w:r>
        <w:rPr>
          <w:rFonts w:asciiTheme="minorHAnsi" w:hAnsiTheme="minorHAnsi" w:cstheme="minorHAnsi"/>
          <w:iCs/>
          <w:sz w:val="16"/>
          <w:szCs w:val="16"/>
        </w:rPr>
        <w:t>biogeographical</w:t>
      </w:r>
      <w:proofErr w:type="spellEnd"/>
      <w:r>
        <w:rPr>
          <w:rFonts w:asciiTheme="minorHAnsi" w:hAnsiTheme="minorHAnsi" w:cstheme="minorHAnsi"/>
          <w:iCs/>
          <w:sz w:val="16"/>
          <w:szCs w:val="16"/>
        </w:rPr>
        <w:t xml:space="preserve"> assessments in each category of conservation status for habitats and species </w:t>
      </w:r>
      <w:r>
        <w:rPr>
          <w:sz w:val="16"/>
          <w:szCs w:val="16"/>
        </w:rPr>
        <w:t>(one assessment covering 1 species or 1 habitat in a given biographical region with the Member State)</w:t>
      </w:r>
      <w:r>
        <w:rPr>
          <w:rFonts w:asciiTheme="minorHAnsi" w:hAnsiTheme="minorHAnsi" w:cstheme="minorHAnsi"/>
          <w:iCs/>
          <w:sz w:val="16"/>
          <w:szCs w:val="16"/>
        </w:rPr>
        <w:t>, re</w:t>
      </w:r>
      <w:r>
        <w:rPr>
          <w:rFonts w:asciiTheme="minorHAnsi" w:hAnsiTheme="minorHAnsi" w:cstheme="minorHAnsi"/>
          <w:iCs/>
          <w:sz w:val="16"/>
          <w:szCs w:val="16"/>
        </w:rPr>
        <w:t>spectively.</w:t>
      </w:r>
      <w:r>
        <w:rPr>
          <w:rFonts w:asciiTheme="minorHAnsi" w:hAnsiTheme="minorHAnsi"/>
          <w:sz w:val="16"/>
          <w:szCs w:val="16"/>
        </w:rPr>
        <w:t xml:space="preserve"> The information is based on Article 17 of the Habitats Directive reporting - </w:t>
      </w:r>
      <w:hyperlink r:id="rId18" w:history="1">
        <w:r>
          <w:rPr>
            <w:rStyle w:val="Hyperlink"/>
            <w:rFonts w:asciiTheme="minorHAnsi" w:hAnsiTheme="minorHAnsi"/>
            <w:sz w:val="16"/>
            <w:szCs w:val="16"/>
          </w:rPr>
          <w:t>national summary of Malta</w:t>
        </w:r>
      </w:hyperlink>
    </w:p>
  </w:footnote>
  <w:footnote w:id="34">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of the Birds Directive reporting - </w:t>
      </w:r>
      <w:hyperlink r:id="rId19" w:history="1">
        <w:r>
          <w:rPr>
            <w:rStyle w:val="Hyperlink"/>
            <w:rFonts w:asciiTheme="minorHAnsi" w:hAnsiTheme="minorHAnsi"/>
            <w:sz w:val="16"/>
            <w:szCs w:val="16"/>
          </w:rPr>
          <w:t>national summary of Malta</w:t>
        </w:r>
      </w:hyperlink>
    </w:p>
  </w:footnote>
  <w:footnote w:id="35">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Ecosystem services are benefits provided by nature such as food, clean water and pollination on whi</w:t>
      </w:r>
      <w:r>
        <w:rPr>
          <w:rFonts w:asciiTheme="minorHAnsi" w:hAnsiTheme="minorHAnsi"/>
          <w:sz w:val="16"/>
          <w:szCs w:val="16"/>
        </w:rPr>
        <w:t>ch human society depends.</w:t>
      </w:r>
    </w:p>
  </w:footnote>
  <w:footnote w:id="36">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Mapping and Assessment of Ecosystems and their Services (MAES).</w:t>
      </w:r>
      <w:proofErr w:type="gramEnd"/>
    </w:p>
  </w:footnote>
  <w:footnote w:id="37">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Green Infrastructure — Enhancing Europe’s Natural Capital, </w:t>
      </w:r>
      <w:hyperlink r:id="rId20" w:history="1">
        <w:r>
          <w:rPr>
            <w:rStyle w:val="Hyperlink"/>
            <w:rFonts w:asciiTheme="minorHAnsi" w:hAnsiTheme="minorHAnsi"/>
            <w:sz w:val="16"/>
            <w:szCs w:val="16"/>
          </w:rPr>
          <w:t>CO</w:t>
        </w:r>
        <w:r>
          <w:rPr>
            <w:rStyle w:val="Hyperlink"/>
            <w:rFonts w:asciiTheme="minorHAnsi" w:hAnsiTheme="minorHAnsi"/>
            <w:sz w:val="16"/>
            <w:szCs w:val="16"/>
          </w:rPr>
          <w:t>M/2013/0249</w:t>
        </w:r>
      </w:hyperlink>
    </w:p>
  </w:footnote>
  <w:footnote w:id="38">
    <w:p w:rsidR="004A120F" w:rsidRDefault="000A0796">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21" w:history="1">
        <w:r>
          <w:rPr>
            <w:rStyle w:val="Hyperlink"/>
            <w:rFonts w:asciiTheme="minorHAnsi" w:hAnsiTheme="minorHAnsi"/>
            <w:sz w:val="16"/>
            <w:szCs w:val="16"/>
          </w:rPr>
          <w:t>National Environment Policy</w:t>
        </w:r>
      </w:hyperlink>
      <w:r>
        <w:rPr>
          <w:rFonts w:asciiTheme="minorHAnsi" w:hAnsiTheme="minorHAnsi"/>
          <w:sz w:val="16"/>
          <w:szCs w:val="16"/>
        </w:rPr>
        <w:t>, February 2012.</w:t>
      </w:r>
    </w:p>
  </w:footnote>
  <w:footnote w:id="39">
    <w:p w:rsidR="004A120F" w:rsidRDefault="000A0796">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22" w:history="1">
        <w:r>
          <w:rPr>
            <w:rStyle w:val="Hyperlink"/>
            <w:rFonts w:asciiTheme="minorHAnsi" w:hAnsiTheme="minorHAnsi"/>
            <w:sz w:val="16"/>
            <w:szCs w:val="16"/>
          </w:rPr>
          <w:t>Draft results of CORINE Land Cover (CLC) inventory 2012</w:t>
        </w:r>
      </w:hyperlink>
      <w:r>
        <w:rPr>
          <w:rStyle w:val="Hyperlink"/>
          <w:rFonts w:asciiTheme="minorHAnsi" w:hAnsiTheme="minorHAnsi"/>
          <w:sz w:val="16"/>
          <w:szCs w:val="16"/>
        </w:rPr>
        <w:t xml:space="preserve">; </w:t>
      </w:r>
      <w:r>
        <w:rPr>
          <w:rFonts w:asciiTheme="minorHAnsi" w:hAnsiTheme="minorHAnsi"/>
          <w:sz w:val="16"/>
          <w:szCs w:val="16"/>
        </w:rPr>
        <w:t>mean annual land take 2006-12 as a % of 2006 artificial land.</w:t>
      </w:r>
    </w:p>
  </w:footnote>
  <w:footnote w:id="40">
    <w:p w:rsidR="004A120F" w:rsidRDefault="000A0796">
      <w:pPr>
        <w:pStyle w:val="FootnoteText"/>
        <w:widowControl w:val="0"/>
        <w:ind w:left="170" w:hanging="170"/>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sz w:val="16"/>
          <w:szCs w:val="16"/>
        </w:rPr>
        <w:t>European Environment Agency, 2016.</w:t>
      </w:r>
      <w:proofErr w:type="gramEnd"/>
      <w:r>
        <w:rPr>
          <w:sz w:val="16"/>
          <w:szCs w:val="16"/>
        </w:rPr>
        <w:t xml:space="preserve"> </w:t>
      </w:r>
      <w:hyperlink r:id="rId23" w:history="1">
        <w:r>
          <w:rPr>
            <w:rStyle w:val="Hyperlink"/>
            <w:sz w:val="16"/>
            <w:szCs w:val="16"/>
          </w:rPr>
          <w:t>Imperviousness and imperviousness change</w:t>
        </w:r>
      </w:hyperlink>
      <w:r>
        <w:rPr>
          <w:rStyle w:val="Hyperlink"/>
          <w:sz w:val="16"/>
          <w:szCs w:val="16"/>
        </w:rPr>
        <w:t>, Figure 1</w:t>
      </w:r>
    </w:p>
  </w:footnote>
  <w:footnote w:id="41">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Eurostat,</w:t>
      </w:r>
      <w:hyperlink r:id="rId24" w:history="1">
        <w:r>
          <w:rPr>
            <w:rStyle w:val="Hyperlink"/>
            <w:sz w:val="16"/>
            <w:szCs w:val="16"/>
          </w:rPr>
          <w:t xml:space="preserve"> Soil water erosion rate</w:t>
        </w:r>
      </w:hyperlink>
      <w:r>
        <w:rPr>
          <w:sz w:val="16"/>
          <w:szCs w:val="16"/>
        </w:rPr>
        <w:t>, Figure 2, accessed November 2016</w:t>
      </w:r>
    </w:p>
  </w:footnote>
  <w:footnote w:id="42">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Land cover 2012 and changes country analysis [publication forthcoming]</w:t>
      </w:r>
    </w:p>
  </w:footnote>
  <w:footnote w:id="43">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25" w:history="1">
        <w:r>
          <w:rPr>
            <w:rStyle w:val="Hyperlink"/>
            <w:rFonts w:asciiTheme="minorHAnsi" w:hAnsiTheme="minorHAnsi"/>
            <w:sz w:val="16"/>
            <w:szCs w:val="16"/>
          </w:rPr>
          <w:t>Marine Strategy Framework Directive 2008/56/EC</w:t>
        </w:r>
      </w:hyperlink>
    </w:p>
  </w:footnote>
  <w:footnote w:id="44">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MSFD defines Good Environmental Status (GES) in Article 3 as: “The environmental status of marine waters where these provide ecologically diverse and dynamic oceans and se</w:t>
      </w:r>
      <w:r>
        <w:rPr>
          <w:rFonts w:asciiTheme="minorHAnsi" w:hAnsiTheme="minorHAnsi"/>
          <w:sz w:val="16"/>
          <w:szCs w:val="16"/>
        </w:rPr>
        <w:t>as which are clean, healthy and productive”.</w:t>
      </w:r>
    </w:p>
  </w:footnote>
  <w:footnote w:id="45">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 Staff Working Document Accompanying the Commission Report assessing Member States' monitoring programmes under the Marine Strategy Framework Directive (COM(2017)3 and SWD(2017)1 final)</w:t>
      </w:r>
    </w:p>
  </w:footnote>
  <w:footnote w:id="46">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w:t>
      </w:r>
      <w:r>
        <w:rPr>
          <w:rFonts w:asciiTheme="minorHAnsi" w:eastAsiaTheme="minorHAnsi" w:hAnsiTheme="minorHAnsi" w:cstheme="minorHAnsi"/>
          <w:sz w:val="16"/>
          <w:szCs w:val="16"/>
        </w:rPr>
        <w:t xml:space="preserve"> </w:t>
      </w:r>
      <w:r>
        <w:rPr>
          <w:rFonts w:asciiTheme="minorHAnsi" w:hAnsiTheme="minorHAnsi"/>
          <w:sz w:val="16"/>
          <w:szCs w:val="16"/>
        </w:rPr>
        <w:t>Commission</w:t>
      </w:r>
      <w:r>
        <w:rPr>
          <w:rFonts w:asciiTheme="minorHAnsi" w:hAnsiTheme="minorHAnsi"/>
          <w:sz w:val="16"/>
          <w:szCs w:val="16"/>
        </w:rPr>
        <w:t xml:space="preserve"> Staff Working Document Accompanying the Commission Report assessing Member States' monitoring programmes under the Marine Strategy Framework Directive (COM(2017)3 and SWD(2017)1 final)</w:t>
      </w:r>
    </w:p>
  </w:footnote>
  <w:footnote w:id="47">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2012 Data provided by the European Environmental Agency – Not publis</w:t>
      </w:r>
      <w:r>
        <w:rPr>
          <w:rFonts w:asciiTheme="minorHAnsi" w:hAnsiTheme="minorHAnsi"/>
          <w:sz w:val="16"/>
          <w:szCs w:val="16"/>
        </w:rPr>
        <w:t>hed</w:t>
      </w:r>
    </w:p>
  </w:footnote>
  <w:footnote w:id="48">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 Staff Working Document Accompanying the Commission Report assessing Member States' monitoring programmes under the Marine Strategy Framework Directive (COM(2017)3 and SWD(2017)1 final)</w:t>
      </w:r>
    </w:p>
  </w:footnote>
  <w:footnote w:id="49">
    <w:p w:rsidR="004A120F" w:rsidRDefault="000A0796">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As of 7.10.2016, Malta had not yet reported its prog</w:t>
      </w:r>
      <w:r>
        <w:rPr>
          <w:rFonts w:asciiTheme="minorHAnsi" w:hAnsiTheme="minorHAnsi"/>
          <w:sz w:val="16"/>
          <w:szCs w:val="16"/>
        </w:rPr>
        <w:t>ramme of measures to the Commission.</w:t>
      </w:r>
    </w:p>
  </w:footnote>
  <w:footnote w:id="50">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2016.</w:t>
      </w:r>
      <w:proofErr w:type="gramEnd"/>
      <w:r>
        <w:rPr>
          <w:rFonts w:asciiTheme="minorHAnsi" w:hAnsiTheme="minorHAnsi"/>
          <w:sz w:val="16"/>
          <w:szCs w:val="16"/>
        </w:rPr>
        <w:t xml:space="preserve"> </w:t>
      </w:r>
      <w:hyperlink r:id="rId26" w:history="1">
        <w:r>
          <w:rPr>
            <w:rStyle w:val="Hyperlink"/>
            <w:rFonts w:asciiTheme="minorHAnsi" w:hAnsiTheme="minorHAnsi"/>
            <w:sz w:val="16"/>
            <w:szCs w:val="16"/>
          </w:rPr>
          <w:t>Air Quality Standards</w:t>
        </w:r>
      </w:hyperlink>
    </w:p>
  </w:footnote>
  <w:footnote w:id="51">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27" w:history="1">
        <w:r>
          <w:rPr>
            <w:rStyle w:val="Hyperlink"/>
            <w:rFonts w:asciiTheme="minorHAnsi" w:hAnsiTheme="minorHAnsi"/>
            <w:sz w:val="16"/>
            <w:szCs w:val="16"/>
          </w:rPr>
          <w:t>EIONET Central Data Repository</w:t>
        </w:r>
      </w:hyperlink>
      <w:r>
        <w:rPr>
          <w:rFonts w:asciiTheme="minorHAnsi" w:hAnsiTheme="minorHAnsi"/>
          <w:sz w:val="16"/>
          <w:szCs w:val="16"/>
        </w:rPr>
        <w:t xml:space="preserve"> and </w:t>
      </w:r>
      <w:hyperlink r:id="rId28" w:history="1">
        <w:r>
          <w:rPr>
            <w:rStyle w:val="Hyperlink"/>
            <w:rFonts w:asciiTheme="minorHAnsi" w:hAnsiTheme="minorHAnsi"/>
            <w:sz w:val="16"/>
            <w:szCs w:val="16"/>
          </w:rPr>
          <w:t>Air pollutant emissions data viewer (NEC Directive)</w:t>
        </w:r>
      </w:hyperlink>
    </w:p>
  </w:footnote>
  <w:footnote w:id="52">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spellStart"/>
      <w:r>
        <w:rPr>
          <w:rFonts w:asciiTheme="minorHAnsi" w:hAnsiTheme="minorHAnsi"/>
          <w:sz w:val="16"/>
          <w:szCs w:val="16"/>
        </w:rPr>
        <w:t>NOx</w:t>
      </w:r>
      <w:proofErr w:type="spellEnd"/>
      <w:r>
        <w:rPr>
          <w:rFonts w:asciiTheme="minorHAnsi" w:hAnsiTheme="minorHAnsi"/>
          <w:sz w:val="16"/>
          <w:szCs w:val="16"/>
        </w:rPr>
        <w:t xml:space="preserve"> is emitted during fuel combustion e.g. from industrial facilities and the road transport sector. </w:t>
      </w:r>
      <w:proofErr w:type="spellStart"/>
      <w:r>
        <w:rPr>
          <w:rFonts w:asciiTheme="minorHAnsi" w:hAnsiTheme="minorHAnsi"/>
          <w:sz w:val="16"/>
          <w:szCs w:val="16"/>
        </w:rPr>
        <w:t>NOx</w:t>
      </w:r>
      <w:proofErr w:type="spellEnd"/>
      <w:r>
        <w:rPr>
          <w:rFonts w:asciiTheme="minorHAnsi" w:hAnsiTheme="minorHAnsi"/>
          <w:sz w:val="16"/>
          <w:szCs w:val="16"/>
        </w:rPr>
        <w:t xml:space="preserve"> i</w:t>
      </w:r>
      <w:r>
        <w:rPr>
          <w:rFonts w:asciiTheme="minorHAnsi" w:hAnsiTheme="minorHAnsi"/>
          <w:sz w:val="16"/>
          <w:szCs w:val="16"/>
        </w:rPr>
        <w:t>s a group of gases comprising nitrogen monoxide (NO) and nitrogen dioxide (NO2).</w:t>
      </w:r>
    </w:p>
  </w:footnote>
  <w:footnote w:id="53">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current national emission ceilings apply since 2010 (</w:t>
      </w:r>
      <w:hyperlink r:id="rId29" w:history="1">
        <w:r>
          <w:rPr>
            <w:rStyle w:val="Hyperlink"/>
            <w:rFonts w:asciiTheme="minorHAnsi" w:hAnsiTheme="minorHAnsi"/>
            <w:sz w:val="16"/>
            <w:szCs w:val="16"/>
          </w:rPr>
          <w:t>Directive 2001/81/EC</w:t>
        </w:r>
      </w:hyperlink>
      <w:r>
        <w:rPr>
          <w:rFonts w:asciiTheme="minorHAnsi" w:hAnsiTheme="minorHAnsi"/>
          <w:sz w:val="16"/>
          <w:szCs w:val="16"/>
        </w:rPr>
        <w:t>); revised c</w:t>
      </w:r>
      <w:r>
        <w:rPr>
          <w:rFonts w:asciiTheme="minorHAnsi" w:hAnsiTheme="minorHAnsi"/>
          <w:sz w:val="16"/>
          <w:szCs w:val="16"/>
        </w:rPr>
        <w:t xml:space="preserve">eilings for 2020 and 2030 have been set by </w:t>
      </w:r>
      <w:hyperlink r:id="rId30" w:history="1">
        <w:r>
          <w:rPr>
            <w:rStyle w:val="Hyperlink"/>
            <w:rFonts w:asciiTheme="minorHAnsi" w:hAnsiTheme="minorHAnsi"/>
            <w:sz w:val="16"/>
            <w:szCs w:val="16"/>
          </w:rPr>
          <w:t>Directive (EU) 2016/2284</w:t>
        </w:r>
      </w:hyperlink>
      <w:r>
        <w:rPr>
          <w:rFonts w:asciiTheme="minorHAnsi" w:hAnsiTheme="minorHAnsi"/>
          <w:sz w:val="16"/>
          <w:szCs w:val="16"/>
        </w:rPr>
        <w:t xml:space="preserve"> on the reduction of national emissions of certain atmospheric</w:t>
      </w:r>
      <w:r>
        <w:rPr>
          <w:rFonts w:asciiTheme="minorHAnsi" w:hAnsiTheme="minorHAnsi"/>
          <w:sz w:val="16"/>
          <w:szCs w:val="16"/>
        </w:rPr>
        <w:t xml:space="preserve"> pollutants, amending Directive 2003/35/EC and repealing Directive 2001/81/EC.</w:t>
      </w:r>
    </w:p>
  </w:footnote>
  <w:footnote w:id="54">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Particulate matter (PM) is a mixture of aerosol particles (solid and liquid) covering a wide range of sizes and chemical compositions. PM10 (PM2.5) refers to particles with a </w:t>
      </w:r>
      <w:r>
        <w:rPr>
          <w:rFonts w:asciiTheme="minorHAnsi" w:hAnsiTheme="minorHAnsi"/>
          <w:sz w:val="16"/>
          <w:szCs w:val="16"/>
        </w:rPr>
        <w:t>diameter of 10 (2.5) micrometres or less. PM is emitted from many human sources, including combustion.</w:t>
      </w:r>
    </w:p>
  </w:footnote>
  <w:footnote w:id="55">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cstheme="minorHAnsi"/>
          <w:sz w:val="16"/>
          <w:szCs w:val="16"/>
        </w:rPr>
        <w:t>European Environment Agency, 2016.</w:t>
      </w:r>
      <w:proofErr w:type="gramEnd"/>
      <w:r>
        <w:rPr>
          <w:rFonts w:asciiTheme="minorHAnsi" w:hAnsiTheme="minorHAnsi" w:cstheme="minorHAnsi"/>
          <w:sz w:val="16"/>
          <w:szCs w:val="16"/>
        </w:rPr>
        <w:t xml:space="preserve"> </w:t>
      </w:r>
      <w:hyperlink r:id="rId31" w:history="1">
        <w:r>
          <w:rPr>
            <w:rStyle w:val="Hyperlink"/>
            <w:rFonts w:asciiTheme="minorHAnsi" w:hAnsiTheme="minorHAnsi"/>
            <w:sz w:val="16"/>
            <w:szCs w:val="16"/>
            <w:lang w:eastAsia="en-GB"/>
          </w:rPr>
          <w:t>Air Quality in Europe – 2016 Report</w:t>
        </w:r>
      </w:hyperlink>
      <w:r>
        <w:rPr>
          <w:rFonts w:asciiTheme="minorHAnsi" w:hAnsiTheme="minorHAnsi" w:cstheme="minorHAnsi"/>
          <w:sz w:val="16"/>
          <w:szCs w:val="16"/>
        </w:rPr>
        <w:t xml:space="preserve"> (Table 10.2, please see details in this report as regards the underpinning  methodology)</w:t>
      </w:r>
    </w:p>
  </w:footnote>
  <w:footnote w:id="56">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cstheme="minorHAnsi"/>
          <w:sz w:val="16"/>
          <w:szCs w:val="16"/>
        </w:rPr>
        <w:t>Based on European Environment Agency, 2016.</w:t>
      </w:r>
      <w:proofErr w:type="gramEnd"/>
      <w:r>
        <w:rPr>
          <w:rFonts w:asciiTheme="minorHAnsi" w:hAnsiTheme="minorHAnsi" w:cstheme="minorHAnsi"/>
          <w:sz w:val="16"/>
          <w:szCs w:val="16"/>
        </w:rPr>
        <w:t xml:space="preserve"> </w:t>
      </w:r>
      <w:hyperlink r:id="rId32" w:history="1">
        <w:proofErr w:type="gramStart"/>
        <w:r>
          <w:rPr>
            <w:rStyle w:val="Hyperlink"/>
            <w:rFonts w:asciiTheme="minorHAnsi" w:hAnsiTheme="minorHAnsi"/>
            <w:sz w:val="16"/>
            <w:szCs w:val="16"/>
            <w:lang w:eastAsia="en-GB"/>
          </w:rPr>
          <w:t>Air Quality in Europe – 2016 Report</w:t>
        </w:r>
      </w:hyperlink>
      <w:r>
        <w:rPr>
          <w:rFonts w:asciiTheme="minorHAnsi" w:hAnsiTheme="minorHAnsi" w:cstheme="minorHAnsi"/>
          <w:sz w:val="16"/>
          <w:szCs w:val="16"/>
        </w:rPr>
        <w:t>.</w:t>
      </w:r>
      <w:proofErr w:type="gramEnd"/>
      <w:r>
        <w:rPr>
          <w:rFonts w:asciiTheme="minorHAnsi" w:hAnsiTheme="minorHAnsi" w:cstheme="minorHAnsi"/>
          <w:sz w:val="16"/>
          <w:szCs w:val="16"/>
        </w:rPr>
        <w:t xml:space="preserve"> </w:t>
      </w:r>
      <w:r>
        <w:rPr>
          <w:rFonts w:asciiTheme="minorHAnsi" w:hAnsiTheme="minorHAnsi" w:cstheme="minorHAnsi"/>
          <w:sz w:val="16"/>
          <w:szCs w:val="16"/>
        </w:rPr>
        <w:t>(Figures 4.1, 5.1 and 6.1)</w:t>
      </w:r>
    </w:p>
  </w:footnote>
  <w:footnote w:id="57">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Low level ozone is produced by photochemical action on pollution and it is also a greenhouse gas.</w:t>
      </w:r>
    </w:p>
  </w:footnote>
  <w:footnote w:id="58">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33" w:history="1">
        <w:r>
          <w:rPr>
            <w:rStyle w:val="Hyperlink"/>
            <w:rFonts w:asciiTheme="minorHAnsi" w:hAnsiTheme="minorHAnsi"/>
            <w:sz w:val="16"/>
            <w:szCs w:val="16"/>
          </w:rPr>
          <w:t>The EEA/</w:t>
        </w:r>
        <w:proofErr w:type="spellStart"/>
        <w:r>
          <w:rPr>
            <w:rStyle w:val="Hyperlink"/>
            <w:rFonts w:asciiTheme="minorHAnsi" w:hAnsiTheme="minorHAnsi"/>
            <w:sz w:val="16"/>
            <w:szCs w:val="16"/>
          </w:rPr>
          <w:t>Eionet</w:t>
        </w:r>
        <w:proofErr w:type="spellEnd"/>
        <w:r>
          <w:rPr>
            <w:rStyle w:val="Hyperlink"/>
            <w:rFonts w:asciiTheme="minorHAnsi" w:hAnsiTheme="minorHAnsi"/>
            <w:sz w:val="16"/>
            <w:szCs w:val="16"/>
          </w:rPr>
          <w:t xml:space="preserve"> Air Quality Portal</w:t>
        </w:r>
      </w:hyperlink>
      <w:r>
        <w:rPr>
          <w:rFonts w:asciiTheme="minorHAnsi" w:hAnsiTheme="minorHAnsi"/>
          <w:sz w:val="16"/>
          <w:szCs w:val="16"/>
        </w:rPr>
        <w:t xml:space="preserve"> and the related Central Data Reposit</w:t>
      </w:r>
      <w:r>
        <w:rPr>
          <w:rFonts w:asciiTheme="minorHAnsi" w:hAnsiTheme="minorHAnsi"/>
          <w:sz w:val="16"/>
          <w:szCs w:val="16"/>
        </w:rPr>
        <w:t>ory</w:t>
      </w:r>
    </w:p>
  </w:footnote>
  <w:footnote w:id="59">
    <w:p w:rsidR="004A120F" w:rsidRDefault="000A0796">
      <w:pPr>
        <w:pStyle w:val="FootnoteText"/>
        <w:rPr>
          <w:rFonts w:asciiTheme="minorHAnsi" w:hAnsiTheme="minorHAnsi"/>
          <w:sz w:val="16"/>
          <w:szCs w:val="16"/>
        </w:rPr>
      </w:pPr>
      <w:r>
        <w:rPr>
          <w:rStyle w:val="FootnoteReference"/>
        </w:rPr>
        <w:footnoteRef/>
      </w:r>
      <w:r>
        <w:t xml:space="preserve"> </w:t>
      </w:r>
      <w:r>
        <w:rPr>
          <w:rFonts w:asciiTheme="minorHAnsi" w:hAnsiTheme="minorHAnsi"/>
          <w:sz w:val="16"/>
          <w:szCs w:val="16"/>
        </w:rPr>
        <w:t xml:space="preserve">This includes the opportunity costs of time and fuel wasted in congested traffic, accidents, air pollution climate change and noise. </w:t>
      </w:r>
      <w:r>
        <w:rPr>
          <w:rFonts w:asciiTheme="minorHAnsi" w:hAnsiTheme="minorHAnsi"/>
          <w:sz w:val="16"/>
          <w:szCs w:val="16"/>
          <w:highlight w:val="yellow"/>
        </w:rPr>
        <w:t xml:space="preserve">Source: </w:t>
      </w:r>
      <w:proofErr w:type="spellStart"/>
      <w:r>
        <w:rPr>
          <w:rFonts w:asciiTheme="minorHAnsi" w:hAnsiTheme="minorHAnsi"/>
          <w:sz w:val="16"/>
          <w:szCs w:val="16"/>
          <w:highlight w:val="yellow"/>
        </w:rPr>
        <w:t>tbc</w:t>
      </w:r>
      <w:proofErr w:type="spellEnd"/>
    </w:p>
  </w:footnote>
  <w:footnote w:id="60">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These figures are based on the </w:t>
      </w:r>
      <w:hyperlink r:id="rId34" w:history="1">
        <w:r>
          <w:rPr>
            <w:rStyle w:val="Hyperlink"/>
            <w:rFonts w:asciiTheme="minorHAnsi" w:hAnsiTheme="minorHAnsi"/>
            <w:sz w:val="16"/>
            <w:szCs w:val="16"/>
          </w:rPr>
          <w:t>Impact Assessment</w:t>
        </w:r>
      </w:hyperlink>
      <w:r>
        <w:rPr>
          <w:rFonts w:asciiTheme="minorHAnsi" w:hAnsiTheme="minorHAnsi"/>
          <w:sz w:val="16"/>
          <w:szCs w:val="16"/>
        </w:rPr>
        <w:t xml:space="preserve"> for the European Commission Integrated Clean Air Package (2013)</w:t>
      </w:r>
    </w:p>
  </w:footnote>
  <w:footnote w:id="61">
    <w:p w:rsidR="004A120F" w:rsidRDefault="000A0796">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WHO/JRC, 2011, Burden of disease from environmental noise, </w:t>
      </w:r>
      <w:proofErr w:type="spellStart"/>
      <w:r>
        <w:rPr>
          <w:rFonts w:asciiTheme="minorHAnsi" w:hAnsiTheme="minorHAnsi"/>
          <w:sz w:val="16"/>
          <w:szCs w:val="16"/>
        </w:rPr>
        <w:t>Fritschi</w:t>
      </w:r>
      <w:proofErr w:type="spellEnd"/>
      <w:r>
        <w:rPr>
          <w:rFonts w:asciiTheme="minorHAnsi" w:hAnsiTheme="minorHAnsi"/>
          <w:sz w:val="16"/>
          <w:szCs w:val="16"/>
        </w:rPr>
        <w:t xml:space="preserve">, L., Brown, A.L., Kim, R., </w:t>
      </w:r>
      <w:proofErr w:type="spellStart"/>
      <w:r>
        <w:rPr>
          <w:rFonts w:asciiTheme="minorHAnsi" w:hAnsiTheme="minorHAnsi"/>
          <w:sz w:val="16"/>
          <w:szCs w:val="16"/>
        </w:rPr>
        <w:t>Schwela</w:t>
      </w:r>
      <w:proofErr w:type="spellEnd"/>
      <w:r>
        <w:rPr>
          <w:rFonts w:asciiTheme="minorHAnsi" w:hAnsiTheme="minorHAnsi"/>
          <w:sz w:val="16"/>
          <w:szCs w:val="16"/>
        </w:rPr>
        <w:t xml:space="preserve">, D., </w:t>
      </w:r>
      <w:proofErr w:type="spellStart"/>
      <w:r>
        <w:rPr>
          <w:rFonts w:asciiTheme="minorHAnsi" w:hAnsiTheme="minorHAnsi"/>
          <w:sz w:val="16"/>
          <w:szCs w:val="16"/>
        </w:rPr>
        <w:t>Kephalopoulos</w:t>
      </w:r>
      <w:proofErr w:type="spellEnd"/>
      <w:r>
        <w:rPr>
          <w:rFonts w:asciiTheme="minorHAnsi" w:hAnsiTheme="minorHAnsi"/>
          <w:sz w:val="16"/>
          <w:szCs w:val="16"/>
        </w:rPr>
        <w:t>, S. (</w:t>
      </w:r>
      <w:proofErr w:type="spellStart"/>
      <w:r>
        <w:rPr>
          <w:rFonts w:asciiTheme="minorHAnsi" w:hAnsiTheme="minorHAnsi"/>
          <w:sz w:val="16"/>
          <w:szCs w:val="16"/>
        </w:rPr>
        <w:t>eds</w:t>
      </w:r>
      <w:proofErr w:type="spellEnd"/>
      <w:r>
        <w:rPr>
          <w:rFonts w:asciiTheme="minorHAnsi" w:hAnsiTheme="minorHAnsi"/>
          <w:sz w:val="16"/>
          <w:szCs w:val="16"/>
        </w:rPr>
        <w:t xml:space="preserve">), </w:t>
      </w:r>
      <w:hyperlink r:id="rId35" w:history="1">
        <w:r>
          <w:rPr>
            <w:rStyle w:val="Hyperlink"/>
            <w:rFonts w:asciiTheme="minorHAnsi" w:hAnsiTheme="minorHAnsi"/>
            <w:sz w:val="16"/>
            <w:szCs w:val="16"/>
          </w:rPr>
          <w:t>World Health Organization, Regional Office for Europe</w:t>
        </w:r>
      </w:hyperlink>
      <w:r>
        <w:rPr>
          <w:rFonts w:asciiTheme="minorHAnsi" w:hAnsiTheme="minorHAnsi"/>
          <w:sz w:val="16"/>
          <w:szCs w:val="16"/>
        </w:rPr>
        <w:t>, Copenhagen, Denmark</w:t>
      </w:r>
    </w:p>
  </w:footnote>
  <w:footnote w:id="62">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Noise Directive requires Member S</w:t>
      </w:r>
      <w:r>
        <w:rPr>
          <w:rFonts w:asciiTheme="minorHAnsi" w:hAnsiTheme="minorHAnsi"/>
          <w:sz w:val="16"/>
          <w:szCs w:val="16"/>
        </w:rPr>
        <w:t>tates to prepare and publish, every 5 years, noise maps and noise management action plans for agglomerations with more than 100,000 inhabitants, and for major roads, railways and airports. Malta counts as one agglomeration.</w:t>
      </w:r>
    </w:p>
  </w:footnote>
  <w:footnote w:id="63">
    <w:p w:rsidR="004A120F" w:rsidRDefault="000A0796">
      <w:pPr>
        <w:pStyle w:val="FootnoteText"/>
        <w:widowControl w:val="0"/>
        <w:ind w:left="170" w:hanging="170"/>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lang w:val="en"/>
        </w:rPr>
        <w:t xml:space="preserve"> </w:t>
      </w:r>
      <w:r>
        <w:rPr>
          <w:rFonts w:asciiTheme="minorHAnsi" w:hAnsiTheme="minorHAnsi"/>
          <w:sz w:val="16"/>
          <w:szCs w:val="16"/>
        </w:rPr>
        <w:t xml:space="preserve">This includes the </w:t>
      </w:r>
      <w:hyperlink r:id="rId36" w:history="1">
        <w:r>
          <w:rPr>
            <w:rStyle w:val="Hyperlink"/>
            <w:rFonts w:asciiTheme="minorHAnsi" w:hAnsiTheme="minorHAnsi"/>
            <w:sz w:val="16"/>
            <w:szCs w:val="16"/>
          </w:rPr>
          <w:t>Bathing Waters Directive (2006/7/EC);</w:t>
        </w:r>
      </w:hyperlink>
      <w:r>
        <w:rPr>
          <w:rFonts w:asciiTheme="minorHAnsi" w:hAnsiTheme="minorHAnsi"/>
          <w:sz w:val="16"/>
          <w:szCs w:val="16"/>
        </w:rPr>
        <w:t xml:space="preserve"> the </w:t>
      </w:r>
      <w:hyperlink r:id="rId37" w:history="1">
        <w:r>
          <w:rPr>
            <w:rStyle w:val="Hyperlink"/>
            <w:rFonts w:asciiTheme="minorHAnsi" w:hAnsiTheme="minorHAnsi"/>
            <w:sz w:val="16"/>
            <w:szCs w:val="16"/>
          </w:rPr>
          <w:t xml:space="preserve">Urban Waste Water Treatment Directive </w:t>
        </w:r>
        <w:r>
          <w:rPr>
            <w:rStyle w:val="Hyperlink"/>
            <w:rFonts w:asciiTheme="minorHAnsi" w:hAnsiTheme="minorHAnsi"/>
            <w:sz w:val="16"/>
            <w:szCs w:val="16"/>
          </w:rPr>
          <w:t>(91/271/EEC)</w:t>
        </w:r>
      </w:hyperlink>
      <w:r>
        <w:rPr>
          <w:rFonts w:asciiTheme="minorHAnsi" w:hAnsiTheme="minorHAnsi"/>
          <w:sz w:val="16"/>
          <w:szCs w:val="16"/>
        </w:rPr>
        <w:t xml:space="preserve"> concerning discharges of municipal and some industrial waste waters; the </w:t>
      </w:r>
      <w:hyperlink r:id="rId38" w:history="1">
        <w:r>
          <w:rPr>
            <w:rStyle w:val="Hyperlink"/>
            <w:rFonts w:asciiTheme="minorHAnsi" w:hAnsiTheme="minorHAnsi"/>
            <w:sz w:val="16"/>
            <w:szCs w:val="16"/>
          </w:rPr>
          <w:t>Drinking Water Directive (98/83/EC)</w:t>
        </w:r>
      </w:hyperlink>
      <w:r>
        <w:rPr>
          <w:rFonts w:asciiTheme="minorHAnsi" w:hAnsiTheme="minorHAnsi"/>
          <w:sz w:val="16"/>
          <w:szCs w:val="16"/>
        </w:rPr>
        <w:t xml:space="preserve"> concerning potable water quality; the </w:t>
      </w:r>
      <w:hyperlink r:id="rId39" w:history="1">
        <w:r>
          <w:rPr>
            <w:rStyle w:val="Hyperlink"/>
            <w:rFonts w:asciiTheme="minorHAnsi" w:hAnsiTheme="minorHAnsi"/>
            <w:sz w:val="16"/>
            <w:szCs w:val="16"/>
          </w:rPr>
          <w:t>Water Framework Directive (2000/60/EC)</w:t>
        </w:r>
      </w:hyperlink>
      <w:r>
        <w:rPr>
          <w:rFonts w:asciiTheme="minorHAnsi" w:hAnsiTheme="minorHAnsi"/>
          <w:sz w:val="16"/>
          <w:szCs w:val="16"/>
        </w:rPr>
        <w:t xml:space="preserve"> concerning water resources management; the </w:t>
      </w:r>
      <w:hyperlink r:id="rId40" w:history="1">
        <w:r>
          <w:rPr>
            <w:rStyle w:val="Hyperlink"/>
            <w:rFonts w:asciiTheme="minorHAnsi" w:hAnsiTheme="minorHAnsi"/>
            <w:sz w:val="16"/>
            <w:szCs w:val="16"/>
          </w:rPr>
          <w:t>Nitrates Directive (91/676/EEC)</w:t>
        </w:r>
      </w:hyperlink>
      <w:r>
        <w:rPr>
          <w:rFonts w:asciiTheme="minorHAnsi" w:hAnsiTheme="minorHAnsi"/>
          <w:sz w:val="16"/>
          <w:szCs w:val="16"/>
        </w:rPr>
        <w:t xml:space="preserve"> and the </w:t>
      </w:r>
      <w:hyperlink r:id="rId41" w:history="1">
        <w:r>
          <w:rPr>
            <w:rStyle w:val="Hyperlink"/>
            <w:rFonts w:asciiTheme="minorHAnsi" w:hAnsiTheme="minorHAnsi"/>
            <w:sz w:val="16"/>
            <w:szCs w:val="16"/>
          </w:rPr>
          <w:t>Floods Directive (2007/60/EC)</w:t>
        </w:r>
      </w:hyperlink>
    </w:p>
  </w:footnote>
  <w:footnote w:id="64">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ecological status is defined in the Water Framework Directive referring to the qual</w:t>
      </w:r>
      <w:r>
        <w:rPr>
          <w:rFonts w:asciiTheme="minorHAnsi" w:hAnsiTheme="minorHAnsi"/>
          <w:sz w:val="16"/>
          <w:szCs w:val="16"/>
        </w:rPr>
        <w:t>ity of the biological community, the hydrological characteristics and the chemical characteristics.</w:t>
      </w:r>
    </w:p>
  </w:footnote>
  <w:footnote w:id="65">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chemical status is defined in the Water Framework Directive referring to compliance with all the quality standards established for chemical substances at European level.</w:t>
      </w:r>
    </w:p>
  </w:footnote>
  <w:footnote w:id="66">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groundwater, a precautionary approach has been taken that comprises a proh</w:t>
      </w:r>
      <w:r>
        <w:rPr>
          <w:rFonts w:asciiTheme="minorHAnsi" w:hAnsiTheme="minorHAnsi"/>
          <w:sz w:val="16"/>
          <w:szCs w:val="16"/>
        </w:rPr>
        <w:t xml:space="preserve">ibition on direct discharges to groundwater, and a requirement to monitor groundwater bodies. </w:t>
      </w:r>
    </w:p>
  </w:footnote>
  <w:footnote w:id="67">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Diffuse pollution comes from widespread activities with no discrete source.</w:t>
      </w:r>
    </w:p>
  </w:footnote>
  <w:footnote w:id="68">
    <w:p w:rsidR="004A120F" w:rsidRDefault="000A0796">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Malta has informed the Commission that water level monitoring networks are instal</w:t>
      </w:r>
      <w:r>
        <w:rPr>
          <w:rFonts w:asciiTheme="minorHAnsi" w:hAnsiTheme="minorHAnsi"/>
          <w:sz w:val="16"/>
          <w:szCs w:val="16"/>
        </w:rPr>
        <w:t>led in the two main mean sea level groundwater bodies, and that monitoring strategies which go over and above the requirements of the WFD are being developed by MT during the course of the 2nd RBMP for the main sea level groundwater bodies.</w:t>
      </w:r>
    </w:p>
  </w:footnote>
  <w:footnote w:id="69">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42" w:history="1">
        <w:r>
          <w:rPr>
            <w:rFonts w:asciiTheme="minorHAnsi" w:hAnsiTheme="minorHAnsi"/>
            <w:color w:val="0000FF"/>
            <w:sz w:val="16"/>
            <w:szCs w:val="16"/>
            <w:u w:val="single"/>
          </w:rPr>
          <w:t>Commission's Synthesis Report on the Quality of Drinking Water in the Union</w:t>
        </w:r>
      </w:hyperlink>
      <w:r>
        <w:rPr>
          <w:rFonts w:asciiTheme="minorHAnsi" w:hAnsiTheme="minorHAnsi"/>
          <w:sz w:val="16"/>
          <w:szCs w:val="16"/>
        </w:rPr>
        <w:t xml:space="preserve"> examining Member States' reports for the 2011-2013 period, foreseen under Article 13(5) of Directive 98/83/EC</w:t>
      </w:r>
      <w:r>
        <w:rPr>
          <w:rFonts w:asciiTheme="minorHAnsi" w:hAnsiTheme="minorHAnsi"/>
          <w:sz w:val="16"/>
          <w:szCs w:val="16"/>
        </w:rPr>
        <w:t xml:space="preserve">; COM(2016)666 </w:t>
      </w:r>
    </w:p>
  </w:footnote>
  <w:footnote w:id="70">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Environment Agency, 2016.</w:t>
      </w:r>
      <w:proofErr w:type="gramEnd"/>
      <w:r>
        <w:rPr>
          <w:rFonts w:asciiTheme="minorHAnsi" w:hAnsiTheme="minorHAnsi"/>
          <w:sz w:val="16"/>
          <w:szCs w:val="16"/>
        </w:rPr>
        <w:t xml:space="preserve"> </w:t>
      </w:r>
      <w:hyperlink r:id="rId43" w:history="1">
        <w:r>
          <w:rPr>
            <w:rStyle w:val="Hyperlink"/>
            <w:rFonts w:asciiTheme="minorHAnsi" w:hAnsiTheme="minorHAnsi"/>
            <w:sz w:val="16"/>
            <w:szCs w:val="16"/>
          </w:rPr>
          <w:t>European bathing water quality in 2015</w:t>
        </w:r>
      </w:hyperlink>
      <w:r>
        <w:rPr>
          <w:rFonts w:asciiTheme="minorHAnsi" w:hAnsiTheme="minorHAnsi"/>
          <w:sz w:val="16"/>
          <w:szCs w:val="16"/>
        </w:rPr>
        <w:t>, p. 30</w:t>
      </w:r>
    </w:p>
  </w:footnote>
  <w:footnote w:id="71">
    <w:p w:rsidR="004A120F" w:rsidRDefault="000A0796">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Malta has informed the Commission that recent monitoring data ind</w:t>
      </w:r>
      <w:r>
        <w:rPr>
          <w:rFonts w:asciiTheme="minorHAnsi" w:hAnsiTheme="minorHAnsi"/>
          <w:sz w:val="16"/>
          <w:szCs w:val="16"/>
        </w:rPr>
        <w:t xml:space="preserve">icates that the monitoring of the groundwater bodies which are affected by overexploitation are in a stable state, which would </w:t>
      </w:r>
      <w:proofErr w:type="gramStart"/>
      <w:r>
        <w:rPr>
          <w:rFonts w:asciiTheme="minorHAnsi" w:hAnsiTheme="minorHAnsi"/>
          <w:sz w:val="16"/>
          <w:szCs w:val="16"/>
        </w:rPr>
        <w:t>suggest  a</w:t>
      </w:r>
      <w:proofErr w:type="gramEnd"/>
      <w:r>
        <w:rPr>
          <w:rFonts w:asciiTheme="minorHAnsi" w:hAnsiTheme="minorHAnsi"/>
          <w:sz w:val="16"/>
          <w:szCs w:val="16"/>
        </w:rPr>
        <w:t xml:space="preserve"> balance between abstraction and recharge.</w:t>
      </w:r>
    </w:p>
  </w:footnote>
  <w:footnote w:id="72">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44" w:history="1">
        <w:r>
          <w:rPr>
            <w:rStyle w:val="Hyperlink"/>
            <w:rFonts w:asciiTheme="minorHAnsi" w:hAnsiTheme="minorHAnsi"/>
            <w:sz w:val="16"/>
            <w:szCs w:val="16"/>
          </w:rPr>
          <w:t>State of bathing water</w:t>
        </w:r>
      </w:hyperlink>
      <w:r>
        <w:rPr>
          <w:rStyle w:val="Hyperlink"/>
          <w:rFonts w:asciiTheme="minorHAnsi" w:hAnsiTheme="minorHAnsi"/>
          <w:sz w:val="16"/>
          <w:szCs w:val="16"/>
        </w:rPr>
        <w:t xml:space="preserve"> country reports -Malta</w:t>
      </w:r>
      <w:r>
        <w:rPr>
          <w:rFonts w:asciiTheme="minorHAnsi" w:hAnsiTheme="minorHAnsi"/>
          <w:sz w:val="16"/>
          <w:szCs w:val="16"/>
        </w:rPr>
        <w:t>, 2016</w:t>
      </w:r>
    </w:p>
  </w:footnote>
  <w:footnote w:id="73">
    <w:p w:rsidR="004A120F" w:rsidRDefault="000A0796">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Flash flood type following intense rainfall events are a result of uncontrolled surface water runoff in urbanised dry valley channels.</w:t>
      </w:r>
    </w:p>
  </w:footnote>
  <w:footnote w:id="74">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RPA, 2014.</w:t>
      </w:r>
      <w:proofErr w:type="gramEnd"/>
      <w:r>
        <w:rPr>
          <w:rFonts w:asciiTheme="minorHAnsi" w:hAnsiTheme="minorHAnsi"/>
          <w:sz w:val="16"/>
          <w:szCs w:val="16"/>
        </w:rPr>
        <w:t xml:space="preserve"> </w:t>
      </w:r>
      <w:r>
        <w:rPr>
          <w:rFonts w:asciiTheme="minorHAnsi" w:hAnsiTheme="minorHAnsi"/>
          <w:sz w:val="16"/>
          <w:szCs w:val="16"/>
        </w:rPr>
        <w:t xml:space="preserve">Study on Economic and Social Benefits of Environmental Protection and Resource Efficiency Related to the European Semester. Study for the European Commission, </w:t>
      </w:r>
      <w:hyperlink r:id="rId45" w:history="1">
        <w:r>
          <w:rPr>
            <w:rStyle w:val="Hyperlink"/>
            <w:rFonts w:asciiTheme="minorHAnsi" w:hAnsiTheme="minorHAnsi"/>
            <w:sz w:val="16"/>
            <w:szCs w:val="16"/>
          </w:rPr>
          <w:t>Annex 1: Country fiches</w:t>
        </w:r>
      </w:hyperlink>
    </w:p>
  </w:footnote>
  <w:footnote w:id="75">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full </w:t>
      </w:r>
      <w:proofErr w:type="gramStart"/>
      <w:r>
        <w:rPr>
          <w:rFonts w:asciiTheme="minorHAnsi" w:hAnsiTheme="minorHAnsi"/>
          <w:sz w:val="16"/>
          <w:szCs w:val="16"/>
        </w:rPr>
        <w:t>set of recommendations in relation to the WFD are</w:t>
      </w:r>
      <w:proofErr w:type="gramEnd"/>
      <w:r>
        <w:rPr>
          <w:rFonts w:asciiTheme="minorHAnsi" w:hAnsiTheme="minorHAnsi"/>
          <w:sz w:val="16"/>
          <w:szCs w:val="16"/>
        </w:rPr>
        <w:t xml:space="preserve"> </w:t>
      </w:r>
      <w:hyperlink r:id="rId46" w:anchor="fourth" w:history="1">
        <w:r>
          <w:rPr>
            <w:rStyle w:val="Hyperlink"/>
            <w:rFonts w:asciiTheme="minorHAnsi" w:hAnsiTheme="minorHAnsi"/>
            <w:sz w:val="16"/>
            <w:szCs w:val="16"/>
          </w:rPr>
          <w:t>here</w:t>
        </w:r>
      </w:hyperlink>
      <w:r>
        <w:rPr>
          <w:rFonts w:asciiTheme="minorHAnsi" w:hAnsiTheme="minorHAnsi"/>
          <w:sz w:val="16"/>
          <w:szCs w:val="16"/>
        </w:rPr>
        <w:t>.</w:t>
      </w:r>
    </w:p>
  </w:footnote>
  <w:footnote w:id="76">
    <w:p w:rsidR="004A120F" w:rsidRDefault="000A0796">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proofErr w:type="spellStart"/>
      <w:r>
        <w:rPr>
          <w:rFonts w:asciiTheme="minorHAnsi" w:hAnsiTheme="minorHAnsi"/>
          <w:sz w:val="16"/>
          <w:szCs w:val="16"/>
          <w:lang w:val="fr-BE"/>
        </w:rPr>
        <w:t>European</w:t>
      </w:r>
      <w:proofErr w:type="spellEnd"/>
      <w:r>
        <w:rPr>
          <w:rFonts w:asciiTheme="minorHAnsi" w:hAnsiTheme="minorHAnsi"/>
          <w:sz w:val="16"/>
          <w:szCs w:val="16"/>
          <w:lang w:val="fr-BE"/>
        </w:rPr>
        <w:t xml:space="preserve"> </w:t>
      </w:r>
      <w:proofErr w:type="spellStart"/>
      <w:r>
        <w:rPr>
          <w:rFonts w:asciiTheme="minorHAnsi" w:hAnsiTheme="minorHAnsi"/>
          <w:sz w:val="16"/>
          <w:szCs w:val="16"/>
          <w:lang w:val="fr-BE"/>
        </w:rPr>
        <w:t>Environment</w:t>
      </w:r>
      <w:proofErr w:type="spellEnd"/>
      <w:r>
        <w:rPr>
          <w:rFonts w:asciiTheme="minorHAnsi" w:hAnsiTheme="minorHAnsi"/>
          <w:sz w:val="16"/>
          <w:szCs w:val="16"/>
          <w:lang w:val="fr-BE"/>
        </w:rPr>
        <w:t xml:space="preserve"> Agency, </w:t>
      </w:r>
      <w:hyperlink r:id="rId47" w:history="1">
        <w:proofErr w:type="spellStart"/>
        <w:r>
          <w:rPr>
            <w:rStyle w:val="Hyperlink"/>
            <w:rFonts w:asciiTheme="minorHAnsi" w:hAnsiTheme="minorHAnsi"/>
            <w:sz w:val="16"/>
            <w:szCs w:val="16"/>
            <w:lang w:val="fr-BE"/>
          </w:rPr>
          <w:t>Urban</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environment</w:t>
        </w:r>
        <w:proofErr w:type="spellEnd"/>
      </w:hyperlink>
    </w:p>
  </w:footnote>
  <w:footnote w:id="77">
    <w:p w:rsidR="004A120F" w:rsidRDefault="000A0796">
      <w:pPr>
        <w:pStyle w:val="FootnoteText"/>
        <w:ind w:left="170" w:hanging="170"/>
        <w:rPr>
          <w:rFonts w:asciiTheme="minorHAnsi" w:hAnsiTheme="minorHAnsi"/>
          <w:sz w:val="16"/>
          <w:szCs w:val="16"/>
          <w:vertAlign w:val="superscript"/>
          <w:lang w:val="fr-BE"/>
        </w:rPr>
      </w:pPr>
      <w:r>
        <w:rPr>
          <w:rStyle w:val="FootnoteReference"/>
          <w:rFonts w:asciiTheme="minorHAnsi" w:hAnsiTheme="minorHAnsi"/>
          <w:sz w:val="16"/>
          <w:szCs w:val="16"/>
        </w:rPr>
        <w:footnoteRef/>
      </w:r>
      <w:r>
        <w:rPr>
          <w:rFonts w:asciiTheme="minorHAnsi" w:hAnsiTheme="minorHAnsi"/>
          <w:sz w:val="16"/>
          <w:szCs w:val="16"/>
          <w:vertAlign w:val="superscript"/>
          <w:lang w:val="fr-BE"/>
        </w:rPr>
        <w:t xml:space="preserve"> </w:t>
      </w:r>
      <w:hyperlink r:id="rId48" w:history="1">
        <w:r>
          <w:rPr>
            <w:rStyle w:val="Hyperlink"/>
            <w:rFonts w:asciiTheme="minorHAnsi" w:hAnsiTheme="minorHAnsi"/>
            <w:sz w:val="16"/>
            <w:szCs w:val="16"/>
            <w:lang w:val="fr-BE"/>
          </w:rPr>
          <w:t>http://urbanagendaforthe.eu/</w:t>
        </w:r>
      </w:hyperlink>
    </w:p>
  </w:footnote>
  <w:footnote w:id="78">
    <w:p w:rsidR="004A120F" w:rsidRDefault="000A0796">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The Commission is developing an </w:t>
      </w:r>
      <w:hyperlink r:id="rId49" w:history="1">
        <w:r>
          <w:rPr>
            <w:rStyle w:val="Hyperlink"/>
            <w:rFonts w:asciiTheme="minorHAnsi" w:hAnsiTheme="minorHAnsi"/>
            <w:sz w:val="16"/>
            <w:szCs w:val="16"/>
          </w:rPr>
          <w:t>Urban Benchma</w:t>
        </w:r>
        <w:r>
          <w:rPr>
            <w:rStyle w:val="Hyperlink"/>
            <w:rFonts w:asciiTheme="minorHAnsi" w:hAnsiTheme="minorHAnsi"/>
            <w:sz w:val="16"/>
            <w:szCs w:val="16"/>
          </w:rPr>
          <w:t>rking and Monitoring ('</w:t>
        </w:r>
        <w:proofErr w:type="spellStart"/>
        <w:r>
          <w:rPr>
            <w:rStyle w:val="Hyperlink"/>
            <w:rFonts w:asciiTheme="minorHAnsi" w:hAnsiTheme="minorHAnsi"/>
            <w:sz w:val="16"/>
            <w:szCs w:val="16"/>
          </w:rPr>
          <w:t>UBaM</w:t>
        </w:r>
        <w:proofErr w:type="spellEnd"/>
        <w:r>
          <w:rPr>
            <w:rStyle w:val="Hyperlink"/>
            <w:rFonts w:asciiTheme="minorHAnsi" w:hAnsiTheme="minorHAnsi"/>
            <w:sz w:val="16"/>
            <w:szCs w:val="16"/>
          </w:rPr>
          <w:t>') tool</w:t>
        </w:r>
      </w:hyperlink>
      <w:r>
        <w:rPr>
          <w:rFonts w:asciiTheme="minorHAnsi" w:hAnsiTheme="minorHAnsi"/>
          <w:sz w:val="16"/>
          <w:szCs w:val="16"/>
        </w:rPr>
        <w:t xml:space="preserve"> to be launched in 2017. Best practices emerge and these will be better disseminated via the app featuring the </w:t>
      </w:r>
      <w:proofErr w:type="spellStart"/>
      <w:r>
        <w:rPr>
          <w:rFonts w:asciiTheme="minorHAnsi" w:hAnsiTheme="minorHAnsi"/>
          <w:sz w:val="16"/>
          <w:szCs w:val="16"/>
        </w:rPr>
        <w:t>UBaM</w:t>
      </w:r>
      <w:proofErr w:type="spellEnd"/>
      <w:r>
        <w:rPr>
          <w:rFonts w:asciiTheme="minorHAnsi" w:hAnsiTheme="minorHAnsi"/>
          <w:sz w:val="16"/>
          <w:szCs w:val="16"/>
        </w:rPr>
        <w:t xml:space="preserve"> tool, and increasingly via e.g. EUROCITIES, ICLEI, CEMR, Committee of the Regions, Covenant of Mayors and </w:t>
      </w:r>
      <w:r>
        <w:rPr>
          <w:rFonts w:asciiTheme="minorHAnsi" w:hAnsiTheme="minorHAnsi"/>
          <w:sz w:val="16"/>
          <w:szCs w:val="16"/>
        </w:rPr>
        <w:t>others.</w:t>
      </w:r>
    </w:p>
  </w:footnote>
  <w:footnote w:id="79">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Protocol for the Protection of the Mediterranean Sea against Pollution Resulting from Exploration and Exploitation of the Continental Shelf and the Seabed and its Subsoil.</w:t>
      </w:r>
      <w:proofErr w:type="gramEnd"/>
      <w:r>
        <w:rPr>
          <w:rFonts w:asciiTheme="minorHAnsi" w:hAnsiTheme="minorHAnsi"/>
          <w:sz w:val="16"/>
          <w:szCs w:val="16"/>
        </w:rPr>
        <w:t xml:space="preserve">   </w:t>
      </w:r>
    </w:p>
  </w:footnote>
  <w:footnote w:id="80">
    <w:p w:rsidR="004A120F" w:rsidRDefault="000A0796">
      <w:pPr>
        <w:autoSpaceDE w:val="0"/>
        <w:autoSpaceDN w:val="0"/>
        <w:adjustRightInd w:val="0"/>
        <w:spacing w:after="0" w:line="240" w:lineRule="auto"/>
        <w:rPr>
          <w:rStyle w:val="Hyperlink"/>
          <w:rFonts w:ascii="Calibri" w:hAnsi="Calibri" w:cs="FrizQuadrata-Bold"/>
          <w:bCs/>
          <w:sz w:val="16"/>
          <w:szCs w:val="16"/>
        </w:rPr>
      </w:pPr>
      <w:r>
        <w:rPr>
          <w:rStyle w:val="FootnoteReference"/>
          <w:sz w:val="16"/>
          <w:szCs w:val="16"/>
        </w:rPr>
        <w:footnoteRef/>
      </w:r>
      <w:r>
        <w:rPr>
          <w:sz w:val="16"/>
          <w:szCs w:val="16"/>
        </w:rPr>
        <w:t xml:space="preserve"> </w:t>
      </w:r>
      <w:r>
        <w:rPr>
          <w:rFonts w:ascii="Calibri" w:hAnsi="Calibri" w:cs="FrizQuadrata-Bold"/>
          <w:bCs/>
          <w:sz w:val="16"/>
          <w:szCs w:val="16"/>
        </w:rPr>
        <w:fldChar w:fldCharType="begin"/>
      </w:r>
      <w:r>
        <w:rPr>
          <w:rFonts w:ascii="Calibri" w:hAnsi="Calibri" w:cs="FrizQuadrata-Bold"/>
          <w:bCs/>
          <w:sz w:val="16"/>
          <w:szCs w:val="16"/>
        </w:rPr>
        <w:instrText xml:space="preserve"> HYPERLINK "https://www.cbd.int/abs/doc/protocol/nagoya-protocol-en.p</w:instrText>
      </w:r>
      <w:r>
        <w:rPr>
          <w:rFonts w:ascii="Calibri" w:hAnsi="Calibri" w:cs="FrizQuadrata-Bold"/>
          <w:bCs/>
          <w:sz w:val="16"/>
          <w:szCs w:val="16"/>
        </w:rPr>
        <w:instrText xml:space="preserve">df" </w:instrText>
      </w:r>
      <w:r>
        <w:rPr>
          <w:rFonts w:ascii="Calibri" w:hAnsi="Calibri" w:cs="FrizQuadrata-Bold"/>
          <w:bCs/>
          <w:sz w:val="16"/>
          <w:szCs w:val="16"/>
        </w:rPr>
        <w:fldChar w:fldCharType="separate"/>
      </w:r>
      <w:r>
        <w:rPr>
          <w:rStyle w:val="Hyperlink"/>
          <w:rFonts w:ascii="Calibri" w:hAnsi="Calibri" w:cs="FrizQuadrata-Bold"/>
          <w:bCs/>
          <w:sz w:val="16"/>
          <w:szCs w:val="16"/>
        </w:rPr>
        <w:t>Nagoya protocol on access to genetic resources and the fair and equitable sharing of benefits arising from their utilization to the</w:t>
      </w:r>
    </w:p>
    <w:p w:rsidR="004A120F" w:rsidRDefault="000A0796">
      <w:pPr>
        <w:pStyle w:val="FootnoteText"/>
        <w:widowControl w:val="0"/>
        <w:ind w:left="170" w:hanging="170"/>
        <w:rPr>
          <w:rFonts w:asciiTheme="minorHAnsi" w:hAnsiTheme="minorHAnsi"/>
          <w:sz w:val="16"/>
          <w:szCs w:val="16"/>
        </w:rPr>
      </w:pPr>
      <w:r>
        <w:rPr>
          <w:rStyle w:val="Hyperlink"/>
          <w:rFonts w:cs="FrizQuadrata-Bold"/>
          <w:bCs/>
          <w:sz w:val="16"/>
          <w:szCs w:val="16"/>
        </w:rPr>
        <w:t>Convention on biological diversity</w:t>
      </w:r>
      <w:r>
        <w:rPr>
          <w:rFonts w:eastAsiaTheme="minorHAnsi" w:cs="FrizQuadrata-Bold"/>
          <w:bCs/>
          <w:sz w:val="16"/>
          <w:szCs w:val="16"/>
        </w:rPr>
        <w:fldChar w:fldCharType="end"/>
      </w:r>
    </w:p>
  </w:footnote>
  <w:footnote w:id="81">
    <w:p w:rsidR="004A120F" w:rsidRDefault="000A0796">
      <w:pPr>
        <w:pStyle w:val="FootnoteText"/>
        <w:widowControl w:val="0"/>
        <w:ind w:left="113" w:hanging="113"/>
        <w:rPr>
          <w:sz w:val="16"/>
          <w:szCs w:val="16"/>
        </w:rPr>
      </w:pPr>
      <w:r>
        <w:rPr>
          <w:rStyle w:val="FootnoteReference"/>
          <w:sz w:val="16"/>
          <w:szCs w:val="16"/>
        </w:rPr>
        <w:footnoteRef/>
      </w:r>
      <w:r>
        <w:rPr>
          <w:sz w:val="16"/>
          <w:szCs w:val="16"/>
        </w:rPr>
        <w:t xml:space="preserve"> </w:t>
      </w:r>
      <w:proofErr w:type="gramStart"/>
      <w:r>
        <w:rPr>
          <w:sz w:val="16"/>
          <w:szCs w:val="16"/>
        </w:rPr>
        <w:t>Eunomia Research and Consulting, IEEP, Aarhus University, ENT, 2016.</w:t>
      </w:r>
      <w:proofErr w:type="gramEnd"/>
      <w:r>
        <w:rPr>
          <w:sz w:val="16"/>
          <w:szCs w:val="16"/>
        </w:rPr>
        <w:t xml:space="preserve"> </w:t>
      </w:r>
      <w:hyperlink r:id="rId50" w:history="1">
        <w:r>
          <w:rPr>
            <w:rStyle w:val="Hyperlink"/>
            <w:sz w:val="16"/>
            <w:szCs w:val="16"/>
          </w:rPr>
          <w:t>Study on Assessing the Environmental Fiscal Reform Potential for the EU28</w:t>
        </w:r>
      </w:hyperlink>
      <w:r>
        <w:rPr>
          <w:rStyle w:val="Hyperlink"/>
          <w:sz w:val="16"/>
          <w:szCs w:val="16"/>
        </w:rPr>
        <w:t xml:space="preserve">. </w:t>
      </w:r>
      <w:r>
        <w:rPr>
          <w:sz w:val="16"/>
          <w:szCs w:val="16"/>
        </w:rPr>
        <w:t>N.B. National governments are responsible for setting</w:t>
      </w:r>
      <w:r>
        <w:rPr>
          <w:sz w:val="16"/>
          <w:szCs w:val="16"/>
        </w:rPr>
        <w:t xml:space="preserve"> tax rates within the EU Single Market rules and this report is not suggesting concrete changes as to the level of environmental taxation. It merely presents the findings of the 2016 study by Eunomia </w:t>
      </w:r>
      <w:r>
        <w:rPr>
          <w:i/>
          <w:iCs/>
          <w:sz w:val="16"/>
          <w:szCs w:val="16"/>
        </w:rPr>
        <w:t>et al</w:t>
      </w:r>
      <w:r>
        <w:rPr>
          <w:sz w:val="16"/>
          <w:szCs w:val="16"/>
        </w:rPr>
        <w:t xml:space="preserve"> on the potential benefits various environmental ta</w:t>
      </w:r>
      <w:r>
        <w:rPr>
          <w:sz w:val="16"/>
          <w:szCs w:val="16"/>
        </w:rPr>
        <w:t>xes could bring. It is then for the national authorities to assess this study and their concrete impacts in the national context. A first step in this respect, already done by a number of Member States, is to set up expert groups to assess these and make s</w:t>
      </w:r>
      <w:r>
        <w:rPr>
          <w:sz w:val="16"/>
          <w:szCs w:val="16"/>
        </w:rPr>
        <w:t>pecific proposals.</w:t>
      </w:r>
    </w:p>
  </w:footnote>
  <w:footnote w:id="82">
    <w:p w:rsidR="004A120F" w:rsidRDefault="000A0796">
      <w:pPr>
        <w:pStyle w:val="FootnoteText"/>
      </w:pPr>
      <w:r>
        <w:rPr>
          <w:rStyle w:val="FootnoteReference"/>
        </w:rPr>
        <w:footnoteRef/>
      </w:r>
      <w:r>
        <w:t xml:space="preserve"> </w:t>
      </w:r>
      <w:r>
        <w:rPr>
          <w:sz w:val="16"/>
          <w:szCs w:val="16"/>
        </w:rPr>
        <w:t>The good practice scenario means benchmarking to a successful taxation practice in another Member State.</w:t>
      </w:r>
    </w:p>
  </w:footnote>
  <w:footnote w:id="83">
    <w:p w:rsidR="004A120F" w:rsidRDefault="000A0796">
      <w:pPr>
        <w:pStyle w:val="FootnoteText"/>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Eurostat, </w:t>
      </w:r>
      <w:hyperlink r:id="rId51" w:history="1">
        <w:proofErr w:type="spellStart"/>
        <w:r>
          <w:rPr>
            <w:rStyle w:val="Hyperlink"/>
            <w:rFonts w:asciiTheme="minorHAnsi" w:hAnsiTheme="minorHAnsi"/>
            <w:sz w:val="16"/>
            <w:szCs w:val="16"/>
            <w:lang w:val="fr-BE"/>
          </w:rPr>
          <w:t>Environmental</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tax</w:t>
        </w:r>
        <w:proofErr w:type="spellEnd"/>
        <w:r>
          <w:rPr>
            <w:rStyle w:val="Hyperlink"/>
            <w:rFonts w:asciiTheme="minorHAnsi" w:hAnsiTheme="minorHAnsi"/>
            <w:sz w:val="16"/>
            <w:szCs w:val="16"/>
            <w:lang w:val="fr-BE"/>
          </w:rPr>
          <w:t xml:space="preserve"> revenues</w:t>
        </w:r>
      </w:hyperlink>
      <w:r>
        <w:rPr>
          <w:rFonts w:asciiTheme="minorHAnsi" w:hAnsiTheme="minorHAnsi"/>
          <w:sz w:val="16"/>
          <w:szCs w:val="16"/>
          <w:lang w:val="fr-BE"/>
        </w:rPr>
        <w:t xml:space="preserve">, </w:t>
      </w:r>
      <w:proofErr w:type="spellStart"/>
      <w:r>
        <w:rPr>
          <w:rFonts w:asciiTheme="minorHAnsi" w:hAnsiTheme="minorHAnsi"/>
          <w:sz w:val="16"/>
          <w:szCs w:val="16"/>
          <w:lang w:val="fr-BE"/>
        </w:rPr>
        <w:t>accessed</w:t>
      </w:r>
      <w:proofErr w:type="spellEnd"/>
      <w:r>
        <w:rPr>
          <w:rFonts w:asciiTheme="minorHAnsi" w:hAnsiTheme="minorHAnsi"/>
          <w:sz w:val="16"/>
          <w:szCs w:val="16"/>
          <w:lang w:val="fr-BE"/>
        </w:rPr>
        <w:t xml:space="preserve"> </w:t>
      </w:r>
      <w:proofErr w:type="spellStart"/>
      <w:r>
        <w:rPr>
          <w:rFonts w:asciiTheme="minorHAnsi" w:hAnsiTheme="minorHAnsi"/>
          <w:sz w:val="16"/>
          <w:szCs w:val="16"/>
          <w:lang w:val="fr-BE"/>
        </w:rPr>
        <w:t>October</w:t>
      </w:r>
      <w:proofErr w:type="spellEnd"/>
      <w:r>
        <w:rPr>
          <w:rFonts w:asciiTheme="minorHAnsi" w:hAnsiTheme="minorHAnsi"/>
          <w:sz w:val="16"/>
          <w:szCs w:val="16"/>
          <w:lang w:val="fr-BE"/>
        </w:rPr>
        <w:t xml:space="preserve"> 2016</w:t>
      </w:r>
    </w:p>
  </w:footnote>
  <w:footnote w:id="84">
    <w:p w:rsidR="004A120F" w:rsidRDefault="000A0796">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52" w:history="1">
        <w:r>
          <w:rPr>
            <w:rStyle w:val="Hyperlink"/>
            <w:rFonts w:asciiTheme="minorHAnsi" w:hAnsiTheme="minorHAnsi"/>
            <w:sz w:val="16"/>
            <w:szCs w:val="16"/>
          </w:rPr>
          <w:t>Public procurement</w:t>
        </w:r>
      </w:hyperlink>
    </w:p>
  </w:footnote>
  <w:footnote w:id="85">
    <w:p w:rsidR="004A120F" w:rsidRDefault="000A0796">
      <w:pPr>
        <w:pStyle w:val="FootnoteText"/>
        <w:widowControl w:val="0"/>
        <w:ind w:left="113" w:hanging="113"/>
        <w:rPr>
          <w:sz w:val="16"/>
          <w:szCs w:val="16"/>
          <w:vertAlign w:val="superscript"/>
        </w:rPr>
      </w:pPr>
      <w:r>
        <w:rPr>
          <w:rStyle w:val="FootnoteReference"/>
          <w:sz w:val="16"/>
          <w:szCs w:val="16"/>
        </w:rPr>
        <w:footnoteRef/>
      </w:r>
      <w:r>
        <w:rPr>
          <w:sz w:val="16"/>
          <w:szCs w:val="16"/>
          <w:vertAlign w:val="superscript"/>
        </w:rPr>
        <w:t xml:space="preserve"> </w:t>
      </w:r>
      <w:r>
        <w:rPr>
          <w:sz w:val="16"/>
          <w:szCs w:val="16"/>
          <w:lang w:val="en"/>
        </w:rPr>
        <w:t xml:space="preserve">In the Communication “Public procurement for a better environment” </w:t>
      </w:r>
      <w:hyperlink r:id="rId53" w:history="1">
        <w:r>
          <w:rPr>
            <w:rStyle w:val="Hyperlink"/>
            <w:sz w:val="16"/>
            <w:szCs w:val="16"/>
            <w:lang w:val="en"/>
          </w:rPr>
          <w:t>(COM /2008/400)</w:t>
        </w:r>
      </w:hyperlink>
      <w:r>
        <w:rPr>
          <w:sz w:val="16"/>
          <w:szCs w:val="16"/>
          <w:lang w:val="en"/>
        </w:rPr>
        <w:t xml:space="preserve"> the Commission recommended the creation of a process for setting common GPP criteria. The basic concept of GPP relies on having clear,</w:t>
      </w:r>
      <w:r>
        <w:rPr>
          <w:sz w:val="16"/>
          <w:szCs w:val="16"/>
          <w:lang w:val="en"/>
        </w:rPr>
        <w:t xml:space="preserve"> verifiable, justifiable and ambitious environmental criteria for products and services, based on a life-cycle approach and scientific evidence base.</w:t>
      </w:r>
    </w:p>
  </w:footnote>
  <w:footnote w:id="86">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54" w:history="1">
        <w:r>
          <w:rPr>
            <w:rStyle w:val="Hyperlink"/>
            <w:rFonts w:asciiTheme="minorHAnsi" w:hAnsiTheme="minorHAnsi"/>
            <w:sz w:val="16"/>
            <w:szCs w:val="16"/>
          </w:rPr>
          <w:t>Docume</w:t>
        </w:r>
        <w:r>
          <w:rPr>
            <w:rStyle w:val="Hyperlink"/>
            <w:rFonts w:asciiTheme="minorHAnsi" w:hAnsiTheme="minorHAnsi"/>
            <w:sz w:val="16"/>
            <w:szCs w:val="16"/>
          </w:rPr>
          <w:t>ntation on National GPP Action Plans</w:t>
        </w:r>
      </w:hyperlink>
    </w:p>
  </w:footnote>
  <w:footnote w:id="87">
    <w:p w:rsidR="004A120F" w:rsidRDefault="000A0796">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55" w:history="1">
        <w:r>
          <w:rPr>
            <w:rStyle w:val="Hyperlink"/>
            <w:rFonts w:asciiTheme="minorHAnsi" w:hAnsiTheme="minorHAnsi"/>
            <w:sz w:val="16"/>
            <w:szCs w:val="16"/>
          </w:rPr>
          <w:t>National Reform Programme 2016 of Malta</w:t>
        </w:r>
      </w:hyperlink>
      <w:r>
        <w:rPr>
          <w:rFonts w:asciiTheme="minorHAnsi" w:hAnsiTheme="minorHAnsi"/>
          <w:sz w:val="16"/>
          <w:szCs w:val="16"/>
        </w:rPr>
        <w:t>, p. 51-52.</w:t>
      </w:r>
    </w:p>
  </w:footnote>
  <w:footnote w:id="88">
    <w:p w:rsidR="004A120F" w:rsidRDefault="000A0796">
      <w:pPr>
        <w:pStyle w:val="FootnoteText"/>
        <w:ind w:left="170" w:hanging="170"/>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rPr>
        <w:t xml:space="preserve"> ESIF comprises five funds – the European Regional Development Funds (ERDF), the Cohesion Fund (CF), the European Social Fund (ESF), the European Agricultural Fund for Rural Development (EAFRD), and the European Maritime and Fisheries Fund (EMFF). The ERDF</w:t>
      </w:r>
      <w:r>
        <w:rPr>
          <w:rFonts w:asciiTheme="minorHAnsi" w:hAnsiTheme="minorHAnsi" w:cstheme="minorHAnsi"/>
          <w:sz w:val="16"/>
          <w:szCs w:val="16"/>
        </w:rPr>
        <w:t>, the CF and the ESF together form the Cohesion Policy funds.</w:t>
      </w:r>
    </w:p>
  </w:footnote>
  <w:footnote w:id="89">
    <w:p w:rsidR="004A120F" w:rsidRDefault="000A0796">
      <w:pPr>
        <w:pStyle w:val="FootnoteText"/>
        <w:widowControl w:val="0"/>
        <w:ind w:left="170" w:hanging="170"/>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vertAlign w:val="superscript"/>
        </w:rPr>
        <w:t xml:space="preserve"> </w:t>
      </w:r>
      <w:r>
        <w:rPr>
          <w:rFonts w:asciiTheme="minorHAnsi" w:hAnsiTheme="minorHAnsi" w:cstheme="minorHAnsi"/>
          <w:sz w:val="16"/>
          <w:szCs w:val="16"/>
        </w:rPr>
        <w:t xml:space="preserve">European Investment Bank, 2016 </w:t>
      </w:r>
      <w:hyperlink r:id="rId56" w:history="1">
        <w:r>
          <w:rPr>
            <w:rStyle w:val="Hyperlink"/>
            <w:rFonts w:asciiTheme="minorHAnsi" w:hAnsiTheme="minorHAnsi" w:cstheme="minorHAnsi"/>
            <w:sz w:val="16"/>
            <w:szCs w:val="16"/>
          </w:rPr>
          <w:t>European Fund for Strategic Investments</w:t>
        </w:r>
      </w:hyperlink>
    </w:p>
  </w:footnote>
  <w:footnote w:id="90">
    <w:p w:rsidR="004A120F" w:rsidRDefault="000A0796">
      <w:pPr>
        <w:pStyle w:val="FootnoteText"/>
        <w:widowControl w:val="0"/>
        <w:ind w:left="170" w:hanging="170"/>
        <w:rPr>
          <w:rStyle w:val="Hyperlink"/>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57" w:history="1">
        <w:r>
          <w:rPr>
            <w:rStyle w:val="Hyperlink"/>
            <w:rFonts w:asciiTheme="minorHAnsi" w:hAnsiTheme="minorHAnsi"/>
            <w:sz w:val="16"/>
            <w:szCs w:val="16"/>
          </w:rPr>
          <w:t>Operational</w:t>
        </w:r>
      </w:hyperlink>
      <w:r>
        <w:rPr>
          <w:rStyle w:val="Hyperlink"/>
          <w:rFonts w:asciiTheme="minorHAnsi" w:hAnsiTheme="minorHAnsi"/>
          <w:sz w:val="16"/>
          <w:szCs w:val="16"/>
        </w:rPr>
        <w:t xml:space="preserve"> Programme </w:t>
      </w:r>
      <w:r>
        <w:rPr>
          <w:rFonts w:asciiTheme="minorHAnsi" w:hAnsiTheme="minorHAnsi"/>
          <w:sz w:val="16"/>
          <w:szCs w:val="16"/>
        </w:rPr>
        <w:t xml:space="preserve">, </w:t>
      </w:r>
      <w:r>
        <w:rPr>
          <w:rFonts w:asciiTheme="minorHAnsi" w:hAnsiTheme="minorHAnsi"/>
          <w:sz w:val="16"/>
          <w:szCs w:val="16"/>
        </w:rPr>
        <w:fldChar w:fldCharType="begin"/>
      </w:r>
      <w:r>
        <w:rPr>
          <w:rFonts w:asciiTheme="minorHAnsi" w:hAnsiTheme="minorHAnsi"/>
          <w:sz w:val="16"/>
          <w:szCs w:val="16"/>
        </w:rPr>
        <w:instrText xml:space="preserve"> HYPERLINK "https://eufunds.gov.mt/en/Operational%20Programmes/Programming%20Period%202014%20-%202020/Operational%20Programme%201/Documen</w:instrText>
      </w:r>
      <w:r>
        <w:rPr>
          <w:rFonts w:asciiTheme="minorHAnsi" w:hAnsiTheme="minorHAnsi"/>
          <w:sz w:val="16"/>
          <w:szCs w:val="16"/>
        </w:rPr>
        <w:instrText xml:space="preserve">ts/Adopted%20OPI(ff).pdf" </w:instrText>
      </w:r>
      <w:r>
        <w:rPr>
          <w:rFonts w:asciiTheme="minorHAnsi" w:hAnsiTheme="minorHAnsi"/>
          <w:sz w:val="16"/>
          <w:szCs w:val="16"/>
        </w:rPr>
        <w:fldChar w:fldCharType="separate"/>
      </w:r>
      <w:r>
        <w:rPr>
          <w:rStyle w:val="Hyperlink"/>
          <w:rFonts w:asciiTheme="minorHAnsi" w:hAnsiTheme="minorHAnsi"/>
          <w:sz w:val="16"/>
          <w:szCs w:val="16"/>
        </w:rPr>
        <w:t>Fostering a competitive and sustainable</w:t>
      </w:r>
    </w:p>
    <w:p w:rsidR="004A120F" w:rsidRDefault="000A0796">
      <w:pPr>
        <w:pStyle w:val="FootnoteText"/>
        <w:widowControl w:val="0"/>
        <w:ind w:left="170" w:hanging="170"/>
        <w:rPr>
          <w:rFonts w:asciiTheme="minorHAnsi" w:hAnsiTheme="minorHAnsi"/>
          <w:sz w:val="16"/>
          <w:szCs w:val="16"/>
        </w:rPr>
      </w:pPr>
      <w:r>
        <w:rPr>
          <w:rStyle w:val="Hyperlink"/>
          <w:rFonts w:asciiTheme="minorHAnsi" w:hAnsiTheme="minorHAnsi"/>
          <w:sz w:val="16"/>
          <w:szCs w:val="16"/>
        </w:rPr>
        <w:t>economy to meet our challenges</w:t>
      </w:r>
      <w:r>
        <w:rPr>
          <w:rFonts w:asciiTheme="minorHAnsi" w:hAnsiTheme="minorHAnsi"/>
          <w:sz w:val="16"/>
          <w:szCs w:val="16"/>
        </w:rPr>
        <w:fldChar w:fldCharType="end"/>
      </w:r>
      <w:r>
        <w:rPr>
          <w:rFonts w:asciiTheme="minorHAnsi" w:hAnsiTheme="minorHAnsi"/>
          <w:sz w:val="16"/>
          <w:szCs w:val="16"/>
        </w:rPr>
        <w:t xml:space="preserve">  p. 326 </w:t>
      </w:r>
    </w:p>
  </w:footnote>
  <w:footnote w:id="91">
    <w:p w:rsidR="004A120F" w:rsidRDefault="000A0796">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58" w:history="1">
        <w:r>
          <w:rPr>
            <w:rStyle w:val="Hyperlink"/>
            <w:rFonts w:asciiTheme="minorHAnsi" w:hAnsiTheme="minorHAnsi"/>
            <w:sz w:val="16"/>
            <w:szCs w:val="16"/>
          </w:rPr>
          <w:t>European Structural and Investment Funds Data By Country</w:t>
        </w:r>
      </w:hyperlink>
    </w:p>
  </w:footnote>
  <w:footnote w:id="92">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w:t>
      </w:r>
      <w:r>
        <w:rPr>
          <w:rFonts w:asciiTheme="minorHAnsi" w:hAnsiTheme="minorHAnsi"/>
          <w:sz w:val="16"/>
          <w:szCs w:val="16"/>
        </w:rPr>
        <w:t>ission</w:t>
      </w:r>
      <w:r>
        <w:rPr>
          <w:rFonts w:asciiTheme="minorHAnsi" w:hAnsiTheme="minorHAnsi" w:cs="Calibri"/>
          <w:sz w:val="16"/>
          <w:szCs w:val="16"/>
        </w:rPr>
        <w:t xml:space="preserve"> delegated regulation </w:t>
      </w:r>
      <w:hyperlink r:id="rId59" w:history="1">
        <w:r>
          <w:rPr>
            <w:rStyle w:val="Hyperlink"/>
            <w:rFonts w:asciiTheme="minorHAnsi" w:hAnsiTheme="minorHAnsi" w:cs="Calibri"/>
            <w:sz w:val="16"/>
            <w:szCs w:val="16"/>
          </w:rPr>
          <w:t>(EU) 2015/851)</w:t>
        </w:r>
      </w:hyperlink>
      <w:r>
        <w:rPr>
          <w:rFonts w:asciiTheme="minorHAnsi" w:hAnsiTheme="minorHAnsi" w:cs="Calibri"/>
          <w:sz w:val="16"/>
          <w:szCs w:val="16"/>
        </w:rPr>
        <w:t xml:space="preserve"> establishing rules for direct payments to farmers under support schemes within the framework of the common agricultural policy</w:t>
      </w:r>
    </w:p>
  </w:footnote>
  <w:footnote w:id="93">
    <w:p w:rsidR="004A120F" w:rsidRDefault="000A0796">
      <w:pPr>
        <w:widowControl w:val="0"/>
        <w:spacing w:after="0" w:line="240" w:lineRule="auto"/>
        <w:ind w:left="170" w:hanging="170"/>
        <w:rPr>
          <w:b/>
          <w:sz w:val="16"/>
          <w:szCs w:val="16"/>
        </w:rPr>
      </w:pPr>
      <w:r>
        <w:rPr>
          <w:rStyle w:val="FootnoteReference"/>
          <w:sz w:val="16"/>
          <w:szCs w:val="16"/>
        </w:rPr>
        <w:footnoteRef/>
      </w:r>
      <w:r>
        <w:rPr>
          <w:sz w:val="16"/>
          <w:szCs w:val="16"/>
        </w:rPr>
        <w:t xml:space="preserve"> The Commission has work ongoing to improve the country-specific knowledge about quality and functioning of the administrative systems of Member States.</w:t>
      </w:r>
    </w:p>
  </w:footnote>
  <w:footnote w:id="94">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World Bank, </w:t>
      </w:r>
      <w:hyperlink r:id="rId60" w:anchor="countryReports" w:history="1">
        <w:r>
          <w:rPr>
            <w:rStyle w:val="Hyperlink"/>
            <w:rFonts w:asciiTheme="minorHAnsi" w:hAnsiTheme="minorHAnsi"/>
            <w:sz w:val="16"/>
            <w:szCs w:val="16"/>
          </w:rPr>
          <w:t>Worldwide Governance Indicators 2015</w:t>
        </w:r>
      </w:hyperlink>
    </w:p>
  </w:footnote>
  <w:footnote w:id="95">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 xml:space="preserve">European Commission, </w:t>
      </w:r>
      <w:hyperlink r:id="rId61" w:history="1">
        <w:r>
          <w:rPr>
            <w:rStyle w:val="Hyperlink"/>
            <w:rFonts w:asciiTheme="minorHAnsi" w:hAnsiTheme="minorHAnsi"/>
            <w:sz w:val="16"/>
            <w:szCs w:val="16"/>
          </w:rPr>
          <w:t>Council Recommendation on the 2016 national reform programme of Malta and delivering a Council opinion on the 2016 s</w:t>
        </w:r>
        <w:r>
          <w:rPr>
            <w:rStyle w:val="Hyperlink"/>
            <w:rFonts w:asciiTheme="minorHAnsi" w:hAnsiTheme="minorHAnsi"/>
            <w:sz w:val="16"/>
            <w:szCs w:val="16"/>
          </w:rPr>
          <w:t>tability programme of Malta</w:t>
        </w:r>
      </w:hyperlink>
      <w:r>
        <w:rPr>
          <w:rFonts w:asciiTheme="minorHAnsi" w:hAnsiTheme="minorHAnsi"/>
          <w:sz w:val="16"/>
          <w:szCs w:val="16"/>
        </w:rPr>
        <w:t>, p. 4.</w:t>
      </w:r>
      <w:proofErr w:type="gramEnd"/>
    </w:p>
  </w:footnote>
  <w:footnote w:id="96">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2" w:history="1">
        <w:r>
          <w:rPr>
            <w:rStyle w:val="Hyperlink"/>
            <w:rFonts w:asciiTheme="minorHAnsi" w:hAnsiTheme="minorHAnsi"/>
            <w:sz w:val="16"/>
            <w:szCs w:val="16"/>
          </w:rPr>
          <w:t>Partnership Agreement of Malta 2014-2020</w:t>
        </w:r>
      </w:hyperlink>
      <w:r>
        <w:rPr>
          <w:rFonts w:asciiTheme="minorHAnsi" w:hAnsiTheme="minorHAnsi"/>
          <w:sz w:val="16"/>
          <w:szCs w:val="16"/>
        </w:rPr>
        <w:t>, p. 170.</w:t>
      </w:r>
    </w:p>
  </w:footnote>
  <w:footnote w:id="97">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3" w:history="1">
        <w:r>
          <w:rPr>
            <w:rStyle w:val="Hyperlink"/>
            <w:rFonts w:asciiTheme="minorHAnsi" w:hAnsiTheme="minorHAnsi"/>
            <w:sz w:val="16"/>
            <w:szCs w:val="16"/>
          </w:rPr>
          <w:t>Partnership Agreement of Malta 2014-2020</w:t>
        </w:r>
      </w:hyperlink>
      <w:r>
        <w:rPr>
          <w:rFonts w:asciiTheme="minorHAnsi" w:hAnsiTheme="minorHAnsi"/>
          <w:sz w:val="16"/>
          <w:szCs w:val="16"/>
        </w:rPr>
        <w:t>, p. 243.</w:t>
      </w:r>
    </w:p>
  </w:footnote>
  <w:footnote w:id="98">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64" w:anchor="Land_cover_in_the_EU_Member_States" w:history="1">
        <w:r>
          <w:rPr>
            <w:rStyle w:val="Hyperlink"/>
            <w:rFonts w:asciiTheme="minorHAnsi" w:hAnsiTheme="minorHAnsi"/>
            <w:sz w:val="16"/>
            <w:szCs w:val="16"/>
          </w:rPr>
          <w:t>Land cover statistics</w:t>
        </w:r>
      </w:hyperlink>
      <w:r>
        <w:rPr>
          <w:rFonts w:asciiTheme="minorHAnsi" w:hAnsiTheme="minorHAnsi"/>
          <w:sz w:val="16"/>
          <w:szCs w:val="16"/>
        </w:rPr>
        <w:t>, access</w:t>
      </w:r>
      <w:r>
        <w:rPr>
          <w:rFonts w:asciiTheme="minorHAnsi" w:hAnsiTheme="minorHAnsi"/>
          <w:sz w:val="16"/>
          <w:szCs w:val="16"/>
        </w:rPr>
        <w:t xml:space="preserve">ed June 2016 </w:t>
      </w:r>
    </w:p>
  </w:footnote>
  <w:footnote w:id="99">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transposition of Directive 2014/52/EU is due in May 2017.</w:t>
      </w:r>
    </w:p>
  </w:footnote>
  <w:footnote w:id="100">
    <w:p w:rsidR="004A120F" w:rsidRDefault="000A0796">
      <w:pPr>
        <w:pStyle w:val="FootnoteText"/>
        <w:ind w:left="227" w:hanging="227"/>
        <w:rPr>
          <w:sz w:val="16"/>
          <w:szCs w:val="16"/>
        </w:rPr>
      </w:pPr>
      <w:r>
        <w:rPr>
          <w:rStyle w:val="FootnoteReference"/>
          <w:sz w:val="16"/>
          <w:szCs w:val="16"/>
        </w:rPr>
        <w:footnoteRef/>
      </w:r>
      <w:r>
        <w:rPr>
          <w:sz w:val="16"/>
          <w:szCs w:val="16"/>
          <w:vertAlign w:val="superscript"/>
        </w:rPr>
        <w:t xml:space="preserve"> </w:t>
      </w:r>
      <w:proofErr w:type="gramStart"/>
      <w:r>
        <w:rPr>
          <w:sz w:val="16"/>
          <w:szCs w:val="16"/>
        </w:rPr>
        <w:t>European Commission, 2016.</w:t>
      </w:r>
      <w:proofErr w:type="gramEnd"/>
      <w:r>
        <w:rPr>
          <w:sz w:val="16"/>
          <w:szCs w:val="16"/>
        </w:rPr>
        <w:t xml:space="preserve"> Commission notice — </w:t>
      </w:r>
      <w:hyperlink r:id="rId65" w:history="1">
        <w:r>
          <w:rPr>
            <w:rStyle w:val="Hyperlink"/>
            <w:rFonts w:asciiTheme="minorHAnsi" w:hAnsiTheme="minorHAnsi"/>
            <w:sz w:val="16"/>
            <w:szCs w:val="16"/>
          </w:rPr>
          <w:t>Commission guidance document on streamlining</w:t>
        </w:r>
        <w:r>
          <w:rPr>
            <w:rStyle w:val="Hyperlink"/>
            <w:rFonts w:asciiTheme="minorHAnsi" w:hAnsiTheme="minorHAnsi"/>
            <w:sz w:val="16"/>
            <w:szCs w:val="16"/>
          </w:rPr>
          <w:t xml:space="preserve"> environmental assessments conducted under Article 2(3) of the Environmental Impact Assessment Directive</w:t>
        </w:r>
      </w:hyperlink>
      <w:r>
        <w:rPr>
          <w:rStyle w:val="Hyperlink"/>
          <w:rFonts w:asciiTheme="minorHAnsi" w:hAnsiTheme="minorHAnsi"/>
        </w:rPr>
        <w:t xml:space="preserve"> (D</w:t>
      </w:r>
      <w:r>
        <w:rPr>
          <w:sz w:val="16"/>
          <w:szCs w:val="16"/>
        </w:rPr>
        <w:t>irective 2011/92/EU of the European Parliament and of the Council, as amended by Directive 2014/52/EU).</w:t>
      </w:r>
    </w:p>
  </w:footnote>
  <w:footnote w:id="101">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Government of Malta, </w:t>
      </w:r>
      <w:hyperlink r:id="rId66" w:history="1">
        <w:r>
          <w:rPr>
            <w:rStyle w:val="Hyperlink"/>
            <w:rFonts w:asciiTheme="minorHAnsi" w:hAnsiTheme="minorHAnsi"/>
            <w:sz w:val="16"/>
            <w:szCs w:val="16"/>
          </w:rPr>
          <w:t>Environment &amp; Resources Authority</w:t>
        </w:r>
      </w:hyperlink>
      <w:r>
        <w:rPr>
          <w:rFonts w:asciiTheme="minorHAnsi" w:hAnsiTheme="minorHAnsi"/>
          <w:sz w:val="16"/>
          <w:szCs w:val="16"/>
        </w:rPr>
        <w:t xml:space="preserve"> </w:t>
      </w:r>
    </w:p>
  </w:footnote>
  <w:footnote w:id="102">
    <w:p w:rsidR="004A120F" w:rsidRDefault="000A0796">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sz w:val="16"/>
          <w:szCs w:val="16"/>
        </w:rPr>
        <w:t xml:space="preserve">European Union, </w:t>
      </w:r>
      <w:hyperlink r:id="rId67" w:history="1">
        <w:r>
          <w:rPr>
            <w:rStyle w:val="Hyperlink"/>
            <w:sz w:val="16"/>
            <w:szCs w:val="16"/>
          </w:rPr>
          <w:t>Environmental Crime Directive 2008/99/EC</w:t>
        </w:r>
      </w:hyperlink>
    </w:p>
  </w:footnote>
  <w:footnote w:id="103">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8" w:history="1">
        <w:r>
          <w:rPr>
            <w:rStyle w:val="Hyperlink"/>
            <w:rFonts w:asciiTheme="minorHAnsi" w:hAnsiTheme="minorHAnsi"/>
            <w:sz w:val="16"/>
            <w:szCs w:val="16"/>
          </w:rPr>
          <w:t>European Union Network for the Implementation and Enforcement of Environmental Law</w:t>
        </w:r>
      </w:hyperlink>
    </w:p>
  </w:footnote>
  <w:footnote w:id="104">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9" w:history="1">
        <w:r>
          <w:rPr>
            <w:rStyle w:val="Hyperlink"/>
            <w:rFonts w:asciiTheme="minorHAnsi" w:hAnsiTheme="minorHAnsi"/>
            <w:sz w:val="16"/>
            <w:szCs w:val="16"/>
          </w:rPr>
          <w:t>European Union Forum of judges for the environment</w:t>
        </w:r>
      </w:hyperlink>
    </w:p>
  </w:footnote>
  <w:footnote w:id="105">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0" w:history="1">
        <w:r>
          <w:rPr>
            <w:rStyle w:val="Hyperlink"/>
            <w:rFonts w:asciiTheme="minorHAnsi" w:hAnsiTheme="minorHAnsi"/>
            <w:sz w:val="16"/>
            <w:szCs w:val="16"/>
          </w:rPr>
          <w:t>The European Network of Pr</w:t>
        </w:r>
        <w:r>
          <w:rPr>
            <w:rStyle w:val="Hyperlink"/>
            <w:rFonts w:asciiTheme="minorHAnsi" w:hAnsiTheme="minorHAnsi"/>
            <w:sz w:val="16"/>
            <w:szCs w:val="16"/>
          </w:rPr>
          <w:t>osecutors for the Environment</w:t>
        </w:r>
      </w:hyperlink>
    </w:p>
  </w:footnote>
  <w:footnote w:id="106">
    <w:p w:rsidR="004A120F" w:rsidRDefault="000A0796">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hyperlink r:id="rId71" w:history="1">
        <w:proofErr w:type="spellStart"/>
        <w:r>
          <w:rPr>
            <w:rStyle w:val="Hyperlink"/>
            <w:rFonts w:asciiTheme="minorHAnsi" w:hAnsiTheme="minorHAnsi"/>
            <w:sz w:val="16"/>
            <w:szCs w:val="16"/>
            <w:lang w:val="fr-BE"/>
          </w:rPr>
          <w:t>EnviCrimeNet</w:t>
        </w:r>
        <w:proofErr w:type="spellEnd"/>
      </w:hyperlink>
    </w:p>
  </w:footnote>
  <w:footnote w:id="107">
    <w:p w:rsidR="004A120F" w:rsidRDefault="000A0796">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proofErr w:type="spellStart"/>
      <w:r>
        <w:rPr>
          <w:rFonts w:asciiTheme="minorHAnsi" w:hAnsiTheme="minorHAnsi"/>
          <w:sz w:val="16"/>
          <w:szCs w:val="16"/>
          <w:lang w:val="fr-BE"/>
        </w:rPr>
        <w:t>European</w:t>
      </w:r>
      <w:proofErr w:type="spellEnd"/>
      <w:r>
        <w:rPr>
          <w:rFonts w:asciiTheme="minorHAnsi" w:hAnsiTheme="minorHAnsi"/>
          <w:sz w:val="16"/>
          <w:szCs w:val="16"/>
          <w:lang w:val="fr-BE"/>
        </w:rPr>
        <w:t xml:space="preserve"> Union, </w:t>
      </w:r>
      <w:hyperlink r:id="rId72" w:history="1">
        <w:proofErr w:type="spellStart"/>
        <w:r>
          <w:rPr>
            <w:rStyle w:val="Hyperlink"/>
            <w:rFonts w:asciiTheme="minorHAnsi" w:hAnsiTheme="minorHAnsi"/>
            <w:sz w:val="16"/>
            <w:szCs w:val="16"/>
            <w:lang w:val="fr-BE"/>
          </w:rPr>
          <w:t>Environmental</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Liability</w:t>
        </w:r>
        <w:proofErr w:type="spellEnd"/>
        <w:r>
          <w:rPr>
            <w:rStyle w:val="Hyperlink"/>
            <w:rFonts w:asciiTheme="minorHAnsi" w:hAnsiTheme="minorHAnsi"/>
            <w:sz w:val="16"/>
            <w:szCs w:val="16"/>
            <w:lang w:val="fr-BE"/>
          </w:rPr>
          <w:t xml:space="preserve"> Directive 2004/35/CE</w:t>
        </w:r>
      </w:hyperlink>
    </w:p>
  </w:footnote>
  <w:footnote w:id="108">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3" w:history="1">
        <w:proofErr w:type="gramStart"/>
        <w:r>
          <w:rPr>
            <w:rStyle w:val="Hyperlink"/>
            <w:rFonts w:asciiTheme="minorHAnsi" w:hAnsiTheme="minorHAnsi"/>
            <w:sz w:val="16"/>
            <w:szCs w:val="16"/>
          </w:rPr>
          <w:t>COM(</w:t>
        </w:r>
        <w:proofErr w:type="gramEnd"/>
        <w:r>
          <w:rPr>
            <w:rStyle w:val="Hyperlink"/>
            <w:rFonts w:asciiTheme="minorHAnsi" w:hAnsiTheme="minorHAnsi"/>
            <w:sz w:val="16"/>
            <w:szCs w:val="16"/>
          </w:rPr>
          <w:t>2016)204 final</w:t>
        </w:r>
      </w:hyperlink>
      <w:r>
        <w:rPr>
          <w:rFonts w:asciiTheme="minorHAnsi" w:hAnsiTheme="minorHAnsi"/>
          <w:sz w:val="16"/>
          <w:szCs w:val="16"/>
        </w:rPr>
        <w:t xml:space="preserve"> and </w:t>
      </w:r>
      <w:hyperlink r:id="rId74" w:history="1">
        <w:r>
          <w:rPr>
            <w:rStyle w:val="Hyperlink"/>
            <w:rFonts w:asciiTheme="minorHAnsi" w:hAnsiTheme="minorHAnsi"/>
            <w:sz w:val="16"/>
            <w:szCs w:val="16"/>
          </w:rPr>
          <w:t>COM(2016)121 final</w:t>
        </w:r>
      </w:hyperlink>
      <w:r>
        <w:rPr>
          <w:rFonts w:asciiTheme="minorHAnsi" w:hAnsiTheme="minorHAnsi"/>
          <w:sz w:val="16"/>
          <w:szCs w:val="16"/>
        </w:rPr>
        <w:t xml:space="preserve"> of 14.4.2016. This highlighted the need for better e</w:t>
      </w:r>
      <w:r>
        <w:rPr>
          <w:rFonts w:asciiTheme="minorHAnsi" w:hAnsiTheme="minorHAnsi"/>
          <w:sz w:val="16"/>
          <w:szCs w:val="16"/>
        </w:rPr>
        <w:t>vidence on how the directive is used in practice; for tools to support its implementation, such as guidance, training and ELD registers; and for financial security to be available in case events or incidents generate remediation costs</w:t>
      </w:r>
    </w:p>
  </w:footnote>
  <w:footnote w:id="109">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In the Commission Report on the implementation of Recommendation 2001/331/EC providing for minimum criteria for environmental inspections Malta was identified as less successful in applying the criteria set (See Commission Staff Working Document </w:t>
      </w:r>
      <w:proofErr w:type="gramStart"/>
      <w:r>
        <w:rPr>
          <w:rFonts w:asciiTheme="minorHAnsi" w:hAnsiTheme="minorHAnsi"/>
          <w:sz w:val="16"/>
          <w:szCs w:val="16"/>
        </w:rPr>
        <w:t>SEC(</w:t>
      </w:r>
      <w:proofErr w:type="gramEnd"/>
      <w:r>
        <w:rPr>
          <w:rFonts w:asciiTheme="minorHAnsi" w:hAnsiTheme="minorHAnsi"/>
          <w:sz w:val="16"/>
          <w:szCs w:val="16"/>
        </w:rPr>
        <w:t>2007)</w:t>
      </w:r>
      <w:r>
        <w:rPr>
          <w:rFonts w:asciiTheme="minorHAnsi" w:hAnsiTheme="minorHAnsi"/>
          <w:sz w:val="16"/>
          <w:szCs w:val="16"/>
        </w:rPr>
        <w:t xml:space="preserve">1493, p. 6, 15 and 20). </w:t>
      </w:r>
    </w:p>
  </w:footnote>
  <w:footnote w:id="110">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 system for risk-assessment to determine inspection frequency was introduced first in 2010 and was further developed in 2013 (see </w:t>
      </w:r>
      <w:hyperlink r:id="rId75" w:history="1">
        <w:r>
          <w:rPr>
            <w:rStyle w:val="Hyperlink"/>
            <w:rFonts w:asciiTheme="minorHAnsi" w:hAnsiTheme="minorHAnsi"/>
            <w:sz w:val="16"/>
            <w:szCs w:val="16"/>
          </w:rPr>
          <w:t xml:space="preserve">IMPEL IRI </w:t>
        </w:r>
        <w:r>
          <w:rPr>
            <w:rStyle w:val="Hyperlink"/>
            <w:rFonts w:asciiTheme="minorHAnsi" w:hAnsiTheme="minorHAnsi"/>
            <w:sz w:val="16"/>
            <w:szCs w:val="16"/>
          </w:rPr>
          <w:t>Malta</w:t>
        </w:r>
      </w:hyperlink>
      <w:r>
        <w:rPr>
          <w:rFonts w:asciiTheme="minorHAnsi" w:hAnsiTheme="minorHAnsi"/>
          <w:sz w:val="16"/>
          <w:szCs w:val="16"/>
        </w:rPr>
        <w:t xml:space="preserve"> 2014, p. 25). </w:t>
      </w:r>
    </w:p>
  </w:footnote>
  <w:footnote w:id="111">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IMPEL </w:t>
      </w:r>
      <w:hyperlink r:id="rId76" w:history="1">
        <w:r>
          <w:rPr>
            <w:rStyle w:val="Hyperlink"/>
            <w:rFonts w:asciiTheme="minorHAnsi" w:hAnsiTheme="minorHAnsi"/>
            <w:sz w:val="16"/>
            <w:szCs w:val="16"/>
          </w:rPr>
          <w:t>IRI Malta 2014</w:t>
        </w:r>
      </w:hyperlink>
      <w:r>
        <w:rPr>
          <w:rFonts w:asciiTheme="minorHAnsi" w:hAnsiTheme="minorHAnsi"/>
          <w:sz w:val="16"/>
          <w:szCs w:val="16"/>
        </w:rPr>
        <w:t xml:space="preserve">, p. 34. </w:t>
      </w:r>
    </w:p>
  </w:footnote>
  <w:footnote w:id="112">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According to the </w:t>
      </w:r>
      <w:hyperlink r:id="rId77" w:history="1">
        <w:r>
          <w:rPr>
            <w:rStyle w:val="Hyperlink"/>
            <w:rFonts w:asciiTheme="minorHAnsi" w:hAnsiTheme="minorHAnsi"/>
            <w:sz w:val="16"/>
            <w:szCs w:val="16"/>
          </w:rPr>
          <w:t xml:space="preserve">IMPEL </w:t>
        </w:r>
        <w:r>
          <w:rPr>
            <w:rStyle w:val="Hyperlink"/>
            <w:rFonts w:asciiTheme="minorHAnsi" w:hAnsiTheme="minorHAnsi"/>
            <w:sz w:val="16"/>
            <w:szCs w:val="16"/>
          </w:rPr>
          <w:t>IRI Malta</w:t>
        </w:r>
      </w:hyperlink>
      <w:r>
        <w:rPr>
          <w:rFonts w:asciiTheme="minorHAnsi" w:hAnsiTheme="minorHAnsi"/>
          <w:sz w:val="16"/>
          <w:szCs w:val="16"/>
        </w:rPr>
        <w:t xml:space="preserve"> 2014 (p. 43), there was a loss of 50% since 2012; low availability of IT devices and vehicles for inspectors was also identified (p. 44).</w:t>
      </w:r>
    </w:p>
  </w:footnote>
  <w:footnote w:id="113">
    <w:p w:rsidR="004A120F" w:rsidRDefault="000A0796">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newly set up Environment Authority is in the process of capacity building in this area in order to str</w:t>
      </w:r>
      <w:r>
        <w:rPr>
          <w:rFonts w:asciiTheme="minorHAnsi" w:hAnsiTheme="minorHAnsi"/>
          <w:sz w:val="16"/>
          <w:szCs w:val="16"/>
        </w:rPr>
        <w:t>engthening the compliance monitoring set-up in the near future.</w:t>
      </w:r>
    </w:p>
  </w:footnote>
  <w:footnote w:id="114">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olor w:val="000000"/>
          <w:sz w:val="16"/>
          <w:szCs w:val="16"/>
        </w:rPr>
        <w:t xml:space="preserve">Only a limited performance monitoring is being undertaken using only few basic indicators, </w:t>
      </w:r>
      <w:hyperlink r:id="rId78" w:history="1">
        <w:r>
          <w:rPr>
            <w:rStyle w:val="Hyperlink"/>
            <w:rFonts w:asciiTheme="minorHAnsi" w:hAnsiTheme="minorHAnsi"/>
            <w:sz w:val="16"/>
            <w:szCs w:val="16"/>
          </w:rPr>
          <w:t>IMPEL IRI M</w:t>
        </w:r>
        <w:r>
          <w:rPr>
            <w:rStyle w:val="Hyperlink"/>
            <w:rFonts w:asciiTheme="minorHAnsi" w:hAnsiTheme="minorHAnsi"/>
            <w:sz w:val="16"/>
            <w:szCs w:val="16"/>
          </w:rPr>
          <w:t>alta</w:t>
        </w:r>
      </w:hyperlink>
      <w:r>
        <w:rPr>
          <w:rFonts w:asciiTheme="minorHAnsi" w:hAnsiTheme="minorHAnsi"/>
          <w:color w:val="000000"/>
          <w:sz w:val="16"/>
          <w:szCs w:val="16"/>
        </w:rPr>
        <w:t xml:space="preserve"> 2014.</w:t>
      </w:r>
    </w:p>
  </w:footnote>
  <w:footnote w:id="115">
    <w:p w:rsidR="004A120F" w:rsidRDefault="000A0796">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Malta’s latest report on the Aarhus Convention is here: </w:t>
      </w:r>
      <w:hyperlink r:id="rId79" w:history="1">
        <w:r>
          <w:rPr>
            <w:rStyle w:val="Hyperlink"/>
            <w:rFonts w:asciiTheme="minorHAnsi" w:hAnsiTheme="minorHAnsi"/>
            <w:sz w:val="16"/>
            <w:szCs w:val="16"/>
          </w:rPr>
          <w:t>http://apps.unece.org/ehlm/pp/NIR/listnr.asp?YearID=2014&amp;w</w:t>
        </w:r>
        <w:r>
          <w:rPr>
            <w:rStyle w:val="Hyperlink"/>
            <w:rFonts w:asciiTheme="minorHAnsi" w:hAnsiTheme="minorHAnsi"/>
            <w:sz w:val="16"/>
            <w:szCs w:val="16"/>
          </w:rPr>
          <w:t>f_Countries=MT&amp;wf_Q=QA&amp;Quer_ID=&amp;LngIDg=EN&amp;YearIDg=2017</w:t>
        </w:r>
      </w:hyperlink>
      <w:r>
        <w:rPr>
          <w:rFonts w:asciiTheme="minorHAnsi" w:hAnsiTheme="minorHAnsi"/>
          <w:sz w:val="16"/>
          <w:szCs w:val="16"/>
        </w:rPr>
        <w:t xml:space="preserve"> </w:t>
      </w:r>
    </w:p>
  </w:footnote>
  <w:footnote w:id="116">
    <w:p w:rsidR="004A120F" w:rsidRDefault="000A0796">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Malta meanwhile has an established structure in place, including the environment and planning appeals tribunal:  </w:t>
      </w:r>
      <w:hyperlink r:id="rId80" w:history="1">
        <w:r>
          <w:rPr>
            <w:rStyle w:val="Hyperlink"/>
            <w:rFonts w:asciiTheme="minorHAnsi" w:hAnsiTheme="minorHAnsi"/>
            <w:sz w:val="16"/>
            <w:szCs w:val="16"/>
          </w:rPr>
          <w:t>http://era.org.mt/e</w:t>
        </w:r>
        <w:r>
          <w:rPr>
            <w:rStyle w:val="Hyperlink"/>
            <w:rFonts w:asciiTheme="minorHAnsi" w:hAnsiTheme="minorHAnsi"/>
            <w:sz w:val="16"/>
            <w:szCs w:val="16"/>
          </w:rPr>
          <w:t>n/Pages/Access-to-Justice.aspx</w:t>
        </w:r>
      </w:hyperlink>
      <w:r>
        <w:rPr>
          <w:rFonts w:asciiTheme="minorHAnsi" w:hAnsiTheme="minorHAnsi"/>
          <w:sz w:val="16"/>
          <w:szCs w:val="16"/>
        </w:rPr>
        <w:t xml:space="preserve"> </w:t>
      </w:r>
    </w:p>
  </w:footnote>
  <w:footnote w:id="117">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81" w:history="1">
        <w:r>
          <w:rPr>
            <w:rStyle w:val="Hyperlink"/>
            <w:rFonts w:asciiTheme="minorHAnsi" w:hAnsiTheme="minorHAnsi"/>
            <w:sz w:val="16"/>
            <w:szCs w:val="16"/>
          </w:rPr>
          <w:t>2012/2013 access to justice in environmental matters in the EU Member States.</w:t>
        </w:r>
      </w:hyperlink>
    </w:p>
  </w:footnote>
  <w:footnote w:id="118">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82" w:history="1">
        <w:r>
          <w:rPr>
            <w:rStyle w:val="Hyperlink"/>
            <w:rFonts w:asciiTheme="minorHAnsi" w:hAnsiTheme="minorHAnsi"/>
            <w:sz w:val="16"/>
            <w:szCs w:val="16"/>
          </w:rPr>
          <w:t>The Aarhus Convention</w:t>
        </w:r>
      </w:hyperlink>
      <w:r>
        <w:rPr>
          <w:rFonts w:asciiTheme="minorHAnsi" w:hAnsiTheme="minorHAnsi"/>
          <w:sz w:val="16"/>
          <w:szCs w:val="16"/>
        </w:rPr>
        <w:t xml:space="preserve"> </w:t>
      </w:r>
    </w:p>
  </w:footnote>
  <w:footnote w:id="119">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83" w:history="1">
        <w:r>
          <w:rPr>
            <w:rStyle w:val="Hyperlink"/>
            <w:rFonts w:asciiTheme="minorHAnsi" w:hAnsiTheme="minorHAnsi"/>
            <w:sz w:val="16"/>
            <w:szCs w:val="16"/>
          </w:rPr>
          <w:t>Directive 2003/4/EC on public access to environmental information</w:t>
        </w:r>
      </w:hyperlink>
    </w:p>
  </w:footnote>
  <w:footnote w:id="120">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2016.</w:t>
      </w:r>
      <w:proofErr w:type="gramEnd"/>
      <w:r>
        <w:rPr>
          <w:rFonts w:asciiTheme="minorHAnsi" w:hAnsiTheme="minorHAnsi"/>
          <w:sz w:val="16"/>
          <w:szCs w:val="16"/>
        </w:rPr>
        <w:t xml:space="preserve"> </w:t>
      </w:r>
      <w:hyperlink r:id="rId84" w:history="1">
        <w:r>
          <w:rPr>
            <w:rStyle w:val="Hyperlink"/>
            <w:rFonts w:asciiTheme="minorHAnsi" w:hAnsiTheme="minorHAnsi"/>
            <w:sz w:val="16"/>
            <w:szCs w:val="16"/>
          </w:rPr>
          <w:t>INSPIRE Directive</w:t>
        </w:r>
      </w:hyperlink>
    </w:p>
  </w:footnote>
  <w:footnote w:id="121">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EU </w:t>
      </w:r>
      <w:proofErr w:type="spellStart"/>
      <w:r>
        <w:rPr>
          <w:rFonts w:asciiTheme="minorHAnsi" w:hAnsiTheme="minorHAnsi"/>
          <w:sz w:val="16"/>
          <w:szCs w:val="16"/>
        </w:rPr>
        <w:t>eGovernment</w:t>
      </w:r>
      <w:proofErr w:type="spellEnd"/>
      <w:r>
        <w:rPr>
          <w:rFonts w:asciiTheme="minorHAnsi" w:hAnsiTheme="minorHAnsi"/>
          <w:sz w:val="16"/>
          <w:szCs w:val="16"/>
        </w:rPr>
        <w:t xml:space="preserve"> Action Plan 2016-2020 - Accelerating the digital transformation of government </w:t>
      </w:r>
      <w:hyperlink r:id="rId85" w:history="1">
        <w:r>
          <w:rPr>
            <w:rStyle w:val="Hyperlink"/>
            <w:rFonts w:asciiTheme="minorHAnsi" w:hAnsiTheme="minorHAnsi"/>
            <w:sz w:val="16"/>
            <w:szCs w:val="16"/>
          </w:rPr>
          <w:t>COM(2016) 179</w:t>
        </w:r>
      </w:hyperlink>
      <w:r>
        <w:rPr>
          <w:rFonts w:asciiTheme="minorHAnsi" w:hAnsiTheme="minorHAnsi"/>
          <w:sz w:val="16"/>
          <w:szCs w:val="16"/>
        </w:rPr>
        <w:t xml:space="preserve"> final</w:t>
      </w:r>
    </w:p>
  </w:footnote>
  <w:footnote w:id="122">
    <w:p w:rsidR="004A120F" w:rsidRDefault="000A0796">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Malta has informed that the Environment Resource Authority website meanwhile provides information on the following aspects: (1) a prominent link to public consultations - see PUBLIC CONSULTATION tab on </w:t>
      </w:r>
      <w:hyperlink r:id="rId86" w:history="1">
        <w:r>
          <w:rPr>
            <w:rStyle w:val="Hyperlink"/>
            <w:rFonts w:asciiTheme="minorHAnsi" w:hAnsiTheme="minorHAnsi"/>
            <w:sz w:val="16"/>
            <w:szCs w:val="16"/>
          </w:rPr>
          <w:t>http://era.org.mt/en/Themes/Pages/Welcome.aspx</w:t>
        </w:r>
      </w:hyperlink>
      <w:r>
        <w:rPr>
          <w:rFonts w:asciiTheme="minorHAnsi" w:hAnsiTheme="minorHAnsi"/>
          <w:sz w:val="16"/>
          <w:szCs w:val="16"/>
        </w:rPr>
        <w:t xml:space="preserve"> ; (2) a widget for Ground level Ozone levels on the main page; (3) a link to air quality monitoring levels of airborne pollutants; (4) a dedicated page for each environmental theme  with tabs on info</w:t>
      </w:r>
      <w:r>
        <w:rPr>
          <w:rFonts w:asciiTheme="minorHAnsi" w:hAnsiTheme="minorHAnsi"/>
          <w:sz w:val="16"/>
          <w:szCs w:val="16"/>
        </w:rPr>
        <w:t>rmation, news, publications, data and maps, environmental permits (applications).</w:t>
      </w:r>
    </w:p>
  </w:footnote>
  <w:footnote w:id="123">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7" w:history="1">
        <w:proofErr w:type="gramStart"/>
        <w:r>
          <w:rPr>
            <w:rStyle w:val="Hyperlink"/>
            <w:rFonts w:asciiTheme="minorHAnsi" w:hAnsiTheme="minorHAnsi"/>
            <w:color w:val="auto"/>
            <w:sz w:val="16"/>
            <w:szCs w:val="16"/>
          </w:rPr>
          <w:t>European</w:t>
        </w:r>
      </w:hyperlink>
      <w:r>
        <w:rPr>
          <w:rFonts w:asciiTheme="minorHAnsi" w:hAnsiTheme="minorHAnsi"/>
          <w:sz w:val="16"/>
          <w:szCs w:val="16"/>
          <w:u w:val="single"/>
        </w:rPr>
        <w:t xml:space="preserve"> </w:t>
      </w:r>
      <w:r>
        <w:rPr>
          <w:rFonts w:asciiTheme="minorHAnsi" w:hAnsiTheme="minorHAnsi"/>
          <w:sz w:val="16"/>
          <w:szCs w:val="16"/>
        </w:rPr>
        <w:t>Commission, 2016.</w:t>
      </w:r>
      <w:proofErr w:type="gramEnd"/>
      <w:r>
        <w:rPr>
          <w:rFonts w:asciiTheme="minorHAnsi" w:hAnsiTheme="minorHAnsi"/>
          <w:sz w:val="16"/>
          <w:szCs w:val="16"/>
        </w:rPr>
        <w:t xml:space="preserve"> </w:t>
      </w:r>
      <w:hyperlink r:id="rId88" w:history="1">
        <w:r>
          <w:rPr>
            <w:rStyle w:val="Hyperlink"/>
            <w:rFonts w:asciiTheme="minorHAnsi" w:hAnsiTheme="minorHAnsi"/>
            <w:sz w:val="16"/>
            <w:szCs w:val="16"/>
          </w:rPr>
          <w:t>Inspire – Monit</w:t>
        </w:r>
        <w:r>
          <w:rPr>
            <w:rStyle w:val="Hyperlink"/>
            <w:rFonts w:asciiTheme="minorHAnsi" w:hAnsiTheme="minorHAnsi"/>
            <w:sz w:val="16"/>
            <w:szCs w:val="16"/>
          </w:rPr>
          <w:t>oring and Reporting</w:t>
        </w:r>
      </w:hyperlink>
      <w:r>
        <w:rPr>
          <w:rFonts w:asciiTheme="minorHAnsi" w:hAnsiTheme="minorHAnsi"/>
          <w:sz w:val="16"/>
          <w:szCs w:val="16"/>
        </w:rPr>
        <w:t xml:space="preserve"> </w:t>
      </w:r>
    </w:p>
  </w:footnote>
  <w:footnote w:id="124">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9" w:history="1">
        <w:r>
          <w:rPr>
            <w:rStyle w:val="Hyperlink"/>
            <w:rFonts w:asciiTheme="minorHAnsi" w:hAnsiTheme="minorHAnsi"/>
            <w:sz w:val="16"/>
            <w:szCs w:val="16"/>
          </w:rPr>
          <w:t xml:space="preserve">Inspire indicator trends </w:t>
        </w:r>
      </w:hyperlink>
    </w:p>
  </w:footnote>
  <w:footnote w:id="125">
    <w:p w:rsidR="004A120F" w:rsidRDefault="000A0796">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0" w:history="1">
        <w:r>
          <w:rPr>
            <w:rStyle w:val="Hyperlink"/>
            <w:rFonts w:asciiTheme="minorHAnsi" w:hAnsiTheme="minorHAnsi"/>
            <w:sz w:val="16"/>
            <w:szCs w:val="16"/>
          </w:rPr>
          <w:t>Inspire Resources</w:t>
        </w:r>
        <w:r>
          <w:rPr>
            <w:rStyle w:val="Hyperlink"/>
            <w:rFonts w:asciiTheme="minorHAnsi" w:hAnsiTheme="minorHAnsi"/>
            <w:sz w:val="16"/>
            <w:szCs w:val="16"/>
          </w:rPr>
          <w:t xml:space="preserve"> Summary Report </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796" w:rsidRPr="000A0796" w:rsidRDefault="000A0796" w:rsidP="000A079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noProof/>
              <w:color w:val="1F497D"/>
              <w:lang w:eastAsia="en-GB"/>
            </w:rPr>
            <mc:AlternateContent>
              <mc:Choice Requires="wps">
                <w:drawing>
                  <wp:anchor distT="0" distB="0" distL="114300" distR="114300" simplePos="0" relativeHeight="251681792" behindDoc="1" locked="0" layoutInCell="0" allowOverlap="1" wp14:anchorId="053EB079" wp14:editId="5104C954">
                    <wp:simplePos x="0" y="0"/>
                    <wp:positionH relativeFrom="margin">
                      <wp:align>center</wp:align>
                    </wp:positionH>
                    <wp:positionV relativeFrom="margin">
                      <wp:align>center</wp:align>
                    </wp:positionV>
                    <wp:extent cx="5237480" cy="106680"/>
                    <wp:effectExtent l="0" t="0" r="0" b="0"/>
                    <wp:wrapNone/>
                    <wp:docPr id="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0;width:412.4pt;height:8.4pt;rotation:-45;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" o:allowincell="f" filled="f" stroked="f">
                    <v:stroke joinstyle="round"/>
                    <o:lock v:ext="edit" shapetype="t"/>
                    <v:textbox style="mso-fit-shape-to-text:t">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r>
            <w:rPr>
              <w:rFonts w:cs="Calibri"/>
              <w:b/>
              <w:bCs/>
              <w:noProof/>
              <w:color w:val="1F497D"/>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left:0;text-align:left;margin-left:0;margin-top:0;width:412.4pt;height:247.45pt;rotation:315;z-index:-2516357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sz w:val="28"/>
            </w:rPr>
            <w:fldChar w:fldCharType="begin"/>
          </w:r>
          <w:r>
            <w:rPr>
              <w:rFonts w:cs="Calibri"/>
              <w:b/>
              <w:bCs/>
              <w:color w:val="1F497D"/>
              <w:sz w:val="28"/>
            </w:rPr>
            <w:instrText xml:space="preserve"> PAGE  \* Arabic  \* MERGEFORMAT </w:instrText>
          </w:r>
          <w:r>
            <w:rPr>
              <w:rFonts w:cs="Calibri"/>
              <w:b/>
              <w:bCs/>
              <w:color w:val="1F497D"/>
              <w:sz w:val="28"/>
            </w:rPr>
            <w:fldChar w:fldCharType="separate"/>
          </w:r>
          <w:r>
            <w:rPr>
              <w:rFonts w:cs="Calibri"/>
              <w:b/>
              <w:bCs/>
              <w:noProof/>
              <w:color w:val="1F497D"/>
              <w:sz w:val="28"/>
            </w:rPr>
            <w:t>23</w:t>
          </w:r>
          <w:r>
            <w:rPr>
              <w:rFonts w:cs="Calibri"/>
              <w:b/>
              <w:bCs/>
              <w:color w:val="1F497D"/>
              <w:sz w:val="28"/>
            </w:rPr>
            <w:fldChar w:fldCharType="end"/>
          </w:r>
        </w:p>
      </w:tc>
    </w:tr>
  </w:tbl>
  <w:p w:rsidR="004A120F" w:rsidRDefault="004A120F">
    <w:pPr>
      <w:pStyle w:val="Header"/>
      <w:rPr>
        <w:color w:val="1F497D"/>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4A120F">
      <w:tc>
        <w:tcPr>
          <w:tcW w:w="0" w:type="auto"/>
          <w:tcBorders>
            <w:top w:val="nil"/>
            <w:left w:val="nil"/>
            <w:bottom w:val="nil"/>
            <w:right w:val="single" w:sz="6" w:space="0" w:color="000000"/>
          </w:tcBorders>
          <w:hideMark/>
        </w:tcPr>
        <w:p w:rsidR="004A120F" w:rsidRDefault="000A0796">
          <w:pPr>
            <w:pStyle w:val="Header"/>
            <w:tabs>
              <w:tab w:val="left" w:pos="493"/>
              <w:tab w:val="right" w:pos="8194"/>
            </w:tabs>
            <w:spacing w:line="276" w:lineRule="auto"/>
            <w:rPr>
              <w:rFonts w:cs="Calibri"/>
              <w:b/>
              <w:bCs/>
              <w:color w:val="1F497D"/>
            </w:rPr>
          </w:pPr>
          <w:r>
            <w:rPr>
              <w:rFonts w:cs="Calibri"/>
              <w:b/>
              <w:bCs/>
              <w:color w:val="1F497D"/>
            </w:rPr>
            <w:tab/>
          </w:r>
          <w:r>
            <w:rPr>
              <w:rFonts w:cs="Calibri"/>
              <w:b/>
              <w:bCs/>
              <w:color w:val="1F497D"/>
            </w:rPr>
            <w:tab/>
          </w:r>
          <w:r>
            <w:rPr>
              <w:rFonts w:cs="Calibri"/>
              <w:b/>
              <w:bCs/>
              <w:color w:val="1F497D"/>
            </w:rPr>
            <w:tab/>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sz w:val="28"/>
              <w:szCs w:val="28"/>
            </w:rPr>
          </w:pPr>
          <w:r>
            <w:rPr>
              <w:rFonts w:cs="Calibri"/>
              <w:b/>
              <w:bCs/>
              <w:color w:val="1F497D"/>
              <w:sz w:val="28"/>
              <w:szCs w:val="28"/>
            </w:rPr>
            <w:fldChar w:fldCharType="begin"/>
          </w:r>
          <w:r>
            <w:rPr>
              <w:rFonts w:cs="Calibri"/>
              <w:b/>
              <w:bCs/>
              <w:color w:val="1F497D"/>
              <w:sz w:val="28"/>
              <w:szCs w:val="28"/>
            </w:rPr>
            <w:instrText xml:space="preserve"> PAGE   \* MERGEFORMAT </w:instrText>
          </w:r>
          <w:r>
            <w:rPr>
              <w:rFonts w:cs="Calibri"/>
              <w:b/>
              <w:bCs/>
              <w:color w:val="1F497D"/>
              <w:sz w:val="28"/>
              <w:szCs w:val="28"/>
            </w:rPr>
            <w:fldChar w:fldCharType="separate"/>
          </w:r>
          <w:r>
            <w:rPr>
              <w:rFonts w:cs="Calibri"/>
              <w:b/>
              <w:bCs/>
              <w:noProof/>
              <w:color w:val="1F497D"/>
              <w:sz w:val="28"/>
              <w:szCs w:val="28"/>
            </w:rPr>
            <w:t>4</w:t>
          </w:r>
          <w:r>
            <w:rPr>
              <w:rFonts w:cs="Calibri"/>
              <w:b/>
              <w:bCs/>
              <w:noProof/>
              <w:color w:val="1F497D"/>
              <w:sz w:val="28"/>
              <w:szCs w:val="28"/>
            </w:rPr>
            <w:fldChar w:fldCharType="end"/>
          </w:r>
        </w:p>
      </w:tc>
    </w:tr>
  </w:tbl>
  <w:p w:rsidR="004A120F" w:rsidRDefault="004A120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noProof/>
              <w:color w:val="1F497D"/>
              <w:lang w:eastAsia="en-GB"/>
            </w:rPr>
            <mc:AlternateContent>
              <mc:Choice Requires="wps">
                <w:drawing>
                  <wp:anchor distT="0" distB="0" distL="114300" distR="114300" simplePos="0" relativeHeight="251687936" behindDoc="1" locked="0" layoutInCell="0" allowOverlap="1" wp14:anchorId="3FAC7E45" wp14:editId="57750657">
                    <wp:simplePos x="0" y="0"/>
                    <wp:positionH relativeFrom="margin">
                      <wp:align>center</wp:align>
                    </wp:positionH>
                    <wp:positionV relativeFrom="margin">
                      <wp:align>center</wp:align>
                    </wp:positionV>
                    <wp:extent cx="5237480" cy="106680"/>
                    <wp:effectExtent l="0" t="0" r="0" b="0"/>
                    <wp:wrapNone/>
                    <wp:docPr id="1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0;margin-top:0;width:412.4pt;height:8.4pt;rotation:-45;z-index:-251628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" o:allowincell="f" filled="f" stroked="f">
                    <v:stroke joinstyle="round"/>
                    <o:lock v:ext="edit" shapetype="t"/>
                    <v:textbox style="mso-fit-shape-to-text:t">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r>
            <w:rPr>
              <w:rFonts w:cs="Calibri"/>
              <w:b/>
              <w:bCs/>
              <w:noProof/>
              <w:color w:val="1F497D"/>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left:0;text-align:left;margin-left:0;margin-top:0;width:412.4pt;height:247.45pt;rotation:315;z-index:-2516295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sz w:val="28"/>
            </w:rPr>
            <w:fldChar w:fldCharType="begin"/>
          </w:r>
          <w:r>
            <w:rPr>
              <w:rFonts w:cs="Calibri"/>
              <w:b/>
              <w:bCs/>
              <w:color w:val="1F497D"/>
              <w:sz w:val="28"/>
            </w:rPr>
            <w:instrText xml:space="preserve"> PAGE  \* Arabic  \* MERGEFORMAT </w:instrText>
          </w:r>
          <w:r>
            <w:rPr>
              <w:rFonts w:cs="Calibri"/>
              <w:b/>
              <w:bCs/>
              <w:color w:val="1F497D"/>
              <w:sz w:val="28"/>
            </w:rPr>
            <w:fldChar w:fldCharType="separate"/>
          </w:r>
          <w:r>
            <w:rPr>
              <w:rFonts w:cs="Calibri"/>
              <w:b/>
              <w:bCs/>
              <w:noProof/>
              <w:color w:val="1F497D"/>
              <w:sz w:val="28"/>
            </w:rPr>
            <w:t>5</w:t>
          </w:r>
          <w:r>
            <w:rPr>
              <w:rFonts w:cs="Calibri"/>
              <w:b/>
              <w:bCs/>
              <w:color w:val="1F497D"/>
              <w:sz w:val="28"/>
            </w:rPr>
            <w:fldChar w:fldCharType="end"/>
          </w:r>
        </w:p>
      </w:tc>
    </w:tr>
  </w:tbl>
  <w:p w:rsidR="004A120F" w:rsidRDefault="004A120F">
    <w:pPr>
      <w:pStyle w:val="Header"/>
      <w:rPr>
        <w:color w:val="1F497D"/>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noProof/>
              <w:color w:val="1F497D"/>
              <w:lang w:eastAsia="en-GB"/>
            </w:rPr>
            <mc:AlternateContent>
              <mc:Choice Requires="wps">
                <w:drawing>
                  <wp:anchor distT="0" distB="0" distL="114300" distR="114300" simplePos="0" relativeHeight="251684864" behindDoc="1" locked="0" layoutInCell="0" allowOverlap="1" wp14:anchorId="3F811950" wp14:editId="56B4E681">
                    <wp:simplePos x="0" y="0"/>
                    <wp:positionH relativeFrom="margin">
                      <wp:align>center</wp:align>
                    </wp:positionH>
                    <wp:positionV relativeFrom="margin">
                      <wp:align>center</wp:align>
                    </wp:positionV>
                    <wp:extent cx="5237480" cy="106680"/>
                    <wp:effectExtent l="0" t="0" r="0" b="0"/>
                    <wp:wrapNone/>
                    <wp:docPr id="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0;margin-top:0;width:412.4pt;height:8.4pt;rotation:-45;z-index:-25163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" o:allowincell="f" filled="f" stroked="f">
                    <v:stroke joinstyle="round"/>
                    <o:lock v:ext="edit" shapetype="t"/>
                    <v:textbox style="mso-fit-shape-to-text:t">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rPr>
            <w:fldChar w:fldCharType="begin"/>
          </w:r>
          <w:r>
            <w:rPr>
              <w:rFonts w:cs="Calibri"/>
              <w:b/>
              <w:bCs/>
              <w:color w:val="1F497D"/>
            </w:rPr>
            <w:instrText xml:space="preserve"> PAGE   \* MERGEFORMAT </w:instrText>
          </w:r>
          <w:r>
            <w:rPr>
              <w:rFonts w:cs="Calibri"/>
              <w:b/>
              <w:bCs/>
              <w:color w:val="1F497D"/>
            </w:rPr>
            <w:fldChar w:fldCharType="separate"/>
          </w:r>
          <w:r>
            <w:rPr>
              <w:rFonts w:cs="Calibri"/>
              <w:b/>
              <w:bCs/>
              <w:noProof/>
              <w:color w:val="1F497D"/>
            </w:rPr>
            <w:t>i</w:t>
          </w:r>
          <w:r>
            <w:rPr>
              <w:rFonts w:cs="Calibri"/>
              <w:b/>
              <w:bCs/>
              <w:noProof/>
              <w:color w:val="1F497D"/>
            </w:rPr>
            <w:fldChar w:fldCharType="end"/>
          </w:r>
        </w:p>
      </w:tc>
    </w:tr>
  </w:tbl>
  <w:p w:rsidR="004A120F" w:rsidRDefault="000A0796">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412.4pt;height:247.45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sz w:val="28"/>
              <w:szCs w:val="28"/>
            </w:rPr>
          </w:pPr>
          <w:r>
            <w:rPr>
              <w:rFonts w:cs="Calibri"/>
              <w:b/>
              <w:bCs/>
              <w:color w:val="1F497D"/>
              <w:sz w:val="28"/>
              <w:szCs w:val="28"/>
            </w:rPr>
            <w:fldChar w:fldCharType="begin"/>
          </w:r>
          <w:r>
            <w:rPr>
              <w:rFonts w:cs="Calibri"/>
              <w:b/>
              <w:bCs/>
              <w:color w:val="1F497D"/>
              <w:sz w:val="28"/>
              <w:szCs w:val="28"/>
            </w:rPr>
            <w:instrText xml:space="preserve"> PAGE  \* Arabic  \* MERGEFORMAT </w:instrText>
          </w:r>
          <w:r>
            <w:rPr>
              <w:rFonts w:cs="Calibri"/>
              <w:b/>
              <w:bCs/>
              <w:color w:val="1F497D"/>
              <w:sz w:val="28"/>
              <w:szCs w:val="28"/>
            </w:rPr>
            <w:fldChar w:fldCharType="separate"/>
          </w:r>
          <w:r>
            <w:rPr>
              <w:rFonts w:cs="Calibri"/>
              <w:b/>
              <w:bCs/>
              <w:noProof/>
              <w:color w:val="1F497D"/>
              <w:sz w:val="28"/>
              <w:szCs w:val="28"/>
            </w:rPr>
            <w:t>5</w:t>
          </w:r>
          <w:r>
            <w:rPr>
              <w:rFonts w:cs="Calibri"/>
              <w:b/>
              <w:bCs/>
              <w:color w:val="1F497D"/>
              <w:sz w:val="28"/>
              <w:szCs w:val="28"/>
            </w:rPr>
            <w:fldChar w:fldCharType="end"/>
          </w:r>
        </w:p>
      </w:tc>
    </w:tr>
  </w:tbl>
  <w:p w:rsidR="004A120F" w:rsidRDefault="004A120F">
    <w:pPr>
      <w:pStyle w:val="Header"/>
      <w:rPr>
        <w:color w:val="1F497D"/>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noProof/>
              <w:color w:val="1F497D"/>
              <w:lang w:eastAsia="en-GB"/>
            </w:rPr>
            <mc:AlternateContent>
              <mc:Choice Requires="wps">
                <w:drawing>
                  <wp:anchor distT="0" distB="0" distL="114300" distR="114300" simplePos="0" relativeHeight="251691008" behindDoc="1" locked="0" layoutInCell="0" allowOverlap="1" wp14:anchorId="74FBD7E6" wp14:editId="7C96881D">
                    <wp:simplePos x="0" y="0"/>
                    <wp:positionH relativeFrom="margin">
                      <wp:align>center</wp:align>
                    </wp:positionH>
                    <wp:positionV relativeFrom="margin">
                      <wp:align>center</wp:align>
                    </wp:positionV>
                    <wp:extent cx="5237480" cy="106680"/>
                    <wp:effectExtent l="0" t="0" r="0" b="0"/>
                    <wp:wrapNone/>
                    <wp:docPr id="1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0;margin-top:0;width:412.4pt;height:8.4pt;rotation:-45;z-index:-251625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" o:allowincell="f" filled="f" stroked="f">
                    <v:stroke joinstyle="round"/>
                    <o:lock v:ext="edit" shapetype="t"/>
                    <v:textbox style="mso-fit-shape-to-text:t">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rPr>
            <w:fldChar w:fldCharType="begin"/>
          </w:r>
          <w:r>
            <w:rPr>
              <w:rFonts w:cs="Calibri"/>
              <w:b/>
              <w:bCs/>
              <w:color w:val="1F497D"/>
            </w:rPr>
            <w:instrText xml:space="preserve"> PAGE   \* MERGEFORMAT </w:instrText>
          </w:r>
          <w:r>
            <w:rPr>
              <w:rFonts w:cs="Calibri"/>
              <w:b/>
              <w:bCs/>
              <w:color w:val="1F497D"/>
            </w:rPr>
            <w:fldChar w:fldCharType="separate"/>
          </w:r>
          <w:r>
            <w:rPr>
              <w:rFonts w:cs="Calibri"/>
              <w:b/>
              <w:bCs/>
              <w:noProof/>
              <w:color w:val="1F497D"/>
            </w:rPr>
            <w:t>i</w:t>
          </w:r>
          <w:r>
            <w:rPr>
              <w:rFonts w:cs="Calibri"/>
              <w:b/>
              <w:bCs/>
              <w:noProof/>
              <w:color w:val="1F497D"/>
            </w:rPr>
            <w:fldChar w:fldCharType="end"/>
          </w:r>
        </w:p>
      </w:tc>
    </w:tr>
  </w:tbl>
  <w:p w:rsidR="004A120F" w:rsidRDefault="000A0796">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412.4pt;height:247.45pt;rotation:315;z-index:-2516264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796" w:rsidRPr="000A0796" w:rsidRDefault="000A0796" w:rsidP="000A0796">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sz w:val="28"/>
            </w:rPr>
            <w:fldChar w:fldCharType="begin"/>
          </w:r>
          <w:r>
            <w:rPr>
              <w:rFonts w:cs="Calibri"/>
              <w:b/>
              <w:bCs/>
              <w:color w:val="1F497D"/>
              <w:sz w:val="28"/>
            </w:rPr>
            <w:instrText xml:space="preserve"> PAGE  \* Arabic  \* MERGEFORMAT </w:instrText>
          </w:r>
          <w:r>
            <w:rPr>
              <w:rFonts w:cs="Calibri"/>
              <w:b/>
              <w:bCs/>
              <w:color w:val="1F497D"/>
              <w:sz w:val="28"/>
            </w:rPr>
            <w:fldChar w:fldCharType="separate"/>
          </w:r>
          <w:r>
            <w:rPr>
              <w:rFonts w:cs="Calibri"/>
              <w:b/>
              <w:bCs/>
              <w:noProof/>
              <w:color w:val="1F497D"/>
              <w:sz w:val="28"/>
            </w:rPr>
            <w:t>9</w:t>
          </w:r>
          <w:r>
            <w:rPr>
              <w:rFonts w:cs="Calibri"/>
              <w:b/>
              <w:bCs/>
              <w:color w:val="1F497D"/>
              <w:sz w:val="28"/>
            </w:rPr>
            <w:fldChar w:fldCharType="end"/>
          </w:r>
        </w:p>
      </w:tc>
    </w:tr>
  </w:tbl>
  <w:p w:rsidR="004A120F" w:rsidRDefault="004A120F">
    <w:pPr>
      <w:pStyle w:val="Header"/>
      <w:rPr>
        <w:color w:val="1F497D"/>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noProof/>
              <w:color w:val="1F497D"/>
              <w:lang w:eastAsia="en-GB"/>
            </w:rPr>
            <mc:AlternateContent>
              <mc:Choice Requires="wps">
                <w:drawing>
                  <wp:anchor distT="0" distB="0" distL="114300" distR="114300" simplePos="0" relativeHeight="251697152" behindDoc="1" locked="0" layoutInCell="0" allowOverlap="1" wp14:anchorId="35F0C097" wp14:editId="701924AA">
                    <wp:simplePos x="0" y="0"/>
                    <wp:positionH relativeFrom="margin">
                      <wp:align>center</wp:align>
                    </wp:positionH>
                    <wp:positionV relativeFrom="margin">
                      <wp:align>center</wp:align>
                    </wp:positionV>
                    <wp:extent cx="5237480" cy="106680"/>
                    <wp:effectExtent l="0" t="0" r="0" b="0"/>
                    <wp:wrapNone/>
                    <wp:docPr id="1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0;margin-top:0;width:412.4pt;height:8.4pt;rotation:-45;z-index:-251619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" o:allowincell="f" filled="f" stroked="f">
                    <v:stroke joinstyle="round"/>
                    <o:lock v:ext="edit" shapetype="t"/>
                    <v:textbox style="mso-fit-shape-to-text:t">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rPr>
            <w:fldChar w:fldCharType="begin"/>
          </w:r>
          <w:r>
            <w:rPr>
              <w:rFonts w:cs="Calibri"/>
              <w:b/>
              <w:bCs/>
              <w:color w:val="1F497D"/>
            </w:rPr>
            <w:instrText xml:space="preserve"> PAGE   \* MERGEFORMAT </w:instrText>
          </w:r>
          <w:r>
            <w:rPr>
              <w:rFonts w:cs="Calibri"/>
              <w:b/>
              <w:bCs/>
              <w:color w:val="1F497D"/>
            </w:rPr>
            <w:fldChar w:fldCharType="separate"/>
          </w:r>
          <w:r>
            <w:rPr>
              <w:rFonts w:cs="Calibri"/>
              <w:b/>
              <w:bCs/>
              <w:noProof/>
              <w:color w:val="1F497D"/>
            </w:rPr>
            <w:t>i</w:t>
          </w:r>
          <w:r>
            <w:rPr>
              <w:rFonts w:cs="Calibri"/>
              <w:b/>
              <w:bCs/>
              <w:noProof/>
              <w:color w:val="1F497D"/>
            </w:rPr>
            <w:fldChar w:fldCharType="end"/>
          </w:r>
        </w:p>
      </w:tc>
    </w:tr>
  </w:tbl>
  <w:p w:rsidR="004A120F" w:rsidRDefault="000A0796">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412.4pt;height:247.45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sz w:val="28"/>
            </w:rPr>
            <w:fldChar w:fldCharType="begin"/>
          </w:r>
          <w:r>
            <w:rPr>
              <w:rFonts w:cs="Calibri"/>
              <w:b/>
              <w:bCs/>
              <w:color w:val="1F497D"/>
              <w:sz w:val="28"/>
            </w:rPr>
            <w:instrText xml:space="preserve"> PAGE  \* Arabic  \* MERGEFORMAT </w:instrText>
          </w:r>
          <w:r>
            <w:rPr>
              <w:rFonts w:cs="Calibri"/>
              <w:b/>
              <w:bCs/>
              <w:color w:val="1F497D"/>
              <w:sz w:val="28"/>
            </w:rPr>
            <w:fldChar w:fldCharType="separate"/>
          </w:r>
          <w:r>
            <w:rPr>
              <w:rFonts w:cs="Calibri"/>
              <w:b/>
              <w:bCs/>
              <w:noProof/>
              <w:color w:val="1F497D"/>
              <w:sz w:val="28"/>
            </w:rPr>
            <w:t>10</w:t>
          </w:r>
          <w:r>
            <w:rPr>
              <w:rFonts w:cs="Calibri"/>
              <w:b/>
              <w:bCs/>
              <w:color w:val="1F497D"/>
              <w:sz w:val="28"/>
            </w:rPr>
            <w:fldChar w:fldCharType="end"/>
          </w:r>
        </w:p>
      </w:tc>
    </w:tr>
  </w:tbl>
  <w:p w:rsidR="004A120F" w:rsidRDefault="004A120F">
    <w:pPr>
      <w:pStyle w:val="Header"/>
      <w:rPr>
        <w:color w:val="1F497D"/>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noProof/>
              <w:color w:val="1F497D"/>
              <w:lang w:eastAsia="en-GB"/>
            </w:rPr>
            <mc:AlternateContent>
              <mc:Choice Requires="wps">
                <w:drawing>
                  <wp:anchor distT="0" distB="0" distL="114300" distR="114300" simplePos="0" relativeHeight="251703296" behindDoc="1" locked="0" layoutInCell="0" allowOverlap="1" wp14:anchorId="0FA0765C" wp14:editId="19E970C8">
                    <wp:simplePos x="0" y="0"/>
                    <wp:positionH relativeFrom="margin">
                      <wp:align>center</wp:align>
                    </wp:positionH>
                    <wp:positionV relativeFrom="margin">
                      <wp:align>center</wp:align>
                    </wp:positionV>
                    <wp:extent cx="5237480" cy="106680"/>
                    <wp:effectExtent l="0" t="0" r="0" b="0"/>
                    <wp:wrapNone/>
                    <wp:docPr id="2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0;margin-top:0;width:412.4pt;height:8.4pt;rotation:-45;z-index:-251613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" o:allowincell="f" filled="f" stroked="f">
                    <v:stroke joinstyle="round"/>
                    <o:lock v:ext="edit" shapetype="t"/>
                    <v:textbox style="mso-fit-shape-to-text:t">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rPr>
            <w:fldChar w:fldCharType="begin"/>
          </w:r>
          <w:r>
            <w:rPr>
              <w:rFonts w:cs="Calibri"/>
              <w:b/>
              <w:bCs/>
              <w:color w:val="1F497D"/>
            </w:rPr>
            <w:instrText xml:space="preserve"> PAGE   \* MERGEFORMAT </w:instrText>
          </w:r>
          <w:r>
            <w:rPr>
              <w:rFonts w:cs="Calibri"/>
              <w:b/>
              <w:bCs/>
              <w:color w:val="1F497D"/>
            </w:rPr>
            <w:fldChar w:fldCharType="separate"/>
          </w:r>
          <w:r>
            <w:rPr>
              <w:rFonts w:cs="Calibri"/>
              <w:b/>
              <w:bCs/>
              <w:noProof/>
              <w:color w:val="1F497D"/>
            </w:rPr>
            <w:t>i</w:t>
          </w:r>
          <w:r>
            <w:rPr>
              <w:rFonts w:cs="Calibri"/>
              <w:b/>
              <w:bCs/>
              <w:noProof/>
              <w:color w:val="1F497D"/>
            </w:rPr>
            <w:fldChar w:fldCharType="end"/>
          </w:r>
        </w:p>
      </w:tc>
    </w:tr>
  </w:tbl>
  <w:p w:rsidR="004A120F" w:rsidRDefault="000A0796">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margin-left:0;margin-top:0;width:412.4pt;height:247.45pt;rotation:315;z-index:-2516142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sz w:val="28"/>
            </w:rPr>
            <w:fldChar w:fldCharType="begin"/>
          </w:r>
          <w:r>
            <w:rPr>
              <w:rFonts w:cs="Calibri"/>
              <w:b/>
              <w:bCs/>
              <w:color w:val="1F497D"/>
              <w:sz w:val="28"/>
            </w:rPr>
            <w:instrText xml:space="preserve"> PAGE  \* Arabic  \* MERGEFORMAT </w:instrText>
          </w:r>
          <w:r>
            <w:rPr>
              <w:rFonts w:cs="Calibri"/>
              <w:b/>
              <w:bCs/>
              <w:color w:val="1F497D"/>
              <w:sz w:val="28"/>
            </w:rPr>
            <w:fldChar w:fldCharType="separate"/>
          </w:r>
          <w:r>
            <w:rPr>
              <w:rFonts w:cs="Calibri"/>
              <w:b/>
              <w:bCs/>
              <w:noProof/>
              <w:color w:val="1F497D"/>
              <w:sz w:val="28"/>
            </w:rPr>
            <w:t>14</w:t>
          </w:r>
          <w:r>
            <w:rPr>
              <w:rFonts w:cs="Calibri"/>
              <w:b/>
              <w:bCs/>
              <w:color w:val="1F497D"/>
              <w:sz w:val="28"/>
            </w:rPr>
            <w:fldChar w:fldCharType="end"/>
          </w:r>
        </w:p>
      </w:tc>
    </w:tr>
  </w:tbl>
  <w:p w:rsidR="004A120F" w:rsidRDefault="004A120F">
    <w:pPr>
      <w:pStyle w:val="Header"/>
      <w:rPr>
        <w:color w:val="1F497D"/>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noProof/>
              <w:color w:val="1F497D"/>
              <w:lang w:eastAsia="en-GB"/>
            </w:rPr>
            <mc:AlternateContent>
              <mc:Choice Requires="wps">
                <w:drawing>
                  <wp:anchor distT="0" distB="0" distL="114300" distR="114300" simplePos="0" relativeHeight="251709440" behindDoc="1" locked="0" layoutInCell="0" allowOverlap="1" wp14:anchorId="2B985577" wp14:editId="0E138189">
                    <wp:simplePos x="0" y="0"/>
                    <wp:positionH relativeFrom="margin">
                      <wp:align>center</wp:align>
                    </wp:positionH>
                    <wp:positionV relativeFrom="margin">
                      <wp:align>center</wp:align>
                    </wp:positionV>
                    <wp:extent cx="5237480" cy="106680"/>
                    <wp:effectExtent l="0" t="0" r="0" b="0"/>
                    <wp:wrapNone/>
                    <wp:docPr id="26"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0;margin-top:0;width:412.4pt;height:8.4pt;rotation:-45;z-index:-251607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" o:allowincell="f" filled="f" stroked="f">
                    <v:stroke joinstyle="round"/>
                    <o:lock v:ext="edit" shapetype="t"/>
                    <v:textbox style="mso-fit-shape-to-text:t">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rPr>
            <w:fldChar w:fldCharType="begin"/>
          </w:r>
          <w:r>
            <w:rPr>
              <w:rFonts w:cs="Calibri"/>
              <w:b/>
              <w:bCs/>
              <w:color w:val="1F497D"/>
            </w:rPr>
            <w:instrText xml:space="preserve"> PAGE   \* MERGEFORMAT </w:instrText>
          </w:r>
          <w:r>
            <w:rPr>
              <w:rFonts w:cs="Calibri"/>
              <w:b/>
              <w:bCs/>
              <w:color w:val="1F497D"/>
            </w:rPr>
            <w:fldChar w:fldCharType="separate"/>
          </w:r>
          <w:r>
            <w:rPr>
              <w:rFonts w:cs="Calibri"/>
              <w:b/>
              <w:bCs/>
              <w:noProof/>
              <w:color w:val="1F497D"/>
            </w:rPr>
            <w:t>i</w:t>
          </w:r>
          <w:r>
            <w:rPr>
              <w:rFonts w:cs="Calibri"/>
              <w:b/>
              <w:bCs/>
              <w:noProof/>
              <w:color w:val="1F497D"/>
            </w:rPr>
            <w:fldChar w:fldCharType="end"/>
          </w:r>
        </w:p>
      </w:tc>
    </w:tr>
  </w:tbl>
  <w:p w:rsidR="004A120F" w:rsidRDefault="000A0796">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margin-left:0;margin-top:0;width:412.4pt;height:247.45pt;rotation:315;z-index:-2516080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noProof/>
              <w:color w:val="1F497D"/>
              <w:lang w:eastAsia="en-GB"/>
            </w:rPr>
            <mc:AlternateContent>
              <mc:Choice Requires="wps">
                <w:drawing>
                  <wp:anchor distT="0" distB="0" distL="114300" distR="114300" simplePos="0" relativeHeight="251718656" behindDoc="1" locked="0" layoutInCell="0" allowOverlap="1" wp14:anchorId="1D5D2D4D" wp14:editId="1A9FB638">
                    <wp:simplePos x="0" y="0"/>
                    <wp:positionH relativeFrom="margin">
                      <wp:align>center</wp:align>
                    </wp:positionH>
                    <wp:positionV relativeFrom="margin">
                      <wp:align>center</wp:align>
                    </wp:positionV>
                    <wp:extent cx="5237480" cy="106680"/>
                    <wp:effectExtent l="0" t="0" r="0" b="0"/>
                    <wp:wrapNone/>
                    <wp:docPr id="2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0;margin-top:0;width:412.4pt;height:8.4pt;rotation:-45;z-index:-251597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" o:allowincell="f" filled="f" stroked="f">
                    <v:stroke joinstyle="round"/>
                    <o:lock v:ext="edit" shapetype="t"/>
                    <v:textbox style="mso-fit-shape-to-text:t">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sz w:val="28"/>
            </w:rPr>
            <w:fldChar w:fldCharType="begin"/>
          </w:r>
          <w:r>
            <w:rPr>
              <w:rFonts w:cs="Calibri"/>
              <w:b/>
              <w:bCs/>
              <w:color w:val="1F497D"/>
              <w:sz w:val="28"/>
            </w:rPr>
            <w:instrText xml:space="preserve"> PAGE  \* Arabic  \* MERGEFORMAT </w:instrText>
          </w:r>
          <w:r>
            <w:rPr>
              <w:rFonts w:cs="Calibri"/>
              <w:b/>
              <w:bCs/>
              <w:color w:val="1F497D"/>
              <w:sz w:val="28"/>
            </w:rPr>
            <w:fldChar w:fldCharType="separate"/>
          </w:r>
          <w:r>
            <w:rPr>
              <w:rFonts w:cs="Calibri"/>
              <w:b/>
              <w:bCs/>
              <w:noProof/>
              <w:color w:val="1F497D"/>
              <w:sz w:val="28"/>
            </w:rPr>
            <w:t>15</w:t>
          </w:r>
          <w:r>
            <w:rPr>
              <w:rFonts w:cs="Calibri"/>
              <w:b/>
              <w:bCs/>
              <w:color w:val="1F497D"/>
              <w:sz w:val="28"/>
            </w:rPr>
            <w:fldChar w:fldCharType="end"/>
          </w:r>
        </w:p>
      </w:tc>
    </w:tr>
  </w:tbl>
  <w:p w:rsidR="004A120F" w:rsidRDefault="004A120F">
    <w:pPr>
      <w:pStyle w:val="Header"/>
      <w:rPr>
        <w:color w:val="1F497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796" w:rsidRPr="000A0796" w:rsidRDefault="000A0796" w:rsidP="000A0796">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noProof/>
              <w:color w:val="1F497D"/>
              <w:lang w:eastAsia="en-GB"/>
            </w:rPr>
            <mc:AlternateContent>
              <mc:Choice Requires="wps">
                <w:drawing>
                  <wp:anchor distT="0" distB="0" distL="114300" distR="114300" simplePos="0" relativeHeight="251715584" behindDoc="1" locked="0" layoutInCell="0" allowOverlap="1" wp14:anchorId="7C1E549D" wp14:editId="32A0F5CF">
                    <wp:simplePos x="0" y="0"/>
                    <wp:positionH relativeFrom="margin">
                      <wp:align>center</wp:align>
                    </wp:positionH>
                    <wp:positionV relativeFrom="margin">
                      <wp:align>center</wp:align>
                    </wp:positionV>
                    <wp:extent cx="5237480" cy="106680"/>
                    <wp:effectExtent l="0" t="0" r="0" b="0"/>
                    <wp:wrapNone/>
                    <wp:docPr id="2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0;margin-top:0;width:412.4pt;height:8.4pt;rotation:-45;z-index:-251600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" o:allowincell="f" filled="f" stroked="f">
                    <v:stroke joinstyle="round"/>
                    <o:lock v:ext="edit" shapetype="t"/>
                    <v:textbox style="mso-fit-shape-to-text:t">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rPr>
            <w:fldChar w:fldCharType="begin"/>
          </w:r>
          <w:r>
            <w:rPr>
              <w:rFonts w:cs="Calibri"/>
              <w:b/>
              <w:bCs/>
              <w:color w:val="1F497D"/>
            </w:rPr>
            <w:instrText xml:space="preserve"> PAGE   \* MERGEFORMAT </w:instrText>
          </w:r>
          <w:r>
            <w:rPr>
              <w:rFonts w:cs="Calibri"/>
              <w:b/>
              <w:bCs/>
              <w:color w:val="1F497D"/>
            </w:rPr>
            <w:fldChar w:fldCharType="separate"/>
          </w:r>
          <w:r>
            <w:rPr>
              <w:rFonts w:cs="Calibri"/>
              <w:b/>
              <w:bCs/>
              <w:noProof/>
              <w:color w:val="1F497D"/>
            </w:rPr>
            <w:t>i</w:t>
          </w:r>
          <w:r>
            <w:rPr>
              <w:rFonts w:cs="Calibri"/>
              <w:b/>
              <w:bCs/>
              <w:noProof/>
              <w:color w:val="1F497D"/>
            </w:rPr>
            <w:fldChar w:fldCharType="end"/>
          </w:r>
        </w:p>
      </w:tc>
    </w:tr>
  </w:tbl>
  <w:p w:rsidR="004A120F" w:rsidRDefault="000A0796">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margin-left:0;margin-top:0;width:412.4pt;height:247.45pt;rotation:315;z-index:-2516019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sz w:val="28"/>
            </w:rPr>
            <w:fldChar w:fldCharType="begin"/>
          </w:r>
          <w:r>
            <w:rPr>
              <w:rFonts w:cs="Calibri"/>
              <w:b/>
              <w:bCs/>
              <w:color w:val="1F497D"/>
              <w:sz w:val="28"/>
            </w:rPr>
            <w:instrText xml:space="preserve"> PAGE  \* Arabic  \* MERGEFORMAT </w:instrText>
          </w:r>
          <w:r>
            <w:rPr>
              <w:rFonts w:cs="Calibri"/>
              <w:b/>
              <w:bCs/>
              <w:color w:val="1F497D"/>
              <w:sz w:val="28"/>
            </w:rPr>
            <w:fldChar w:fldCharType="separate"/>
          </w:r>
          <w:r>
            <w:rPr>
              <w:rFonts w:cs="Calibri"/>
              <w:b/>
              <w:bCs/>
              <w:noProof/>
              <w:color w:val="1F497D"/>
              <w:sz w:val="28"/>
            </w:rPr>
            <w:t>19</w:t>
          </w:r>
          <w:r>
            <w:rPr>
              <w:rFonts w:cs="Calibri"/>
              <w:b/>
              <w:bCs/>
              <w:color w:val="1F497D"/>
              <w:sz w:val="28"/>
            </w:rPr>
            <w:fldChar w:fldCharType="end"/>
          </w:r>
        </w:p>
      </w:tc>
    </w:tr>
  </w:tbl>
  <w:p w:rsidR="004A120F" w:rsidRDefault="004A120F">
    <w:pPr>
      <w:pStyle w:val="Header"/>
      <w:rPr>
        <w:color w:val="1F497D"/>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noProof/>
              <w:color w:val="1F497D"/>
              <w:lang w:eastAsia="en-GB"/>
            </w:rPr>
            <mc:AlternateContent>
              <mc:Choice Requires="wps">
                <w:drawing>
                  <wp:anchor distT="0" distB="0" distL="114300" distR="114300" simplePos="0" relativeHeight="251721728" behindDoc="1" locked="0" layoutInCell="0" allowOverlap="1" wp14:anchorId="6402D9E4" wp14:editId="5C6DFBE8">
                    <wp:simplePos x="0" y="0"/>
                    <wp:positionH relativeFrom="margin">
                      <wp:align>center</wp:align>
                    </wp:positionH>
                    <wp:positionV relativeFrom="margin">
                      <wp:align>center</wp:align>
                    </wp:positionV>
                    <wp:extent cx="5237480" cy="106680"/>
                    <wp:effectExtent l="0" t="0" r="0" b="0"/>
                    <wp:wrapNone/>
                    <wp:docPr id="3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0;margin-top:0;width:412.4pt;height:8.4pt;rotation:-45;z-index:-251594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" o:allowincell="f" filled="f" stroked="f">
                    <v:stroke joinstyle="round"/>
                    <o:lock v:ext="edit" shapetype="t"/>
                    <v:textbox style="mso-fit-shape-to-text:t">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rPr>
            <w:fldChar w:fldCharType="begin"/>
          </w:r>
          <w:r>
            <w:rPr>
              <w:rFonts w:cs="Calibri"/>
              <w:b/>
              <w:bCs/>
              <w:color w:val="1F497D"/>
            </w:rPr>
            <w:instrText xml:space="preserve"> PAGE   \* MERGEFORMAT </w:instrText>
          </w:r>
          <w:r>
            <w:rPr>
              <w:rFonts w:cs="Calibri"/>
              <w:b/>
              <w:bCs/>
              <w:color w:val="1F497D"/>
            </w:rPr>
            <w:fldChar w:fldCharType="separate"/>
          </w:r>
          <w:r>
            <w:rPr>
              <w:rFonts w:cs="Calibri"/>
              <w:b/>
              <w:bCs/>
              <w:noProof/>
              <w:color w:val="1F497D"/>
            </w:rPr>
            <w:t>i</w:t>
          </w:r>
          <w:r>
            <w:rPr>
              <w:rFonts w:cs="Calibri"/>
              <w:b/>
              <w:bCs/>
              <w:noProof/>
              <w:color w:val="1F497D"/>
            </w:rPr>
            <w:fldChar w:fldCharType="end"/>
          </w:r>
        </w:p>
      </w:tc>
    </w:tr>
  </w:tbl>
  <w:p w:rsidR="004A120F" w:rsidRDefault="000A0796">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2" type="#_x0000_t136" style="position:absolute;margin-left:0;margin-top:0;width:412.4pt;height:247.45pt;rotation:315;z-index:-2515957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sz w:val="28"/>
            </w:rPr>
            <w:fldChar w:fldCharType="begin"/>
          </w:r>
          <w:r>
            <w:rPr>
              <w:rFonts w:cs="Calibri"/>
              <w:b/>
              <w:bCs/>
              <w:color w:val="1F497D"/>
              <w:sz w:val="28"/>
            </w:rPr>
            <w:instrText xml:space="preserve"> PAGE  \* Arabic  \* MERGEFORMAT </w:instrText>
          </w:r>
          <w:r>
            <w:rPr>
              <w:rFonts w:cs="Calibri"/>
              <w:b/>
              <w:bCs/>
              <w:color w:val="1F497D"/>
              <w:sz w:val="28"/>
            </w:rPr>
            <w:fldChar w:fldCharType="separate"/>
          </w:r>
          <w:r>
            <w:rPr>
              <w:rFonts w:cs="Calibri"/>
              <w:b/>
              <w:bCs/>
              <w:noProof/>
              <w:color w:val="1F497D"/>
              <w:sz w:val="28"/>
            </w:rPr>
            <w:t>20</w:t>
          </w:r>
          <w:r>
            <w:rPr>
              <w:rFonts w:cs="Calibri"/>
              <w:b/>
              <w:bCs/>
              <w:color w:val="1F497D"/>
              <w:sz w:val="28"/>
            </w:rPr>
            <w:fldChar w:fldCharType="end"/>
          </w:r>
        </w:p>
      </w:tc>
    </w:tr>
  </w:tbl>
  <w:p w:rsidR="004A120F" w:rsidRDefault="004A120F">
    <w:pPr>
      <w:pStyle w:val="Header"/>
      <w:rPr>
        <w:color w:val="1F497D"/>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noProof/>
              <w:color w:val="1F497D"/>
              <w:lang w:eastAsia="en-GB"/>
            </w:rPr>
            <mc:AlternateContent>
              <mc:Choice Requires="wps">
                <w:drawing>
                  <wp:anchor distT="0" distB="0" distL="114300" distR="114300" simplePos="0" relativeHeight="251727872" behindDoc="1" locked="0" layoutInCell="0" allowOverlap="1" wp14:anchorId="0265EBB2" wp14:editId="1B0FBB2C">
                    <wp:simplePos x="0" y="0"/>
                    <wp:positionH relativeFrom="margin">
                      <wp:align>center</wp:align>
                    </wp:positionH>
                    <wp:positionV relativeFrom="margin">
                      <wp:align>center</wp:align>
                    </wp:positionV>
                    <wp:extent cx="5237480" cy="106680"/>
                    <wp:effectExtent l="0" t="0" r="0" b="0"/>
                    <wp:wrapNone/>
                    <wp:docPr id="3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0;margin-top:0;width:412.4pt;height:8.4pt;rotation:-45;z-index:-251588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8tziwIAAAQFAAAOAAAAZHJzL2Uyb0RvYy54bWysVMtu2zAQvBfoPxC8O3pEdiwhcmAn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Gbzy3OLAgAABA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rPr>
            <w:fldChar w:fldCharType="begin"/>
          </w:r>
          <w:r>
            <w:rPr>
              <w:rFonts w:cs="Calibri"/>
              <w:b/>
              <w:bCs/>
              <w:color w:val="1F497D"/>
            </w:rPr>
            <w:instrText xml:space="preserve"> PAGE   \* MERGEFORMAT </w:instrText>
          </w:r>
          <w:r>
            <w:rPr>
              <w:rFonts w:cs="Calibri"/>
              <w:b/>
              <w:bCs/>
              <w:color w:val="1F497D"/>
            </w:rPr>
            <w:fldChar w:fldCharType="separate"/>
          </w:r>
          <w:r>
            <w:rPr>
              <w:rFonts w:cs="Calibri"/>
              <w:b/>
              <w:bCs/>
              <w:noProof/>
              <w:color w:val="1F497D"/>
            </w:rPr>
            <w:t>i</w:t>
          </w:r>
          <w:r>
            <w:rPr>
              <w:rFonts w:cs="Calibri"/>
              <w:b/>
              <w:bCs/>
              <w:noProof/>
              <w:color w:val="1F497D"/>
            </w:rPr>
            <w:fldChar w:fldCharType="end"/>
          </w:r>
        </w:p>
      </w:tc>
    </w:tr>
  </w:tbl>
  <w:p w:rsidR="004A120F" w:rsidRDefault="000A0796">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4" type="#_x0000_t136" style="position:absolute;margin-left:0;margin-top:0;width:412.4pt;height:247.45pt;rotation:315;z-index:-251589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noProof/>
              <w:color w:val="1F497D"/>
              <w:lang w:eastAsia="en-GB"/>
            </w:rPr>
            <mc:AlternateContent>
              <mc:Choice Requires="wps">
                <w:drawing>
                  <wp:anchor distT="0" distB="0" distL="114300" distR="114300" simplePos="0" relativeHeight="251737088" behindDoc="1" locked="0" layoutInCell="0" allowOverlap="1" wp14:anchorId="458C409B" wp14:editId="30975EF0">
                    <wp:simplePos x="0" y="0"/>
                    <wp:positionH relativeFrom="margin">
                      <wp:align>center</wp:align>
                    </wp:positionH>
                    <wp:positionV relativeFrom="margin">
                      <wp:align>center</wp:align>
                    </wp:positionV>
                    <wp:extent cx="5237480" cy="106680"/>
                    <wp:effectExtent l="0" t="0" r="0" b="0"/>
                    <wp:wrapNone/>
                    <wp:docPr id="4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0;margin-top:0;width:412.4pt;height:8.4pt;rotation:-45;z-index:-251579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1yiwIAAAQFAAAOAAAAZHJzL2Uyb0RvYy54bWysVMtu2zAQvBfoPxC8O3pEdiwhchA7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FZkPXKLAgAABA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r>
            <w:rPr>
              <w:rFonts w:cs="Calibri"/>
              <w:b/>
              <w:bCs/>
              <w:noProof/>
              <w:color w:val="1F497D"/>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7" type="#_x0000_t136" style="position:absolute;left:0;text-align:left;margin-left:0;margin-top:0;width:412.4pt;height:247.45pt;rotation:315;z-index:-251580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sz w:val="28"/>
            </w:rPr>
            <w:fldChar w:fldCharType="begin"/>
          </w:r>
          <w:r>
            <w:rPr>
              <w:rFonts w:cs="Calibri"/>
              <w:b/>
              <w:bCs/>
              <w:color w:val="1F497D"/>
              <w:sz w:val="28"/>
            </w:rPr>
            <w:instrText xml:space="preserve"> PAGE  \* Arabic  \* MERGEFORMAT </w:instrText>
          </w:r>
          <w:r>
            <w:rPr>
              <w:rFonts w:cs="Calibri"/>
              <w:b/>
              <w:bCs/>
              <w:color w:val="1F497D"/>
              <w:sz w:val="28"/>
            </w:rPr>
            <w:fldChar w:fldCharType="separate"/>
          </w:r>
          <w:r>
            <w:rPr>
              <w:rFonts w:cs="Calibri"/>
              <w:b/>
              <w:bCs/>
              <w:noProof/>
              <w:color w:val="1F497D"/>
              <w:sz w:val="28"/>
            </w:rPr>
            <w:t>23</w:t>
          </w:r>
          <w:r>
            <w:rPr>
              <w:rFonts w:cs="Calibri"/>
              <w:b/>
              <w:bCs/>
              <w:color w:val="1F497D"/>
              <w:sz w:val="28"/>
            </w:rPr>
            <w:fldChar w:fldCharType="end"/>
          </w:r>
        </w:p>
      </w:tc>
    </w:tr>
  </w:tbl>
  <w:p w:rsidR="004A120F" w:rsidRDefault="004A120F">
    <w:pPr>
      <w:pStyle w:val="Header"/>
      <w:rPr>
        <w:color w:val="1F497D"/>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noProof/>
              <w:color w:val="1F497D"/>
              <w:lang w:eastAsia="en-GB"/>
            </w:rPr>
            <mc:AlternateContent>
              <mc:Choice Requires="wps">
                <w:drawing>
                  <wp:anchor distT="0" distB="0" distL="114300" distR="114300" simplePos="0" relativeHeight="251734016" behindDoc="1" locked="0" layoutInCell="0" allowOverlap="1" wp14:anchorId="3A21F4DB" wp14:editId="43BB3CF7">
                    <wp:simplePos x="0" y="0"/>
                    <wp:positionH relativeFrom="margin">
                      <wp:align>center</wp:align>
                    </wp:positionH>
                    <wp:positionV relativeFrom="margin">
                      <wp:align>center</wp:align>
                    </wp:positionV>
                    <wp:extent cx="5237480" cy="106680"/>
                    <wp:effectExtent l="0" t="0" r="0" b="0"/>
                    <wp:wrapNone/>
                    <wp:docPr id="4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0;margin-top:0;width:412.4pt;height:8.4pt;rotation:-45;z-index:-251582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" o:allowincell="f" filled="f" stroked="f">
                    <v:stroke joinstyle="round"/>
                    <o:lock v:ext="edit" shapetype="t"/>
                    <v:textbox style="mso-fit-shape-to-text:t">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rPr>
            <w:fldChar w:fldCharType="begin"/>
          </w:r>
          <w:r>
            <w:rPr>
              <w:rFonts w:cs="Calibri"/>
              <w:b/>
              <w:bCs/>
              <w:color w:val="1F497D"/>
            </w:rPr>
            <w:instrText xml:space="preserve"> PAGE   \* MERGEFORMAT </w:instrText>
          </w:r>
          <w:r>
            <w:rPr>
              <w:rFonts w:cs="Calibri"/>
              <w:b/>
              <w:bCs/>
              <w:color w:val="1F497D"/>
            </w:rPr>
            <w:fldChar w:fldCharType="separate"/>
          </w:r>
          <w:r>
            <w:rPr>
              <w:rFonts w:cs="Calibri"/>
              <w:b/>
              <w:bCs/>
              <w:noProof/>
              <w:color w:val="1F497D"/>
            </w:rPr>
            <w:t>i</w:t>
          </w:r>
          <w:r>
            <w:rPr>
              <w:rFonts w:cs="Calibri"/>
              <w:b/>
              <w:bCs/>
              <w:noProof/>
              <w:color w:val="1F497D"/>
            </w:rPr>
            <w:fldChar w:fldCharType="end"/>
          </w:r>
        </w:p>
      </w:tc>
    </w:tr>
  </w:tbl>
  <w:p w:rsidR="004A120F" w:rsidRDefault="000A0796">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6" type="#_x0000_t136" style="position:absolute;margin-left:0;margin-top:0;width:412.4pt;height:247.45pt;rotation:315;z-index:-2515834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sz w:val="28"/>
            </w:rPr>
            <w:fldChar w:fldCharType="begin"/>
          </w:r>
          <w:r>
            <w:rPr>
              <w:rFonts w:cs="Calibri"/>
              <w:b/>
              <w:bCs/>
              <w:color w:val="1F497D"/>
              <w:sz w:val="28"/>
            </w:rPr>
            <w:instrText xml:space="preserve"> PAGE  \* Arabic  \* MERGEFORMAT </w:instrText>
          </w:r>
          <w:r>
            <w:rPr>
              <w:rFonts w:cs="Calibri"/>
              <w:b/>
              <w:bCs/>
              <w:color w:val="1F497D"/>
              <w:sz w:val="28"/>
            </w:rPr>
            <w:fldChar w:fldCharType="separate"/>
          </w:r>
          <w:r>
            <w:rPr>
              <w:rFonts w:cs="Calibri"/>
              <w:b/>
              <w:bCs/>
              <w:noProof/>
              <w:color w:val="1F497D"/>
              <w:sz w:val="28"/>
            </w:rPr>
            <w:t>22</w:t>
          </w:r>
          <w:r>
            <w:rPr>
              <w:rFonts w:cs="Calibri"/>
              <w:b/>
              <w:bCs/>
              <w:color w:val="1F497D"/>
              <w:sz w:val="28"/>
            </w:rPr>
            <w:fldChar w:fldCharType="end"/>
          </w:r>
        </w:p>
      </w:tc>
    </w:tr>
  </w:tbl>
  <w:p w:rsidR="004A120F" w:rsidRDefault="004A120F">
    <w:pPr>
      <w:pStyle w:val="Header"/>
      <w:rPr>
        <w:color w:val="1F497D"/>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noProof/>
              <w:color w:val="1F497D"/>
              <w:lang w:eastAsia="en-GB"/>
            </w:rPr>
            <mc:AlternateContent>
              <mc:Choice Requires="wps">
                <w:drawing>
                  <wp:anchor distT="0" distB="0" distL="114300" distR="114300" simplePos="0" relativeHeight="251740160" behindDoc="1" locked="0" layoutInCell="0" allowOverlap="1" wp14:anchorId="011EAD8B" wp14:editId="10F470DC">
                    <wp:simplePos x="0" y="0"/>
                    <wp:positionH relativeFrom="margin">
                      <wp:align>center</wp:align>
                    </wp:positionH>
                    <wp:positionV relativeFrom="margin">
                      <wp:align>center</wp:align>
                    </wp:positionV>
                    <wp:extent cx="5237480" cy="106680"/>
                    <wp:effectExtent l="0" t="0" r="0" b="0"/>
                    <wp:wrapNone/>
                    <wp:docPr id="4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0;margin-top:0;width:412.4pt;height:8.4pt;rotation:-45;z-index:-251576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" o:allowincell="f" filled="f" stroked="f">
                    <v:stroke joinstyle="round"/>
                    <o:lock v:ext="edit" shapetype="t"/>
                    <v:textbox style="mso-fit-shape-to-text:t">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rPr>
            <w:fldChar w:fldCharType="begin"/>
          </w:r>
          <w:r>
            <w:rPr>
              <w:rFonts w:cs="Calibri"/>
              <w:b/>
              <w:bCs/>
              <w:color w:val="1F497D"/>
            </w:rPr>
            <w:instrText xml:space="preserve"> PAGE   \* MERGEFORMAT </w:instrText>
          </w:r>
          <w:r>
            <w:rPr>
              <w:rFonts w:cs="Calibri"/>
              <w:b/>
              <w:bCs/>
              <w:color w:val="1F497D"/>
            </w:rPr>
            <w:fldChar w:fldCharType="separate"/>
          </w:r>
          <w:r>
            <w:rPr>
              <w:rFonts w:cs="Calibri"/>
              <w:b/>
              <w:bCs/>
              <w:noProof/>
              <w:color w:val="1F497D"/>
            </w:rPr>
            <w:t>i</w:t>
          </w:r>
          <w:r>
            <w:rPr>
              <w:rFonts w:cs="Calibri"/>
              <w:b/>
              <w:bCs/>
              <w:noProof/>
              <w:color w:val="1F497D"/>
            </w:rPr>
            <w:fldChar w:fldCharType="end"/>
          </w:r>
        </w:p>
      </w:tc>
    </w:tr>
  </w:tbl>
  <w:p w:rsidR="004A120F" w:rsidRDefault="000A0796">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8" type="#_x0000_t136" style="position:absolute;margin-left:0;margin-top:0;width:412.4pt;height:247.45pt;rotation:315;z-index:-2515773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sz w:val="28"/>
            </w:rPr>
            <w:fldChar w:fldCharType="begin"/>
          </w:r>
          <w:r>
            <w:rPr>
              <w:rFonts w:cs="Calibri"/>
              <w:b/>
              <w:bCs/>
              <w:color w:val="1F497D"/>
              <w:sz w:val="28"/>
            </w:rPr>
            <w:instrText xml:space="preserve"> PAGE  \* Arabic  \* MERGEFORMAT </w:instrText>
          </w:r>
          <w:r>
            <w:rPr>
              <w:rFonts w:cs="Calibri"/>
              <w:b/>
              <w:bCs/>
              <w:color w:val="1F497D"/>
              <w:sz w:val="28"/>
            </w:rPr>
            <w:fldChar w:fldCharType="separate"/>
          </w:r>
          <w:r>
            <w:rPr>
              <w:rFonts w:cs="Calibri"/>
              <w:b/>
              <w:bCs/>
              <w:noProof/>
              <w:color w:val="1F497D"/>
              <w:sz w:val="28"/>
            </w:rPr>
            <w:t>23</w:t>
          </w:r>
          <w:r>
            <w:rPr>
              <w:rFonts w:cs="Calibri"/>
              <w:b/>
              <w:bCs/>
              <w:color w:val="1F497D"/>
              <w:sz w:val="28"/>
            </w:rPr>
            <w:fldChar w:fldCharType="end"/>
          </w:r>
        </w:p>
      </w:tc>
    </w:tr>
  </w:tbl>
  <w:p w:rsidR="004A120F" w:rsidRDefault="004A120F">
    <w:pPr>
      <w:pStyle w:val="Header"/>
      <w:rPr>
        <w:color w:val="1F497D"/>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noProof/>
              <w:color w:val="1F497D"/>
              <w:lang w:eastAsia="en-GB"/>
            </w:rPr>
            <mc:AlternateContent>
              <mc:Choice Requires="wps">
                <w:drawing>
                  <wp:anchor distT="0" distB="0" distL="114300" distR="114300" simplePos="0" relativeHeight="251746304" behindDoc="1" locked="0" layoutInCell="0" allowOverlap="1" wp14:anchorId="0C9A66B7" wp14:editId="1A6341B4">
                    <wp:simplePos x="0" y="0"/>
                    <wp:positionH relativeFrom="margin">
                      <wp:align>center</wp:align>
                    </wp:positionH>
                    <wp:positionV relativeFrom="margin">
                      <wp:align>center</wp:align>
                    </wp:positionV>
                    <wp:extent cx="5237480" cy="106680"/>
                    <wp:effectExtent l="0" t="0" r="0" b="0"/>
                    <wp:wrapNone/>
                    <wp:docPr id="4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0;margin-top:0;width:412.4pt;height:8.4pt;rotation:-45;z-index:-251570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KsuGouLAgAABA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rPr>
            <w:fldChar w:fldCharType="begin"/>
          </w:r>
          <w:r>
            <w:rPr>
              <w:rFonts w:cs="Calibri"/>
              <w:b/>
              <w:bCs/>
              <w:color w:val="1F497D"/>
            </w:rPr>
            <w:instrText xml:space="preserve"> PAGE   \* MERGEFORMAT </w:instrText>
          </w:r>
          <w:r>
            <w:rPr>
              <w:rFonts w:cs="Calibri"/>
              <w:b/>
              <w:bCs/>
              <w:color w:val="1F497D"/>
            </w:rPr>
            <w:fldChar w:fldCharType="separate"/>
          </w:r>
          <w:r>
            <w:rPr>
              <w:rFonts w:cs="Calibri"/>
              <w:b/>
              <w:bCs/>
              <w:noProof/>
              <w:color w:val="1F497D"/>
            </w:rPr>
            <w:t>i</w:t>
          </w:r>
          <w:r>
            <w:rPr>
              <w:rFonts w:cs="Calibri"/>
              <w:b/>
              <w:bCs/>
              <w:noProof/>
              <w:color w:val="1F497D"/>
            </w:rPr>
            <w:fldChar w:fldCharType="end"/>
          </w:r>
        </w:p>
      </w:tc>
    </w:tr>
  </w:tbl>
  <w:p w:rsidR="004A120F" w:rsidRDefault="000A0796">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0" type="#_x0000_t136" style="position:absolute;margin-left:0;margin-top:0;width:412.4pt;height:247.45pt;rotation:315;z-index:-2515712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noProof/>
              <w:color w:val="1F497D"/>
              <w:lang w:eastAsia="en-GB"/>
            </w:rPr>
            <mc:AlternateContent>
              <mc:Choice Requires="wps">
                <w:drawing>
                  <wp:anchor distT="0" distB="0" distL="114300" distR="114300" simplePos="0" relativeHeight="251755520" behindDoc="1" locked="0" layoutInCell="0" allowOverlap="1" wp14:anchorId="6CDC4F99" wp14:editId="5AE6816D">
                    <wp:simplePos x="0" y="0"/>
                    <wp:positionH relativeFrom="margin">
                      <wp:align>center</wp:align>
                    </wp:positionH>
                    <wp:positionV relativeFrom="margin">
                      <wp:align>center</wp:align>
                    </wp:positionV>
                    <wp:extent cx="5237480" cy="106680"/>
                    <wp:effectExtent l="0" t="0" r="0" b="0"/>
                    <wp:wrapNone/>
                    <wp:docPr id="4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0;margin-top:0;width:412.4pt;height:8.4pt;rotation:-45;z-index:-251560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" o:allowincell="f" filled="f" stroked="f">
                    <v:stroke joinstyle="round"/>
                    <o:lock v:ext="edit" shapetype="t"/>
                    <v:textbox style="mso-fit-shape-to-text:t">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r>
            <w:rPr>
              <w:rFonts w:cs="Calibri"/>
              <w:b/>
              <w:bCs/>
              <w:noProof/>
              <w:color w:val="1F497D"/>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3" type="#_x0000_t136" style="position:absolute;left:0;text-align:left;margin-left:0;margin-top:0;width:412.4pt;height:247.45pt;rotation:315;z-index:-2515619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sz w:val="28"/>
            </w:rPr>
            <w:fldChar w:fldCharType="begin"/>
          </w:r>
          <w:r>
            <w:rPr>
              <w:rFonts w:cs="Calibri"/>
              <w:b/>
              <w:bCs/>
              <w:color w:val="1F497D"/>
              <w:sz w:val="28"/>
            </w:rPr>
            <w:instrText xml:space="preserve"> PAGE  \* Arabic  \* MERGEFORMAT </w:instrText>
          </w:r>
          <w:r>
            <w:rPr>
              <w:rFonts w:cs="Calibri"/>
              <w:b/>
              <w:bCs/>
              <w:color w:val="1F497D"/>
              <w:sz w:val="28"/>
            </w:rPr>
            <w:fldChar w:fldCharType="separate"/>
          </w:r>
          <w:r>
            <w:rPr>
              <w:rFonts w:cs="Calibri"/>
              <w:b/>
              <w:bCs/>
              <w:noProof/>
              <w:color w:val="1F497D"/>
              <w:sz w:val="28"/>
            </w:rPr>
            <w:t>23</w:t>
          </w:r>
          <w:r>
            <w:rPr>
              <w:rFonts w:cs="Calibri"/>
              <w:b/>
              <w:bCs/>
              <w:color w:val="1F497D"/>
              <w:sz w:val="28"/>
            </w:rPr>
            <w:fldChar w:fldCharType="end"/>
          </w:r>
        </w:p>
      </w:tc>
    </w:tr>
  </w:tbl>
  <w:p w:rsidR="004A120F" w:rsidRDefault="004A120F">
    <w:pPr>
      <w:pStyle w:val="Header"/>
      <w:rPr>
        <w:color w:val="1F497D"/>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noProof/>
              <w:color w:val="1F497D"/>
              <w:lang w:eastAsia="en-GB"/>
            </w:rPr>
            <mc:AlternateContent>
              <mc:Choice Requires="wps">
                <w:drawing>
                  <wp:anchor distT="0" distB="0" distL="114300" distR="114300" simplePos="0" relativeHeight="251752448" behindDoc="1" locked="0" layoutInCell="0" allowOverlap="1" wp14:anchorId="580016C7" wp14:editId="1676A484">
                    <wp:simplePos x="0" y="0"/>
                    <wp:positionH relativeFrom="margin">
                      <wp:align>center</wp:align>
                    </wp:positionH>
                    <wp:positionV relativeFrom="margin">
                      <wp:align>center</wp:align>
                    </wp:positionV>
                    <wp:extent cx="5237480" cy="106680"/>
                    <wp:effectExtent l="0" t="0" r="0" b="0"/>
                    <wp:wrapNone/>
                    <wp:docPr id="4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0;margin-top:0;width:412.4pt;height:8.4pt;rotation:-45;z-index:-251564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GFMogKLAgAABA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rPr>
            <w:fldChar w:fldCharType="begin"/>
          </w:r>
          <w:r>
            <w:rPr>
              <w:rFonts w:cs="Calibri"/>
              <w:b/>
              <w:bCs/>
              <w:color w:val="1F497D"/>
            </w:rPr>
            <w:instrText xml:space="preserve"> PAGE   \* MERGEFORMAT </w:instrText>
          </w:r>
          <w:r>
            <w:rPr>
              <w:rFonts w:cs="Calibri"/>
              <w:b/>
              <w:bCs/>
              <w:color w:val="1F497D"/>
            </w:rPr>
            <w:fldChar w:fldCharType="separate"/>
          </w:r>
          <w:r>
            <w:rPr>
              <w:rFonts w:cs="Calibri"/>
              <w:b/>
              <w:bCs/>
              <w:noProof/>
              <w:color w:val="1F497D"/>
            </w:rPr>
            <w:t>i</w:t>
          </w:r>
          <w:r>
            <w:rPr>
              <w:rFonts w:cs="Calibri"/>
              <w:b/>
              <w:bCs/>
              <w:noProof/>
              <w:color w:val="1F497D"/>
            </w:rPr>
            <w:fldChar w:fldCharType="end"/>
          </w:r>
        </w:p>
      </w:tc>
    </w:tr>
  </w:tbl>
  <w:p w:rsidR="004A120F" w:rsidRDefault="000A0796">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2" type="#_x0000_t136" style="position:absolute;margin-left:0;margin-top:0;width:412.4pt;height:247.45pt;rotation:315;z-index:-2515650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sz w:val="28"/>
              <w:szCs w:val="28"/>
            </w:rPr>
          </w:pPr>
          <w:r>
            <w:rPr>
              <w:rFonts w:cs="Calibri"/>
              <w:b/>
              <w:bCs/>
              <w:color w:val="1F497D"/>
              <w:sz w:val="28"/>
              <w:szCs w:val="28"/>
            </w:rPr>
            <w:fldChar w:fldCharType="begin"/>
          </w:r>
          <w:r>
            <w:rPr>
              <w:rFonts w:cs="Calibri"/>
              <w:b/>
              <w:bCs/>
              <w:color w:val="1F497D"/>
              <w:sz w:val="28"/>
              <w:szCs w:val="28"/>
            </w:rPr>
            <w:instrText xml:space="preserve"> PAGE   \* MERGEFORMAT </w:instrText>
          </w:r>
          <w:r>
            <w:rPr>
              <w:rFonts w:cs="Calibri"/>
              <w:b/>
              <w:bCs/>
              <w:color w:val="1F497D"/>
              <w:sz w:val="28"/>
              <w:szCs w:val="28"/>
            </w:rPr>
            <w:fldChar w:fldCharType="separate"/>
          </w:r>
          <w:r>
            <w:rPr>
              <w:rFonts w:cs="Calibri"/>
              <w:b/>
              <w:bCs/>
              <w:noProof/>
              <w:color w:val="1F497D"/>
              <w:sz w:val="28"/>
              <w:szCs w:val="28"/>
            </w:rPr>
            <w:t>3</w:t>
          </w:r>
          <w:r>
            <w:rPr>
              <w:rFonts w:cs="Calibri"/>
              <w:b/>
              <w:bCs/>
              <w:noProof/>
              <w:color w:val="1F497D"/>
              <w:sz w:val="28"/>
              <w:szCs w:val="28"/>
            </w:rPr>
            <w:fldChar w:fldCharType="end"/>
          </w:r>
        </w:p>
      </w:tc>
    </w:tr>
  </w:tbl>
  <w:p w:rsidR="004A120F" w:rsidRDefault="004A120F">
    <w:pPr>
      <w:pStyle w:val="Header"/>
      <w:rPr>
        <w:color w:val="1F497D"/>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sz w:val="28"/>
            </w:rPr>
            <w:fldChar w:fldCharType="begin"/>
          </w:r>
          <w:r>
            <w:rPr>
              <w:rFonts w:cs="Calibri"/>
              <w:b/>
              <w:bCs/>
              <w:color w:val="1F497D"/>
              <w:sz w:val="28"/>
            </w:rPr>
            <w:instrText xml:space="preserve"> PAGE  \* Arabic  \* MERGEFORMAT </w:instrText>
          </w:r>
          <w:r>
            <w:rPr>
              <w:rFonts w:cs="Calibri"/>
              <w:b/>
              <w:bCs/>
              <w:color w:val="1F497D"/>
              <w:sz w:val="28"/>
            </w:rPr>
            <w:fldChar w:fldCharType="separate"/>
          </w:r>
          <w:r>
            <w:rPr>
              <w:rFonts w:cs="Calibri"/>
              <w:b/>
              <w:bCs/>
              <w:noProof/>
              <w:color w:val="1F497D"/>
              <w:sz w:val="28"/>
            </w:rPr>
            <w:t>27</w:t>
          </w:r>
          <w:r>
            <w:rPr>
              <w:rFonts w:cs="Calibri"/>
              <w:b/>
              <w:bCs/>
              <w:color w:val="1F497D"/>
              <w:sz w:val="28"/>
            </w:rPr>
            <w:fldChar w:fldCharType="end"/>
          </w:r>
        </w:p>
      </w:tc>
    </w:tr>
  </w:tbl>
  <w:p w:rsidR="004A120F" w:rsidRDefault="004A120F">
    <w:pPr>
      <w:pStyle w:val="Header"/>
      <w:rPr>
        <w:color w:val="1F497D"/>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noProof/>
              <w:color w:val="1F497D"/>
              <w:lang w:eastAsia="en-GB"/>
            </w:rPr>
            <mc:AlternateContent>
              <mc:Choice Requires="wps">
                <w:drawing>
                  <wp:anchor distT="0" distB="0" distL="114300" distR="114300" simplePos="0" relativeHeight="251758592" behindDoc="1" locked="0" layoutInCell="0" allowOverlap="1">
                    <wp:simplePos x="0" y="0"/>
                    <wp:positionH relativeFrom="margin">
                      <wp:align>center</wp:align>
                    </wp:positionH>
                    <wp:positionV relativeFrom="margin">
                      <wp:align>center</wp:align>
                    </wp:positionV>
                    <wp:extent cx="5237480" cy="106680"/>
                    <wp:effectExtent l="0" t="0" r="0" b="0"/>
                    <wp:wrapNone/>
                    <wp:docPr id="4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0;margin-top:0;width:412.4pt;height:8.4pt;rotation:-45;z-index:-251557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AXUR1iLAgAABA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rPr>
            <w:fldChar w:fldCharType="begin"/>
          </w:r>
          <w:r>
            <w:rPr>
              <w:rFonts w:cs="Calibri"/>
              <w:b/>
              <w:bCs/>
              <w:color w:val="1F497D"/>
            </w:rPr>
            <w:instrText xml:space="preserve"> PAGE   \* MERGEFORMAT </w:instrText>
          </w:r>
          <w:r>
            <w:rPr>
              <w:rFonts w:cs="Calibri"/>
              <w:b/>
              <w:bCs/>
              <w:color w:val="1F497D"/>
            </w:rPr>
            <w:fldChar w:fldCharType="separate"/>
          </w:r>
          <w:r>
            <w:rPr>
              <w:rFonts w:cs="Calibri"/>
              <w:b/>
              <w:bCs/>
              <w:noProof/>
              <w:color w:val="1F497D"/>
            </w:rPr>
            <w:t>i</w:t>
          </w:r>
          <w:r>
            <w:rPr>
              <w:rFonts w:cs="Calibri"/>
              <w:b/>
              <w:bCs/>
              <w:noProof/>
              <w:color w:val="1F497D"/>
            </w:rPr>
            <w:fldChar w:fldCharType="end"/>
          </w:r>
        </w:p>
      </w:tc>
    </w:tr>
  </w:tbl>
  <w:p w:rsidR="004A120F" w:rsidRDefault="000A0796">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4" type="#_x0000_t136" style="position:absolute;margin-left:0;margin-top:0;width:412.4pt;height:247.45pt;rotation:315;z-index:-2515589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sz w:val="28"/>
              <w:szCs w:val="28"/>
            </w:rPr>
          </w:pPr>
          <w:r>
            <w:rPr>
              <w:rFonts w:cs="Calibri"/>
              <w:b/>
              <w:bCs/>
              <w:color w:val="1F497D"/>
              <w:sz w:val="28"/>
              <w:szCs w:val="28"/>
            </w:rPr>
            <w:fldChar w:fldCharType="begin"/>
          </w:r>
          <w:r>
            <w:rPr>
              <w:rFonts w:cs="Calibri"/>
              <w:b/>
              <w:bCs/>
              <w:color w:val="1F497D"/>
              <w:sz w:val="28"/>
              <w:szCs w:val="28"/>
            </w:rPr>
            <w:instrText xml:space="preserve"> PAGE   \* MERGEFORMAT </w:instrText>
          </w:r>
          <w:r>
            <w:rPr>
              <w:rFonts w:cs="Calibri"/>
              <w:b/>
              <w:bCs/>
              <w:color w:val="1F497D"/>
              <w:sz w:val="28"/>
              <w:szCs w:val="28"/>
            </w:rPr>
            <w:fldChar w:fldCharType="separate"/>
          </w:r>
          <w:r>
            <w:rPr>
              <w:rFonts w:cs="Calibri"/>
              <w:b/>
              <w:bCs/>
              <w:noProof/>
              <w:color w:val="1F497D"/>
              <w:sz w:val="28"/>
              <w:szCs w:val="28"/>
            </w:rPr>
            <w:t>2</w:t>
          </w:r>
          <w:r>
            <w:rPr>
              <w:rFonts w:cs="Calibri"/>
              <w:b/>
              <w:bCs/>
              <w:noProof/>
              <w:color w:val="1F497D"/>
              <w:sz w:val="28"/>
              <w:szCs w:val="28"/>
            </w:rPr>
            <w:fldChar w:fldCharType="end"/>
          </w:r>
        </w:p>
      </w:tc>
    </w:tr>
  </w:tbl>
  <w:p w:rsidR="004A120F" w:rsidRDefault="004A120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F" w:rsidRDefault="004A120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noProof/>
              <w:color w:val="1F497D"/>
              <w:lang w:eastAsia="en-GB"/>
            </w:rPr>
            <mc:AlternateContent>
              <mc:Choice Requires="wps">
                <w:drawing>
                  <wp:anchor distT="0" distB="0" distL="114300" distR="114300" simplePos="0" relativeHeight="251675648" behindDoc="1" locked="0" layoutInCell="0" allowOverlap="1" wp14:anchorId="571314CA" wp14:editId="12116207">
                    <wp:simplePos x="0" y="0"/>
                    <wp:positionH relativeFrom="margin">
                      <wp:align>center</wp:align>
                    </wp:positionH>
                    <wp:positionV relativeFrom="margin">
                      <wp:align>center</wp:align>
                    </wp:positionV>
                    <wp:extent cx="5237480" cy="106680"/>
                    <wp:effectExtent l="0" t="0" r="0" b="0"/>
                    <wp:wrapNone/>
                    <wp:docPr id="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6" type="#_x0000_t202" style="position:absolute;left:0;text-align:left;margin-left:0;margin-top:0;width:412.4pt;height:8.4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" o:allowincell="f" filled="f" stroked="f">
                    <v:stroke joinstyle="round"/>
                    <o:lock v:ext="edit" shapetype="t"/>
                    <v:textbox style="mso-fit-shape-to-text:t">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r>
            <w:rPr>
              <w:rFonts w:cs="Calibri"/>
              <w:b/>
              <w:bCs/>
              <w:noProof/>
              <w:color w:val="1F497D"/>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0;text-align:left;margin-left:0;margin-top:0;width:412.4pt;height:247.45pt;rotation:315;z-index:-2516418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sz w:val="28"/>
            </w:rPr>
            <w:fldChar w:fldCharType="begin"/>
          </w:r>
          <w:r>
            <w:rPr>
              <w:rFonts w:cs="Calibri"/>
              <w:b/>
              <w:bCs/>
              <w:color w:val="1F497D"/>
              <w:sz w:val="28"/>
            </w:rPr>
            <w:instrText xml:space="preserve"> PAGE  \* Arabic  \* MERGEFORMAT </w:instrText>
          </w:r>
          <w:r>
            <w:rPr>
              <w:rFonts w:cs="Calibri"/>
              <w:b/>
              <w:bCs/>
              <w:color w:val="1F497D"/>
              <w:sz w:val="28"/>
            </w:rPr>
            <w:fldChar w:fldCharType="separate"/>
          </w:r>
          <w:r>
            <w:rPr>
              <w:rFonts w:cs="Calibri"/>
              <w:b/>
              <w:bCs/>
              <w:noProof/>
              <w:color w:val="1F497D"/>
              <w:sz w:val="28"/>
            </w:rPr>
            <w:t>23</w:t>
          </w:r>
          <w:r>
            <w:rPr>
              <w:rFonts w:cs="Calibri"/>
              <w:b/>
              <w:bCs/>
              <w:color w:val="1F497D"/>
              <w:sz w:val="28"/>
            </w:rPr>
            <w:fldChar w:fldCharType="end"/>
          </w:r>
        </w:p>
      </w:tc>
    </w:tr>
  </w:tbl>
  <w:p w:rsidR="004A120F" w:rsidRDefault="004A120F">
    <w:pPr>
      <w:pStyle w:val="Header"/>
      <w:rPr>
        <w:color w:val="1F497D"/>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4A120F">
      <w:tc>
        <w:tcPr>
          <w:tcW w:w="0" w:type="auto"/>
          <w:tcBorders>
            <w:top w:val="nil"/>
            <w:left w:val="nil"/>
            <w:bottom w:val="nil"/>
            <w:right w:val="single" w:sz="6" w:space="0" w:color="000000"/>
          </w:tcBorders>
          <w:hideMark/>
        </w:tcPr>
        <w:p w:rsidR="004A120F" w:rsidRDefault="000A0796">
          <w:pPr>
            <w:pStyle w:val="Header"/>
            <w:spacing w:line="276" w:lineRule="auto"/>
            <w:jc w:val="right"/>
            <w:rPr>
              <w:rFonts w:cs="Calibri"/>
              <w:b/>
              <w:bCs/>
              <w:color w:val="1F497D"/>
            </w:rPr>
          </w:pPr>
          <w:r>
            <w:rPr>
              <w:rFonts w:cs="Calibri"/>
              <w:b/>
              <w:bCs/>
              <w:noProof/>
              <w:color w:val="1F497D"/>
              <w:lang w:eastAsia="en-GB"/>
            </w:rPr>
            <mc:AlternateContent>
              <mc:Choice Requires="wps">
                <w:drawing>
                  <wp:anchor distT="0" distB="0" distL="114300" distR="114300" simplePos="0" relativeHeight="251672576" behindDoc="1" locked="0" layoutInCell="0" allowOverlap="1" wp14:anchorId="3FEA5573" wp14:editId="1BDCEB61">
                    <wp:simplePos x="0" y="0"/>
                    <wp:positionH relativeFrom="margin">
                      <wp:align>center</wp:align>
                    </wp:positionH>
                    <wp:positionV relativeFrom="margin">
                      <wp:align>center</wp:align>
                    </wp:positionV>
                    <wp:extent cx="5237480" cy="106680"/>
                    <wp:effectExtent l="0" t="0" r="0" b="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0;margin-top:0;width:412.4pt;height:8.4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" o:allowincell="f" filled="f" stroked="f">
                    <v:stroke joinstyle="round"/>
                    <o:lock v:ext="edit" shapetype="t"/>
                    <v:textbox style="mso-fit-shape-to-text:t">
                      <w:txbxContent>
                        <w:p w:rsidR="004A120F" w:rsidRDefault="000A0796">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r>
            <w:rPr>
              <w:rFonts w:cs="Calibri"/>
              <w:b/>
              <w:bCs/>
              <w:color w:val="1F497D"/>
            </w:rPr>
            <w:t>Malta</w:t>
          </w:r>
        </w:p>
      </w:tc>
      <w:tc>
        <w:tcPr>
          <w:tcW w:w="1152" w:type="dxa"/>
          <w:tcBorders>
            <w:top w:val="nil"/>
            <w:left w:val="single" w:sz="6" w:space="0" w:color="000000"/>
            <w:bottom w:val="nil"/>
            <w:right w:val="nil"/>
          </w:tcBorders>
          <w:hideMark/>
        </w:tcPr>
        <w:p w:rsidR="004A120F" w:rsidRDefault="000A0796">
          <w:pPr>
            <w:pStyle w:val="Header"/>
            <w:spacing w:line="276" w:lineRule="auto"/>
            <w:rPr>
              <w:rFonts w:cs="Calibri"/>
              <w:b/>
              <w:bCs/>
              <w:color w:val="1F497D"/>
            </w:rPr>
          </w:pPr>
          <w:r>
            <w:rPr>
              <w:rFonts w:cs="Calibri"/>
              <w:b/>
              <w:bCs/>
              <w:color w:val="1F497D"/>
            </w:rPr>
            <w:fldChar w:fldCharType="begin"/>
          </w:r>
          <w:r>
            <w:rPr>
              <w:rFonts w:cs="Calibri"/>
              <w:b/>
              <w:bCs/>
              <w:color w:val="1F497D"/>
            </w:rPr>
            <w:instrText xml:space="preserve"> PAGE   \* MERGEFORMAT </w:instrText>
          </w:r>
          <w:r>
            <w:rPr>
              <w:rFonts w:cs="Calibri"/>
              <w:b/>
              <w:bCs/>
              <w:color w:val="1F497D"/>
            </w:rPr>
            <w:fldChar w:fldCharType="separate"/>
          </w:r>
          <w:r>
            <w:rPr>
              <w:rFonts w:cs="Calibri"/>
              <w:b/>
              <w:bCs/>
              <w:noProof/>
              <w:color w:val="1F497D"/>
            </w:rPr>
            <w:t>i</w:t>
          </w:r>
          <w:r>
            <w:rPr>
              <w:rFonts w:cs="Calibri"/>
              <w:b/>
              <w:bCs/>
              <w:noProof/>
              <w:color w:val="1F497D"/>
            </w:rPr>
            <w:fldChar w:fldCharType="end"/>
          </w:r>
        </w:p>
      </w:tc>
    </w:tr>
  </w:tbl>
  <w:p w:rsidR="004A120F" w:rsidRDefault="000A0796">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12.4pt;height:247.4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2">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3">
    <w:nsid w:val="1D870775"/>
    <w:multiLevelType w:val="hybridMultilevel"/>
    <w:tmpl w:val="7972AB34"/>
    <w:lvl w:ilvl="0" w:tplc="08090009">
      <w:start w:val="1"/>
      <w:numFmt w:val="bullet"/>
      <w:lvlText w:val=""/>
      <w:lvlJc w:val="left"/>
      <w:pPr>
        <w:ind w:left="360" w:hanging="360"/>
      </w:pPr>
      <w:rPr>
        <w:rFonts w:ascii="Wingdings" w:hAnsi="Wingdings"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5">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6">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7">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D336675"/>
    <w:multiLevelType w:val="hybridMultilevel"/>
    <w:tmpl w:val="BFA8369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6">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8">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9">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0">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2">
    <w:nsid w:val="735A1730"/>
    <w:multiLevelType w:val="hybridMultilevel"/>
    <w:tmpl w:val="96CEF9E8"/>
    <w:lvl w:ilvl="0" w:tplc="D13ED0D2">
      <w:start w:val="1"/>
      <w:numFmt w:val="bullet"/>
      <w:pStyle w:val="SuggAction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C3427D7"/>
    <w:multiLevelType w:val="hybridMultilevel"/>
    <w:tmpl w:val="393C1F5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3"/>
  </w:num>
  <w:num w:numId="2">
    <w:abstractNumId w:val="11"/>
  </w:num>
  <w:num w:numId="3">
    <w:abstractNumId w:val="20"/>
  </w:num>
  <w:num w:numId="4">
    <w:abstractNumId w:val="16"/>
  </w:num>
  <w:num w:numId="5">
    <w:abstractNumId w:val="9"/>
  </w:num>
  <w:num w:numId="6">
    <w:abstractNumId w:val="7"/>
  </w:num>
  <w:num w:numId="7">
    <w:abstractNumId w:val="24"/>
  </w:num>
  <w:num w:numId="8">
    <w:abstractNumId w:val="15"/>
  </w:num>
  <w:num w:numId="9">
    <w:abstractNumId w:val="6"/>
  </w:num>
  <w:num w:numId="10">
    <w:abstractNumId w:val="5"/>
  </w:num>
  <w:num w:numId="11">
    <w:abstractNumId w:val="2"/>
  </w:num>
  <w:num w:numId="12">
    <w:abstractNumId w:val="1"/>
  </w:num>
  <w:num w:numId="13">
    <w:abstractNumId w:val="17"/>
  </w:num>
  <w:num w:numId="14">
    <w:abstractNumId w:val="19"/>
  </w:num>
  <w:num w:numId="15">
    <w:abstractNumId w:val="18"/>
  </w:num>
  <w:num w:numId="16">
    <w:abstractNumId w:val="21"/>
  </w:num>
  <w:num w:numId="17">
    <w:abstractNumId w:val="4"/>
  </w:num>
  <w:num w:numId="18">
    <w:abstractNumId w:val="8"/>
  </w:num>
  <w:num w:numId="19">
    <w:abstractNumId w:val="12"/>
  </w:num>
  <w:num w:numId="20">
    <w:abstractNumId w:val="10"/>
  </w:num>
  <w:num w:numId="21">
    <w:abstractNumId w:val="0"/>
  </w:num>
  <w:num w:numId="22">
    <w:abstractNumId w:val="13"/>
  </w:num>
  <w:num w:numId="23">
    <w:abstractNumId w:val="22"/>
  </w:num>
  <w:num w:numId="24">
    <w:abstractNumId w:val="14"/>
  </w:num>
  <w:num w:numId="25">
    <w:abstractNumId w:val="25"/>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C9CD6D7E04E041F1ADBC2984B32C9659"/>
    <w:docVar w:name="LW_CROSSREFERENCE" w:val="{COM(2017) 63 final}_x000a_{SWD(2017) 33 - 50 final}_x000a_{SWD(2017) 52 - 60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51"/>
    <w:docVar w:name="LW_REF.INTERNE" w:val="&lt;UNUSED&gt;"/>
    <w:docVar w:name="LW_SUPERTITRE" w:val="&lt;UNUSED&gt;"/>
    <w:docVar w:name="LW_TITRE.OBJ.CP" w:val="The EU Environmental Implementation Review_x000b_Country Report - MALTA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4A120F"/>
    <w:rsid w:val="000A0796"/>
    <w:rsid w:val="004A120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pPr>
      <w:spacing w:after="120"/>
    </w:pPr>
  </w:style>
  <w:style w:type="paragraph" w:styleId="Heading1">
    <w:name w:val="heading 1"/>
    <w:basedOn w:val="Normal"/>
    <w:next w:val="Normal"/>
    <w:link w:val="Heading1Char"/>
    <w:autoRedefine/>
    <w:uiPriority w:val="9"/>
    <w:qFormat/>
    <w:pPr>
      <w:widowControl w:val="0"/>
      <w:suppressLineNumbers/>
      <w:spacing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spacing w:after="0" w:line="240" w:lineRule="auto"/>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
    <w:name w:val="Light List - Accent 112"/>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
    <w:name w:val="Table Grid1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ggActions">
    <w:name w:val="SuggActions"/>
    <w:basedOn w:val="ListParagraph"/>
    <w:link w:val="SuggActionsChar"/>
    <w:qFormat/>
    <w:pPr>
      <w:widowControl w:val="0"/>
      <w:numPr>
        <w:numId w:val="23"/>
      </w:numPr>
      <w:suppressLineNumbers/>
      <w:ind w:left="170" w:hanging="170"/>
    </w:pPr>
  </w:style>
  <w:style w:type="character" w:customStyle="1" w:styleId="SuggActionsChar">
    <w:name w:val="SuggActions Char"/>
    <w:basedOn w:val="ListParagraphChar"/>
    <w:link w:val="SuggActions"/>
    <w:rPr>
      <w:rFonts w:ascii="Calibri" w:eastAsia="Calibri" w:hAnsi="Calibri" w:cs="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pPr>
      <w:spacing w:after="120"/>
    </w:pPr>
  </w:style>
  <w:style w:type="paragraph" w:styleId="Heading1">
    <w:name w:val="heading 1"/>
    <w:basedOn w:val="Normal"/>
    <w:next w:val="Normal"/>
    <w:link w:val="Heading1Char"/>
    <w:autoRedefine/>
    <w:uiPriority w:val="9"/>
    <w:qFormat/>
    <w:pPr>
      <w:widowControl w:val="0"/>
      <w:suppressLineNumbers/>
      <w:spacing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spacing w:after="0" w:line="240" w:lineRule="auto"/>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
    <w:name w:val="Light List - Accent 112"/>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
    <w:name w:val="Table Grid1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ggActions">
    <w:name w:val="SuggActions"/>
    <w:basedOn w:val="ListParagraph"/>
    <w:link w:val="SuggActionsChar"/>
    <w:qFormat/>
    <w:pPr>
      <w:widowControl w:val="0"/>
      <w:numPr>
        <w:numId w:val="23"/>
      </w:numPr>
      <w:suppressLineNumbers/>
      <w:ind w:left="170" w:hanging="170"/>
    </w:pPr>
  </w:style>
  <w:style w:type="character" w:customStyle="1" w:styleId="SuggActionsChar">
    <w:name w:val="SuggActions Char"/>
    <w:basedOn w:val="ListParagraphChar"/>
    <w:link w:val="SuggActions"/>
    <w:rPr>
      <w:rFonts w:ascii="Calibri" w:eastAsia="Calibri" w:hAnsi="Calibri"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50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45.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footer" Target="footer24.xml"/><Relationship Id="rId68" Type="http://schemas.openxmlformats.org/officeDocument/2006/relationships/image" Target="media/image10.jpeg"/><Relationship Id="rId84" Type="http://schemas.openxmlformats.org/officeDocument/2006/relationships/image" Target="media/image14.png"/><Relationship Id="rId89" Type="http://schemas.openxmlformats.org/officeDocument/2006/relationships/footer" Target="footer32.xml"/><Relationship Id="rId112" Type="http://schemas.openxmlformats.org/officeDocument/2006/relationships/header" Target="header43.xml"/><Relationship Id="rId133" Type="http://schemas.openxmlformats.org/officeDocument/2006/relationships/theme" Target="theme/theme1.xml"/><Relationship Id="rId16" Type="http://schemas.openxmlformats.org/officeDocument/2006/relationships/hyperlink" Target="mailto:ENV-EIR@ec.europa.eu" TargetMode="External"/><Relationship Id="rId107" Type="http://schemas.openxmlformats.org/officeDocument/2006/relationships/header" Target="header41.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header" Target="header20.xml"/><Relationship Id="rId58" Type="http://schemas.openxmlformats.org/officeDocument/2006/relationships/header" Target="header22.xml"/><Relationship Id="rId74" Type="http://schemas.openxmlformats.org/officeDocument/2006/relationships/footer" Target="footer26.xml"/><Relationship Id="rId79" Type="http://schemas.openxmlformats.org/officeDocument/2006/relationships/footer" Target="footer28.xml"/><Relationship Id="rId102" Type="http://schemas.openxmlformats.org/officeDocument/2006/relationships/header" Target="header39.xml"/><Relationship Id="rId123" Type="http://schemas.openxmlformats.org/officeDocument/2006/relationships/footer" Target="footer48.xml"/><Relationship Id="rId128" Type="http://schemas.openxmlformats.org/officeDocument/2006/relationships/footer" Target="footer49.xml"/><Relationship Id="rId5" Type="http://schemas.openxmlformats.org/officeDocument/2006/relationships/settings" Target="settings.xml"/><Relationship Id="rId90" Type="http://schemas.openxmlformats.org/officeDocument/2006/relationships/header" Target="header33.xml"/><Relationship Id="rId95" Type="http://schemas.openxmlformats.org/officeDocument/2006/relationships/footer" Target="footer3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image" Target="media/image2.png"/><Relationship Id="rId56" Type="http://schemas.openxmlformats.org/officeDocument/2006/relationships/header" Target="header21.xml"/><Relationship Id="rId64" Type="http://schemas.openxmlformats.org/officeDocument/2006/relationships/image" Target="media/image6.jpeg"/><Relationship Id="rId69" Type="http://schemas.openxmlformats.org/officeDocument/2006/relationships/image" Target="media/image11.jpeg"/><Relationship Id="rId77" Type="http://schemas.openxmlformats.org/officeDocument/2006/relationships/header" Target="header28.xml"/><Relationship Id="rId100" Type="http://schemas.openxmlformats.org/officeDocument/2006/relationships/footer" Target="footer37.xml"/><Relationship Id="rId105" Type="http://schemas.openxmlformats.org/officeDocument/2006/relationships/image" Target="media/image17.png"/><Relationship Id="rId113" Type="http://schemas.openxmlformats.org/officeDocument/2006/relationships/header" Target="header44.xml"/><Relationship Id="rId118" Type="http://schemas.openxmlformats.org/officeDocument/2006/relationships/header" Target="header46.xml"/><Relationship Id="rId126" Type="http://schemas.openxmlformats.org/officeDocument/2006/relationships/header" Target="header49.xml"/><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header" Target="header26.xml"/><Relationship Id="rId80" Type="http://schemas.openxmlformats.org/officeDocument/2006/relationships/footer" Target="footer29.xml"/><Relationship Id="rId85" Type="http://schemas.openxmlformats.org/officeDocument/2006/relationships/image" Target="media/image15.jpeg"/><Relationship Id="rId93" Type="http://schemas.openxmlformats.org/officeDocument/2006/relationships/header" Target="header35.xml"/><Relationship Id="rId98" Type="http://schemas.openxmlformats.org/officeDocument/2006/relationships/header" Target="header37.xml"/><Relationship Id="rId121" Type="http://schemas.openxmlformats.org/officeDocument/2006/relationships/footer" Target="footer4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eader" Target="header23.xml"/><Relationship Id="rId67" Type="http://schemas.openxmlformats.org/officeDocument/2006/relationships/image" Target="media/image9.png"/><Relationship Id="rId103" Type="http://schemas.openxmlformats.org/officeDocument/2006/relationships/footer" Target="footer39.xml"/><Relationship Id="rId108" Type="http://schemas.openxmlformats.org/officeDocument/2006/relationships/footer" Target="footer40.xml"/><Relationship Id="rId116" Type="http://schemas.openxmlformats.org/officeDocument/2006/relationships/header" Target="header45.xml"/><Relationship Id="rId124" Type="http://schemas.openxmlformats.org/officeDocument/2006/relationships/image" Target="media/image18.jpeg"/><Relationship Id="rId129" Type="http://schemas.openxmlformats.org/officeDocument/2006/relationships/footer" Target="footer50.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footer" Target="footer19.xml"/><Relationship Id="rId62" Type="http://schemas.openxmlformats.org/officeDocument/2006/relationships/header" Target="header24.xml"/><Relationship Id="rId70" Type="http://schemas.openxmlformats.org/officeDocument/2006/relationships/image" Target="media/image12.jpeg"/><Relationship Id="rId75" Type="http://schemas.openxmlformats.org/officeDocument/2006/relationships/header" Target="header27.xml"/><Relationship Id="rId83" Type="http://schemas.openxmlformats.org/officeDocument/2006/relationships/image" Target="media/image13.png"/><Relationship Id="rId88" Type="http://schemas.openxmlformats.org/officeDocument/2006/relationships/footer" Target="footer31.xml"/><Relationship Id="rId91" Type="http://schemas.openxmlformats.org/officeDocument/2006/relationships/footer" Target="footer33.xml"/><Relationship Id="rId96" Type="http://schemas.openxmlformats.org/officeDocument/2006/relationships/header" Target="header36.xml"/><Relationship Id="rId111" Type="http://schemas.openxmlformats.org/officeDocument/2006/relationships/footer" Target="footer42.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3.png"/><Relationship Id="rId57" Type="http://schemas.openxmlformats.org/officeDocument/2006/relationships/footer" Target="footer21.xml"/><Relationship Id="rId106" Type="http://schemas.openxmlformats.org/officeDocument/2006/relationships/header" Target="header40.xml"/><Relationship Id="rId114" Type="http://schemas.openxmlformats.org/officeDocument/2006/relationships/footer" Target="footer43.xml"/><Relationship Id="rId119" Type="http://schemas.openxmlformats.org/officeDocument/2006/relationships/header" Target="header47.xml"/><Relationship Id="rId127" Type="http://schemas.openxmlformats.org/officeDocument/2006/relationships/header" Target="header50.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eader" Target="header19.xml"/><Relationship Id="rId60" Type="http://schemas.openxmlformats.org/officeDocument/2006/relationships/footer" Target="footer22.xml"/><Relationship Id="rId65" Type="http://schemas.openxmlformats.org/officeDocument/2006/relationships/image" Target="media/image7.png"/><Relationship Id="rId73" Type="http://schemas.openxmlformats.org/officeDocument/2006/relationships/footer" Target="footer25.xml"/><Relationship Id="rId78" Type="http://schemas.openxmlformats.org/officeDocument/2006/relationships/header" Target="header29.xml"/><Relationship Id="rId81" Type="http://schemas.openxmlformats.org/officeDocument/2006/relationships/header" Target="header30.xml"/><Relationship Id="rId86" Type="http://schemas.openxmlformats.org/officeDocument/2006/relationships/header" Target="header31.xml"/><Relationship Id="rId94" Type="http://schemas.openxmlformats.org/officeDocument/2006/relationships/footer" Target="footer34.xml"/><Relationship Id="rId99" Type="http://schemas.openxmlformats.org/officeDocument/2006/relationships/header" Target="header38.xml"/><Relationship Id="rId101" Type="http://schemas.openxmlformats.org/officeDocument/2006/relationships/footer" Target="footer38.xml"/><Relationship Id="rId122" Type="http://schemas.openxmlformats.org/officeDocument/2006/relationships/header" Target="header48.xml"/><Relationship Id="rId130" Type="http://schemas.openxmlformats.org/officeDocument/2006/relationships/header" Target="header5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footer" Target="footer41.xml"/><Relationship Id="rId34" Type="http://schemas.openxmlformats.org/officeDocument/2006/relationships/header" Target="header12.xml"/><Relationship Id="rId50" Type="http://schemas.openxmlformats.org/officeDocument/2006/relationships/image" Target="media/image4.png"/><Relationship Id="rId55" Type="http://schemas.openxmlformats.org/officeDocument/2006/relationships/footer" Target="footer20.xml"/><Relationship Id="rId76" Type="http://schemas.openxmlformats.org/officeDocument/2006/relationships/footer" Target="footer27.xml"/><Relationship Id="rId97" Type="http://schemas.openxmlformats.org/officeDocument/2006/relationships/footer" Target="footer36.xml"/><Relationship Id="rId104" Type="http://schemas.openxmlformats.org/officeDocument/2006/relationships/image" Target="media/image16.png"/><Relationship Id="rId120" Type="http://schemas.openxmlformats.org/officeDocument/2006/relationships/footer" Target="footer46.xml"/><Relationship Id="rId125" Type="http://schemas.openxmlformats.org/officeDocument/2006/relationships/image" Target="media/image19.jpeg"/><Relationship Id="rId7" Type="http://schemas.openxmlformats.org/officeDocument/2006/relationships/footnotes" Target="footnotes.xml"/><Relationship Id="rId71" Type="http://schemas.openxmlformats.org/officeDocument/2006/relationships/header" Target="header25.xml"/><Relationship Id="rId92" Type="http://schemas.openxmlformats.org/officeDocument/2006/relationships/header" Target="header34.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image" Target="media/image8.png"/><Relationship Id="rId87" Type="http://schemas.openxmlformats.org/officeDocument/2006/relationships/header" Target="header32.xml"/><Relationship Id="rId110" Type="http://schemas.openxmlformats.org/officeDocument/2006/relationships/header" Target="header42.xml"/><Relationship Id="rId115" Type="http://schemas.openxmlformats.org/officeDocument/2006/relationships/footer" Target="footer44.xml"/><Relationship Id="rId131" Type="http://schemas.openxmlformats.org/officeDocument/2006/relationships/footer" Target="footer51.xml"/><Relationship Id="rId61" Type="http://schemas.openxmlformats.org/officeDocument/2006/relationships/footer" Target="footer23.xml"/><Relationship Id="rId82" Type="http://schemas.openxmlformats.org/officeDocument/2006/relationships/footer" Target="footer30.xml"/><Relationship Id="rId19" Type="http://schemas.openxmlformats.org/officeDocument/2006/relationships/header" Target="header5.xml"/></Relationships>
</file>

<file path=word/_rels/footnotes.xml.rels><?xml version="1.0" encoding="UTF-8" standalone="yes"?>
<Relationships xmlns="http://schemas.openxmlformats.org/package/2006/relationships"><Relationship Id="rId13" Type="http://schemas.openxmlformats.org/officeDocument/2006/relationships/hyperlink" Target="http://ec.europa.eu/eurostat/tgm/table.do?tab=table&amp;init=1&amp;language=en&amp;pcode=t2020_rt120&amp;plugin=1" TargetMode="External"/><Relationship Id="rId18" Type="http://schemas.openxmlformats.org/officeDocument/2006/relationships/hyperlink" Target="https://circabc.europa.eu/sd/a/899d9952-edc1-41e5-9087-400513a09b17/MT_20140528.pdf" TargetMode="External"/><Relationship Id="rId26" Type="http://schemas.openxmlformats.org/officeDocument/2006/relationships/hyperlink" Target="http://ec.europa.eu/environment/air/quality/standards.htm" TargetMode="External"/><Relationship Id="rId39" Type="http://schemas.openxmlformats.org/officeDocument/2006/relationships/hyperlink" Target="http://eur-lex.europa.eu/legal-content/EN/TXT/?qid=1481624135097&amp;uri=CELEX:32000L0060" TargetMode="External"/><Relationship Id="rId21" Type="http://schemas.openxmlformats.org/officeDocument/2006/relationships/hyperlink" Target="http://msdec.gov.mt/en/decc/documents/environment/national%20environment%20policy.pdf" TargetMode="External"/><Relationship Id="rId34" Type="http://schemas.openxmlformats.org/officeDocument/2006/relationships/hyperlink" Target="http://ec.europa.eu/environment/archives/air/pdf/Impact_assessment_en.pdf" TargetMode="External"/><Relationship Id="rId42" Type="http://schemas.openxmlformats.org/officeDocument/2006/relationships/hyperlink" Target="http://ec.europa.eu/environment/water/water-drink/reporting_en.html" TargetMode="External"/><Relationship Id="rId47" Type="http://schemas.openxmlformats.org/officeDocument/2006/relationships/hyperlink" Target="http://www.eea.europa.eu/themes/urban" TargetMode="External"/><Relationship Id="rId50" Type="http://schemas.openxmlformats.org/officeDocument/2006/relationships/hyperlink" Target="http://ec.europa.eu/environment/integration/green_semester/pdf/Eunomia%20EFR%20Final%20Report%20MAIN%20REPORT.pdf" TargetMode="External"/><Relationship Id="rId55" Type="http://schemas.openxmlformats.org/officeDocument/2006/relationships/hyperlink" Target="http://ec.europa.eu/europe2020/pdf/csr2016/nrp2016_malta_en.pdf" TargetMode="External"/><Relationship Id="rId63" Type="http://schemas.openxmlformats.org/officeDocument/2006/relationships/hyperlink" Target="https://eufunds.gov.mt/en/Information/Documents/MT%20PA%20-%20October%202014.pdf" TargetMode="External"/><Relationship Id="rId68" Type="http://schemas.openxmlformats.org/officeDocument/2006/relationships/hyperlink" Target="http://www.impel.eu" TargetMode="External"/><Relationship Id="rId76" Type="http://schemas.openxmlformats.org/officeDocument/2006/relationships/hyperlink" Target="http://www.impel.eu/wp-content/uploads/2016/06/FR-2014-07-IRI-Malta.pdf" TargetMode="External"/><Relationship Id="rId84" Type="http://schemas.openxmlformats.org/officeDocument/2006/relationships/hyperlink" Target="http://inspire.ec.europa.eu" TargetMode="External"/><Relationship Id="rId89" Type="http://schemas.openxmlformats.org/officeDocument/2006/relationships/hyperlink" Target="http://inspire.ec.europa.eu/portfolio/inspire-dashboard" TargetMode="External"/><Relationship Id="rId7" Type="http://schemas.openxmlformats.org/officeDocument/2006/relationships/hyperlink" Target="http://ec.europa.eu/eurostat/tgm/table.do?tab=table&amp;init=1&amp;language=en&amp;pcode=tsdpc100&amp;plugin=1" TargetMode="External"/><Relationship Id="rId71" Type="http://schemas.openxmlformats.org/officeDocument/2006/relationships/hyperlink" Target="http://envicrimenet.com/"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ec.europa.eu/environment/waste/framework/pdf/Waste%20Summary_MT.pdf" TargetMode="External"/><Relationship Id="rId29" Type="http://schemas.openxmlformats.org/officeDocument/2006/relationships/hyperlink" Target="http://eur-lex.europa.eu/legal-content/EN/TXT/?uri=celex:32001L0081" TargetMode="External"/><Relationship Id="rId11" Type="http://schemas.openxmlformats.org/officeDocument/2006/relationships/hyperlink" Target="http://ec.europa.eu/eurostat/tgm/table.do?tab=table&amp;init=1&amp;plugin=1&amp;language=en&amp;pcode=tsdpc240" TargetMode="External"/><Relationship Id="rId24" Type="http://schemas.openxmlformats.org/officeDocument/2006/relationships/hyperlink" Target="http://ec.europa.eu/eurostat/statistics-explained/index.php/Agri-environmental_indicator_-_soil_erosion" TargetMode="External"/><Relationship Id="rId32" Type="http://schemas.openxmlformats.org/officeDocument/2006/relationships/hyperlink" Target="http://www.eea.europa.eu/publications/air-quality-in-europe-2016" TargetMode="External"/><Relationship Id="rId37" Type="http://schemas.openxmlformats.org/officeDocument/2006/relationships/hyperlink" Target="http://eur-lex.europa.eu/legal-content/EN/ALL/?uri=CELEX%3A31991L0271" TargetMode="External"/><Relationship Id="rId40" Type="http://schemas.openxmlformats.org/officeDocument/2006/relationships/hyperlink" Target="http://eur-lex.europa.eu/legal-content/EN/TXT/?uri=CELEX%3A31991L0676" TargetMode="External"/><Relationship Id="rId45" Type="http://schemas.openxmlformats.org/officeDocument/2006/relationships/hyperlink" Target="http://ec.europa.eu/environment/integration/green_semester/pdf/RPA%20Final%20Report-annexes.pdf" TargetMode="External"/><Relationship Id="rId53" Type="http://schemas.openxmlformats.org/officeDocument/2006/relationships/hyperlink" Target="http://eur-lex.europa.eu/legal-content/EN/TXT/?uri=CELEX:52008DC0400http://eur-lex.europa.eu/legal-content/EN/TXT/?uri=CELEX:52008DC0400" TargetMode="External"/><Relationship Id="rId58" Type="http://schemas.openxmlformats.org/officeDocument/2006/relationships/hyperlink" Target="https://cohesiondata.ec.europa.eu/countries" TargetMode="External"/><Relationship Id="rId66" Type="http://schemas.openxmlformats.org/officeDocument/2006/relationships/hyperlink" Target="http://era.org.mt/en/Pages/who-we-are.aspx" TargetMode="External"/><Relationship Id="rId74" Type="http://schemas.openxmlformats.org/officeDocument/2006/relationships/hyperlink" Target="http://eur-lex.europa.eu/legal-content/EN/TXT/?uri=CELEX%3A52016SC0121" TargetMode="External"/><Relationship Id="rId79" Type="http://schemas.openxmlformats.org/officeDocument/2006/relationships/hyperlink" Target="http://apps.unece.org/ehlm/pp/NIR/listnr.asp?YearID=2014&amp;wf_Countries=MT&amp;wf_Q=QA&amp;Quer_ID=&amp;LngIDg=EN&amp;YearIDg=2017" TargetMode="External"/><Relationship Id="rId87" Type="http://schemas.openxmlformats.org/officeDocument/2006/relationships/hyperlink" Target="http://inspire.ec.europa.eu/index.cfm/pageid/182" TargetMode="External"/><Relationship Id="rId5" Type="http://schemas.openxmlformats.org/officeDocument/2006/relationships/hyperlink" Target="http://www.odyssee-mure.eu/publications/national-reports/energy-efficiency-malta.pdf" TargetMode="External"/><Relationship Id="rId61" Type="http://schemas.openxmlformats.org/officeDocument/2006/relationships/hyperlink" Target="http://ec.europa.eu/europe2020/pdf/csr2016/csr2016_malta_en.pdf" TargetMode="External"/><Relationship Id="rId82" Type="http://schemas.openxmlformats.org/officeDocument/2006/relationships/hyperlink" Target="http://ec.europa.eu/environment/aarhus/" TargetMode="External"/><Relationship Id="rId90" Type="http://schemas.openxmlformats.org/officeDocument/2006/relationships/hyperlink" Target="http://inspire-geoportal.ec.europa.eu/resources/INSPIREResourcesReports/resourcesReport_2016-05-09/" TargetMode="External"/><Relationship Id="rId19" Type="http://schemas.openxmlformats.org/officeDocument/2006/relationships/hyperlink" Target="http://biodiversity.europa.eu/countries/eu_country_profiles/malta" TargetMode="External"/><Relationship Id="rId4" Type="http://schemas.openxmlformats.org/officeDocument/2006/relationships/hyperlink" Target="http://europa.eu/rapid/press-release_IP-15-6203_en.htm" TargetMode="External"/><Relationship Id="rId9" Type="http://schemas.openxmlformats.org/officeDocument/2006/relationships/hyperlink" Target="http://ec.europa.eu/environment/integration/green_semester/pdf/SME%20Investments%20in%20Resource%20Efficiency.pdf" TargetMode="External"/><Relationship Id="rId14" Type="http://schemas.openxmlformats.org/officeDocument/2006/relationships/hyperlink" Target="http://ec.europa.eu/environment/waste/studies/pdf/study%2012%20FINAL%20REPORT.pdf" TargetMode="External"/><Relationship Id="rId22" Type="http://schemas.openxmlformats.org/officeDocument/2006/relationships/hyperlink" Target="http://land.copernicus.eu/pan-european/corine-land-cover/lcc-2006-2012/view" TargetMode="External"/><Relationship Id="rId27" Type="http://schemas.openxmlformats.org/officeDocument/2006/relationships/hyperlink" Target="http://cdr.eionet.europa.eu/" TargetMode="External"/><Relationship Id="rId30" Type="http://schemas.openxmlformats.org/officeDocument/2006/relationships/hyperlink" Target="http://eur-lex.europa.eu/legal-content/EN/TXT/?uri=uriserv:OJ.L_.2016.344.01.0001.01.ENG&amp;toc=OJ:L:2016:344:TOC" TargetMode="External"/><Relationship Id="rId35" Type="http://schemas.openxmlformats.org/officeDocument/2006/relationships/hyperlink" Target="http://www.euro.who.int/en/media-centre/sections/press-releases/2011/03/new-evidence-from-who-on-health-effects-of-traffic-related-noise-in-europe" TargetMode="External"/><Relationship Id="rId43" Type="http://schemas.openxmlformats.org/officeDocument/2006/relationships/hyperlink" Target="http://www.eea.europa.eu/publications/european-bathing-water-quality-2015" TargetMode="External"/><Relationship Id="rId48" Type="http://schemas.openxmlformats.org/officeDocument/2006/relationships/hyperlink" Target="http://urbanagendaforthe.eu/" TargetMode="External"/><Relationship Id="rId56" Type="http://schemas.openxmlformats.org/officeDocument/2006/relationships/hyperlink" Target="http://www.eib.org/efsi/" TargetMode="External"/><Relationship Id="rId64" Type="http://schemas.openxmlformats.org/officeDocument/2006/relationships/hyperlink" Target="http://ec.europa.eu/eurostat/statistics-explained/index.php/Land_cover_statistics" TargetMode="External"/><Relationship Id="rId69" Type="http://schemas.openxmlformats.org/officeDocument/2006/relationships/hyperlink" Target="http://www.eufje.org" TargetMode="External"/><Relationship Id="rId77" Type="http://schemas.openxmlformats.org/officeDocument/2006/relationships/hyperlink" Target="http://www.impel.eu/wp-content/uploads/2016/06/FR-2014-07-IRI-Malta.pdf" TargetMode="External"/><Relationship Id="rId8" Type="http://schemas.openxmlformats.org/officeDocument/2006/relationships/hyperlink" Target="http://www.marsol.eu/33-0-Partners.html" TargetMode="External"/><Relationship Id="rId51" Type="http://schemas.openxmlformats.org/officeDocument/2006/relationships/hyperlink" Target="http://ec.europa.eu/eurostat/tgm/table.do?tab=table&amp;init=1&amp;language=en&amp;pcode=t2020_rt320&amp;plugin=1http://ec.europa.eu/eurostat/en/web/products-datasets/-/T2020_RT320" TargetMode="External"/><Relationship Id="rId72" Type="http://schemas.openxmlformats.org/officeDocument/2006/relationships/hyperlink" Target="http://eur-lex.europa.eu/legal-content/EN/TXT/?uri=CELEX%3A32004L0035" TargetMode="External"/><Relationship Id="rId80" Type="http://schemas.openxmlformats.org/officeDocument/2006/relationships/hyperlink" Target="http://era.org.mt/en/Pages/Access-to-Justice.aspx" TargetMode="External"/><Relationship Id="rId85" Type="http://schemas.openxmlformats.org/officeDocument/2006/relationships/hyperlink" Target="https://ec.europa.eu/digital-single-market/en/news/communication-eu-egovernment-action-plan-2016-2020-accelerating-digital-transformation" TargetMode="External"/><Relationship Id="rId3" Type="http://schemas.openxmlformats.org/officeDocument/2006/relationships/hyperlink" Target="http://www.undp.org/content/undp/en/home/sdgoverview/post-2015-development-agenda.html" TargetMode="External"/><Relationship Id="rId12" Type="http://schemas.openxmlformats.org/officeDocument/2006/relationships/hyperlink" Target="http://ec.europa.eu/eurostat/tgm/table.do?tab=table&amp;init=1&amp;plugin=1&amp;language=en&amp;pcode=tsdpc240" TargetMode="External"/><Relationship Id="rId17" Type="http://schemas.openxmlformats.org/officeDocument/2006/relationships/hyperlink" Target="http://ec.europa.eu/environment/nature/info/pubs/docs/nat2000newsl/nat37_en.pdf" TargetMode="External"/><Relationship Id="rId25" Type="http://schemas.openxmlformats.org/officeDocument/2006/relationships/hyperlink" Target="http://eur-lex.europa.eu/legal-content/EN/TXT/?uri=CELEX%3A32008L0056" TargetMode="External"/><Relationship Id="rId33" Type="http://schemas.openxmlformats.org/officeDocument/2006/relationships/hyperlink" Target="http://www.eionet.europa.eu/aqportal" TargetMode="External"/><Relationship Id="rId38" Type="http://schemas.openxmlformats.org/officeDocument/2006/relationships/hyperlink" Target="http://eur-lex.europa.eu/legal-content/EN/TXT/?uri=CELEX%3A31998L0083" TargetMode="External"/><Relationship Id="rId46" Type="http://schemas.openxmlformats.org/officeDocument/2006/relationships/hyperlink" Target="http://ec.europa.eu/environment/water/water-framework/impl_reports.htm" TargetMode="External"/><Relationship Id="rId59" Type="http://schemas.openxmlformats.org/officeDocument/2006/relationships/hyperlink" Target="http://eur-lex.europa.eu/legal-content/EN/TXT/?uri=CELEX%3A32015R0851" TargetMode="External"/><Relationship Id="rId67" Type="http://schemas.openxmlformats.org/officeDocument/2006/relationships/hyperlink" Target="http://eur-lex.europa.eu/legal-content/EN/TXT/?uri=CELEX%3A32008L0099" TargetMode="External"/><Relationship Id="rId20" Type="http://schemas.openxmlformats.org/officeDocument/2006/relationships/hyperlink" Target="http://eur-lex.europa.eu/legal-content/EN/TXT/?uri=CELEX:52013DC0249" TargetMode="External"/><Relationship Id="rId41" Type="http://schemas.openxmlformats.org/officeDocument/2006/relationships/hyperlink" Target="http://eur-lex.europa.eu/legal-content/EN/TXT/?uri=CELEX:32007L0060" TargetMode="External"/><Relationship Id="rId54" Type="http://schemas.openxmlformats.org/officeDocument/2006/relationships/hyperlink" Target="http://ec.europa.eu/environment/gpp/action_plan_en.htm" TargetMode="External"/><Relationship Id="rId62" Type="http://schemas.openxmlformats.org/officeDocument/2006/relationships/hyperlink" Target="https://eufunds.gov.mt/en/Information/Documents/MT%20PA%20-%20October%202014.pdf" TargetMode="External"/><Relationship Id="rId70" Type="http://schemas.openxmlformats.org/officeDocument/2006/relationships/hyperlink" Target="http://www.environmentalprosecutors.eu" TargetMode="External"/><Relationship Id="rId75" Type="http://schemas.openxmlformats.org/officeDocument/2006/relationships/hyperlink" Target="http://www.impel.eu/wp-content/uploads/2016/06/FR-2014-07-IRI-Malta.pdf" TargetMode="External"/><Relationship Id="rId83" Type="http://schemas.openxmlformats.org/officeDocument/2006/relationships/hyperlink" Target="http://eur-lex.europa.eu/legal-content/GA/ALL/?uri=CELEX:32003L0004" TargetMode="External"/><Relationship Id="rId88" Type="http://schemas.openxmlformats.org/officeDocument/2006/relationships/hyperlink" Target="http://inspire.ec.europa.eu/index.cfm/pageid/182" TargetMode="External"/><Relationship Id="rId1" Type="http://schemas.openxmlformats.org/officeDocument/2006/relationships/hyperlink" Target="http://eur-lex.europa.eu/legal-content/EN/TXT/?uri=COM%3A2016%3A316%3AFIN" TargetMode="External"/><Relationship Id="rId6" Type="http://schemas.openxmlformats.org/officeDocument/2006/relationships/hyperlink" Target="http://ec.europa.eu/europe2020/pdf/csr2016/nrp2016_malta_en.pdf" TargetMode="External"/><Relationship Id="rId15" Type="http://schemas.openxmlformats.org/officeDocument/2006/relationships/hyperlink" Target="http://ec.europa.eu/environment/waste/framework/support_implementation.htm" TargetMode="External"/><Relationship Id="rId23" Type="http://schemas.openxmlformats.org/officeDocument/2006/relationships/hyperlink" Target="http://www.eea.europa.eu/data-and-maps/indicators/imperviousness-change/assessment" TargetMode="External"/><Relationship Id="rId28" Type="http://schemas.openxmlformats.org/officeDocument/2006/relationships/hyperlink" Target="http://www.eea.europa.eu/data-and-maps/data/data-viewers/emissions-nec-directive-viewer" TargetMode="External"/><Relationship Id="rId36" Type="http://schemas.openxmlformats.org/officeDocument/2006/relationships/hyperlink" Target="http://eur-lex.europa.eu/legal-content/EN/TXT/?qid=1481623908600&amp;uri=CELEX:32006L0007" TargetMode="External"/><Relationship Id="rId49" Type="http://schemas.openxmlformats.org/officeDocument/2006/relationships/hyperlink" Target="http://ec.europa.eu/environment/urban/tool.htm" TargetMode="External"/><Relationship Id="rId57" Type="http://schemas.openxmlformats.org/officeDocument/2006/relationships/hyperlink" Target="https://eufunds.gov.mt/en/Information/Documents/MT%20PA%20-%20October%202014.pdf" TargetMode="External"/><Relationship Id="rId10" Type="http://schemas.openxmlformats.org/officeDocument/2006/relationships/hyperlink" Target="https://ec.europa.eu/environment/ecoap/scoreboard_en" TargetMode="External"/><Relationship Id="rId31" Type="http://schemas.openxmlformats.org/officeDocument/2006/relationships/hyperlink" Target="http://www.eea.europa.eu/publications/air-quality-in-europe-2016" TargetMode="External"/><Relationship Id="rId44" Type="http://schemas.openxmlformats.org/officeDocument/2006/relationships/hyperlink" Target="http://www.eea.europa.eu/themes/water/status-and-monitoring/state-of-bathing-water" TargetMode="External"/><Relationship Id="rId52" Type="http://schemas.openxmlformats.org/officeDocument/2006/relationships/hyperlink" Target="http://ec.europa.eu/internal_market/scoreboard/performance_per_policy_area/public_procurement/index_en.htm" TargetMode="External"/><Relationship Id="rId60" Type="http://schemas.openxmlformats.org/officeDocument/2006/relationships/hyperlink" Target="http://info.worldbank.org/governance/wgi/index.aspx" TargetMode="External"/><Relationship Id="rId65" Type="http://schemas.openxmlformats.org/officeDocument/2006/relationships/hyperlink" Target="http://eur-lex.europa.eu/legal-content/EN/TXT/?uri=OJ:C:2016:273:TOC" TargetMode="External"/><Relationship Id="rId73" Type="http://schemas.openxmlformats.org/officeDocument/2006/relationships/hyperlink" Target="https://ec.europa.eu/transparency/regdoc/rep/1/2016/EN/1-2016-204-EN-F1-1.PDF" TargetMode="External"/><Relationship Id="rId78" Type="http://schemas.openxmlformats.org/officeDocument/2006/relationships/hyperlink" Target="http://www.impel.eu/wp-content/uploads/2016/06/FR-2014-07-IRI-Malta.pdf" TargetMode="External"/><Relationship Id="rId81" Type="http://schemas.openxmlformats.org/officeDocument/2006/relationships/hyperlink" Target="http://ec.europa.eu/environment/aarhus/access_studies.htm" TargetMode="External"/><Relationship Id="rId86" Type="http://schemas.openxmlformats.org/officeDocument/2006/relationships/hyperlink" Target="http://era.org.mt/en/Themes/Pages/Welcom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7094D-1BC1-4A19-B432-43391141A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12117</Words>
  <Characters>69011</Characters>
  <Application>Microsoft Office Word</Application>
  <DocSecurity>0</DocSecurity>
  <Lines>1745</Lines>
  <Paragraphs>315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17</cp:revision>
  <cp:lastPrinted>2017-01-10T15:21:00Z</cp:lastPrinted>
  <dcterms:created xsi:type="dcterms:W3CDTF">2017-01-24T10:15:00Z</dcterms:created>
  <dcterms:modified xsi:type="dcterms:W3CDTF">2017-02-02T18:14:00Z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