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940" w:rsidRDefault="00E43A41" w:rsidP="00E43A4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BB59B4E44C084A2EB11A91452CBD991D" style="width:450.7pt;height:485.75pt">
            <v:imagedata r:id="rId9" o:title=""/>
          </v:shape>
        </w:pict>
      </w:r>
    </w:p>
    <w:bookmarkEnd w:id="0"/>
    <w:p w:rsidR="00587940" w:rsidRDefault="00587940">
      <w:pPr>
        <w:pStyle w:val="Pagedecouverture"/>
        <w:rPr>
          <w:noProof/>
        </w:rPr>
        <w:sectPr w:rsidR="00587940" w:rsidSect="00E43A41">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587940" w:rsidRDefault="00587940">
      <w:pPr>
        <w:pStyle w:val="Pagedecouverture"/>
        <w:rPr>
          <w:noProof/>
        </w:rPr>
      </w:pPr>
    </w:p>
    <w:p w:rsidR="00587940" w:rsidRDefault="00587940">
      <w:pPr>
        <w:widowControl w:val="0"/>
        <w:tabs>
          <w:tab w:val="right" w:leader="dot" w:pos="8640"/>
        </w:tabs>
        <w:spacing w:before="120" w:after="120" w:line="240" w:lineRule="auto"/>
        <w:ind w:left="482" w:right="720" w:hanging="482"/>
        <w:jc w:val="center"/>
        <w:rPr>
          <w:rFonts w:eastAsia="Times New Roman" w:cs="Times New Roman"/>
          <w:b/>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bookmarkStart w:id="1" w:name="_GoBack"/>
      <w:bookmarkEnd w:id="1"/>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587940">
      <w:pPr>
        <w:widowControl w:val="0"/>
        <w:tabs>
          <w:tab w:val="right" w:leader="dot" w:pos="8640"/>
        </w:tabs>
        <w:spacing w:before="120" w:after="120" w:line="240" w:lineRule="auto"/>
        <w:ind w:right="720"/>
        <w:rPr>
          <w:rFonts w:eastAsia="Times New Roman" w:cs="Times New Roman"/>
          <w:noProof/>
          <w:szCs w:val="20"/>
        </w:rPr>
      </w:pPr>
    </w:p>
    <w:p w:rsidR="00587940" w:rsidRDefault="00E43A41">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587940" w:rsidRDefault="00587940">
      <w:pPr>
        <w:widowControl w:val="0"/>
        <w:tabs>
          <w:tab w:val="right" w:leader="dot" w:pos="8640"/>
        </w:tabs>
        <w:spacing w:before="120" w:after="120" w:line="240" w:lineRule="auto"/>
        <w:ind w:left="482" w:right="720" w:hanging="482"/>
        <w:rPr>
          <w:rFonts w:eastAsia="Times New Roman" w:cs="Times New Roman"/>
          <w:noProof/>
          <w:szCs w:val="20"/>
        </w:rPr>
      </w:pPr>
    </w:p>
    <w:p w:rsidR="00587940" w:rsidRDefault="00E43A41">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587940" w:rsidRDefault="00587940">
      <w:pPr>
        <w:widowControl w:val="0"/>
        <w:tabs>
          <w:tab w:val="right" w:leader="dot" w:pos="8640"/>
        </w:tabs>
        <w:spacing w:before="120" w:after="120" w:line="240" w:lineRule="auto"/>
        <w:ind w:left="482" w:right="720" w:hanging="482"/>
        <w:rPr>
          <w:rFonts w:eastAsia="Times New Roman" w:cs="Times New Roman"/>
          <w:noProof/>
          <w:szCs w:val="20"/>
        </w:rPr>
      </w:pPr>
    </w:p>
    <w:p w:rsidR="00587940" w:rsidRDefault="00E43A41">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 xml:space="preserve">Photographs: p.11 – ©bluejayphoto/iStock; p.12 – ©LIFE06 NAT/A/000127/AKL8-Tichy; p.15 – ©Philartphace/iStock; p.18 – ©Noppasin Wongchum/iStock; p.23 – </w:t>
      </w:r>
      <w:r>
        <w:rPr>
          <w:rFonts w:eastAsia="Times New Roman" w:cs="Times New Roman"/>
          <w:noProof/>
          <w:szCs w:val="20"/>
        </w:rPr>
        <w:t>©Marcus Lindstrom/iStock</w:t>
      </w:r>
    </w:p>
    <w:p w:rsidR="00587940" w:rsidRDefault="00587940">
      <w:pPr>
        <w:widowControl w:val="0"/>
        <w:tabs>
          <w:tab w:val="right" w:leader="dot" w:pos="8640"/>
        </w:tabs>
        <w:spacing w:before="120" w:after="120" w:line="240" w:lineRule="auto"/>
        <w:jc w:val="both"/>
        <w:rPr>
          <w:rFonts w:eastAsia="Times New Roman" w:cs="Times New Roman"/>
          <w:noProof/>
          <w:szCs w:val="20"/>
        </w:rPr>
      </w:pPr>
    </w:p>
    <w:p w:rsidR="00587940" w:rsidRDefault="00E43A41">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587940" w:rsidRDefault="00587940">
      <w:pPr>
        <w:widowControl w:val="0"/>
        <w:tabs>
          <w:tab w:val="right" w:leader="dot" w:pos="8640"/>
        </w:tabs>
        <w:spacing w:before="120" w:after="120" w:line="240" w:lineRule="auto"/>
        <w:jc w:val="both"/>
        <w:rPr>
          <w:rFonts w:eastAsia="Times New Roman" w:cs="Times New Roman"/>
          <w:noProof/>
          <w:szCs w:val="20"/>
        </w:rPr>
      </w:pPr>
    </w:p>
    <w:p w:rsidR="00587940" w:rsidRDefault="00E43A41">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587940" w:rsidRDefault="00E43A41">
      <w:pPr>
        <w:widowControl w:val="0"/>
        <w:tabs>
          <w:tab w:val="right" w:leader="dot" w:pos="8640"/>
        </w:tabs>
        <w:spacing w:before="120" w:after="120" w:line="240" w:lineRule="auto"/>
        <w:rPr>
          <w:rFonts w:eastAsia="Times New Roman" w:cs="Times New Roman"/>
          <w:noProof/>
          <w:szCs w:val="20"/>
        </w:rPr>
        <w:sectPr w:rsidR="00587940">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 xml:space="preserve">Reproduction is authorised provided the </w:t>
      </w:r>
      <w:r>
        <w:rPr>
          <w:rFonts w:eastAsia="Times New Roman" w:cs="Times New Roman"/>
          <w:noProof/>
          <w:szCs w:val="20"/>
        </w:rPr>
        <w:t>source is acknowledged.</w:t>
      </w:r>
    </w:p>
    <w:p w:rsidR="00587940" w:rsidRDefault="00587940">
      <w:pPr>
        <w:widowControl w:val="0"/>
        <w:tabs>
          <w:tab w:val="right" w:leader="dot" w:pos="8640"/>
        </w:tabs>
        <w:spacing w:before="120" w:after="120" w:line="240" w:lineRule="auto"/>
        <w:ind w:left="482" w:right="720" w:hanging="482"/>
        <w:jc w:val="center"/>
        <w:rPr>
          <w:rFonts w:eastAsia="Times New Roman" w:cs="Times New Roman"/>
          <w:b/>
          <w:noProof/>
          <w:szCs w:val="20"/>
        </w:rPr>
      </w:pPr>
    </w:p>
    <w:p w:rsidR="00587940" w:rsidRDefault="00E43A41">
      <w:pPr>
        <w:widowControl w:val="0"/>
        <w:tabs>
          <w:tab w:val="right" w:leader="dot" w:pos="8640"/>
        </w:tabs>
        <w:spacing w:before="120" w:after="120" w:line="240" w:lineRule="auto"/>
        <w:ind w:right="720"/>
        <w:jc w:val="center"/>
        <w:rPr>
          <w:rFonts w:eastAsia="Times New Roman" w:cs="Times New Roman"/>
          <w:b/>
          <w:noProof/>
          <w:szCs w:val="20"/>
        </w:rPr>
      </w:pPr>
      <w:r>
        <w:rPr>
          <w:rFonts w:eastAsia="Times New Roman" w:cs="Times New Roman"/>
          <w:b/>
          <w:noProof/>
          <w:szCs w:val="20"/>
        </w:rPr>
        <w:t>Table of Content</w:t>
      </w:r>
    </w:p>
    <w:p w:rsidR="00587940" w:rsidRDefault="00587940">
      <w:pPr>
        <w:widowControl w:val="0"/>
        <w:tabs>
          <w:tab w:val="right" w:leader="dot" w:pos="8640"/>
        </w:tabs>
        <w:spacing w:before="120" w:after="120" w:line="240" w:lineRule="auto"/>
        <w:ind w:left="482" w:right="720" w:hanging="482"/>
        <w:jc w:val="center"/>
        <w:rPr>
          <w:rFonts w:eastAsia="Times New Roman" w:cs="Times New Roman"/>
          <w:caps/>
          <w:noProof/>
          <w:szCs w:val="20"/>
        </w:rPr>
      </w:pPr>
    </w:p>
    <w:p w:rsidR="00587940" w:rsidRDefault="00E43A41">
      <w:pPr>
        <w:pStyle w:val="TOC1"/>
        <w:spacing w:after="60"/>
        <w:rPr>
          <w:rFonts w:asciiTheme="minorHAnsi" w:eastAsiaTheme="minorEastAsia" w:hAnsiTheme="minorHAnsi" w:cstheme="minorBidi"/>
          <w:b w:val="0"/>
          <w:noProof/>
          <w:lang w:eastAsia="en-GB"/>
        </w:rPr>
      </w:pPr>
      <w:r>
        <w:rPr>
          <w:rFonts w:eastAsiaTheme="minorEastAsia"/>
          <w:b w:val="0"/>
          <w:caps/>
          <w:noProof/>
          <w:lang w:val="en-US" w:eastAsia="ja-JP"/>
        </w:rPr>
        <w:fldChar w:fldCharType="begin"/>
      </w:r>
      <w:r>
        <w:rPr>
          <w:b w:val="0"/>
          <w:caps/>
          <w:noProof/>
        </w:rPr>
        <w:instrText xml:space="preserve"> TOC \o "1-3" \h \z \u </w:instrText>
      </w:r>
      <w:r>
        <w:rPr>
          <w:rFonts w:eastAsiaTheme="minorEastAsia"/>
          <w:b w:val="0"/>
          <w:caps/>
          <w:noProof/>
          <w:lang w:val="en-US" w:eastAsia="ja-JP"/>
        </w:rPr>
        <w:fldChar w:fldCharType="separate"/>
      </w:r>
      <w:hyperlink w:anchor="_Toc469404498" w:history="1">
        <w:r>
          <w:rPr>
            <w:rStyle w:val="Hyperlink"/>
            <w:rFonts w:eastAsiaTheme="majorEastAsia" w:cstheme="majorBidi"/>
            <w:b w:val="0"/>
            <w:bCs/>
            <w:noProof/>
          </w:rPr>
          <w:t>Executive summary</w:t>
        </w:r>
        <w:r>
          <w:rPr>
            <w:b w:val="0"/>
            <w:noProof/>
            <w:webHidden/>
          </w:rPr>
          <w:tab/>
        </w:r>
        <w:r>
          <w:rPr>
            <w:b w:val="0"/>
            <w:noProof/>
            <w:webHidden/>
          </w:rPr>
          <w:fldChar w:fldCharType="begin"/>
        </w:r>
        <w:r>
          <w:rPr>
            <w:b w:val="0"/>
            <w:noProof/>
            <w:webHidden/>
          </w:rPr>
          <w:instrText xml:space="preserve"> PAGEREF _Toc469404498 \h </w:instrText>
        </w:r>
        <w:r>
          <w:rPr>
            <w:b w:val="0"/>
            <w:noProof/>
            <w:webHidden/>
          </w:rPr>
        </w:r>
        <w:r>
          <w:rPr>
            <w:b w:val="0"/>
            <w:noProof/>
            <w:webHidden/>
          </w:rPr>
          <w:fldChar w:fldCharType="separate"/>
        </w:r>
        <w:r>
          <w:rPr>
            <w:b w:val="0"/>
            <w:noProof/>
            <w:webHidden/>
          </w:rPr>
          <w:t>4</w:t>
        </w:r>
        <w:r>
          <w:rPr>
            <w:b w:val="0"/>
            <w:noProof/>
            <w:webHidden/>
          </w:rPr>
          <w:fldChar w:fldCharType="end"/>
        </w:r>
      </w:hyperlink>
    </w:p>
    <w:p w:rsidR="00587940" w:rsidRDefault="00E43A41">
      <w:pPr>
        <w:pStyle w:val="TOC1"/>
        <w:spacing w:after="60"/>
        <w:rPr>
          <w:rFonts w:asciiTheme="minorHAnsi" w:eastAsiaTheme="minorEastAsia" w:hAnsiTheme="minorHAnsi" w:cstheme="minorBidi"/>
          <w:b w:val="0"/>
          <w:noProof/>
          <w:lang w:eastAsia="en-GB"/>
        </w:rPr>
      </w:pPr>
      <w:hyperlink w:anchor="_Toc469404499" w:history="1">
        <w:r>
          <w:rPr>
            <w:rStyle w:val="Hyperlink"/>
            <w:rFonts w:eastAsiaTheme="majorEastAsia" w:cstheme="majorBidi"/>
            <w:b w:val="0"/>
            <w:bCs/>
            <w:noProof/>
          </w:rPr>
          <w:t>Part I: Th</w:t>
        </w:r>
        <w:r>
          <w:rPr>
            <w:rStyle w:val="Hyperlink"/>
            <w:rFonts w:eastAsiaTheme="majorEastAsia" w:cstheme="majorBidi"/>
            <w:b w:val="0"/>
            <w:bCs/>
            <w:noProof/>
          </w:rPr>
          <w:t>ematic Areas</w:t>
        </w:r>
        <w:r>
          <w:rPr>
            <w:b w:val="0"/>
            <w:noProof/>
            <w:webHidden/>
          </w:rPr>
          <w:tab/>
        </w:r>
        <w:r>
          <w:rPr>
            <w:b w:val="0"/>
            <w:noProof/>
            <w:webHidden/>
          </w:rPr>
          <w:fldChar w:fldCharType="begin"/>
        </w:r>
        <w:r>
          <w:rPr>
            <w:b w:val="0"/>
            <w:noProof/>
            <w:webHidden/>
          </w:rPr>
          <w:instrText xml:space="preserve"> PAGEREF _Toc469404499 \h </w:instrText>
        </w:r>
        <w:r>
          <w:rPr>
            <w:b w:val="0"/>
            <w:noProof/>
            <w:webHidden/>
          </w:rPr>
        </w:r>
        <w:r>
          <w:rPr>
            <w:b w:val="0"/>
            <w:noProof/>
            <w:webHidden/>
          </w:rPr>
          <w:fldChar w:fldCharType="separate"/>
        </w:r>
        <w:r>
          <w:rPr>
            <w:b w:val="0"/>
            <w:noProof/>
            <w:webHidden/>
          </w:rPr>
          <w:t>5</w:t>
        </w:r>
        <w:r>
          <w:rPr>
            <w:b w:val="0"/>
            <w:noProof/>
            <w:webHidden/>
          </w:rPr>
          <w:fldChar w:fldCharType="end"/>
        </w:r>
      </w:hyperlink>
    </w:p>
    <w:p w:rsidR="00587940" w:rsidRDefault="00E43A41">
      <w:pPr>
        <w:pStyle w:val="TOC1"/>
        <w:spacing w:after="60"/>
        <w:jc w:val="left"/>
        <w:rPr>
          <w:rFonts w:asciiTheme="minorHAnsi" w:eastAsiaTheme="minorEastAsia" w:hAnsiTheme="minorHAnsi" w:cstheme="minorBidi"/>
          <w:b w:val="0"/>
          <w:noProof/>
          <w:lang w:eastAsia="en-GB"/>
        </w:rPr>
      </w:pPr>
      <w:hyperlink w:anchor="_Toc469404500" w:history="1">
        <w:r>
          <w:rPr>
            <w:rStyle w:val="Hyperlink"/>
            <w:rFonts w:eastAsiaTheme="majorEastAsia" w:cstheme="majorBidi"/>
            <w:b w:val="0"/>
            <w:bCs/>
            <w:noProof/>
          </w:rPr>
          <w:t>1.</w:t>
        </w:r>
        <w:r>
          <w:rPr>
            <w:rFonts w:asciiTheme="minorHAnsi" w:eastAsiaTheme="minorEastAsia" w:hAnsiTheme="minorHAnsi" w:cstheme="minorBidi"/>
            <w:b w:val="0"/>
            <w:noProof/>
            <w:lang w:eastAsia="en-GB"/>
          </w:rPr>
          <w:tab/>
        </w:r>
        <w:r>
          <w:rPr>
            <w:rStyle w:val="Hyperlink"/>
            <w:rFonts w:eastAsiaTheme="majorEastAsia" w:cstheme="majorBidi"/>
            <w:b w:val="0"/>
            <w:bCs/>
            <w:noProof/>
          </w:rPr>
          <w:t>Turning the EU into a circular, resource-efficient, green and competitive low-carbon economy</w:t>
        </w:r>
        <w:r>
          <w:rPr>
            <w:b w:val="0"/>
            <w:noProof/>
            <w:webHidden/>
          </w:rPr>
          <w:tab/>
        </w:r>
        <w:r>
          <w:rPr>
            <w:b w:val="0"/>
            <w:noProof/>
            <w:webHidden/>
          </w:rPr>
          <w:fldChar w:fldCharType="begin"/>
        </w:r>
        <w:r>
          <w:rPr>
            <w:b w:val="0"/>
            <w:noProof/>
            <w:webHidden/>
          </w:rPr>
          <w:instrText xml:space="preserve"> PAGEREF _Toc469404500 \h </w:instrText>
        </w:r>
        <w:r>
          <w:rPr>
            <w:b w:val="0"/>
            <w:noProof/>
            <w:webHidden/>
          </w:rPr>
        </w:r>
        <w:r>
          <w:rPr>
            <w:b w:val="0"/>
            <w:noProof/>
            <w:webHidden/>
          </w:rPr>
          <w:fldChar w:fldCharType="separate"/>
        </w:r>
        <w:r>
          <w:rPr>
            <w:b w:val="0"/>
            <w:noProof/>
            <w:webHidden/>
          </w:rPr>
          <w:t>5</w:t>
        </w:r>
        <w:r>
          <w:rPr>
            <w:b w:val="0"/>
            <w:noProof/>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01" w:history="1">
        <w:r>
          <w:rPr>
            <w:rStyle w:val="Hyperlink"/>
          </w:rPr>
          <w:t>Developing a circular economy and improving resource efficiency</w:t>
        </w:r>
        <w:r>
          <w:rPr>
            <w:webHidden/>
          </w:rPr>
          <w:tab/>
        </w:r>
        <w:r>
          <w:rPr>
            <w:webHidden/>
          </w:rPr>
          <w:fldChar w:fldCharType="begin"/>
        </w:r>
        <w:r>
          <w:rPr>
            <w:webHidden/>
          </w:rPr>
          <w:instrText xml:space="preserve"> PAGEREF _Toc469404501 \h </w:instrText>
        </w:r>
        <w:r>
          <w:rPr>
            <w:webHidden/>
          </w:rPr>
        </w:r>
        <w:r>
          <w:rPr>
            <w:webHidden/>
          </w:rPr>
          <w:fldChar w:fldCharType="separate"/>
        </w:r>
        <w:r>
          <w:rPr>
            <w:webHidden/>
          </w:rPr>
          <w:t>5</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05" w:history="1">
        <w:r>
          <w:rPr>
            <w:rStyle w:val="Hyperlink"/>
          </w:rPr>
          <w:t>Waste management</w:t>
        </w:r>
        <w:r>
          <w:rPr>
            <w:webHidden/>
          </w:rPr>
          <w:tab/>
        </w:r>
        <w:r>
          <w:rPr>
            <w:webHidden/>
          </w:rPr>
          <w:fldChar w:fldCharType="begin"/>
        </w:r>
        <w:r>
          <w:rPr>
            <w:webHidden/>
          </w:rPr>
          <w:instrText xml:space="preserve"> PAGEREF _Toc469404505 \h </w:instrText>
        </w:r>
        <w:r>
          <w:rPr>
            <w:webHidden/>
          </w:rPr>
        </w:r>
        <w:r>
          <w:rPr>
            <w:webHidden/>
          </w:rPr>
          <w:fldChar w:fldCharType="separate"/>
        </w:r>
        <w:r>
          <w:rPr>
            <w:webHidden/>
          </w:rPr>
          <w:t>7</w:t>
        </w:r>
        <w:r>
          <w:rPr>
            <w:webHidden/>
          </w:rPr>
          <w:fldChar w:fldCharType="end"/>
        </w:r>
      </w:hyperlink>
    </w:p>
    <w:p w:rsidR="00587940" w:rsidRDefault="00E43A41">
      <w:pPr>
        <w:pStyle w:val="TOC1"/>
        <w:spacing w:after="60"/>
        <w:rPr>
          <w:rFonts w:asciiTheme="minorHAnsi" w:eastAsiaTheme="minorEastAsia" w:hAnsiTheme="minorHAnsi" w:cstheme="minorBidi"/>
          <w:b w:val="0"/>
          <w:noProof/>
          <w:lang w:eastAsia="en-GB"/>
        </w:rPr>
      </w:pPr>
      <w:hyperlink w:anchor="_Toc469404506" w:history="1">
        <w:r>
          <w:rPr>
            <w:rStyle w:val="Hyperlink"/>
            <w:rFonts w:cstheme="majorBidi"/>
            <w:b w:val="0"/>
            <w:bCs/>
            <w:noProof/>
          </w:rPr>
          <w:t>2.</w:t>
        </w:r>
        <w:r>
          <w:rPr>
            <w:rFonts w:asciiTheme="minorHAnsi" w:eastAsiaTheme="minorEastAsia" w:hAnsiTheme="minorHAnsi" w:cstheme="minorBidi"/>
            <w:b w:val="0"/>
            <w:noProof/>
            <w:lang w:eastAsia="en-GB"/>
          </w:rPr>
          <w:tab/>
        </w:r>
        <w:r>
          <w:rPr>
            <w:rStyle w:val="Hyperlink"/>
            <w:rFonts w:cstheme="majorBidi"/>
            <w:b w:val="0"/>
            <w:bCs/>
            <w:noProof/>
          </w:rPr>
          <w:t>Protecting, conserving and enhancing natural capital</w:t>
        </w:r>
        <w:r>
          <w:rPr>
            <w:b w:val="0"/>
            <w:noProof/>
            <w:webHidden/>
          </w:rPr>
          <w:tab/>
        </w:r>
        <w:r>
          <w:rPr>
            <w:b w:val="0"/>
            <w:noProof/>
            <w:webHidden/>
          </w:rPr>
          <w:fldChar w:fldCharType="begin"/>
        </w:r>
        <w:r>
          <w:rPr>
            <w:b w:val="0"/>
            <w:noProof/>
            <w:webHidden/>
          </w:rPr>
          <w:instrText xml:space="preserve"> PAGEREF _Toc469404506 \h </w:instrText>
        </w:r>
        <w:r>
          <w:rPr>
            <w:b w:val="0"/>
            <w:noProof/>
            <w:webHidden/>
          </w:rPr>
        </w:r>
        <w:r>
          <w:rPr>
            <w:b w:val="0"/>
            <w:noProof/>
            <w:webHidden/>
          </w:rPr>
          <w:fldChar w:fldCharType="separate"/>
        </w:r>
        <w:r>
          <w:rPr>
            <w:b w:val="0"/>
            <w:noProof/>
            <w:webHidden/>
          </w:rPr>
          <w:t>9</w:t>
        </w:r>
        <w:r>
          <w:rPr>
            <w:b w:val="0"/>
            <w:noProof/>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07" w:history="1">
        <w:r>
          <w:rPr>
            <w:rStyle w:val="Hyperlink"/>
            <w:lang w:eastAsia="en-GB"/>
          </w:rPr>
          <w:t>Nature and Biodiversity</w:t>
        </w:r>
        <w:r>
          <w:rPr>
            <w:webHidden/>
          </w:rPr>
          <w:tab/>
        </w:r>
        <w:r>
          <w:rPr>
            <w:webHidden/>
          </w:rPr>
          <w:fldChar w:fldCharType="begin"/>
        </w:r>
        <w:r>
          <w:rPr>
            <w:webHidden/>
          </w:rPr>
          <w:instrText xml:space="preserve"> PAGEREF _Toc469404507 \h </w:instrText>
        </w:r>
        <w:r>
          <w:rPr>
            <w:webHidden/>
          </w:rPr>
        </w:r>
        <w:r>
          <w:rPr>
            <w:webHidden/>
          </w:rPr>
          <w:fldChar w:fldCharType="separate"/>
        </w:r>
        <w:r>
          <w:rPr>
            <w:webHidden/>
          </w:rPr>
          <w:t>9</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08" w:history="1">
        <w:r>
          <w:rPr>
            <w:rStyle w:val="Hyperlink"/>
          </w:rPr>
          <w:t>Estima</w:t>
        </w:r>
        <w:r>
          <w:rPr>
            <w:rStyle w:val="Hyperlink"/>
          </w:rPr>
          <w:t>ting Natural Capital</w:t>
        </w:r>
        <w:r>
          <w:rPr>
            <w:webHidden/>
          </w:rPr>
          <w:tab/>
        </w:r>
        <w:r>
          <w:rPr>
            <w:webHidden/>
          </w:rPr>
          <w:fldChar w:fldCharType="begin"/>
        </w:r>
        <w:r>
          <w:rPr>
            <w:webHidden/>
          </w:rPr>
          <w:instrText xml:space="preserve"> PAGEREF _Toc469404508 \h </w:instrText>
        </w:r>
        <w:r>
          <w:rPr>
            <w:webHidden/>
          </w:rPr>
        </w:r>
        <w:r>
          <w:rPr>
            <w:webHidden/>
          </w:rPr>
          <w:fldChar w:fldCharType="separate"/>
        </w:r>
        <w:r>
          <w:rPr>
            <w:webHidden/>
          </w:rPr>
          <w:t>11</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09" w:history="1">
        <w:r>
          <w:rPr>
            <w:rStyle w:val="Hyperlink"/>
          </w:rPr>
          <w:t>Green Infrastructure</w:t>
        </w:r>
        <w:r>
          <w:rPr>
            <w:webHidden/>
          </w:rPr>
          <w:tab/>
        </w:r>
        <w:r>
          <w:rPr>
            <w:webHidden/>
          </w:rPr>
          <w:fldChar w:fldCharType="begin"/>
        </w:r>
        <w:r>
          <w:rPr>
            <w:webHidden/>
          </w:rPr>
          <w:instrText xml:space="preserve"> PAGEREF _Toc469404509 \h </w:instrText>
        </w:r>
        <w:r>
          <w:rPr>
            <w:webHidden/>
          </w:rPr>
        </w:r>
        <w:r>
          <w:rPr>
            <w:webHidden/>
          </w:rPr>
          <w:fldChar w:fldCharType="separate"/>
        </w:r>
        <w:r>
          <w:rPr>
            <w:webHidden/>
          </w:rPr>
          <w:t>12</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10" w:history="1">
        <w:r>
          <w:rPr>
            <w:rStyle w:val="Hyperlink"/>
          </w:rPr>
          <w:t>Soil protection</w:t>
        </w:r>
        <w:r>
          <w:rPr>
            <w:webHidden/>
          </w:rPr>
          <w:tab/>
        </w:r>
        <w:r>
          <w:rPr>
            <w:webHidden/>
          </w:rPr>
          <w:fldChar w:fldCharType="begin"/>
        </w:r>
        <w:r>
          <w:rPr>
            <w:webHidden/>
          </w:rPr>
          <w:instrText xml:space="preserve"> PAGEREF _Toc469404510 \h </w:instrText>
        </w:r>
        <w:r>
          <w:rPr>
            <w:webHidden/>
          </w:rPr>
        </w:r>
        <w:r>
          <w:rPr>
            <w:webHidden/>
          </w:rPr>
          <w:fldChar w:fldCharType="separate"/>
        </w:r>
        <w:r>
          <w:rPr>
            <w:webHidden/>
          </w:rPr>
          <w:t>12</w:t>
        </w:r>
        <w:r>
          <w:rPr>
            <w:webHidden/>
          </w:rPr>
          <w:fldChar w:fldCharType="end"/>
        </w:r>
      </w:hyperlink>
    </w:p>
    <w:p w:rsidR="00587940" w:rsidRDefault="00E43A41">
      <w:pPr>
        <w:pStyle w:val="TOC1"/>
        <w:spacing w:after="60"/>
        <w:rPr>
          <w:rFonts w:asciiTheme="minorHAnsi" w:eastAsiaTheme="minorEastAsia" w:hAnsiTheme="minorHAnsi" w:cstheme="minorBidi"/>
          <w:b w:val="0"/>
          <w:noProof/>
          <w:lang w:eastAsia="en-GB"/>
        </w:rPr>
      </w:pPr>
      <w:hyperlink w:anchor="_Toc469404511" w:history="1">
        <w:r>
          <w:rPr>
            <w:rStyle w:val="Hyperlink"/>
            <w:rFonts w:eastAsiaTheme="majorEastAsia" w:cstheme="majorBidi"/>
            <w:b w:val="0"/>
            <w:bCs/>
            <w:noProof/>
          </w:rPr>
          <w:t>3.</w:t>
        </w:r>
        <w:r>
          <w:rPr>
            <w:rFonts w:asciiTheme="minorHAnsi" w:eastAsiaTheme="minorEastAsia" w:hAnsiTheme="minorHAnsi" w:cstheme="minorBidi"/>
            <w:b w:val="0"/>
            <w:noProof/>
            <w:lang w:eastAsia="en-GB"/>
          </w:rPr>
          <w:tab/>
        </w:r>
        <w:r>
          <w:rPr>
            <w:rStyle w:val="Hyperlink"/>
            <w:rFonts w:eastAsiaTheme="majorEastAsia" w:cstheme="majorBidi"/>
            <w:b w:val="0"/>
            <w:bCs/>
            <w:noProof/>
          </w:rPr>
          <w:t>Ensuring citizens' health and quality of life</w:t>
        </w:r>
        <w:r>
          <w:rPr>
            <w:b w:val="0"/>
            <w:noProof/>
            <w:webHidden/>
          </w:rPr>
          <w:tab/>
        </w:r>
        <w:r>
          <w:rPr>
            <w:b w:val="0"/>
            <w:noProof/>
            <w:webHidden/>
          </w:rPr>
          <w:fldChar w:fldCharType="begin"/>
        </w:r>
        <w:r>
          <w:rPr>
            <w:b w:val="0"/>
            <w:noProof/>
            <w:webHidden/>
          </w:rPr>
          <w:instrText xml:space="preserve"> PAGEREF _Toc469404511 \h </w:instrText>
        </w:r>
        <w:r>
          <w:rPr>
            <w:b w:val="0"/>
            <w:noProof/>
            <w:webHidden/>
          </w:rPr>
        </w:r>
        <w:r>
          <w:rPr>
            <w:b w:val="0"/>
            <w:noProof/>
            <w:webHidden/>
          </w:rPr>
          <w:fldChar w:fldCharType="separate"/>
        </w:r>
        <w:r>
          <w:rPr>
            <w:b w:val="0"/>
            <w:noProof/>
            <w:webHidden/>
          </w:rPr>
          <w:t>14</w:t>
        </w:r>
        <w:r>
          <w:rPr>
            <w:b w:val="0"/>
            <w:noProof/>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12" w:history="1">
        <w:r>
          <w:rPr>
            <w:rStyle w:val="Hyperlink"/>
          </w:rPr>
          <w:t>Air quality</w:t>
        </w:r>
        <w:r>
          <w:rPr>
            <w:webHidden/>
          </w:rPr>
          <w:tab/>
        </w:r>
        <w:r>
          <w:rPr>
            <w:webHidden/>
          </w:rPr>
          <w:fldChar w:fldCharType="begin"/>
        </w:r>
        <w:r>
          <w:rPr>
            <w:webHidden/>
          </w:rPr>
          <w:instrText xml:space="preserve"> PAGEREF _Toc469404512 \h </w:instrText>
        </w:r>
        <w:r>
          <w:rPr>
            <w:webHidden/>
          </w:rPr>
        </w:r>
        <w:r>
          <w:rPr>
            <w:webHidden/>
          </w:rPr>
          <w:fldChar w:fldCharType="separate"/>
        </w:r>
        <w:r>
          <w:rPr>
            <w:webHidden/>
          </w:rPr>
          <w:t>14</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13" w:history="1">
        <w:r>
          <w:rPr>
            <w:rStyle w:val="Hyperlink"/>
          </w:rPr>
          <w:t>Water quality and management</w:t>
        </w:r>
        <w:r>
          <w:rPr>
            <w:webHidden/>
          </w:rPr>
          <w:tab/>
        </w:r>
        <w:r>
          <w:rPr>
            <w:webHidden/>
          </w:rPr>
          <w:fldChar w:fldCharType="begin"/>
        </w:r>
        <w:r>
          <w:rPr>
            <w:webHidden/>
          </w:rPr>
          <w:instrText xml:space="preserve"> PAGEREF _Toc469404513 \h </w:instrText>
        </w:r>
        <w:r>
          <w:rPr>
            <w:webHidden/>
          </w:rPr>
        </w:r>
        <w:r>
          <w:rPr>
            <w:webHidden/>
          </w:rPr>
          <w:fldChar w:fldCharType="separate"/>
        </w:r>
        <w:r>
          <w:rPr>
            <w:webHidden/>
          </w:rPr>
          <w:t>16</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14" w:history="1">
        <w:r>
          <w:rPr>
            <w:rStyle w:val="Hyperlink"/>
            <w:lang w:eastAsia="en-GB"/>
          </w:rPr>
          <w:t>Enhancing the sustainability of cities</w:t>
        </w:r>
        <w:r>
          <w:rPr>
            <w:webHidden/>
          </w:rPr>
          <w:tab/>
        </w:r>
        <w:r>
          <w:rPr>
            <w:webHidden/>
          </w:rPr>
          <w:fldChar w:fldCharType="begin"/>
        </w:r>
        <w:r>
          <w:rPr>
            <w:webHidden/>
          </w:rPr>
          <w:instrText xml:space="preserve"> PAGEREF _Toc469404514 \h </w:instrText>
        </w:r>
        <w:r>
          <w:rPr>
            <w:webHidden/>
          </w:rPr>
        </w:r>
        <w:r>
          <w:rPr>
            <w:webHidden/>
          </w:rPr>
          <w:fldChar w:fldCharType="separate"/>
        </w:r>
        <w:r>
          <w:rPr>
            <w:webHidden/>
          </w:rPr>
          <w:t>17</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15" w:history="1">
        <w:r>
          <w:rPr>
            <w:rStyle w:val="Hyperlink"/>
            <w:lang w:eastAsia="en-GB"/>
          </w:rPr>
          <w:t>International agreements</w:t>
        </w:r>
        <w:r>
          <w:rPr>
            <w:webHidden/>
          </w:rPr>
          <w:tab/>
        </w:r>
        <w:r>
          <w:rPr>
            <w:webHidden/>
          </w:rPr>
          <w:fldChar w:fldCharType="begin"/>
        </w:r>
        <w:r>
          <w:rPr>
            <w:webHidden/>
          </w:rPr>
          <w:instrText xml:space="preserve"> PAGEREF _Toc469404515 \h </w:instrText>
        </w:r>
        <w:r>
          <w:rPr>
            <w:webHidden/>
          </w:rPr>
        </w:r>
        <w:r>
          <w:rPr>
            <w:webHidden/>
          </w:rPr>
          <w:fldChar w:fldCharType="separate"/>
        </w:r>
        <w:r>
          <w:rPr>
            <w:webHidden/>
          </w:rPr>
          <w:t>18</w:t>
        </w:r>
        <w:r>
          <w:rPr>
            <w:webHidden/>
          </w:rPr>
          <w:fldChar w:fldCharType="end"/>
        </w:r>
      </w:hyperlink>
    </w:p>
    <w:p w:rsidR="00587940" w:rsidRDefault="00E43A41">
      <w:pPr>
        <w:pStyle w:val="TOC1"/>
        <w:spacing w:after="60"/>
        <w:rPr>
          <w:rFonts w:asciiTheme="minorHAnsi" w:eastAsiaTheme="minorEastAsia" w:hAnsiTheme="minorHAnsi" w:cstheme="minorBidi"/>
          <w:b w:val="0"/>
          <w:noProof/>
          <w:lang w:eastAsia="en-GB"/>
        </w:rPr>
      </w:pPr>
      <w:hyperlink w:anchor="_Toc469404516" w:history="1">
        <w:r>
          <w:rPr>
            <w:rStyle w:val="Hyperlink"/>
            <w:rFonts w:eastAsiaTheme="majorEastAsia" w:cstheme="majorBidi"/>
            <w:b w:val="0"/>
            <w:bCs/>
            <w:noProof/>
          </w:rPr>
          <w:t xml:space="preserve">Part II: </w:t>
        </w:r>
        <w:r>
          <w:rPr>
            <w:rStyle w:val="Hyperlink"/>
            <w:rFonts w:eastAsiaTheme="majorEastAsia" w:cstheme="majorBidi"/>
            <w:b w:val="0"/>
            <w:bCs/>
            <w:noProof/>
          </w:rPr>
          <w:t>Enabling Framework: Implementation Tools</w:t>
        </w:r>
        <w:r>
          <w:rPr>
            <w:b w:val="0"/>
            <w:noProof/>
            <w:webHidden/>
          </w:rPr>
          <w:tab/>
        </w:r>
        <w:r>
          <w:rPr>
            <w:b w:val="0"/>
            <w:noProof/>
            <w:webHidden/>
          </w:rPr>
          <w:fldChar w:fldCharType="begin"/>
        </w:r>
        <w:r>
          <w:rPr>
            <w:b w:val="0"/>
            <w:noProof/>
            <w:webHidden/>
          </w:rPr>
          <w:instrText xml:space="preserve"> PAGEREF _Toc469404516 \h </w:instrText>
        </w:r>
        <w:r>
          <w:rPr>
            <w:b w:val="0"/>
            <w:noProof/>
            <w:webHidden/>
          </w:rPr>
        </w:r>
        <w:r>
          <w:rPr>
            <w:b w:val="0"/>
            <w:noProof/>
            <w:webHidden/>
          </w:rPr>
          <w:fldChar w:fldCharType="separate"/>
        </w:r>
        <w:r>
          <w:rPr>
            <w:b w:val="0"/>
            <w:noProof/>
            <w:webHidden/>
          </w:rPr>
          <w:t>19</w:t>
        </w:r>
        <w:r>
          <w:rPr>
            <w:b w:val="0"/>
            <w:noProof/>
            <w:webHidden/>
          </w:rPr>
          <w:fldChar w:fldCharType="end"/>
        </w:r>
      </w:hyperlink>
    </w:p>
    <w:p w:rsidR="00587940" w:rsidRDefault="00E43A41">
      <w:pPr>
        <w:pStyle w:val="TOC1"/>
        <w:spacing w:after="60"/>
        <w:rPr>
          <w:rFonts w:asciiTheme="minorHAnsi" w:eastAsiaTheme="minorEastAsia" w:hAnsiTheme="minorHAnsi" w:cstheme="minorBidi"/>
          <w:b w:val="0"/>
          <w:noProof/>
          <w:lang w:eastAsia="en-GB"/>
        </w:rPr>
      </w:pPr>
      <w:hyperlink w:anchor="_Toc469404517" w:history="1">
        <w:r>
          <w:rPr>
            <w:rStyle w:val="Hyperlink"/>
            <w:rFonts w:eastAsiaTheme="majorEastAsia" w:cstheme="majorBidi"/>
            <w:b w:val="0"/>
            <w:bCs/>
            <w:noProof/>
          </w:rPr>
          <w:t>4. Market based instruments and investment</w:t>
        </w:r>
        <w:r>
          <w:rPr>
            <w:b w:val="0"/>
            <w:noProof/>
            <w:webHidden/>
          </w:rPr>
          <w:tab/>
        </w:r>
        <w:r>
          <w:rPr>
            <w:b w:val="0"/>
            <w:noProof/>
            <w:webHidden/>
          </w:rPr>
          <w:fldChar w:fldCharType="begin"/>
        </w:r>
        <w:r>
          <w:rPr>
            <w:b w:val="0"/>
            <w:noProof/>
            <w:webHidden/>
          </w:rPr>
          <w:instrText xml:space="preserve"> PAGEREF _Toc469404517 \h </w:instrText>
        </w:r>
        <w:r>
          <w:rPr>
            <w:b w:val="0"/>
            <w:noProof/>
            <w:webHidden/>
          </w:rPr>
        </w:r>
        <w:r>
          <w:rPr>
            <w:b w:val="0"/>
            <w:noProof/>
            <w:webHidden/>
          </w:rPr>
          <w:fldChar w:fldCharType="separate"/>
        </w:r>
        <w:r>
          <w:rPr>
            <w:b w:val="0"/>
            <w:noProof/>
            <w:webHidden/>
          </w:rPr>
          <w:t>19</w:t>
        </w:r>
        <w:r>
          <w:rPr>
            <w:b w:val="0"/>
            <w:noProof/>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18" w:history="1">
        <w:r>
          <w:rPr>
            <w:rStyle w:val="Hyperlink"/>
          </w:rPr>
          <w:t>Green taxation and environmentally harmful subsidies</w:t>
        </w:r>
        <w:r>
          <w:rPr>
            <w:webHidden/>
          </w:rPr>
          <w:tab/>
        </w:r>
        <w:r>
          <w:rPr>
            <w:webHidden/>
          </w:rPr>
          <w:fldChar w:fldCharType="begin"/>
        </w:r>
        <w:r>
          <w:rPr>
            <w:webHidden/>
          </w:rPr>
          <w:instrText xml:space="preserve"> PAGEREF _Toc469404518 \h </w:instrText>
        </w:r>
        <w:r>
          <w:rPr>
            <w:webHidden/>
          </w:rPr>
        </w:r>
        <w:r>
          <w:rPr>
            <w:webHidden/>
          </w:rPr>
          <w:fldChar w:fldCharType="separate"/>
        </w:r>
        <w:r>
          <w:rPr>
            <w:webHidden/>
          </w:rPr>
          <w:t>19</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19" w:history="1">
        <w:r>
          <w:rPr>
            <w:rStyle w:val="Hyperlink"/>
            <w:lang w:eastAsia="en-GB"/>
          </w:rPr>
          <w:t>Green Public Procurement</w:t>
        </w:r>
        <w:r>
          <w:rPr>
            <w:webHidden/>
          </w:rPr>
          <w:tab/>
        </w:r>
        <w:r>
          <w:rPr>
            <w:webHidden/>
          </w:rPr>
          <w:fldChar w:fldCharType="begin"/>
        </w:r>
        <w:r>
          <w:rPr>
            <w:webHidden/>
          </w:rPr>
          <w:instrText xml:space="preserve"> PAGEREF _Toc469404519 \h </w:instrText>
        </w:r>
        <w:r>
          <w:rPr>
            <w:webHidden/>
          </w:rPr>
        </w:r>
        <w:r>
          <w:rPr>
            <w:webHidden/>
          </w:rPr>
          <w:fldChar w:fldCharType="separate"/>
        </w:r>
        <w:r>
          <w:rPr>
            <w:webHidden/>
          </w:rPr>
          <w:t>20</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20" w:history="1">
        <w:r>
          <w:rPr>
            <w:rStyle w:val="Hyperlink"/>
          </w:rPr>
          <w:t>Investments: the contribution of EU funds</w:t>
        </w:r>
        <w:r>
          <w:rPr>
            <w:webHidden/>
          </w:rPr>
          <w:tab/>
        </w:r>
        <w:r>
          <w:rPr>
            <w:webHidden/>
          </w:rPr>
          <w:fldChar w:fldCharType="begin"/>
        </w:r>
        <w:r>
          <w:rPr>
            <w:webHidden/>
          </w:rPr>
          <w:instrText xml:space="preserve"> PAGEREF _Toc469404520 \h </w:instrText>
        </w:r>
        <w:r>
          <w:rPr>
            <w:webHidden/>
          </w:rPr>
        </w:r>
        <w:r>
          <w:rPr>
            <w:webHidden/>
          </w:rPr>
          <w:fldChar w:fldCharType="separate"/>
        </w:r>
        <w:r>
          <w:rPr>
            <w:webHidden/>
          </w:rPr>
          <w:t>21</w:t>
        </w:r>
        <w:r>
          <w:rPr>
            <w:webHidden/>
          </w:rPr>
          <w:fldChar w:fldCharType="end"/>
        </w:r>
      </w:hyperlink>
    </w:p>
    <w:p w:rsidR="00587940" w:rsidRDefault="00E43A41">
      <w:pPr>
        <w:pStyle w:val="TOC1"/>
        <w:spacing w:after="60"/>
        <w:rPr>
          <w:rFonts w:asciiTheme="minorHAnsi" w:eastAsiaTheme="minorEastAsia" w:hAnsiTheme="minorHAnsi" w:cstheme="minorBidi"/>
          <w:b w:val="0"/>
          <w:noProof/>
          <w:lang w:eastAsia="en-GB"/>
        </w:rPr>
      </w:pPr>
      <w:hyperlink w:anchor="_Toc469404521" w:history="1">
        <w:r>
          <w:rPr>
            <w:rStyle w:val="Hyperlink"/>
            <w:rFonts w:eastAsiaTheme="majorEastAsia" w:cstheme="majorBidi"/>
            <w:b w:val="0"/>
            <w:bCs/>
            <w:noProof/>
          </w:rPr>
          <w:t>5. Effective governance and knowledge</w:t>
        </w:r>
        <w:r>
          <w:rPr>
            <w:b w:val="0"/>
            <w:noProof/>
            <w:webHidden/>
          </w:rPr>
          <w:tab/>
        </w:r>
        <w:r>
          <w:rPr>
            <w:b w:val="0"/>
            <w:noProof/>
            <w:webHidden/>
          </w:rPr>
          <w:fldChar w:fldCharType="begin"/>
        </w:r>
        <w:r>
          <w:rPr>
            <w:b w:val="0"/>
            <w:noProof/>
            <w:webHidden/>
          </w:rPr>
          <w:instrText xml:space="preserve"> PAGEREF _Toc469404521 \h </w:instrText>
        </w:r>
        <w:r>
          <w:rPr>
            <w:b w:val="0"/>
            <w:noProof/>
            <w:webHidden/>
          </w:rPr>
        </w:r>
        <w:r>
          <w:rPr>
            <w:b w:val="0"/>
            <w:noProof/>
            <w:webHidden/>
          </w:rPr>
          <w:fldChar w:fldCharType="separate"/>
        </w:r>
        <w:r>
          <w:rPr>
            <w:b w:val="0"/>
            <w:noProof/>
            <w:webHidden/>
          </w:rPr>
          <w:t>23</w:t>
        </w:r>
        <w:r>
          <w:rPr>
            <w:b w:val="0"/>
            <w:noProof/>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22" w:history="1">
        <w:r>
          <w:rPr>
            <w:rStyle w:val="Hyperlink"/>
          </w:rPr>
          <w:t>Effective governance within central, regional and local government</w:t>
        </w:r>
        <w:r>
          <w:rPr>
            <w:webHidden/>
          </w:rPr>
          <w:tab/>
        </w:r>
        <w:r>
          <w:rPr>
            <w:webHidden/>
          </w:rPr>
          <w:fldChar w:fldCharType="begin"/>
        </w:r>
        <w:r>
          <w:rPr>
            <w:webHidden/>
          </w:rPr>
          <w:instrText xml:space="preserve"> PAGEREF _Toc469404522 \h </w:instrText>
        </w:r>
        <w:r>
          <w:rPr>
            <w:webHidden/>
          </w:rPr>
        </w:r>
        <w:r>
          <w:rPr>
            <w:webHidden/>
          </w:rPr>
          <w:fldChar w:fldCharType="separate"/>
        </w:r>
        <w:r>
          <w:rPr>
            <w:webHidden/>
          </w:rPr>
          <w:t>23</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25" w:history="1">
        <w:r>
          <w:rPr>
            <w:rStyle w:val="Hyperlink"/>
          </w:rPr>
          <w:t>Compliance assurance</w:t>
        </w:r>
        <w:r>
          <w:rPr>
            <w:webHidden/>
          </w:rPr>
          <w:tab/>
        </w:r>
        <w:r>
          <w:rPr>
            <w:webHidden/>
          </w:rPr>
          <w:fldChar w:fldCharType="begin"/>
        </w:r>
        <w:r>
          <w:rPr>
            <w:webHidden/>
          </w:rPr>
          <w:instrText xml:space="preserve"> PAGEREF _Toc469404525 \h </w:instrText>
        </w:r>
        <w:r>
          <w:rPr>
            <w:webHidden/>
          </w:rPr>
        </w:r>
        <w:r>
          <w:rPr>
            <w:webHidden/>
          </w:rPr>
          <w:fldChar w:fldCharType="separate"/>
        </w:r>
        <w:r>
          <w:rPr>
            <w:webHidden/>
          </w:rPr>
          <w:t>24</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26" w:history="1">
        <w:r>
          <w:rPr>
            <w:rStyle w:val="Hyperlink"/>
          </w:rPr>
          <w:t>Public participation and access to justice</w:t>
        </w:r>
        <w:r>
          <w:rPr>
            <w:webHidden/>
          </w:rPr>
          <w:tab/>
        </w:r>
        <w:r>
          <w:rPr>
            <w:webHidden/>
          </w:rPr>
          <w:fldChar w:fldCharType="begin"/>
        </w:r>
        <w:r>
          <w:rPr>
            <w:webHidden/>
          </w:rPr>
          <w:instrText xml:space="preserve"> PAGEREF _Toc469404526 \h</w:instrText>
        </w:r>
        <w:r>
          <w:rPr>
            <w:webHidden/>
          </w:rPr>
          <w:instrText xml:space="preserve"> </w:instrText>
        </w:r>
        <w:r>
          <w:rPr>
            <w:webHidden/>
          </w:rPr>
        </w:r>
        <w:r>
          <w:rPr>
            <w:webHidden/>
          </w:rPr>
          <w:fldChar w:fldCharType="separate"/>
        </w:r>
        <w:r>
          <w:rPr>
            <w:webHidden/>
          </w:rPr>
          <w:t>25</w:t>
        </w:r>
        <w:r>
          <w:rPr>
            <w:webHidden/>
          </w:rPr>
          <w:fldChar w:fldCharType="end"/>
        </w:r>
      </w:hyperlink>
    </w:p>
    <w:p w:rsidR="00587940" w:rsidRDefault="00E43A41">
      <w:pPr>
        <w:pStyle w:val="TOC2"/>
        <w:rPr>
          <w:rFonts w:asciiTheme="minorHAnsi" w:eastAsiaTheme="minorEastAsia" w:hAnsiTheme="minorHAnsi" w:cstheme="minorBidi"/>
          <w:sz w:val="22"/>
          <w:szCs w:val="22"/>
          <w:lang w:eastAsia="en-GB"/>
        </w:rPr>
      </w:pPr>
      <w:hyperlink w:anchor="_Toc469404527" w:history="1">
        <w:r>
          <w:rPr>
            <w:rStyle w:val="Hyperlink"/>
          </w:rPr>
          <w:t>Access to information, knowledge and evidence</w:t>
        </w:r>
        <w:r>
          <w:rPr>
            <w:webHidden/>
          </w:rPr>
          <w:tab/>
        </w:r>
        <w:r>
          <w:rPr>
            <w:webHidden/>
          </w:rPr>
          <w:fldChar w:fldCharType="begin"/>
        </w:r>
        <w:r>
          <w:rPr>
            <w:webHidden/>
          </w:rPr>
          <w:instrText xml:space="preserve"> PAGEREF _Toc469404527 \h </w:instrText>
        </w:r>
        <w:r>
          <w:rPr>
            <w:webHidden/>
          </w:rPr>
        </w:r>
        <w:r>
          <w:rPr>
            <w:webHidden/>
          </w:rPr>
          <w:fldChar w:fldCharType="separate"/>
        </w:r>
        <w:r>
          <w:rPr>
            <w:webHidden/>
          </w:rPr>
          <w:t>26</w:t>
        </w:r>
        <w:r>
          <w:rPr>
            <w:webHidden/>
          </w:rPr>
          <w:fldChar w:fldCharType="end"/>
        </w:r>
      </w:hyperlink>
    </w:p>
    <w:p w:rsidR="00587940" w:rsidRDefault="00E43A41">
      <w:pPr>
        <w:spacing w:after="60" w:line="240" w:lineRule="auto"/>
        <w:outlineLvl w:val="0"/>
        <w:rPr>
          <w:rFonts w:eastAsiaTheme="majorEastAsia" w:cstheme="majorBidi"/>
          <w:b/>
          <w:bCs/>
          <w:noProof/>
          <w:color w:val="1F497D" w:themeColor="text2"/>
          <w:sz w:val="32"/>
          <w:szCs w:val="28"/>
        </w:rPr>
      </w:pPr>
      <w:r>
        <w:rPr>
          <w:rFonts w:eastAsiaTheme="majorEastAsia" w:cstheme="majorBidi"/>
          <w:bCs/>
          <w:noProof/>
          <w:sz w:val="32"/>
          <w:szCs w:val="28"/>
        </w:rPr>
        <w:fldChar w:fldCharType="end"/>
      </w:r>
      <w:bookmarkStart w:id="2" w:name="_Toc432510709"/>
      <w:bookmarkStart w:id="3" w:name="_Toc432521119"/>
      <w:bookmarkStart w:id="4" w:name="_Toc433296149"/>
      <w:bookmarkEnd w:id="2"/>
      <w:bookmarkEnd w:id="3"/>
    </w:p>
    <w:p w:rsidR="00587940" w:rsidRDefault="00E43A41">
      <w:pPr>
        <w:widowControl w:val="0"/>
        <w:spacing w:after="60"/>
        <w:rPr>
          <w:rFonts w:cs="Times New Roman"/>
          <w:noProof/>
          <w:sz w:val="20"/>
        </w:rPr>
        <w:sectPr w:rsidR="00587940">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cs="Times New Roman"/>
          <w:noProof/>
          <w:sz w:val="20"/>
        </w:rPr>
        <w:br w:type="page"/>
      </w:r>
    </w:p>
    <w:p w:rsidR="00587940" w:rsidRDefault="00E43A41">
      <w:pPr>
        <w:spacing w:after="0" w:line="240" w:lineRule="auto"/>
        <w:jc w:val="center"/>
        <w:outlineLvl w:val="0"/>
        <w:rPr>
          <w:rFonts w:eastAsiaTheme="majorEastAsia" w:cstheme="majorBidi"/>
          <w:b/>
          <w:bCs/>
          <w:noProof/>
          <w:color w:val="1F497D" w:themeColor="text2"/>
          <w:sz w:val="32"/>
          <w:szCs w:val="28"/>
        </w:rPr>
      </w:pPr>
      <w:bookmarkStart w:id="5" w:name="_Toc469404498"/>
      <w:r>
        <w:rPr>
          <w:rFonts w:eastAsiaTheme="majorEastAsia" w:cstheme="majorBidi"/>
          <w:b/>
          <w:bCs/>
          <w:noProof/>
          <w:color w:val="1F497D" w:themeColor="text2"/>
          <w:sz w:val="32"/>
          <w:szCs w:val="28"/>
        </w:rPr>
        <w:lastRenderedPageBreak/>
        <w:t>Executive summary</w:t>
      </w:r>
      <w:bookmarkEnd w:id="4"/>
      <w:bookmarkEnd w:id="5"/>
    </w:p>
    <w:p w:rsidR="00587940" w:rsidRDefault="00587940">
      <w:pPr>
        <w:widowControl w:val="0"/>
        <w:spacing w:after="120" w:line="240" w:lineRule="auto"/>
        <w:jc w:val="both"/>
        <w:rPr>
          <w:rFonts w:cs="Times New Roman"/>
          <w:noProof/>
          <w:sz w:val="20"/>
        </w:rPr>
      </w:pPr>
    </w:p>
    <w:p w:rsidR="00587940" w:rsidRDefault="00587940">
      <w:pPr>
        <w:widowControl w:val="0"/>
        <w:spacing w:after="120" w:line="240" w:lineRule="auto"/>
        <w:jc w:val="both"/>
        <w:rPr>
          <w:rFonts w:cs="Times New Roman"/>
          <w:noProof/>
          <w:sz w:val="20"/>
        </w:rPr>
        <w:sectPr w:rsidR="00587940">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587940" w:rsidRDefault="00E43A41">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587940" w:rsidRDefault="00E43A41">
      <w:pPr>
        <w:widowControl w:val="0"/>
        <w:spacing w:after="120" w:line="240" w:lineRule="auto"/>
        <w:jc w:val="both"/>
        <w:rPr>
          <w:noProof/>
          <w:sz w:val="20"/>
        </w:rPr>
      </w:pPr>
      <w:r>
        <w:rPr>
          <w:noProof/>
          <w:sz w:val="20"/>
        </w:rPr>
        <w:t>In May 2016, the Commission launched the Environmental Implementation Review (EIR), a two-year cycle of analysis, dialogue and collaboration to improve the implementation of existing EU environmental policy a</w:t>
      </w:r>
      <w:r>
        <w:rPr>
          <w:noProof/>
          <w:sz w:val="20"/>
        </w:rPr>
        <w:t>nd legislation</w:t>
      </w:r>
      <w:r>
        <w:rPr>
          <w:noProof/>
          <w:sz w:val="20"/>
          <w:vertAlign w:val="superscript"/>
        </w:rPr>
        <w:footnoteReference w:id="1"/>
      </w:r>
      <w:r>
        <w:rPr>
          <w:noProof/>
          <w:sz w:val="20"/>
        </w:rPr>
        <w:t xml:space="preserve">. As a first step, the Commission drafted 28 reports describing the main challenges and opportunities on environmental implementation for each Member State. These reports are meant to stimulate a positive debate both on shared environmental </w:t>
      </w:r>
      <w:r>
        <w:rPr>
          <w:noProof/>
          <w:sz w:val="20"/>
        </w:rPr>
        <w:t xml:space="preserve">challenges for the EU, as well as on the most effective ways to address the key implementation gaps. The reports rely on the detailed sectoral implementation reports collected or issued by the Commission under specific environmental legislation as well as </w:t>
      </w:r>
      <w:r>
        <w:rPr>
          <w:noProof/>
          <w:sz w:val="20"/>
        </w:rPr>
        <w:t xml:space="preserve">the 2015 State of the Environment Report and other reports by the European Environment Agency. These reports will not replace the specific instruments to ensure compliance with the EU legal obligations. </w:t>
      </w:r>
    </w:p>
    <w:p w:rsidR="00587940" w:rsidRDefault="00E43A41">
      <w:pPr>
        <w:widowControl w:val="0"/>
        <w:spacing w:after="120" w:line="240" w:lineRule="auto"/>
        <w:jc w:val="both"/>
        <w:rPr>
          <w:noProof/>
          <w:sz w:val="20"/>
        </w:rPr>
      </w:pPr>
      <w:r>
        <w:rPr>
          <w:noProof/>
          <w:sz w:val="20"/>
        </w:rPr>
        <w:t>The reports will broadly follow the outline of the 7</w:t>
      </w:r>
      <w:r>
        <w:rPr>
          <w:noProof/>
          <w:sz w:val="20"/>
        </w:rPr>
        <w:t>th Environmental Action Programme</w:t>
      </w:r>
      <w:r>
        <w:rPr>
          <w:rFonts w:eastAsia="Calibri"/>
          <w:noProof/>
          <w:sz w:val="20"/>
          <w:vertAlign w:val="superscript"/>
        </w:rPr>
        <w:footnoteReference w:id="2"/>
      </w:r>
      <w:r>
        <w:rPr>
          <w:rFonts w:eastAsia="Calibri"/>
          <w:noProof/>
          <w:sz w:val="20"/>
        </w:rPr>
        <w:t xml:space="preserve"> </w:t>
      </w:r>
      <w:r>
        <w:rPr>
          <w:noProof/>
          <w:sz w:val="20"/>
        </w:rPr>
        <w:t xml:space="preserve">and refer to the 2030 Agenda for Sustainable development and related </w:t>
      </w:r>
      <w:r>
        <w:rPr>
          <w:rFonts w:eastAsia="Calibri"/>
          <w:noProof/>
          <w:sz w:val="20"/>
        </w:rPr>
        <w:t>Sustainable Development 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and policy objectives of EU environmental law</w:t>
      </w:r>
      <w:r>
        <w:rPr>
          <w:rFonts w:eastAsia="Calibri"/>
          <w:noProof/>
          <w:sz w:val="20"/>
          <w:vertAlign w:val="superscript"/>
        </w:rPr>
        <w:footnoteReference w:id="4"/>
      </w:r>
      <w:r>
        <w:rPr>
          <w:noProof/>
          <w:sz w:val="20"/>
        </w:rPr>
        <w:t xml:space="preserve">. </w:t>
      </w:r>
    </w:p>
    <w:p w:rsidR="00587940" w:rsidRDefault="00E43A41">
      <w:pPr>
        <w:widowControl w:val="0"/>
        <w:spacing w:after="120" w:line="240" w:lineRule="auto"/>
        <w:jc w:val="both"/>
        <w:rPr>
          <w:noProof/>
          <w:sz w:val="20"/>
        </w:rPr>
      </w:pPr>
      <w:r>
        <w:rPr>
          <w:noProof/>
          <w:sz w:val="20"/>
        </w:rPr>
        <w:t xml:space="preserve">The </w:t>
      </w:r>
      <w:r>
        <w:rPr>
          <w:noProof/>
          <w:sz w:val="20"/>
        </w:rPr>
        <w:t>main challenges have been selected by taking into account factors such as the importance or the gravity of the environmental implementation issue in the light of the impact on the quality of life of the citizens, the distance to target, and financial impli</w:t>
      </w:r>
      <w:r>
        <w:rPr>
          <w:noProof/>
          <w:sz w:val="20"/>
        </w:rPr>
        <w:t>cations.</w:t>
      </w:r>
    </w:p>
    <w:p w:rsidR="00587940" w:rsidRDefault="00E43A41">
      <w:pPr>
        <w:widowControl w:val="0"/>
        <w:spacing w:after="120" w:line="240" w:lineRule="auto"/>
        <w:jc w:val="both"/>
        <w:rPr>
          <w:noProof/>
          <w:sz w:val="20"/>
        </w:rPr>
      </w:pPr>
      <w:r>
        <w:rPr>
          <w:noProof/>
          <w:sz w:val="20"/>
        </w:rPr>
        <w:t xml:space="preserve">The reports accompany the Communication </w:t>
      </w:r>
      <w:r>
        <w:rPr>
          <w:i/>
          <w:noProof/>
          <w:sz w:val="20"/>
        </w:rPr>
        <w:t>"The EU Environmental Implementation Review 2016: Common challenges and how to combine efforts to deliver better results"</w:t>
      </w:r>
      <w:r>
        <w:rPr>
          <w:noProof/>
          <w:sz w:val="20"/>
        </w:rPr>
        <w:t>, which identifies challenges that are common to several Member States, provides preli</w:t>
      </w:r>
      <w:r>
        <w:rPr>
          <w:noProof/>
          <w:sz w:val="20"/>
        </w:rPr>
        <w:t>minary conclusions on possible root causes of implementation gaps and proposes joint actions to deliver better results. It also groups in its Annex the actions proposed in each country report to improve implementation at national level.</w:t>
      </w:r>
    </w:p>
    <w:p w:rsidR="00587940" w:rsidRDefault="00E43A41">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587940" w:rsidRDefault="00E43A41">
      <w:pPr>
        <w:widowControl w:val="0"/>
        <w:spacing w:after="120" w:line="240" w:lineRule="auto"/>
        <w:jc w:val="both"/>
        <w:rPr>
          <w:rFonts w:cs="Times New Roman"/>
          <w:noProof/>
          <w:sz w:val="20"/>
        </w:rPr>
      </w:pPr>
      <w:r>
        <w:rPr>
          <w:rFonts w:cs="Times New Roman"/>
          <w:noProof/>
          <w:sz w:val="20"/>
        </w:rPr>
        <w:t>Aus</w:t>
      </w:r>
      <w:r>
        <w:rPr>
          <w:rFonts w:cs="Times New Roman"/>
          <w:noProof/>
          <w:sz w:val="20"/>
        </w:rPr>
        <w:t>tria's performance in terms of environmental protection is good. Water quality is generally good. Waste management is based on high recycling rates and low landfill, although waste generation is still high. In a range of policy areas (circular economy, gre</w:t>
      </w:r>
      <w:r>
        <w:rPr>
          <w:rFonts w:cs="Times New Roman"/>
          <w:noProof/>
          <w:sz w:val="20"/>
        </w:rPr>
        <w:t>en infrastructure) Austria has developed modern overarching approaches (Master Plan Green Jobs, natural capital accounting) to implement environmental objectives.</w:t>
      </w:r>
    </w:p>
    <w:p w:rsidR="00587940" w:rsidRDefault="00E43A41">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587940" w:rsidRDefault="00E43A41">
      <w:pPr>
        <w:widowControl w:val="0"/>
        <w:spacing w:after="120" w:line="240" w:lineRule="auto"/>
        <w:jc w:val="both"/>
        <w:rPr>
          <w:rFonts w:cs="Times New Roman"/>
          <w:noProof/>
          <w:sz w:val="20"/>
        </w:rPr>
      </w:pPr>
      <w:r>
        <w:rPr>
          <w:rFonts w:cs="Times New Roman"/>
          <w:noProof/>
          <w:sz w:val="20"/>
        </w:rPr>
        <w:t>The main challenges Austria faces with regard to implementing EU environmenta</w:t>
      </w:r>
      <w:r>
        <w:rPr>
          <w:rFonts w:cs="Times New Roman"/>
          <w:noProof/>
          <w:sz w:val="20"/>
        </w:rPr>
        <w:t>l policy and law are:</w:t>
      </w:r>
    </w:p>
    <w:p w:rsidR="00587940" w:rsidRDefault="00E43A41">
      <w:pPr>
        <w:widowControl w:val="0"/>
        <w:numPr>
          <w:ilvl w:val="0"/>
          <w:numId w:val="23"/>
        </w:numPr>
        <w:spacing w:after="120" w:line="240" w:lineRule="auto"/>
        <w:contextualSpacing/>
        <w:jc w:val="both"/>
        <w:rPr>
          <w:rFonts w:cs="Times New Roman"/>
          <w:noProof/>
          <w:sz w:val="20"/>
        </w:rPr>
      </w:pPr>
      <w:r>
        <w:rPr>
          <w:rFonts w:cs="Times New Roman"/>
          <w:noProof/>
          <w:sz w:val="20"/>
        </w:rPr>
        <w:t>Improving the designation and protection of Natura 2000 sites.</w:t>
      </w:r>
    </w:p>
    <w:p w:rsidR="00587940" w:rsidRDefault="00E43A41">
      <w:pPr>
        <w:widowControl w:val="0"/>
        <w:numPr>
          <w:ilvl w:val="0"/>
          <w:numId w:val="23"/>
        </w:numPr>
        <w:spacing w:after="120" w:line="240" w:lineRule="auto"/>
        <w:contextualSpacing/>
        <w:jc w:val="both"/>
        <w:rPr>
          <w:rFonts w:cs="Times New Roman"/>
          <w:noProof/>
          <w:sz w:val="20"/>
          <w:szCs w:val="20"/>
        </w:rPr>
      </w:pPr>
      <w:r>
        <w:rPr>
          <w:rFonts w:cs="Times New Roman"/>
          <w:noProof/>
          <w:sz w:val="20"/>
          <w:szCs w:val="20"/>
        </w:rPr>
        <w:t>Reducing nitrogen oxide emissions, in particular in urban areas.</w:t>
      </w:r>
    </w:p>
    <w:p w:rsidR="00587940" w:rsidRDefault="00587940">
      <w:pPr>
        <w:widowControl w:val="0"/>
        <w:spacing w:after="120" w:line="240" w:lineRule="auto"/>
        <w:ind w:left="360"/>
        <w:contextualSpacing/>
        <w:jc w:val="both"/>
        <w:rPr>
          <w:rFonts w:cs="Times New Roman"/>
          <w:noProof/>
          <w:sz w:val="20"/>
          <w:szCs w:val="20"/>
        </w:rPr>
      </w:pPr>
    </w:p>
    <w:p w:rsidR="00587940" w:rsidRDefault="00E43A41">
      <w:pPr>
        <w:widowControl w:val="0"/>
        <w:spacing w:after="120" w:line="240" w:lineRule="auto"/>
        <w:jc w:val="both"/>
        <w:rPr>
          <w:rFonts w:cstheme="minorHAnsi"/>
          <w:b/>
          <w:noProof/>
          <w:color w:val="1F497D" w:themeColor="text2"/>
        </w:rPr>
      </w:pPr>
      <w:r>
        <w:rPr>
          <w:rFonts w:cstheme="minorHAnsi"/>
          <w:b/>
          <w:noProof/>
          <w:color w:val="1F497D" w:themeColor="text2"/>
        </w:rPr>
        <w:t>Main Opportunities</w:t>
      </w:r>
    </w:p>
    <w:p w:rsidR="00587940" w:rsidRDefault="00E43A41">
      <w:pPr>
        <w:widowControl w:val="0"/>
        <w:spacing w:after="120" w:line="240" w:lineRule="auto"/>
        <w:jc w:val="both"/>
        <w:rPr>
          <w:rFonts w:cs="Times New Roman"/>
          <w:noProof/>
          <w:sz w:val="20"/>
          <w:lang w:eastAsia="ja-JP"/>
        </w:rPr>
      </w:pPr>
      <w:r>
        <w:rPr>
          <w:rFonts w:cs="Times New Roman"/>
          <w:noProof/>
          <w:sz w:val="20"/>
          <w:lang w:eastAsia="ja-JP"/>
        </w:rPr>
        <w:t>Austria could perform better on issues where a sound knowledge base and good practices</w:t>
      </w:r>
      <w:r>
        <w:rPr>
          <w:rFonts w:cs="Times New Roman"/>
          <w:noProof/>
          <w:sz w:val="20"/>
          <w:lang w:eastAsia="ja-JP"/>
        </w:rPr>
        <w:t xml:space="preserve"> already exist. This applies in particular to:</w:t>
      </w:r>
    </w:p>
    <w:p w:rsidR="00587940" w:rsidRDefault="00E43A41">
      <w:pPr>
        <w:widowControl w:val="0"/>
        <w:numPr>
          <w:ilvl w:val="0"/>
          <w:numId w:val="24"/>
        </w:numPr>
        <w:spacing w:after="120" w:line="240" w:lineRule="auto"/>
        <w:contextualSpacing/>
        <w:jc w:val="both"/>
        <w:rPr>
          <w:rFonts w:cs="Times New Roman"/>
          <w:noProof/>
          <w:sz w:val="20"/>
          <w:lang w:eastAsia="ja-JP"/>
        </w:rPr>
      </w:pPr>
      <w:r>
        <w:rPr>
          <w:rFonts w:cs="Times New Roman"/>
          <w:noProof/>
          <w:sz w:val="20"/>
          <w:lang w:eastAsia="ja-JP"/>
        </w:rPr>
        <w:t>Further development of the natural capital account approach.</w:t>
      </w:r>
    </w:p>
    <w:p w:rsidR="00587940" w:rsidRDefault="00587940">
      <w:pPr>
        <w:widowControl w:val="0"/>
        <w:spacing w:after="120" w:line="240" w:lineRule="auto"/>
        <w:ind w:left="360"/>
        <w:contextualSpacing/>
        <w:jc w:val="both"/>
        <w:rPr>
          <w:rFonts w:cs="Times New Roman"/>
          <w:noProof/>
          <w:sz w:val="20"/>
          <w:lang w:eastAsia="ja-JP"/>
        </w:rPr>
      </w:pPr>
    </w:p>
    <w:p w:rsidR="00587940" w:rsidRDefault="00E43A41">
      <w:pPr>
        <w:widowControl w:val="0"/>
        <w:spacing w:after="120" w:line="240" w:lineRule="auto"/>
        <w:jc w:val="both"/>
        <w:rPr>
          <w:rFonts w:cstheme="minorHAnsi"/>
          <w:b/>
          <w:noProof/>
          <w:color w:val="1F497D" w:themeColor="text2"/>
        </w:rPr>
      </w:pPr>
      <w:r>
        <w:rPr>
          <w:rFonts w:cstheme="minorHAnsi"/>
          <w:b/>
          <w:noProof/>
          <w:color w:val="1F497D" w:themeColor="text2"/>
        </w:rPr>
        <w:t>Points of excellence</w:t>
      </w:r>
    </w:p>
    <w:p w:rsidR="00587940" w:rsidRDefault="00E43A41">
      <w:pPr>
        <w:widowControl w:val="0"/>
        <w:spacing w:after="120" w:line="240" w:lineRule="auto"/>
        <w:jc w:val="both"/>
        <w:rPr>
          <w:rFonts w:cs="Times New Roman"/>
          <w:noProof/>
          <w:sz w:val="20"/>
        </w:rPr>
      </w:pPr>
      <w:r>
        <w:rPr>
          <w:rFonts w:cs="Times New Roman"/>
          <w:noProof/>
          <w:sz w:val="20"/>
        </w:rPr>
        <w:t>Where Austria leads in environmental implementation, it could share its innovative approaches more widely among other countrie</w:t>
      </w:r>
      <w:r>
        <w:rPr>
          <w:rFonts w:cs="Times New Roman"/>
          <w:noProof/>
          <w:sz w:val="20"/>
        </w:rPr>
        <w:t>s. Concrete examples include:</w:t>
      </w:r>
    </w:p>
    <w:p w:rsidR="00587940" w:rsidRDefault="00E43A41">
      <w:pPr>
        <w:pStyle w:val="ListParagraph"/>
        <w:widowControl w:val="0"/>
        <w:numPr>
          <w:ilvl w:val="0"/>
          <w:numId w:val="25"/>
        </w:numPr>
        <w:rPr>
          <w:noProof/>
        </w:rPr>
      </w:pPr>
      <w:r>
        <w:rPr>
          <w:noProof/>
        </w:rPr>
        <w:t xml:space="preserve">Austria has established a specific platform focusing on Green Public Procurement, including a help-desk for procurement officers to exchange experiences. </w:t>
      </w:r>
    </w:p>
    <w:p w:rsidR="00587940" w:rsidRDefault="00E43A41">
      <w:pPr>
        <w:pStyle w:val="ListParagraph"/>
        <w:widowControl w:val="0"/>
        <w:numPr>
          <w:ilvl w:val="0"/>
          <w:numId w:val="25"/>
        </w:numPr>
        <w:rPr>
          <w:noProof/>
        </w:rPr>
      </w:pPr>
      <w:r>
        <w:rPr>
          <w:noProof/>
        </w:rPr>
        <w:t>Austria has developed successful good practices in the field of eco-inn</w:t>
      </w:r>
      <w:r>
        <w:rPr>
          <w:noProof/>
        </w:rPr>
        <w:t>ovation and the circular economy, such as the 'Buy Aware' initiative.</w:t>
      </w:r>
    </w:p>
    <w:p w:rsidR="00587940" w:rsidRDefault="00E43A41">
      <w:pPr>
        <w:pStyle w:val="ListParagraph"/>
        <w:widowControl w:val="0"/>
        <w:numPr>
          <w:ilvl w:val="0"/>
          <w:numId w:val="25"/>
        </w:numPr>
        <w:rPr>
          <w:noProof/>
        </w:rPr>
      </w:pPr>
      <w:r>
        <w:rPr>
          <w:noProof/>
        </w:rPr>
        <w:t>Austria's Green Infrastructure strategy promotes the systematic integration of natural ecosystems and their services into spatial planning.</w:t>
      </w:r>
      <w:r>
        <w:rPr>
          <w:noProof/>
        </w:rPr>
        <w:br w:type="page"/>
      </w:r>
    </w:p>
    <w:p w:rsidR="00587940" w:rsidRDefault="00587940">
      <w:pPr>
        <w:widowControl w:val="0"/>
        <w:spacing w:after="120" w:line="240" w:lineRule="auto"/>
        <w:jc w:val="both"/>
        <w:rPr>
          <w:rFonts w:cs="Times New Roman"/>
          <w:noProof/>
          <w:color w:val="FF0000"/>
          <w:sz w:val="20"/>
        </w:rPr>
        <w:sectPr w:rsidR="00587940">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80" w:bottom="1440" w:left="1080" w:header="709" w:footer="709" w:gutter="0"/>
          <w:cols w:num="2" w:space="360"/>
          <w:docGrid w:linePitch="360"/>
        </w:sectPr>
      </w:pPr>
    </w:p>
    <w:p w:rsidR="00587940" w:rsidRDefault="00E43A41">
      <w:pPr>
        <w:spacing w:after="0" w:line="240" w:lineRule="auto"/>
        <w:jc w:val="center"/>
        <w:outlineLvl w:val="0"/>
        <w:rPr>
          <w:rFonts w:eastAsiaTheme="majorEastAsia" w:cstheme="majorBidi"/>
          <w:b/>
          <w:bCs/>
          <w:noProof/>
          <w:color w:val="1F497D" w:themeColor="text2"/>
          <w:sz w:val="32"/>
          <w:szCs w:val="28"/>
        </w:rPr>
      </w:pPr>
      <w:bookmarkStart w:id="6" w:name="_Toc433296150"/>
      <w:bookmarkStart w:id="7" w:name="_Toc469404499"/>
      <w:r>
        <w:rPr>
          <w:rFonts w:eastAsiaTheme="majorEastAsia" w:cstheme="majorBidi"/>
          <w:b/>
          <w:bCs/>
          <w:noProof/>
          <w:color w:val="1F497D" w:themeColor="text2"/>
          <w:sz w:val="32"/>
          <w:szCs w:val="28"/>
        </w:rPr>
        <w:t>Part I: Thematic Areas</w:t>
      </w:r>
      <w:bookmarkEnd w:id="6"/>
      <w:bookmarkEnd w:id="7"/>
    </w:p>
    <w:p w:rsidR="00587940" w:rsidRDefault="00587940">
      <w:pPr>
        <w:widowControl w:val="0"/>
        <w:spacing w:after="120" w:line="240" w:lineRule="auto"/>
        <w:jc w:val="both"/>
        <w:rPr>
          <w:rFonts w:cs="Times New Roman"/>
          <w:noProof/>
          <w:sz w:val="20"/>
        </w:rPr>
      </w:pPr>
    </w:p>
    <w:p w:rsidR="00587940" w:rsidRDefault="00E43A41">
      <w:pPr>
        <w:numPr>
          <w:ilvl w:val="0"/>
          <w:numId w:val="18"/>
        </w:numPr>
        <w:spacing w:after="0" w:line="240" w:lineRule="auto"/>
        <w:jc w:val="center"/>
        <w:outlineLvl w:val="0"/>
        <w:rPr>
          <w:rFonts w:eastAsiaTheme="majorEastAsia" w:cstheme="majorBidi"/>
          <w:b/>
          <w:bCs/>
          <w:noProof/>
          <w:color w:val="1F497D" w:themeColor="text2"/>
          <w:sz w:val="32"/>
          <w:szCs w:val="28"/>
        </w:rPr>
      </w:pPr>
      <w:bookmarkStart w:id="8" w:name="_Toc433296151"/>
      <w:bookmarkStart w:id="9" w:name="_Toc469404500"/>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587940" w:rsidRDefault="00587940">
      <w:pPr>
        <w:widowControl w:val="0"/>
        <w:spacing w:after="120" w:line="240" w:lineRule="auto"/>
        <w:jc w:val="both"/>
        <w:rPr>
          <w:rFonts w:cs="Times New Roman"/>
          <w:noProof/>
          <w:sz w:val="20"/>
        </w:rPr>
      </w:pPr>
    </w:p>
    <w:p w:rsidR="00587940" w:rsidRDefault="00587940">
      <w:pPr>
        <w:widowControl w:val="0"/>
        <w:spacing w:after="120" w:line="240" w:lineRule="auto"/>
        <w:jc w:val="both"/>
        <w:rPr>
          <w:rFonts w:cs="Times New Roman"/>
          <w:noProof/>
          <w:sz w:val="20"/>
        </w:rPr>
        <w:sectPr w:rsidR="00587940">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708"/>
          <w:docGrid w:linePitch="360"/>
        </w:sectPr>
      </w:pPr>
    </w:p>
    <w:p w:rsidR="00587940" w:rsidRDefault="00E43A41">
      <w:pPr>
        <w:widowControl w:val="0"/>
        <w:spacing w:after="120" w:line="240" w:lineRule="auto"/>
        <w:jc w:val="both"/>
        <w:outlineLvl w:val="1"/>
        <w:rPr>
          <w:rFonts w:cs="Times New Roman"/>
          <w:b/>
          <w:noProof/>
          <w:color w:val="1F497D" w:themeColor="text2"/>
          <w:sz w:val="24"/>
        </w:rPr>
      </w:pPr>
      <w:bookmarkStart w:id="10" w:name="_Toc433296152"/>
      <w:bookmarkStart w:id="11" w:name="_Toc454457645"/>
      <w:bookmarkStart w:id="12" w:name="_Toc469404501"/>
      <w:r>
        <w:rPr>
          <w:rFonts w:cs="Times New Roman"/>
          <w:b/>
          <w:noProof/>
          <w:color w:val="1F497D" w:themeColor="text2"/>
          <w:sz w:val="24"/>
        </w:rPr>
        <w:t>Developing a circular economy</w:t>
      </w:r>
      <w:bookmarkEnd w:id="10"/>
      <w:r>
        <w:rPr>
          <w:rFonts w:cs="Times New Roman"/>
          <w:b/>
          <w:noProof/>
          <w:color w:val="1F497D" w:themeColor="text2"/>
          <w:sz w:val="24"/>
        </w:rPr>
        <w:t xml:space="preserve"> and improving resource efficiency</w:t>
      </w:r>
      <w:bookmarkEnd w:id="11"/>
      <w:bookmarkEnd w:id="12"/>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w:t>
      </w:r>
      <w:r>
        <w:rPr>
          <w:rFonts w:cs="Times New Roman"/>
          <w:noProof/>
          <w:color w:val="FFFFFF" w:themeColor="background1"/>
          <w:sz w:val="20"/>
        </w:rPr>
        <w:t xml:space="preserve"> a cascading use of resources and residual waste that is close to zero. This can be facilitated by the development of, and access to, innovative financial instruments and funding for eco-innovation.</w:t>
      </w:r>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w:t>
      </w:r>
      <w:r>
        <w:rPr>
          <w:rFonts w:cs="Times New Roman"/>
          <w:noProof/>
          <w:color w:val="FFFFFF" w:themeColor="background1"/>
          <w:sz w:val="20"/>
        </w:rPr>
        <w:t>nd sustainable economic growth, full and productive employment and decent work for all. SDG 9 highlights the need to build resilient infrastructure, promote inclusive and sustainable industrialization and foster innovation. SDG 12 encourages countries to a</w:t>
      </w:r>
      <w:r>
        <w:rPr>
          <w:rFonts w:cs="Times New Roman"/>
          <w:noProof/>
          <w:color w:val="FFFFFF" w:themeColor="background1"/>
          <w:sz w:val="20"/>
        </w:rPr>
        <w:t>chieve the sustainable management and efficient use of natural resources by 2030.</w:t>
      </w:r>
    </w:p>
    <w:p w:rsidR="00587940" w:rsidRDefault="00E43A41">
      <w:pPr>
        <w:widowControl w:val="0"/>
        <w:spacing w:before="200" w:after="0" w:line="240" w:lineRule="auto"/>
        <w:jc w:val="both"/>
        <w:outlineLvl w:val="2"/>
        <w:rPr>
          <w:rFonts w:eastAsiaTheme="majorEastAsia" w:cstheme="majorBidi"/>
          <w:b/>
          <w:bCs/>
          <w:noProof/>
          <w:color w:val="1F497D" w:themeColor="text2"/>
        </w:rPr>
      </w:pPr>
      <w:bookmarkStart w:id="13" w:name="_Toc454792382"/>
      <w:bookmarkStart w:id="14" w:name="_Toc454792431"/>
      <w:bookmarkStart w:id="15" w:name="_Toc454899147"/>
      <w:bookmarkStart w:id="16" w:name="_Toc454984896"/>
      <w:bookmarkStart w:id="17" w:name="_Toc455589198"/>
      <w:bookmarkStart w:id="18" w:name="_Toc455750308"/>
      <w:bookmarkStart w:id="19" w:name="_Toc456008240"/>
      <w:bookmarkStart w:id="20" w:name="_Toc466450447"/>
      <w:bookmarkStart w:id="21" w:name="_Toc469404144"/>
      <w:bookmarkStart w:id="22" w:name="_Toc469404502"/>
      <w:r>
        <w:rPr>
          <w:rFonts w:eastAsiaTheme="majorEastAsia" w:cstheme="majorBidi"/>
          <w:b/>
          <w:bCs/>
          <w:noProof/>
          <w:color w:val="1F497D" w:themeColor="text2"/>
        </w:rPr>
        <w:t>Measures towards a circular economy</w:t>
      </w:r>
      <w:bookmarkEnd w:id="13"/>
      <w:bookmarkEnd w:id="14"/>
      <w:bookmarkEnd w:id="15"/>
      <w:bookmarkEnd w:id="16"/>
      <w:bookmarkEnd w:id="17"/>
      <w:bookmarkEnd w:id="18"/>
      <w:bookmarkEnd w:id="19"/>
      <w:bookmarkEnd w:id="20"/>
      <w:bookmarkEnd w:id="21"/>
      <w:bookmarkEnd w:id="22"/>
    </w:p>
    <w:p w:rsidR="00587940" w:rsidRDefault="00E43A41">
      <w:pPr>
        <w:widowControl w:val="0"/>
        <w:spacing w:after="120" w:line="240" w:lineRule="auto"/>
        <w:jc w:val="both"/>
        <w:rPr>
          <w:rFonts w:cs="Times New Roman"/>
          <w:noProof/>
          <w:sz w:val="20"/>
        </w:rPr>
      </w:pPr>
      <w:r>
        <w:rPr>
          <w:rFonts w:cs="Times New Roman"/>
          <w:noProof/>
          <w:sz w:val="20"/>
        </w:rPr>
        <w:t xml:space="preserve">Transforming our economies from linear to circular offers an opportunity to reinvent them and make them more sustainable and competitive. </w:t>
      </w:r>
      <w:r>
        <w:rPr>
          <w:rFonts w:cs="Times New Roman"/>
          <w:noProof/>
          <w:sz w:val="20"/>
        </w:rPr>
        <w:t>This will stimulate investments and bring both short and long-term benefits for the economy, environment and citizens alike</w:t>
      </w:r>
      <w:r>
        <w:rPr>
          <w:rFonts w:cs="Times New Roman"/>
          <w:noProof/>
          <w:sz w:val="20"/>
          <w:vertAlign w:val="superscript"/>
        </w:rPr>
        <w:footnoteReference w:id="5"/>
      </w:r>
      <w:r>
        <w:rPr>
          <w:rFonts w:cs="Times New Roman"/>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Austria is below average in the EU in terms of resource productivity (how efficiently the economy uses material resources to produ</w:t>
      </w:r>
      <w:r>
        <w:rPr>
          <w:rFonts w:cs="Times New Roman"/>
          <w:noProof/>
          <w:sz w:val="20"/>
        </w:rPr>
        <w:t>ce wealth), with 1.65 EUR/kg (EU average is 2) in 2015</w:t>
      </w:r>
      <w:r>
        <w:rPr>
          <w:rFonts w:cs="Times New Roman"/>
          <w:noProof/>
          <w:sz w:val="20"/>
          <w:vertAlign w:val="superscript"/>
        </w:rPr>
        <w:footnoteReference w:id="6"/>
      </w:r>
      <w:r>
        <w:rPr>
          <w:rFonts w:cs="Times New Roman"/>
          <w:noProof/>
          <w:sz w:val="20"/>
        </w:rPr>
        <w:t>. This might be explained by the high income and an export-orientated manufacturing sector in Austria. Figure 1 shows a modest but stable increase in resource productivity since 2011.</w:t>
      </w:r>
    </w:p>
    <w:p w:rsidR="00587940" w:rsidRDefault="00E43A41">
      <w:pPr>
        <w:widowControl w:val="0"/>
        <w:spacing w:after="120" w:line="240" w:lineRule="auto"/>
        <w:jc w:val="both"/>
        <w:rPr>
          <w:rFonts w:cs="Times New Roman"/>
          <w:noProof/>
          <w:sz w:val="20"/>
        </w:rPr>
      </w:pPr>
      <w:r>
        <w:rPr>
          <w:rFonts w:cs="Times New Roman"/>
          <w:noProof/>
          <w:sz w:val="20"/>
        </w:rPr>
        <w:t>In Austria, to da</w:t>
      </w:r>
      <w:r>
        <w:rPr>
          <w:rFonts w:cs="Times New Roman"/>
          <w:noProof/>
          <w:sz w:val="20"/>
        </w:rPr>
        <w:t>te, no overarching circular economy policy programme exists. A number of measures and initiatives have been set up by different government bodies in recent years relating to eco-innovation and – to a limited extent – to circular economy. As well as relevan</w:t>
      </w:r>
      <w:r>
        <w:rPr>
          <w:rFonts w:cs="Times New Roman"/>
          <w:noProof/>
          <w:sz w:val="20"/>
        </w:rPr>
        <w:t xml:space="preserve">t Ministries other organisations, such as the Austrian Chamber of Commerce, play an important role in (co-)financing eco-innovation-related initiatives. </w:t>
      </w:r>
    </w:p>
    <w:p w:rsidR="00587940" w:rsidRDefault="00E43A41">
      <w:pPr>
        <w:widowControl w:val="0"/>
        <w:spacing w:after="120" w:line="240" w:lineRule="auto"/>
        <w:jc w:val="both"/>
        <w:rPr>
          <w:rFonts w:cs="Times New Roman"/>
          <w:noProof/>
          <w:sz w:val="20"/>
        </w:rPr>
      </w:pPr>
      <w:r>
        <w:rPr>
          <w:rFonts w:cs="Times New Roman"/>
          <w:noProof/>
          <w:sz w:val="20"/>
        </w:rPr>
        <w:t xml:space="preserve">In 2012, Austria adopted a resource efficiency Action Plan to improve the overall resource efficiency </w:t>
      </w:r>
      <w:r>
        <w:rPr>
          <w:rFonts w:cs="Times New Roman"/>
          <w:noProof/>
          <w:sz w:val="20"/>
        </w:rPr>
        <w:t xml:space="preserve">by 50 % compared to 2008, by 2020. Since in a business-as-usual scenario productivity of resources is expected to grow at an annual rate of 1.2%, additional efforts will be needed to meet the target established in the Action Plan.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87940">
        <w:tc>
          <w:tcPr>
            <w:tcW w:w="4909" w:type="dxa"/>
          </w:tcPr>
          <w:p w:rsidR="00587940" w:rsidRDefault="00E43A41">
            <w:pPr>
              <w:widowControl w:val="0"/>
              <w:spacing w:after="120"/>
              <w:jc w:val="both"/>
              <w:rPr>
                <w:rFonts w:cs="Times New Roman"/>
                <w:noProof/>
                <w:sz w:val="20"/>
              </w:rPr>
            </w:pPr>
            <w:r>
              <w:rPr>
                <w:b/>
                <w:bCs/>
                <w:noProof/>
                <w:color w:val="1F497D" w:themeColor="text2"/>
                <w:sz w:val="20"/>
              </w:rPr>
              <w:t>Figure 1: Resource produ</w:t>
            </w:r>
            <w:r>
              <w:rPr>
                <w:b/>
                <w:bCs/>
                <w:noProof/>
                <w:color w:val="1F497D" w:themeColor="text2"/>
                <w:sz w:val="20"/>
              </w:rPr>
              <w:t>ctivity 2003-15</w:t>
            </w:r>
            <w:r>
              <w:rPr>
                <w:b/>
                <w:bCs/>
                <w:noProof/>
                <w:color w:val="1F497D" w:themeColor="text2"/>
                <w:sz w:val="20"/>
                <w:vertAlign w:val="superscript"/>
              </w:rPr>
              <w:footnoteReference w:id="7"/>
            </w:r>
          </w:p>
        </w:tc>
      </w:tr>
      <w:tr w:rsidR="00587940">
        <w:tc>
          <w:tcPr>
            <w:tcW w:w="4909" w:type="dxa"/>
          </w:tcPr>
          <w:p w:rsidR="00587940" w:rsidRDefault="00E43A41">
            <w:pPr>
              <w:widowControl w:val="0"/>
              <w:spacing w:after="120"/>
              <w:jc w:val="both"/>
              <w:rPr>
                <w:rFonts w:cs="Times New Roman"/>
                <w:noProof/>
                <w:sz w:val="20"/>
              </w:rPr>
            </w:pPr>
            <w:r>
              <w:rPr>
                <w:rFonts w:cs="Times New Roman"/>
                <w:noProof/>
                <w:sz w:val="20"/>
                <w:lang w:eastAsia="en-GB"/>
              </w:rPr>
              <w:drawing>
                <wp:inline distT="0" distB="0" distL="0" distR="0" wp14:anchorId="78A32A14" wp14:editId="269245E4">
                  <wp:extent cx="2970044" cy="19716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7687" cy="1976749"/>
                          </a:xfrm>
                          <a:prstGeom prst="rect">
                            <a:avLst/>
                          </a:prstGeom>
                          <a:noFill/>
                        </pic:spPr>
                      </pic:pic>
                    </a:graphicData>
                  </a:graphic>
                </wp:inline>
              </w:drawing>
            </w:r>
          </w:p>
        </w:tc>
      </w:tr>
    </w:tbl>
    <w:p w:rsidR="00587940" w:rsidRDefault="00E43A41">
      <w:pPr>
        <w:widowControl w:val="0"/>
        <w:spacing w:after="120" w:line="240" w:lineRule="auto"/>
        <w:jc w:val="both"/>
        <w:rPr>
          <w:rFonts w:cs="Times New Roman"/>
          <w:noProof/>
          <w:sz w:val="20"/>
        </w:rPr>
      </w:pPr>
      <w:r>
        <w:rPr>
          <w:rFonts w:cs="Times New Roman"/>
          <w:noProof/>
          <w:sz w:val="20"/>
        </w:rPr>
        <w:t xml:space="preserve">In addition, the recently developed RESET2020 initiative, aiming at integrating resource efficiency in the areas of environmental technologies and sustainable production and consumption, is one of the first initiatives that explicitly </w:t>
      </w:r>
      <w:r>
        <w:rPr>
          <w:rFonts w:cs="Times New Roman"/>
          <w:noProof/>
          <w:sz w:val="20"/>
        </w:rPr>
        <w:t>put circular economy principles in the centre.</w:t>
      </w:r>
    </w:p>
    <w:p w:rsidR="00587940" w:rsidRDefault="00E43A41">
      <w:pPr>
        <w:widowControl w:val="0"/>
        <w:spacing w:after="120" w:line="240" w:lineRule="auto"/>
        <w:jc w:val="both"/>
        <w:rPr>
          <w:rFonts w:cs="Times New Roman"/>
          <w:noProof/>
          <w:sz w:val="20"/>
        </w:rPr>
      </w:pPr>
      <w:r>
        <w:rPr>
          <w:rFonts w:cs="Times New Roman"/>
          <w:noProof/>
          <w:sz w:val="20"/>
        </w:rPr>
        <w:t>Concerning the opportunities within Austria, several regional development initiatives are founded around the principles of a circular economy and energy autonomy. These include, among others, the Styrian Volca</w:t>
      </w:r>
      <w:r>
        <w:rPr>
          <w:rFonts w:cs="Times New Roman"/>
          <w:noProof/>
          <w:sz w:val="20"/>
        </w:rPr>
        <w:t>no Land (www.vulkanland.at), the European Centre for Renewable Energy in Güssing</w:t>
      </w:r>
      <w:r>
        <w:rPr>
          <w:rFonts w:cs="Times New Roman"/>
          <w:noProof/>
          <w:sz w:val="20"/>
          <w:vertAlign w:val="superscript"/>
        </w:rPr>
        <w:footnoteReference w:id="8"/>
      </w:r>
      <w:r>
        <w:rPr>
          <w:rFonts w:cs="Times New Roman"/>
          <w:noProof/>
          <w:sz w:val="20"/>
        </w:rPr>
        <w:t>, the BioRegion Mühlviertel</w:t>
      </w:r>
      <w:r>
        <w:rPr>
          <w:rFonts w:cs="Times New Roman"/>
          <w:noProof/>
          <w:sz w:val="20"/>
          <w:vertAlign w:val="superscript"/>
        </w:rPr>
        <w:footnoteReference w:id="9"/>
      </w:r>
      <w:r>
        <w:rPr>
          <w:rFonts w:cs="Times New Roman"/>
          <w:noProof/>
          <w:sz w:val="20"/>
        </w:rPr>
        <w:t xml:space="preserve"> or the Energy Vision Murau</w:t>
      </w:r>
      <w:r>
        <w:rPr>
          <w:rFonts w:cs="Times New Roman"/>
          <w:noProof/>
          <w:sz w:val="20"/>
          <w:vertAlign w:val="superscript"/>
        </w:rPr>
        <w:footnoteReference w:id="10"/>
      </w:r>
      <w:r>
        <w:rPr>
          <w:rFonts w:cs="Times New Roman"/>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Austria has many good practices in the field of eco-innovation and circular economy. One is “Bewusst kaufen”: the ini</w:t>
      </w:r>
      <w:r>
        <w:rPr>
          <w:rFonts w:cs="Times New Roman"/>
          <w:noProof/>
          <w:sz w:val="20"/>
        </w:rPr>
        <w:t>tiative "Buy Aware" is the first web portal for sustainable consumption in Austria. It aims to increase consumer awareness of sustainable products and provides extensive information on options for conscious, sustainable consumption.</w:t>
      </w:r>
    </w:p>
    <w:p w:rsidR="00587940" w:rsidRDefault="00E43A41">
      <w:pPr>
        <w:widowControl w:val="0"/>
        <w:spacing w:after="120" w:line="240" w:lineRule="auto"/>
        <w:jc w:val="both"/>
        <w:rPr>
          <w:rFonts w:cs="Times New Roman"/>
          <w:noProof/>
          <w:sz w:val="20"/>
        </w:rPr>
      </w:pPr>
      <w:r>
        <w:rPr>
          <w:rFonts w:cs="Times New Roman"/>
          <w:noProof/>
          <w:sz w:val="20"/>
        </w:rPr>
        <w:t>The number of employees</w:t>
      </w:r>
      <w:r>
        <w:rPr>
          <w:rFonts w:cs="Times New Roman"/>
          <w:noProof/>
          <w:sz w:val="20"/>
        </w:rPr>
        <w:t xml:space="preserve"> in the environmental goods and services sector has risen slightly from 167,665 full-time equivalents (FTE) in 2008 to around 182,534 FTE in 2013</w:t>
      </w:r>
      <w:r>
        <w:rPr>
          <w:rFonts w:cs="Times New Roman"/>
          <w:noProof/>
          <w:sz w:val="20"/>
          <w:vertAlign w:val="superscript"/>
        </w:rPr>
        <w:footnoteReference w:id="11"/>
      </w:r>
      <w:r>
        <w:rPr>
          <w:rFonts w:cs="Times New Roman"/>
          <w:noProof/>
          <w:sz w:val="20"/>
        </w:rPr>
        <w:t xml:space="preserve">. The Austrian Federal Ministry of Agriculture, Forestry, Environment and Water Management (BMLFUW) considers </w:t>
      </w:r>
      <w:r>
        <w:rPr>
          <w:rFonts w:cs="Times New Roman"/>
          <w:noProof/>
          <w:sz w:val="20"/>
        </w:rPr>
        <w:t>that every 20th job is in the environment sector and that 11% of the GDP are generated by this sector. Between 2008 and 2011 the environmental industry showed a clear positive trend as regards the development of green jobs. While in the economy at large em</w:t>
      </w:r>
      <w:r>
        <w:rPr>
          <w:rFonts w:cs="Times New Roman"/>
          <w:noProof/>
          <w:sz w:val="20"/>
        </w:rPr>
        <w:t>ployment increased by only 0.4%, employment in the environment sector saw a notable plus with a growth of 2.1%. During the same period the turnover in the environment sector rose by 5.1%, thus reaching EUR 2.6 billion.</w:t>
      </w:r>
    </w:p>
    <w:p w:rsidR="00587940" w:rsidRDefault="00E43A41">
      <w:pPr>
        <w:widowControl w:val="0"/>
        <w:spacing w:after="120" w:line="240" w:lineRule="auto"/>
        <w:jc w:val="both"/>
        <w:rPr>
          <w:rFonts w:cs="Times New Roman"/>
          <w:noProof/>
          <w:sz w:val="20"/>
        </w:rPr>
      </w:pPr>
      <w:r>
        <w:rPr>
          <w:rFonts w:cs="Times New Roman"/>
          <w:noProof/>
          <w:sz w:val="20"/>
        </w:rPr>
        <w:t>In 2010, Austria set up a master plan</w:t>
      </w:r>
      <w:r>
        <w:rPr>
          <w:rFonts w:cs="Times New Roman"/>
          <w:noProof/>
          <w:sz w:val="20"/>
        </w:rPr>
        <w:t xml:space="preserve"> on "green jobs"</w:t>
      </w:r>
      <w:r>
        <w:rPr>
          <w:rFonts w:cs="Times New Roman"/>
          <w:noProof/>
          <w:sz w:val="20"/>
          <w:vertAlign w:val="superscript"/>
        </w:rPr>
        <w:footnoteReference w:id="12"/>
      </w:r>
      <w:r>
        <w:rPr>
          <w:rFonts w:cs="Times New Roman"/>
          <w:noProof/>
          <w:sz w:val="20"/>
        </w:rPr>
        <w:t xml:space="preserve"> with the aim of increasing the number of employees in the environmental sector by 100,000 until 2020. The master plan is supported by the specific online portal </w:t>
      </w:r>
      <w:r>
        <w:rPr>
          <w:rFonts w:cs="Times New Roman"/>
          <w:i/>
          <w:noProof/>
          <w:sz w:val="20"/>
        </w:rPr>
        <w:t>green-jobs</w:t>
      </w:r>
      <w:r>
        <w:rPr>
          <w:rFonts w:cs="Times New Roman"/>
          <w:noProof/>
          <w:sz w:val="20"/>
          <w:vertAlign w:val="superscript"/>
        </w:rPr>
        <w:footnoteReference w:id="13"/>
      </w:r>
      <w:r>
        <w:rPr>
          <w:rFonts w:cs="Times New Roman"/>
          <w:noProof/>
          <w:sz w:val="20"/>
        </w:rPr>
        <w:t xml:space="preserve"> and a targeted qualification initiative </w:t>
      </w:r>
      <w:r>
        <w:rPr>
          <w:rFonts w:cs="Times New Roman"/>
          <w:i/>
          <w:noProof/>
          <w:sz w:val="20"/>
        </w:rPr>
        <w:t>klimaaktiv Bildungskoordi</w:t>
      </w:r>
      <w:r>
        <w:rPr>
          <w:rFonts w:cs="Times New Roman"/>
          <w:i/>
          <w:noProof/>
          <w:sz w:val="20"/>
        </w:rPr>
        <w:t>nation</w:t>
      </w:r>
      <w:r>
        <w:rPr>
          <w:rFonts w:cs="Times New Roman"/>
          <w:noProof/>
          <w:sz w:val="20"/>
          <w:vertAlign w:val="superscript"/>
        </w:rPr>
        <w:footnoteReference w:id="14"/>
      </w:r>
      <w:r>
        <w:rPr>
          <w:rFonts w:cs="Times New Roman"/>
          <w:i/>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In general, Austria offers a wide range of measures to support business in improving its resource efficiency, ranging from voluntary measures to regulatory measures. An analysis</w:t>
      </w:r>
      <w:r>
        <w:rPr>
          <w:rFonts w:cs="Times New Roman"/>
          <w:noProof/>
          <w:sz w:val="20"/>
          <w:vertAlign w:val="superscript"/>
        </w:rPr>
        <w:footnoteReference w:id="15"/>
      </w:r>
      <w:r>
        <w:rPr>
          <w:rFonts w:cs="Times New Roman"/>
          <w:noProof/>
          <w:sz w:val="20"/>
        </w:rPr>
        <w:t xml:space="preserve"> shows that Austria offers nine out of ten assessed support activitie</w:t>
      </w:r>
      <w:r>
        <w:rPr>
          <w:rFonts w:cs="Times New Roman"/>
          <w:noProof/>
          <w:sz w:val="20"/>
        </w:rPr>
        <w:t xml:space="preserve">s so that it belongs to the ten best performing Member States. The following initiative could be mentioned as successful examples: As regards providing targeted resource efficiency information and advice to companies the </w:t>
      </w:r>
      <w:r>
        <w:rPr>
          <w:rFonts w:cs="Times New Roman"/>
          <w:i/>
          <w:noProof/>
          <w:sz w:val="20"/>
        </w:rPr>
        <w:t>ÖKOPROFIT programme</w:t>
      </w:r>
      <w:r>
        <w:rPr>
          <w:rFonts w:cs="Times New Roman"/>
          <w:noProof/>
          <w:sz w:val="20"/>
        </w:rPr>
        <w:t xml:space="preserve"> which was launc</w:t>
      </w:r>
      <w:r>
        <w:rPr>
          <w:rFonts w:cs="Times New Roman"/>
          <w:noProof/>
          <w:sz w:val="20"/>
        </w:rPr>
        <w:t xml:space="preserve">hed in 1991 and which aims to help companies to implement environmental measures, thereby reducing industrial emissions, decreasing the operational costs for companies and strengthening the partnership between public agencies, companies and experts. </w:t>
      </w:r>
    </w:p>
    <w:p w:rsidR="00587940" w:rsidRDefault="00E43A41">
      <w:pPr>
        <w:widowControl w:val="0"/>
        <w:spacing w:before="200" w:after="0" w:line="240" w:lineRule="auto"/>
        <w:jc w:val="both"/>
        <w:outlineLvl w:val="2"/>
        <w:rPr>
          <w:rFonts w:eastAsiaTheme="majorEastAsia" w:cstheme="majorBidi"/>
          <w:b/>
          <w:bCs/>
          <w:noProof/>
          <w:color w:val="1F497D" w:themeColor="text2"/>
        </w:rPr>
      </w:pPr>
      <w:bookmarkStart w:id="23" w:name="_Toc454792383"/>
      <w:bookmarkStart w:id="24" w:name="_Toc454792432"/>
      <w:bookmarkStart w:id="25" w:name="_Toc454899148"/>
      <w:bookmarkStart w:id="26" w:name="_Toc454984897"/>
      <w:bookmarkStart w:id="27" w:name="_Toc455589199"/>
      <w:bookmarkStart w:id="28" w:name="_Toc455750309"/>
      <w:bookmarkStart w:id="29" w:name="_Toc456008241"/>
      <w:bookmarkStart w:id="30" w:name="_Toc466450448"/>
      <w:bookmarkStart w:id="31" w:name="_Toc469404145"/>
      <w:bookmarkStart w:id="32" w:name="_Toc469404503"/>
      <w:r>
        <w:rPr>
          <w:rFonts w:eastAsiaTheme="majorEastAsia" w:cstheme="majorBidi"/>
          <w:b/>
          <w:bCs/>
          <w:noProof/>
          <w:color w:val="1F497D" w:themeColor="text2"/>
        </w:rPr>
        <w:t>SME a</w:t>
      </w:r>
      <w:r>
        <w:rPr>
          <w:rFonts w:eastAsiaTheme="majorEastAsia" w:cstheme="majorBidi"/>
          <w:b/>
          <w:bCs/>
          <w:noProof/>
          <w:color w:val="1F497D" w:themeColor="text2"/>
        </w:rPr>
        <w:t>nd resource efficiency</w:t>
      </w:r>
      <w:bookmarkEnd w:id="23"/>
      <w:bookmarkEnd w:id="24"/>
      <w:bookmarkEnd w:id="25"/>
      <w:bookmarkEnd w:id="26"/>
      <w:bookmarkEnd w:id="27"/>
      <w:bookmarkEnd w:id="28"/>
      <w:bookmarkEnd w:id="29"/>
      <w:bookmarkEnd w:id="30"/>
      <w:bookmarkEnd w:id="31"/>
      <w:bookmarkEnd w:id="32"/>
    </w:p>
    <w:p w:rsidR="00587940" w:rsidRDefault="00E43A41">
      <w:pPr>
        <w:widowControl w:val="0"/>
        <w:spacing w:after="120" w:line="240" w:lineRule="auto"/>
        <w:jc w:val="both"/>
        <w:rPr>
          <w:rFonts w:cs="Times New Roman"/>
          <w:noProof/>
          <w:sz w:val="20"/>
        </w:rPr>
      </w:pPr>
      <w:r>
        <w:rPr>
          <w:rFonts w:cs="Times New Roman"/>
          <w:noProof/>
          <w:sz w:val="20"/>
        </w:rPr>
        <w:t>In the Flash 426 Eurobarometer "SMEs, resource efficiency and green markets"</w:t>
      </w:r>
      <w:r>
        <w:rPr>
          <w:rFonts w:cs="Times New Roman"/>
          <w:noProof/>
          <w:sz w:val="20"/>
          <w:vertAlign w:val="superscript"/>
        </w:rPr>
        <w:footnoteReference w:id="16"/>
      </w:r>
      <w:r>
        <w:rPr>
          <w:rFonts w:cs="Times New Roman"/>
          <w:noProof/>
          <w:sz w:val="20"/>
        </w:rPr>
        <w:t xml:space="preserve"> it is shown that 63% of Austrian's SMEs have invested up to 5% of their annual turnover in their resource efficiency actions (EU28 average 50%), 43% of them are currently offering green products and services, 67% took measures to save energy (EU28 average</w:t>
      </w:r>
      <w:r>
        <w:rPr>
          <w:rFonts w:cs="Times New Roman"/>
          <w:noProof/>
          <w:sz w:val="20"/>
        </w:rPr>
        <w:t xml:space="preserve"> 59%), 61% to minimise waste (EU28 average 60%), 39% to save water (EU28 average 44%), and 57% to save materials (EU28 average 54%). From a circular economy perspective, 47% took measures to recycle by reusing material or waste within the company, 31% to d</w:t>
      </w:r>
      <w:r>
        <w:rPr>
          <w:rFonts w:cs="Times New Roman"/>
          <w:noProof/>
          <w:sz w:val="20"/>
        </w:rPr>
        <w:t xml:space="preserve">esign products that are easier to maintain, repair or reuse and 30% were able to sell their scrap material to another company. </w:t>
      </w:r>
    </w:p>
    <w:p w:rsidR="00587940" w:rsidRDefault="00E43A41">
      <w:pPr>
        <w:widowControl w:val="0"/>
        <w:spacing w:after="120" w:line="240" w:lineRule="auto"/>
        <w:jc w:val="both"/>
        <w:rPr>
          <w:rFonts w:cs="Times New Roman"/>
          <w:noProof/>
          <w:sz w:val="20"/>
        </w:rPr>
      </w:pPr>
      <w:r>
        <w:rPr>
          <w:rFonts w:cs="Times New Roman"/>
          <w:noProof/>
          <w:sz w:val="20"/>
        </w:rPr>
        <w:t>According to Eurobarometer</w:t>
      </w:r>
      <w:r>
        <w:rPr>
          <w:rFonts w:cs="Times New Roman"/>
          <w:noProof/>
          <w:sz w:val="20"/>
          <w:vertAlign w:val="superscript"/>
        </w:rPr>
        <w:footnoteReference w:id="17"/>
      </w:r>
      <w:r>
        <w:rPr>
          <w:rFonts w:cs="Times New Roman"/>
          <w:noProof/>
          <w:sz w:val="20"/>
        </w:rPr>
        <w:t>, the resource efficiency actions undertaken allowed the reduction of production costs in 35% of Aust</w:t>
      </w:r>
      <w:r>
        <w:rPr>
          <w:rFonts w:cs="Times New Roman"/>
          <w:noProof/>
          <w:sz w:val="20"/>
        </w:rPr>
        <w:t>rian SMEs.</w:t>
      </w:r>
    </w:p>
    <w:p w:rsidR="00587940" w:rsidRDefault="00E43A41">
      <w:pPr>
        <w:widowControl w:val="0"/>
        <w:spacing w:after="120" w:line="240" w:lineRule="auto"/>
        <w:jc w:val="both"/>
        <w:rPr>
          <w:rFonts w:cs="Times New Roman"/>
          <w:noProof/>
          <w:sz w:val="20"/>
        </w:rPr>
      </w:pPr>
      <w:r>
        <w:rPr>
          <w:rFonts w:cs="Times New Roman"/>
          <w:noProof/>
          <w:sz w:val="20"/>
        </w:rPr>
        <w:t xml:space="preserve">SMEs provide more than two thirds of jobs and over 60% of total value added. The Eurobarometer shows that 34% of the SMEs in Austria have one or more full time employee working in a green job at least some of the time. Austria has an average </w:t>
      </w:r>
      <w:r>
        <w:rPr>
          <w:rFonts w:cs="Times New Roman"/>
          <w:noProof/>
          <w:sz w:val="20"/>
        </w:rPr>
        <w:t>number of 1.6 full time green employees per SME.</w:t>
      </w:r>
    </w:p>
    <w:p w:rsidR="00587940" w:rsidRDefault="00E43A41">
      <w:pPr>
        <w:widowControl w:val="0"/>
        <w:spacing w:before="200" w:after="0" w:line="240" w:lineRule="auto"/>
        <w:jc w:val="both"/>
        <w:outlineLvl w:val="2"/>
        <w:rPr>
          <w:rFonts w:eastAsiaTheme="majorEastAsia" w:cstheme="majorBidi"/>
          <w:b/>
          <w:bCs/>
          <w:noProof/>
          <w:color w:val="1F497D" w:themeColor="text2"/>
        </w:rPr>
      </w:pPr>
      <w:bookmarkStart w:id="33" w:name="_Toc454792384"/>
      <w:bookmarkStart w:id="34" w:name="_Toc454792433"/>
      <w:bookmarkStart w:id="35" w:name="_Toc454899149"/>
      <w:bookmarkStart w:id="36" w:name="_Toc454984898"/>
      <w:bookmarkStart w:id="37" w:name="_Toc455589200"/>
      <w:bookmarkStart w:id="38" w:name="_Toc455750310"/>
      <w:bookmarkStart w:id="39" w:name="_Toc456008242"/>
      <w:bookmarkStart w:id="40" w:name="_Toc466450449"/>
      <w:bookmarkStart w:id="41" w:name="_Toc469404146"/>
      <w:bookmarkStart w:id="42" w:name="_Toc469404504"/>
      <w:r>
        <w:rPr>
          <w:rFonts w:eastAsiaTheme="majorEastAsia" w:cstheme="majorBidi"/>
          <w:b/>
          <w:bCs/>
          <w:noProof/>
          <w:color w:val="1F497D" w:themeColor="text2"/>
        </w:rPr>
        <w:t>Eco-innovation</w:t>
      </w:r>
      <w:bookmarkEnd w:id="33"/>
      <w:bookmarkEnd w:id="34"/>
      <w:bookmarkEnd w:id="35"/>
      <w:bookmarkEnd w:id="36"/>
      <w:bookmarkEnd w:id="37"/>
      <w:bookmarkEnd w:id="38"/>
      <w:bookmarkEnd w:id="39"/>
      <w:bookmarkEnd w:id="40"/>
      <w:bookmarkEnd w:id="41"/>
      <w:bookmarkEnd w:id="42"/>
    </w:p>
    <w:p w:rsidR="00587940" w:rsidRDefault="00E43A41">
      <w:pPr>
        <w:widowControl w:val="0"/>
        <w:spacing w:after="120" w:line="240" w:lineRule="auto"/>
        <w:jc w:val="both"/>
        <w:rPr>
          <w:rFonts w:cs="Times New Roman"/>
          <w:noProof/>
          <w:sz w:val="20"/>
        </w:rPr>
      </w:pPr>
      <w:r>
        <w:rPr>
          <w:rFonts w:cs="Times New Roman"/>
          <w:noProof/>
          <w:sz w:val="20"/>
        </w:rPr>
        <w:t xml:space="preserve">With a total score of 108 in the overall Eco-Innovation Scoreboard (Eco-IS) 2015, Austria ranked eighth in the list of EU countries, located between France and Spain and slightly above the EU </w:t>
      </w:r>
      <w:r>
        <w:rPr>
          <w:rFonts w:cs="Times New Roman"/>
          <w:noProof/>
          <w:sz w:val="20"/>
        </w:rPr>
        <w:t xml:space="preserve">average as shown in Figure 2. Compared with the Eco-IS used in the last country profile from 2013, Austria thus improved its ranking by one place.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87940" w:rsidRPr="00E43A41">
        <w:tc>
          <w:tcPr>
            <w:tcW w:w="4909" w:type="dxa"/>
          </w:tcPr>
          <w:p w:rsidR="00587940" w:rsidRDefault="00E43A41">
            <w:pPr>
              <w:widowControl w:val="0"/>
              <w:spacing w:after="120"/>
              <w:jc w:val="both"/>
              <w:rPr>
                <w:rFonts w:cs="Times New Roman"/>
                <w:noProof/>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8"/>
            </w:r>
          </w:p>
        </w:tc>
      </w:tr>
      <w:tr w:rsidR="00587940">
        <w:tc>
          <w:tcPr>
            <w:tcW w:w="4909" w:type="dxa"/>
          </w:tcPr>
          <w:p w:rsidR="00587940" w:rsidRDefault="00E43A41">
            <w:pPr>
              <w:widowControl w:val="0"/>
              <w:spacing w:after="120"/>
              <w:jc w:val="both"/>
              <w:rPr>
                <w:rFonts w:cs="Times New Roman"/>
                <w:noProof/>
                <w:sz w:val="20"/>
                <w:lang w:val="it-IT"/>
              </w:rPr>
            </w:pPr>
            <w:r>
              <w:rPr>
                <w:rFonts w:cs="Times New Roman"/>
                <w:noProof/>
                <w:sz w:val="20"/>
                <w:lang w:eastAsia="en-GB"/>
              </w:rPr>
              <w:drawing>
                <wp:inline distT="0" distB="0" distL="0" distR="0" wp14:anchorId="549002A2" wp14:editId="33C1F3A5">
                  <wp:extent cx="2895600" cy="3946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7413" cy="3948995"/>
                          </a:xfrm>
                          <a:prstGeom prst="rect">
                            <a:avLst/>
                          </a:prstGeom>
                          <a:noFill/>
                        </pic:spPr>
                      </pic:pic>
                    </a:graphicData>
                  </a:graphic>
                </wp:inline>
              </w:drawing>
            </w:r>
          </w:p>
        </w:tc>
      </w:tr>
    </w:tbl>
    <w:p w:rsidR="00587940" w:rsidRDefault="00E43A41">
      <w:pPr>
        <w:widowControl w:val="0"/>
        <w:spacing w:after="120" w:line="240" w:lineRule="auto"/>
        <w:jc w:val="both"/>
        <w:rPr>
          <w:rFonts w:cs="Times New Roman"/>
          <w:noProof/>
          <w:sz w:val="20"/>
        </w:rPr>
      </w:pPr>
      <w:r>
        <w:rPr>
          <w:rFonts w:cs="Times New Roman"/>
          <w:noProof/>
          <w:sz w:val="20"/>
        </w:rPr>
        <w:t>Regarding drivers of eco-innovation activities, a survey c</w:t>
      </w:r>
      <w:r>
        <w:rPr>
          <w:rFonts w:cs="Times New Roman"/>
          <w:noProof/>
          <w:sz w:val="20"/>
        </w:rPr>
        <w:t>onducted among 200 Austrian eco-innovative entrepreneurs revealed the most important driving forces and framework conditions for business actors (Eurobarometer, 2011). According to this survey, the key drivers for high eco-innovation activity in Austria ar</w:t>
      </w:r>
      <w:r>
        <w:rPr>
          <w:rFonts w:cs="Times New Roman"/>
          <w:noProof/>
          <w:sz w:val="20"/>
        </w:rPr>
        <w:t>e the availability of suitable business partners, potential high energy prices in the future, expected limitations regarding access to raw materials, technological and management skills available within the companies, and access to relevant knowledge</w:t>
      </w:r>
      <w:r>
        <w:rPr>
          <w:rFonts w:cs="Times New Roman"/>
          <w:noProof/>
          <w:sz w:val="20"/>
          <w:vertAlign w:val="superscript"/>
        </w:rPr>
        <w:footnoteReference w:id="19"/>
      </w:r>
      <w:r>
        <w:rPr>
          <w:rFonts w:cs="Times New Roman"/>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Reg</w:t>
      </w:r>
      <w:r>
        <w:rPr>
          <w:rFonts w:cs="Times New Roman"/>
          <w:noProof/>
          <w:sz w:val="20"/>
        </w:rPr>
        <w:t xml:space="preserve">arding general driving forces in support of eco-innovation in Austria, several issues have already been highlighted in previous country reports of the Eco-Innovation Observatory (EIO), which continue to have high relevance: </w:t>
      </w:r>
    </w:p>
    <w:p w:rsidR="00587940" w:rsidRDefault="00E43A41">
      <w:pPr>
        <w:widowControl w:val="0"/>
        <w:numPr>
          <w:ilvl w:val="0"/>
          <w:numId w:val="20"/>
        </w:numPr>
        <w:spacing w:after="120" w:line="240" w:lineRule="auto"/>
        <w:contextualSpacing/>
        <w:jc w:val="both"/>
        <w:rPr>
          <w:rFonts w:cs="Times New Roman"/>
          <w:noProof/>
          <w:sz w:val="20"/>
        </w:rPr>
      </w:pPr>
      <w:r>
        <w:rPr>
          <w:rFonts w:cs="Times New Roman"/>
          <w:noProof/>
          <w:sz w:val="20"/>
        </w:rPr>
        <w:t xml:space="preserve">Well-established, fast-growing </w:t>
      </w:r>
      <w:r>
        <w:rPr>
          <w:rFonts w:cs="Times New Roman"/>
          <w:noProof/>
          <w:sz w:val="20"/>
        </w:rPr>
        <w:t xml:space="preserve">and innovative environmental technologies sector. </w:t>
      </w:r>
    </w:p>
    <w:p w:rsidR="00587940" w:rsidRDefault="00E43A41">
      <w:pPr>
        <w:widowControl w:val="0"/>
        <w:numPr>
          <w:ilvl w:val="0"/>
          <w:numId w:val="20"/>
        </w:numPr>
        <w:spacing w:after="120" w:line="240" w:lineRule="auto"/>
        <w:contextualSpacing/>
        <w:jc w:val="both"/>
        <w:rPr>
          <w:rFonts w:cs="Times New Roman"/>
          <w:noProof/>
          <w:sz w:val="20"/>
        </w:rPr>
      </w:pPr>
      <w:r>
        <w:rPr>
          <w:rFonts w:cs="Times New Roman"/>
          <w:noProof/>
          <w:sz w:val="20"/>
        </w:rPr>
        <w:t xml:space="preserve">Significant increase in funding in the area of company-related research and technology development. </w:t>
      </w:r>
    </w:p>
    <w:p w:rsidR="00587940" w:rsidRDefault="00E43A41">
      <w:pPr>
        <w:widowControl w:val="0"/>
        <w:spacing w:after="120" w:line="240" w:lineRule="auto"/>
        <w:jc w:val="both"/>
        <w:rPr>
          <w:rFonts w:cs="Times New Roman"/>
          <w:noProof/>
          <w:sz w:val="20"/>
        </w:rPr>
      </w:pPr>
      <w:r>
        <w:rPr>
          <w:rFonts w:cs="Times New Roman"/>
          <w:noProof/>
          <w:sz w:val="20"/>
        </w:rPr>
        <w:t>However, actors in Austria also face a number of important barriers, several of which are closely connec</w:t>
      </w:r>
      <w:r>
        <w:rPr>
          <w:rFonts w:cs="Times New Roman"/>
          <w:noProof/>
          <w:sz w:val="20"/>
        </w:rPr>
        <w:t>ted to the structure of the Austrian economy and business sectors, such as the following:</w:t>
      </w:r>
    </w:p>
    <w:p w:rsidR="00587940" w:rsidRDefault="00E43A41">
      <w:pPr>
        <w:widowControl w:val="0"/>
        <w:numPr>
          <w:ilvl w:val="0"/>
          <w:numId w:val="21"/>
        </w:numPr>
        <w:spacing w:after="120" w:line="240" w:lineRule="auto"/>
        <w:contextualSpacing/>
        <w:jc w:val="both"/>
        <w:rPr>
          <w:rFonts w:cs="Times New Roman"/>
          <w:noProof/>
          <w:sz w:val="20"/>
        </w:rPr>
      </w:pPr>
      <w:r>
        <w:rPr>
          <w:rFonts w:cs="Times New Roman"/>
          <w:noProof/>
          <w:sz w:val="20"/>
        </w:rPr>
        <w:t>SME-type structure of the industry and notably the limited financial and human resources in SMEs, and difficult trade-offs due to scarce resources either in R&amp;D or in</w:t>
      </w:r>
      <w:r>
        <w:rPr>
          <w:rFonts w:cs="Times New Roman"/>
          <w:noProof/>
          <w:sz w:val="20"/>
        </w:rPr>
        <w:t xml:space="preserve"> production and planning. </w:t>
      </w:r>
    </w:p>
    <w:p w:rsidR="00587940" w:rsidRDefault="00E43A41">
      <w:pPr>
        <w:widowControl w:val="0"/>
        <w:numPr>
          <w:ilvl w:val="0"/>
          <w:numId w:val="21"/>
        </w:numPr>
        <w:spacing w:after="120" w:line="240" w:lineRule="auto"/>
        <w:contextualSpacing/>
        <w:jc w:val="both"/>
        <w:rPr>
          <w:rFonts w:cs="Times New Roman"/>
          <w:noProof/>
          <w:sz w:val="20"/>
        </w:rPr>
      </w:pPr>
      <w:r>
        <w:rPr>
          <w:rFonts w:cs="Times New Roman"/>
          <w:noProof/>
          <w:sz w:val="20"/>
        </w:rPr>
        <w:t xml:space="preserve">weak domestic eco-industry market. </w:t>
      </w:r>
    </w:p>
    <w:p w:rsidR="00587940" w:rsidRDefault="00E43A41">
      <w:pPr>
        <w:widowControl w:val="0"/>
        <w:numPr>
          <w:ilvl w:val="0"/>
          <w:numId w:val="21"/>
        </w:numPr>
        <w:spacing w:after="120" w:line="240" w:lineRule="auto"/>
        <w:contextualSpacing/>
        <w:jc w:val="both"/>
        <w:rPr>
          <w:rFonts w:cs="Times New Roman"/>
          <w:noProof/>
          <w:sz w:val="20"/>
        </w:rPr>
      </w:pPr>
      <w:r>
        <w:rPr>
          <w:rFonts w:cs="Times New Roman"/>
          <w:noProof/>
          <w:sz w:val="20"/>
        </w:rPr>
        <w:t xml:space="preserve">perception of Austrian business representatives that investments into new, eco-innovative technologies represent a disproportionate risk. </w:t>
      </w:r>
    </w:p>
    <w:p w:rsidR="00587940" w:rsidRDefault="00587940">
      <w:pPr>
        <w:widowControl w:val="0"/>
        <w:spacing w:after="120" w:line="240" w:lineRule="auto"/>
        <w:contextualSpacing/>
        <w:jc w:val="both"/>
        <w:rPr>
          <w:rFonts w:cs="Times New Roman"/>
          <w:noProof/>
          <w:sz w:val="20"/>
        </w:rPr>
      </w:pPr>
    </w:p>
    <w:p w:rsidR="00587940" w:rsidRDefault="00E43A41">
      <w:pPr>
        <w:widowControl w:val="0"/>
        <w:spacing w:after="120" w:line="240" w:lineRule="auto"/>
        <w:jc w:val="both"/>
        <w:rPr>
          <w:rFonts w:cs="Times New Roman"/>
          <w:noProof/>
          <w:sz w:val="20"/>
        </w:rPr>
      </w:pPr>
      <w:r>
        <w:rPr>
          <w:rFonts w:cs="Times New Roman"/>
          <w:noProof/>
          <w:sz w:val="20"/>
        </w:rPr>
        <w:t xml:space="preserve">Austria has 286 organisations registered for EMAS, which represents 7% of all registered organisations. </w:t>
      </w:r>
    </w:p>
    <w:p w:rsidR="00587940" w:rsidRDefault="00E43A41">
      <w:pPr>
        <w:widowControl w:val="0"/>
        <w:spacing w:after="120" w:line="240" w:lineRule="auto"/>
        <w:jc w:val="both"/>
        <w:rPr>
          <w:rFonts w:cs="Times New Roman"/>
          <w:noProof/>
          <w:sz w:val="20"/>
        </w:rPr>
      </w:pPr>
      <w:r>
        <w:rPr>
          <w:rFonts w:cs="Times New Roman"/>
          <w:noProof/>
          <w:sz w:val="20"/>
        </w:rPr>
        <w:t>Concerning the EU Eco-label, Austria has 187 licenses, which makes Austria the fifth Member State in terms of Eco-label licenses.</w:t>
      </w:r>
    </w:p>
    <w:p w:rsidR="00587940" w:rsidRDefault="00E43A41">
      <w:pPr>
        <w:widowControl w:val="0"/>
        <w:spacing w:after="120" w:line="240" w:lineRule="auto"/>
        <w:jc w:val="both"/>
        <w:rPr>
          <w:rFonts w:cs="Times New Roman"/>
          <w:noProof/>
          <w:sz w:val="20"/>
        </w:rPr>
      </w:pPr>
      <w:r>
        <w:rPr>
          <w:rFonts w:cs="Times New Roman"/>
          <w:noProof/>
          <w:sz w:val="20"/>
        </w:rPr>
        <w:t>The Minister of Envir</w:t>
      </w:r>
      <w:r>
        <w:rPr>
          <w:rFonts w:cs="Times New Roman"/>
          <w:noProof/>
          <w:sz w:val="20"/>
        </w:rPr>
        <w:t>onment has launched the initiative “Best of Austria” in 2016 to promote products and ideas from Austrian companies, including environmental technologies.</w:t>
      </w:r>
    </w:p>
    <w:p w:rsidR="00587940" w:rsidRDefault="00E43A41">
      <w:pPr>
        <w:widowControl w:val="0"/>
        <w:spacing w:after="120" w:line="240" w:lineRule="auto"/>
        <w:jc w:val="both"/>
        <w:outlineLvl w:val="1"/>
        <w:rPr>
          <w:rFonts w:cs="Times New Roman"/>
          <w:b/>
          <w:noProof/>
          <w:color w:val="1F497D" w:themeColor="text2"/>
          <w:sz w:val="24"/>
        </w:rPr>
      </w:pPr>
      <w:bookmarkStart w:id="43" w:name="_Toc433296157"/>
      <w:bookmarkStart w:id="44" w:name="_Toc454457646"/>
      <w:bookmarkStart w:id="45" w:name="_Toc469404505"/>
      <w:r>
        <w:rPr>
          <w:rFonts w:cs="Times New Roman"/>
          <w:b/>
          <w:noProof/>
          <w:color w:val="1F497D" w:themeColor="text2"/>
          <w:sz w:val="24"/>
        </w:rPr>
        <w:t>Waste management</w:t>
      </w:r>
      <w:bookmarkEnd w:id="43"/>
      <w:bookmarkEnd w:id="44"/>
      <w:bookmarkEnd w:id="45"/>
      <w:r>
        <w:rPr>
          <w:rFonts w:cs="Times New Roman"/>
          <w:b/>
          <w:noProof/>
          <w:color w:val="1F497D" w:themeColor="text2"/>
          <w:sz w:val="24"/>
        </w:rPr>
        <w:t xml:space="preserve"> </w:t>
      </w:r>
    </w:p>
    <w:p w:rsidR="00587940" w:rsidRDefault="00E43A41">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587940" w:rsidRDefault="00E43A41">
      <w:pPr>
        <w:widowControl w:val="0"/>
        <w:numPr>
          <w:ilvl w:val="0"/>
          <w:numId w:val="2"/>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w:t>
      </w:r>
      <w:r>
        <w:rPr>
          <w:noProof/>
          <w:color w:val="FFFFFF" w:themeColor="background1"/>
          <w:sz w:val="20"/>
        </w:rPr>
        <w:t>legislation, which includes the waste hierarchy; the need to ensure separate collection of waste; the landfill diversion targets etc.</w:t>
      </w:r>
    </w:p>
    <w:p w:rsidR="00587940" w:rsidRDefault="00E43A41">
      <w:pPr>
        <w:widowControl w:val="0"/>
        <w:numPr>
          <w:ilvl w:val="0"/>
          <w:numId w:val="2"/>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587940" w:rsidRDefault="00E43A41">
      <w:pPr>
        <w:widowControl w:val="0"/>
        <w:numPr>
          <w:ilvl w:val="0"/>
          <w:numId w:val="2"/>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w:t>
      </w:r>
      <w:r>
        <w:rPr>
          <w:noProof/>
          <w:color w:val="FFFFFF" w:themeColor="background1"/>
          <w:sz w:val="20"/>
        </w:rPr>
        <w:t>terials and phasing out landfilling of recyclable or recoverable waste.</w:t>
      </w:r>
    </w:p>
    <w:p w:rsidR="00587940" w:rsidRDefault="00E43A41">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SDG 12 invites countries to substantially reduce waste generation through prevention, reduction, recycling and reuse, by 2030. </w:t>
      </w:r>
    </w:p>
    <w:p w:rsidR="00587940" w:rsidRDefault="00E43A41">
      <w:pPr>
        <w:widowControl w:val="0"/>
        <w:spacing w:before="240" w:after="120" w:line="240" w:lineRule="auto"/>
        <w:jc w:val="both"/>
        <w:rPr>
          <w:rFonts w:cs="Times New Roman"/>
          <w:noProof/>
          <w:sz w:val="20"/>
        </w:rPr>
      </w:pPr>
      <w:r>
        <w:rPr>
          <w:rFonts w:cs="Times New Roman"/>
          <w:noProof/>
          <w:sz w:val="20"/>
        </w:rPr>
        <w:t>The EU's approach to waste management is based on the "w</w:t>
      </w:r>
      <w:r>
        <w:rPr>
          <w:rFonts w:cs="Times New Roman"/>
          <w:noProof/>
          <w:sz w:val="20"/>
        </w:rPr>
        <w:t>aste hierarchy" which sets out an order of priority when shaping waste policy and managing waste at the operational level: prevention, (preparing for) reuse, recycling, recovery and, as the least preferred option, disposal (which includes landfilling and i</w:t>
      </w:r>
      <w:r>
        <w:rPr>
          <w:rFonts w:cs="Times New Roman"/>
          <w:noProof/>
          <w:sz w:val="20"/>
        </w:rPr>
        <w:t>ncineration without energy recovery). The progress towards reaching recycling targets and the adoption of adequate WMP/WPP</w:t>
      </w:r>
      <w:r>
        <w:rPr>
          <w:rFonts w:cs="Times New Roman"/>
          <w:noProof/>
          <w:sz w:val="20"/>
          <w:vertAlign w:val="superscript"/>
        </w:rPr>
        <w:footnoteReference w:id="20"/>
      </w:r>
      <w:r>
        <w:rPr>
          <w:rFonts w:cs="Times New Roman"/>
          <w:noProof/>
          <w:sz w:val="20"/>
        </w:rPr>
        <w:t xml:space="preserve"> should be the key items to measure the performance of Member States. This section focuses on management of municipal waste for which</w:t>
      </w:r>
      <w:r>
        <w:rPr>
          <w:rFonts w:cs="Times New Roman"/>
          <w:noProof/>
          <w:sz w:val="20"/>
        </w:rPr>
        <w:t xml:space="preserve"> EU law sets mandatory recycling targets.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87940">
        <w:trPr>
          <w:trHeight w:val="100"/>
        </w:trPr>
        <w:tc>
          <w:tcPr>
            <w:tcW w:w="4860" w:type="dxa"/>
          </w:tcPr>
          <w:p w:rsidR="00587940" w:rsidRDefault="00E43A41">
            <w:pPr>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Austria 2007-14</w:t>
            </w:r>
            <w:r>
              <w:rPr>
                <w:b/>
                <w:bCs/>
                <w:noProof/>
                <w:color w:val="1F497D" w:themeColor="text2"/>
                <w:sz w:val="20"/>
                <w:vertAlign w:val="superscript"/>
              </w:rPr>
              <w:footnoteReference w:id="21"/>
            </w:r>
          </w:p>
        </w:tc>
      </w:tr>
      <w:tr w:rsidR="00587940">
        <w:trPr>
          <w:trHeight w:val="1194"/>
        </w:trPr>
        <w:tc>
          <w:tcPr>
            <w:tcW w:w="4860" w:type="dxa"/>
          </w:tcPr>
          <w:p w:rsidR="00587940" w:rsidRDefault="00E43A41">
            <w:pPr>
              <w:widowControl w:val="0"/>
              <w:spacing w:after="120"/>
              <w:jc w:val="both"/>
              <w:rPr>
                <w:rFonts w:cs="Times New Roman"/>
                <w:noProof/>
                <w:sz w:val="20"/>
              </w:rPr>
            </w:pPr>
            <w:r>
              <w:rPr>
                <w:rFonts w:cs="Times New Roman"/>
                <w:noProof/>
                <w:sz w:val="20"/>
                <w:lang w:eastAsia="en-GB"/>
              </w:rPr>
              <w:drawing>
                <wp:inline distT="0" distB="0" distL="0" distR="0" wp14:anchorId="32ACBEE9" wp14:editId="2824AC70">
                  <wp:extent cx="3075709" cy="28101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78402" cy="2812565"/>
                          </a:xfrm>
                          <a:prstGeom prst="rect">
                            <a:avLst/>
                          </a:prstGeom>
                        </pic:spPr>
                      </pic:pic>
                    </a:graphicData>
                  </a:graphic>
                </wp:inline>
              </w:drawing>
            </w:r>
          </w:p>
        </w:tc>
      </w:tr>
    </w:tbl>
    <w:p w:rsidR="00587940" w:rsidRDefault="00E43A41">
      <w:pPr>
        <w:widowControl w:val="0"/>
        <w:spacing w:after="120" w:line="240" w:lineRule="auto"/>
        <w:jc w:val="both"/>
        <w:rPr>
          <w:rFonts w:cs="Times New Roman"/>
          <w:noProof/>
          <w:sz w:val="20"/>
        </w:rPr>
      </w:pPr>
      <w:r>
        <w:rPr>
          <w:rFonts w:cs="Times New Roman"/>
          <w:noProof/>
          <w:sz w:val="20"/>
        </w:rPr>
        <w:t>Municipal waste</w:t>
      </w:r>
      <w:r>
        <w:rPr>
          <w:rFonts w:cs="Times New Roman"/>
          <w:noProof/>
          <w:sz w:val="20"/>
          <w:vertAlign w:val="superscript"/>
        </w:rPr>
        <w:footnoteReference w:id="22"/>
      </w:r>
      <w:r>
        <w:rPr>
          <w:rFonts w:cs="Times New Roman"/>
          <w:noProof/>
          <w:sz w:val="20"/>
        </w:rPr>
        <w:t xml:space="preserve"> generation in Austria has been decreasing over the years. However, waste generation is still relatively high compared to the EU average (566 kg/y/inhabitant compared to around 474 kg on EU average).</w:t>
      </w:r>
    </w:p>
    <w:p w:rsidR="00587940" w:rsidRDefault="00E43A41">
      <w:pPr>
        <w:widowControl w:val="0"/>
        <w:spacing w:after="120" w:line="240" w:lineRule="auto"/>
        <w:jc w:val="both"/>
        <w:rPr>
          <w:rFonts w:cs="Times New Roman"/>
          <w:noProof/>
          <w:sz w:val="20"/>
        </w:rPr>
      </w:pPr>
      <w:r>
        <w:rPr>
          <w:rFonts w:cs="Times New Roman"/>
          <w:noProof/>
          <w:sz w:val="20"/>
        </w:rPr>
        <w:t>Austria is among the top performers in the EU with regar</w:t>
      </w:r>
      <w:r>
        <w:rPr>
          <w:rFonts w:cs="Times New Roman"/>
          <w:noProof/>
          <w:sz w:val="20"/>
        </w:rPr>
        <w:t xml:space="preserve">d to waste management. </w:t>
      </w:r>
      <w:r>
        <w:rPr>
          <w:rFonts w:eastAsia="Calibri" w:cs="Times New Roman"/>
          <w:noProof/>
          <w:sz w:val="20"/>
        </w:rPr>
        <w:t xml:space="preserve">Figure 3 depicts the municipal waste by treatment in Austria in terms of kg per capita. </w:t>
      </w:r>
      <w:r>
        <w:rPr>
          <w:rFonts w:cs="Times New Roman"/>
          <w:noProof/>
          <w:sz w:val="20"/>
        </w:rPr>
        <w:t xml:space="preserve">What can be seen from the statistics is that the rate of incineration slightly increased, while composting rates slightly decreased. </w:t>
      </w:r>
    </w:p>
    <w:p w:rsidR="00587940" w:rsidRDefault="00E43A41">
      <w:pPr>
        <w:widowControl w:val="0"/>
        <w:spacing w:after="120" w:line="240" w:lineRule="auto"/>
        <w:jc w:val="both"/>
        <w:rPr>
          <w:rFonts w:cs="Times New Roman"/>
          <w:noProof/>
          <w:sz w:val="20"/>
        </w:rPr>
      </w:pPr>
      <w:r>
        <w:rPr>
          <w:rFonts w:cs="Times New Roman"/>
          <w:noProof/>
          <w:sz w:val="20"/>
        </w:rPr>
        <w:t>Figure 4 sh</w:t>
      </w:r>
      <w:r>
        <w:rPr>
          <w:rFonts w:cs="Times New Roman"/>
          <w:noProof/>
          <w:sz w:val="20"/>
        </w:rPr>
        <w:t>ows that Austria has already met all the EU recycling targets</w:t>
      </w:r>
      <w:r>
        <w:rPr>
          <w:rFonts w:cs="Times New Roman"/>
          <w:noProof/>
          <w:sz w:val="20"/>
          <w:vertAlign w:val="superscript"/>
        </w:rPr>
        <w:footnoteReference w:id="23"/>
      </w:r>
      <w:r>
        <w:rPr>
          <w:rFonts w:cs="Times New Roman"/>
          <w:noProof/>
          <w:sz w:val="20"/>
        </w:rPr>
        <w:t xml:space="preserve">, including packaging waste recycling. The 2014 recycling rate of municipal waste was relatively high (58% of which 32% is composting) and was well above EU level (44%). The landfilling rate in </w:t>
      </w:r>
      <w:r>
        <w:rPr>
          <w:rFonts w:cs="Times New Roman"/>
          <w:noProof/>
          <w:sz w:val="20"/>
        </w:rPr>
        <w:t xml:space="preserve">Austria is very low (4%) and far below the EU average (28%). Austria has complied with both the 2006 and the 2009 landfill diversion targets. In 2009 Austria had already a ban on landfilling of biodegradable municipal waste in place.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87940">
        <w:tc>
          <w:tcPr>
            <w:tcW w:w="4909" w:type="dxa"/>
          </w:tcPr>
          <w:p w:rsidR="00587940" w:rsidRDefault="00E43A41">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w:t>
            </w:r>
            <w:r>
              <w:rPr>
                <w:rFonts w:cs="Times New Roman"/>
                <w:b/>
                <w:bCs/>
                <w:noProof/>
                <w:color w:val="1F497D" w:themeColor="text2"/>
                <w:sz w:val="20"/>
              </w:rPr>
              <w:t>ate of municipal waste 2007-14</w:t>
            </w:r>
            <w:r>
              <w:rPr>
                <w:b/>
                <w:bCs/>
                <w:noProof/>
                <w:color w:val="1F497D" w:themeColor="text2"/>
                <w:sz w:val="20"/>
                <w:vertAlign w:val="superscript"/>
              </w:rPr>
              <w:footnoteReference w:id="24"/>
            </w:r>
          </w:p>
        </w:tc>
      </w:tr>
      <w:tr w:rsidR="00587940">
        <w:tc>
          <w:tcPr>
            <w:tcW w:w="4909" w:type="dxa"/>
          </w:tcPr>
          <w:p w:rsidR="00587940" w:rsidRDefault="00E43A41">
            <w:pPr>
              <w:widowControl w:val="0"/>
              <w:spacing w:after="120"/>
              <w:jc w:val="both"/>
              <w:rPr>
                <w:rFonts w:cs="Times New Roman"/>
                <w:noProof/>
                <w:sz w:val="20"/>
              </w:rPr>
            </w:pPr>
            <w:r>
              <w:rPr>
                <w:rFonts w:cs="Times New Roman"/>
                <w:noProof/>
                <w:sz w:val="20"/>
                <w:lang w:eastAsia="en-GB"/>
              </w:rPr>
              <w:drawing>
                <wp:inline distT="0" distB="0" distL="0" distR="0" wp14:anchorId="21F81C95" wp14:editId="466D3614">
                  <wp:extent cx="3019425" cy="27079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21717" cy="2710034"/>
                          </a:xfrm>
                          <a:prstGeom prst="rect">
                            <a:avLst/>
                          </a:prstGeom>
                          <a:noFill/>
                        </pic:spPr>
                      </pic:pic>
                    </a:graphicData>
                  </a:graphic>
                </wp:inline>
              </w:drawing>
            </w:r>
          </w:p>
        </w:tc>
      </w:tr>
    </w:tbl>
    <w:p w:rsidR="00587940" w:rsidRDefault="00E43A41">
      <w:pPr>
        <w:spacing w:after="120" w:line="240" w:lineRule="auto"/>
        <w:jc w:val="both"/>
        <w:rPr>
          <w:rFonts w:cs="Times New Roman"/>
          <w:noProof/>
          <w:sz w:val="20"/>
        </w:rPr>
      </w:pPr>
      <w:r>
        <w:rPr>
          <w:rFonts w:cs="Times New Roman"/>
          <w:noProof/>
          <w:sz w:val="20"/>
        </w:rPr>
        <w:t>In the light of the on-going review of the recycling targets and landfill restrictions for municipal waste</w:t>
      </w:r>
      <w:r>
        <w:rPr>
          <w:rFonts w:cs="Times New Roman"/>
          <w:noProof/>
          <w:sz w:val="20"/>
          <w:vertAlign w:val="superscript"/>
        </w:rPr>
        <w:footnoteReference w:id="25"/>
      </w:r>
      <w:r>
        <w:rPr>
          <w:rFonts w:cs="Times New Roman"/>
          <w:noProof/>
          <w:sz w:val="20"/>
        </w:rPr>
        <w:t xml:space="preserve">, additional efforts will be needed to meet the recycling target of 65% for 2030. Therefore Austria should now </w:t>
      </w:r>
      <w:r>
        <w:rPr>
          <w:rFonts w:cs="Times New Roman"/>
          <w:noProof/>
          <w:sz w:val="20"/>
        </w:rPr>
        <w:t>focus on prevention and diverting waste from incineration to recycling.</w:t>
      </w:r>
    </w:p>
    <w:p w:rsidR="00587940" w:rsidRDefault="00E43A41">
      <w:pPr>
        <w:spacing w:after="120" w:line="240" w:lineRule="auto"/>
        <w:jc w:val="both"/>
        <w:rPr>
          <w:rFonts w:cs="Times New Roman"/>
          <w:noProof/>
          <w:sz w:val="20"/>
        </w:rPr>
      </w:pPr>
      <w:r>
        <w:rPr>
          <w:rFonts w:cs="Times New Roman"/>
          <w:noProof/>
          <w:sz w:val="20"/>
        </w:rPr>
        <w:t>Extended Producer Responsibility (EPR) systems are in place for different waste streams. However, some MS are covering more waste streams than Austria. Incentive systems to favour prev</w:t>
      </w:r>
      <w:r>
        <w:rPr>
          <w:rFonts w:cs="Times New Roman"/>
          <w:noProof/>
          <w:sz w:val="20"/>
        </w:rPr>
        <w:t>ention and participation in separate collection schemes (Pay as you throw-system, PAYT systems) are in place but don’t cover the whole country.</w:t>
      </w:r>
    </w:p>
    <w:p w:rsidR="00587940" w:rsidRDefault="00E43A41">
      <w:pPr>
        <w:widowControl w:val="0"/>
        <w:spacing w:before="120" w:after="120" w:line="240" w:lineRule="auto"/>
        <w:jc w:val="both"/>
        <w:rPr>
          <w:rFonts w:cs="Times New Roman"/>
          <w:noProof/>
          <w:sz w:val="20"/>
        </w:rPr>
      </w:pPr>
      <w:r>
        <w:rPr>
          <w:rFonts w:cs="Times New Roman"/>
          <w:noProof/>
          <w:sz w:val="20"/>
        </w:rPr>
        <w:t>Moving towards the targets of the Roadmap on resource efficiency which outlines how we can transform Europe's ec</w:t>
      </w:r>
      <w:r>
        <w:rPr>
          <w:rFonts w:cs="Times New Roman"/>
          <w:noProof/>
          <w:sz w:val="20"/>
        </w:rPr>
        <w:t>onomy into a sustainable one by 2050, could create over 3400 additional jobs and increase the annual turnover of the waste sector by over EUR 350 million</w:t>
      </w:r>
      <w:r>
        <w:rPr>
          <w:rFonts w:eastAsia="Calibri" w:cs="Times New Roman"/>
          <w:noProof/>
          <w:sz w:val="20"/>
          <w:vertAlign w:val="superscript"/>
        </w:rPr>
        <w:footnoteReference w:id="26"/>
      </w:r>
      <w:r>
        <w:rPr>
          <w:rFonts w:cs="Times New Roman"/>
          <w:noProof/>
          <w:sz w:val="20"/>
        </w:rPr>
        <w:t>.</w:t>
      </w:r>
    </w:p>
    <w:p w:rsidR="00587940" w:rsidRDefault="00E43A41">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587940" w:rsidRDefault="00E43A41">
      <w:pPr>
        <w:pStyle w:val="SuggActions"/>
        <w:rPr>
          <w:noProof/>
        </w:rPr>
      </w:pPr>
      <w:r>
        <w:rPr>
          <w:noProof/>
        </w:rPr>
        <w:t>Introduce new policy instruments, including economic instruments, to promote preven</w:t>
      </w:r>
      <w:r>
        <w:rPr>
          <w:noProof/>
        </w:rPr>
        <w:t>tion, make reuse and recycling more economically attractive.</w:t>
      </w:r>
    </w:p>
    <w:p w:rsidR="00587940" w:rsidRDefault="00E43A41">
      <w:pPr>
        <w:pStyle w:val="SuggActions"/>
        <w:rPr>
          <w:noProof/>
        </w:rPr>
      </w:pPr>
      <w:r>
        <w:rPr>
          <w:noProof/>
        </w:rPr>
        <w:t>Shift reusable and recyclable waste away from incineration by gradually phasing out subsidies to incineration.</w:t>
      </w:r>
    </w:p>
    <w:p w:rsidR="00587940" w:rsidRDefault="00E43A41">
      <w:pPr>
        <w:pStyle w:val="SuggActions"/>
        <w:rPr>
          <w:noProof/>
        </w:rPr>
      </w:pPr>
      <w:r>
        <w:rPr>
          <w:noProof/>
        </w:rPr>
        <w:br w:type="page"/>
      </w:r>
    </w:p>
    <w:p w:rsidR="00587940" w:rsidRDefault="00587940">
      <w:pPr>
        <w:numPr>
          <w:ilvl w:val="0"/>
          <w:numId w:val="17"/>
        </w:numPr>
        <w:spacing w:after="0" w:line="240" w:lineRule="auto"/>
        <w:ind w:left="0" w:firstLine="0"/>
        <w:jc w:val="center"/>
        <w:outlineLvl w:val="0"/>
        <w:rPr>
          <w:rFonts w:cstheme="majorBidi"/>
          <w:b/>
          <w:bCs/>
          <w:noProof/>
          <w:color w:val="1F497D" w:themeColor="text2"/>
          <w:sz w:val="32"/>
          <w:szCs w:val="28"/>
        </w:rPr>
        <w:sectPr w:rsidR="00587940">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60"/>
          <w:docGrid w:linePitch="360"/>
        </w:sectPr>
      </w:pPr>
    </w:p>
    <w:p w:rsidR="00587940" w:rsidRDefault="00E43A41">
      <w:pPr>
        <w:numPr>
          <w:ilvl w:val="0"/>
          <w:numId w:val="18"/>
        </w:numPr>
        <w:spacing w:after="0" w:line="240" w:lineRule="auto"/>
        <w:jc w:val="center"/>
        <w:outlineLvl w:val="0"/>
        <w:rPr>
          <w:rFonts w:cstheme="majorBidi"/>
          <w:b/>
          <w:bCs/>
          <w:noProof/>
          <w:color w:val="1F497D" w:themeColor="text2"/>
          <w:sz w:val="32"/>
          <w:szCs w:val="28"/>
        </w:rPr>
      </w:pPr>
      <w:bookmarkStart w:id="46" w:name="_Toc433296159"/>
      <w:bookmarkStart w:id="47" w:name="_Toc469404506"/>
      <w:r>
        <w:rPr>
          <w:rFonts w:cstheme="majorBidi"/>
          <w:b/>
          <w:bCs/>
          <w:noProof/>
          <w:color w:val="1F497D" w:themeColor="text2"/>
          <w:sz w:val="32"/>
          <w:szCs w:val="28"/>
        </w:rPr>
        <w:t>Protecting, conserving and enhancing natural capital</w:t>
      </w:r>
      <w:bookmarkStart w:id="48" w:name="_Toc432413878"/>
      <w:bookmarkEnd w:id="46"/>
      <w:bookmarkEnd w:id="47"/>
      <w:bookmarkEnd w:id="48"/>
    </w:p>
    <w:p w:rsidR="00587940" w:rsidRDefault="00587940">
      <w:pPr>
        <w:widowControl w:val="0"/>
        <w:spacing w:after="120" w:line="240" w:lineRule="auto"/>
        <w:jc w:val="both"/>
        <w:rPr>
          <w:rFonts w:cs="Times New Roman"/>
          <w:noProof/>
          <w:sz w:val="20"/>
        </w:rPr>
      </w:pPr>
    </w:p>
    <w:p w:rsidR="00587940" w:rsidRDefault="00587940">
      <w:pPr>
        <w:widowControl w:val="0"/>
        <w:spacing w:after="120" w:line="240" w:lineRule="auto"/>
        <w:jc w:val="both"/>
        <w:rPr>
          <w:rFonts w:cs="Times New Roman"/>
          <w:noProof/>
          <w:sz w:val="20"/>
        </w:rPr>
        <w:sectPr w:rsidR="00587940">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566"/>
          <w:docGrid w:linePitch="360"/>
        </w:sectPr>
      </w:pPr>
    </w:p>
    <w:p w:rsidR="00587940" w:rsidRDefault="00E43A41">
      <w:pPr>
        <w:widowControl w:val="0"/>
        <w:spacing w:after="120" w:line="240" w:lineRule="auto"/>
        <w:jc w:val="both"/>
        <w:outlineLvl w:val="1"/>
        <w:rPr>
          <w:rFonts w:cs="Times New Roman"/>
          <w:b/>
          <w:noProof/>
          <w:color w:val="1F497D" w:themeColor="text2"/>
          <w:sz w:val="24"/>
          <w:lang w:eastAsia="en-GB"/>
        </w:rPr>
      </w:pPr>
      <w:bookmarkStart w:id="49" w:name="_Toc454460677"/>
      <w:bookmarkStart w:id="50" w:name="_Toc469404507"/>
      <w:r>
        <w:rPr>
          <w:rFonts w:cs="Times New Roman"/>
          <w:b/>
          <w:noProof/>
          <w:color w:val="1F497D" w:themeColor="text2"/>
          <w:sz w:val="24"/>
          <w:lang w:eastAsia="en-GB"/>
        </w:rPr>
        <w:t xml:space="preserve">Nature and </w:t>
      </w:r>
      <w:r>
        <w:rPr>
          <w:rFonts w:cs="Times New Roman"/>
          <w:b/>
          <w:noProof/>
          <w:color w:val="1F497D" w:themeColor="text2"/>
          <w:sz w:val="24"/>
          <w:lang w:eastAsia="en-GB"/>
        </w:rPr>
        <w:t>Biodiversity</w:t>
      </w:r>
      <w:bookmarkEnd w:id="49"/>
      <w:bookmarkEnd w:id="50"/>
      <w:r>
        <w:rPr>
          <w:rFonts w:cs="Times New Roman"/>
          <w:b/>
          <w:noProof/>
          <w:color w:val="1F497D" w:themeColor="text2"/>
          <w:sz w:val="24"/>
          <w:lang w:eastAsia="en-GB"/>
        </w:rPr>
        <w:t xml:space="preserve"> </w:t>
      </w:r>
    </w:p>
    <w:p w:rsidR="00587940" w:rsidRDefault="00E43A41">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587940" w:rsidRDefault="00E43A41">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SDG 14 requires countries to conserve and sustainably use the oceans, seas and marine resources, while SDG 15 requires countries to protect, restore and promote the sustainable use of </w:t>
      </w:r>
      <w:r>
        <w:rPr>
          <w:rFonts w:cs="Times New Roman"/>
          <w:noProof/>
          <w:color w:val="FFFFFF" w:themeColor="background1"/>
          <w:sz w:val="20"/>
        </w:rPr>
        <w:t>terrestrial ecosystems, sustainably manage forests, combat desertification, and halt and reverse land degradation and halt biodiversity loss.</w:t>
      </w:r>
    </w:p>
    <w:p w:rsidR="00587940" w:rsidRDefault="00E43A41">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w:t>
      </w:r>
      <w:r>
        <w:rPr>
          <w:rFonts w:cs="Times New Roman"/>
          <w:iCs/>
          <w:noProof/>
          <w:sz w:val="20"/>
        </w:rPr>
        <w:t>at the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 xml:space="preserve">long-term protection, conservation and survival </w:t>
      </w:r>
      <w:r>
        <w:rPr>
          <w:rFonts w:cs="Times New Roman"/>
          <w:bCs/>
          <w:noProof/>
          <w:sz w:val="20"/>
          <w:lang w:val="en"/>
        </w:rPr>
        <w:t>of Europe's most valuable and threatened species and habitats</w:t>
      </w:r>
      <w:r>
        <w:rPr>
          <w:rFonts w:cs="Times New Roman"/>
          <w:bCs/>
          <w:noProof/>
          <w:sz w:val="20"/>
          <w:szCs w:val="20"/>
          <w:lang w:val="en"/>
        </w:rPr>
        <w:t xml:space="preserve"> and the ecosystems they underpin.</w:t>
      </w:r>
    </w:p>
    <w:p w:rsidR="00587940" w:rsidRDefault="00E43A41">
      <w:pPr>
        <w:widowControl w:val="0"/>
        <w:spacing w:after="120" w:line="240" w:lineRule="auto"/>
        <w:jc w:val="both"/>
        <w:rPr>
          <w:rFonts w:cs="Times New Roman"/>
          <w:noProof/>
          <w:sz w:val="20"/>
        </w:rPr>
      </w:pPr>
      <w:r>
        <w:rPr>
          <w:rFonts w:cs="Times New Roman"/>
          <w:noProof/>
          <w:sz w:val="20"/>
          <w:lang w:val="en"/>
        </w:rPr>
        <w:t>The adequate designation of protected sites as Special Ares of Conservation (SAC) under the Habitats Directive and as Special Protection Areas (SPA) under the B</w:t>
      </w:r>
      <w:r>
        <w:rPr>
          <w:rFonts w:cs="Times New Roman"/>
          <w:noProof/>
          <w:sz w:val="20"/>
          <w:lang w:val="en"/>
        </w:rPr>
        <w:t xml:space="preserve">irds 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w:t>
      </w:r>
      <w:r>
        <w:rPr>
          <w:rFonts w:cs="Times New Roman"/>
          <w:noProof/>
          <w:sz w:val="20"/>
        </w:rPr>
        <w:t>ation</w:t>
      </w:r>
      <w:r>
        <w:rPr>
          <w:rFonts w:cs="Times New Roman"/>
          <w:noProof/>
          <w:sz w:val="20"/>
          <w:vertAlign w:val="superscript"/>
        </w:rPr>
        <w:footnoteReference w:id="27"/>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587940" w:rsidRDefault="00E43A41">
      <w:pPr>
        <w:widowControl w:val="0"/>
        <w:spacing w:after="120" w:line="240" w:lineRule="auto"/>
        <w:jc w:val="both"/>
        <w:rPr>
          <w:rFonts w:cs="Times New Roman"/>
          <w:noProof/>
          <w:sz w:val="20"/>
        </w:rPr>
      </w:pPr>
      <w:r>
        <w:rPr>
          <w:rFonts w:cs="Times New Roman"/>
          <w:noProof/>
          <w:sz w:val="20"/>
        </w:rPr>
        <w:t>Austria has an exceptionally diversified landscape, climate and hence biodiversity. In Austria, the Alpine, the Continental and the Pannonian biogeographic</w:t>
      </w:r>
      <w:r>
        <w:rPr>
          <w:rFonts w:cs="Times New Roman"/>
          <w:noProof/>
          <w:sz w:val="20"/>
        </w:rPr>
        <w:t xml:space="preserve"> regions converge. Agriculture and forestry areas account for about 80% of the country’s territory. </w:t>
      </w:r>
    </w:p>
    <w:p w:rsidR="00587940" w:rsidRDefault="00E43A41">
      <w:pPr>
        <w:widowControl w:val="0"/>
        <w:spacing w:after="120" w:line="240" w:lineRule="auto"/>
        <w:jc w:val="both"/>
        <w:rPr>
          <w:rFonts w:cs="Times New Roman"/>
          <w:noProof/>
          <w:sz w:val="20"/>
        </w:rPr>
      </w:pPr>
      <w:r>
        <w:rPr>
          <w:rFonts w:cs="Times New Roman"/>
          <w:noProof/>
          <w:sz w:val="20"/>
        </w:rPr>
        <w:t>By early 2016, 15.1 % of the Austrian national territory is covered by Natura 2000 (EU average 18.1 %), with Birds Directive Special Protection Areas (SPAs</w:t>
      </w:r>
      <w:r>
        <w:rPr>
          <w:rFonts w:cs="Times New Roman"/>
          <w:noProof/>
          <w:sz w:val="20"/>
        </w:rPr>
        <w:t xml:space="preserve">) covering 10.9 % (EU average 12.3 %) and Habitats Directive Sites of Community Importance (SCIs) covering 12.1% (EU average 13.8 %). However, there are substantial variations amongst the 9 Austrian regions in the share of land covered by Natura 2000, two </w:t>
      </w:r>
      <w:r>
        <w:rPr>
          <w:rFonts w:cs="Times New Roman"/>
          <w:noProof/>
          <w:sz w:val="20"/>
        </w:rPr>
        <w:t>of the regions only having coverages around 6%.</w:t>
      </w:r>
    </w:p>
    <w:p w:rsidR="00587940" w:rsidRDefault="00E43A41">
      <w:pPr>
        <w:widowControl w:val="0"/>
        <w:spacing w:after="120" w:line="240" w:lineRule="auto"/>
        <w:jc w:val="both"/>
        <w:rPr>
          <w:rFonts w:cs="Times New Roman"/>
          <w:noProof/>
          <w:sz w:val="20"/>
        </w:rPr>
      </w:pPr>
      <w:r>
        <w:rPr>
          <w:rFonts w:cs="Times New Roman"/>
          <w:noProof/>
          <w:sz w:val="20"/>
        </w:rPr>
        <w:t>The latest EU-wide assessment of the SCIs part of the Natura 2000 network shows that there are insufficiencies in designation</w:t>
      </w:r>
      <w:r>
        <w:rPr>
          <w:rFonts w:cs="Times New Roman"/>
          <w:noProof/>
          <w:sz w:val="20"/>
          <w:szCs w:val="20"/>
          <w:vertAlign w:val="superscript"/>
        </w:rPr>
        <w:footnoteReference w:id="28"/>
      </w:r>
      <w:r>
        <w:rPr>
          <w:rFonts w:cs="Times New Roman"/>
          <w:noProof/>
          <w:sz w:val="20"/>
        </w:rPr>
        <w:t xml:space="preserve"> as shown in Figure 5</w:t>
      </w:r>
      <w:r>
        <w:rPr>
          <w:rStyle w:val="FootnoteReference"/>
          <w:rFonts w:cs="Times New Roman"/>
          <w:noProof/>
          <w:sz w:val="20"/>
        </w:rPr>
        <w:footnoteReference w:id="29"/>
      </w:r>
      <w:r>
        <w:rPr>
          <w:rFonts w:cs="Times New Roman"/>
          <w:noProof/>
          <w:sz w:val="20"/>
        </w:rPr>
        <w:t xml:space="preserve">. This is subject to an infringement procedure.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87940">
        <w:tc>
          <w:tcPr>
            <w:tcW w:w="4909" w:type="dxa"/>
          </w:tcPr>
          <w:p w:rsidR="00587940" w:rsidRDefault="00E43A41">
            <w:pPr>
              <w:widowControl w:val="0"/>
              <w:spacing w:after="120"/>
              <w:jc w:val="both"/>
              <w:rPr>
                <w:rFonts w:cs="Times New Roman"/>
                <w:b/>
                <w:noProof/>
                <w:color w:val="1F497D" w:themeColor="text2"/>
                <w:sz w:val="20"/>
              </w:rPr>
            </w:pPr>
            <w:r>
              <w:rPr>
                <w:rFonts w:cs="Times New Roman"/>
                <w:b/>
                <w:noProof/>
                <w:color w:val="1F497D" w:themeColor="text2"/>
                <w:sz w:val="20"/>
              </w:rPr>
              <w:t xml:space="preserve">Figure 5: </w:t>
            </w:r>
            <w:r>
              <w:rPr>
                <w:rFonts w:cs="Times New Roman"/>
                <w:b/>
                <w:noProof/>
                <w:color w:val="1F497D" w:themeColor="text2"/>
                <w:sz w:val="20"/>
              </w:rPr>
              <w:t>Sufficiency assessment of SCI networks in Austria based on the situation until December 2013 (%)</w:t>
            </w:r>
            <w:r>
              <w:rPr>
                <w:rFonts w:cs="Times New Roman"/>
                <w:b/>
                <w:bCs/>
                <w:noProof/>
                <w:color w:val="1F497D" w:themeColor="text2"/>
                <w:sz w:val="20"/>
                <w:vertAlign w:val="superscript"/>
              </w:rPr>
              <w:footnoteReference w:id="30"/>
            </w:r>
            <w:r>
              <w:rPr>
                <w:rFonts w:cs="Times New Roman"/>
                <w:b/>
                <w:noProof/>
                <w:color w:val="1F497D" w:themeColor="text2"/>
                <w:sz w:val="20"/>
              </w:rPr>
              <w:t xml:space="preserve"> </w:t>
            </w:r>
          </w:p>
        </w:tc>
      </w:tr>
      <w:tr w:rsidR="00587940">
        <w:tc>
          <w:tcPr>
            <w:tcW w:w="4909" w:type="dxa"/>
          </w:tcPr>
          <w:p w:rsidR="00587940" w:rsidRDefault="00E43A41">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66C06EB6" wp14:editId="7F6426F6">
                  <wp:simplePos x="3891280" y="4337685"/>
                  <wp:positionH relativeFrom="margin">
                    <wp:align>center</wp:align>
                  </wp:positionH>
                  <wp:positionV relativeFrom="margin">
                    <wp:align>bottom</wp:align>
                  </wp:positionV>
                  <wp:extent cx="2781300" cy="26765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2178" cy="26771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587940" w:rsidRDefault="00E43A41">
      <w:pPr>
        <w:widowControl w:val="0"/>
        <w:spacing w:after="120" w:line="240" w:lineRule="auto"/>
        <w:jc w:val="both"/>
        <w:rPr>
          <w:rFonts w:cs="Times New Roman"/>
          <w:noProof/>
          <w:sz w:val="20"/>
        </w:rPr>
      </w:pPr>
      <w:r>
        <w:rPr>
          <w:rFonts w:cs="Times New Roman"/>
          <w:noProof/>
          <w:sz w:val="20"/>
        </w:rPr>
        <w:t>Austria is largely compliant with the formal (Special Areas of Conservation) SAC designation requirements that concern those SCIs that have been proposed</w:t>
      </w:r>
      <w:r>
        <w:rPr>
          <w:rFonts w:cs="Times New Roman"/>
          <w:noProof/>
          <w:sz w:val="20"/>
        </w:rPr>
        <w:t xml:space="preserve"> more than 6 years ago. Many of the site-level SAC designation acts, while formally indicating conservation objectives and measures, are unlikely to provide a sufficient level of protection against site deterioration. This is notably because they include a</w:t>
      </w:r>
      <w:r>
        <w:rPr>
          <w:rFonts w:cs="Times New Roman"/>
          <w:noProof/>
          <w:sz w:val="20"/>
        </w:rPr>
        <w:t>n exemption of all "contemporary agricultural and forestry practises" from the site protection requirements. In the last years, there is increasingly strong evidence that this exemption is leading towards a widespread (and perhaps systematic) deterioration</w:t>
      </w:r>
      <w:r>
        <w:rPr>
          <w:rFonts w:cs="Times New Roman"/>
          <w:noProof/>
          <w:sz w:val="20"/>
        </w:rPr>
        <w:t xml:space="preserve"> of many habitats and decline of many species populations for which sites have initially been designated.</w:t>
      </w:r>
    </w:p>
    <w:p w:rsidR="00587940" w:rsidRDefault="00E43A41">
      <w:pPr>
        <w:widowControl w:val="0"/>
        <w:spacing w:after="120" w:line="240" w:lineRule="auto"/>
        <w:jc w:val="both"/>
        <w:rPr>
          <w:rFonts w:cs="Times New Roman"/>
          <w:noProof/>
          <w:sz w:val="20"/>
        </w:rPr>
      </w:pPr>
      <w:r>
        <w:rPr>
          <w:rFonts w:cs="Times New Roman"/>
          <w:noProof/>
          <w:sz w:val="20"/>
        </w:rPr>
        <w:t>The level of nature-related complaints and infringement cases is overall high in Austria, which might partially be explained by the absence of a feder</w:t>
      </w:r>
      <w:r>
        <w:rPr>
          <w:rFonts w:cs="Times New Roman"/>
          <w:noProof/>
          <w:sz w:val="20"/>
        </w:rPr>
        <w:t>al legislation transposing the EU Nature directives</w:t>
      </w:r>
      <w:r>
        <w:rPr>
          <w:rFonts w:cs="Times New Roman"/>
          <w:noProof/>
          <w:sz w:val="20"/>
          <w:vertAlign w:val="superscript"/>
        </w:rPr>
        <w:footnoteReference w:id="31"/>
      </w:r>
      <w:r>
        <w:rPr>
          <w:rFonts w:cs="Times New Roman"/>
          <w:noProof/>
          <w:sz w:val="20"/>
        </w:rPr>
        <w:t>. Therefore, each of the nine Länder has a different legal basis for implementing the EU nature directives. In addition to this, the high number of complaints can be also explained by the insufficient acc</w:t>
      </w:r>
      <w:r>
        <w:rPr>
          <w:rFonts w:cs="Times New Roman"/>
          <w:noProof/>
          <w:sz w:val="20"/>
        </w:rPr>
        <w:t>ess to justice. For example, citizens and NGOs turn to the Commission because no legal redress is available in Austria apart from EIA and IPPC procedures.</w:t>
      </w:r>
    </w:p>
    <w:p w:rsidR="00587940" w:rsidRDefault="00E43A41">
      <w:pPr>
        <w:widowControl w:val="0"/>
        <w:spacing w:after="120" w:line="240" w:lineRule="auto"/>
        <w:jc w:val="both"/>
        <w:rPr>
          <w:rFonts w:cs="Times New Roman"/>
          <w:noProof/>
          <w:sz w:val="20"/>
        </w:rPr>
      </w:pPr>
      <w:r>
        <w:rPr>
          <w:rFonts w:cs="Times New Roman"/>
          <w:noProof/>
          <w:sz w:val="20"/>
        </w:rPr>
        <w:t>The Austrian report under Article 12 Birds Directive</w:t>
      </w:r>
      <w:r>
        <w:rPr>
          <w:rFonts w:cs="Times New Roman"/>
          <w:noProof/>
          <w:sz w:val="20"/>
          <w:vertAlign w:val="superscript"/>
        </w:rPr>
        <w:footnoteReference w:id="32"/>
      </w:r>
      <w:r>
        <w:rPr>
          <w:rFonts w:cs="Times New Roman"/>
          <w:noProof/>
          <w:sz w:val="20"/>
        </w:rPr>
        <w:t xml:space="preserve"> and Article 17 Habitats Directive</w:t>
      </w:r>
      <w:r>
        <w:rPr>
          <w:rFonts w:cs="Times New Roman"/>
          <w:noProof/>
          <w:sz w:val="20"/>
          <w:vertAlign w:val="superscript"/>
        </w:rPr>
        <w:footnoteReference w:id="33"/>
      </w:r>
      <w:r>
        <w:rPr>
          <w:rFonts w:cs="Times New Roman"/>
          <w:noProof/>
          <w:sz w:val="20"/>
        </w:rPr>
        <w:t xml:space="preserve"> confirm that</w:t>
      </w:r>
      <w:r>
        <w:rPr>
          <w:rFonts w:cs="Times New Roman"/>
          <w:noProof/>
          <w:sz w:val="20"/>
        </w:rPr>
        <w:t xml:space="preserve"> species and habitats depending on agricultural land use are those that are suffering the most serious declines. </w:t>
      </w:r>
    </w:p>
    <w:p w:rsidR="00587940" w:rsidRDefault="00E43A41">
      <w:pPr>
        <w:widowControl w:val="0"/>
        <w:spacing w:after="120" w:line="240" w:lineRule="auto"/>
        <w:jc w:val="both"/>
        <w:rPr>
          <w:rFonts w:eastAsia="Calibri" w:cs="Times New Roman"/>
          <w:noProof/>
          <w:sz w:val="20"/>
        </w:rPr>
      </w:pPr>
      <w:r>
        <w:rPr>
          <w:rFonts w:cs="Times New Roman"/>
          <w:noProof/>
          <w:sz w:val="20"/>
        </w:rPr>
        <w:t>This is primarily due to widespread agricultural land use intensification in the more favoured areas, but land abandonment is an increasing is</w:t>
      </w:r>
      <w:r>
        <w:rPr>
          <w:rFonts w:cs="Times New Roman"/>
          <w:noProof/>
          <w:sz w:val="20"/>
        </w:rPr>
        <w:t>sue in higher alpine regions, in particular for alpine semi-natural grassland habitats and associated species.</w:t>
      </w:r>
      <w:r>
        <w:rPr>
          <w:rFonts w:eastAsia="Calibri" w:cs="Times New Roman"/>
          <w:noProof/>
          <w:sz w:val="20"/>
        </w:rPr>
        <w:t xml:space="preserve"> </w:t>
      </w:r>
    </w:p>
    <w:p w:rsidR="00587940" w:rsidRDefault="00E43A41">
      <w:pPr>
        <w:widowControl w:val="0"/>
        <w:spacing w:after="120" w:line="240" w:lineRule="auto"/>
        <w:jc w:val="both"/>
        <w:rPr>
          <w:rFonts w:cs="Times New Roman"/>
          <w:noProof/>
          <w:sz w:val="20"/>
        </w:rPr>
      </w:pPr>
      <w:r>
        <w:rPr>
          <w:rFonts w:eastAsia="Calibri" w:cs="Times New Roman"/>
          <w:noProof/>
          <w:sz w:val="20"/>
        </w:rPr>
        <w:t xml:space="preserve">According to the latest report on the conservation status of habitats and species covered by the Habitats Directive, </w:t>
      </w:r>
      <w:r>
        <w:rPr>
          <w:rFonts w:cs="Times New Roman"/>
          <w:noProof/>
          <w:sz w:val="20"/>
          <w:szCs w:val="20"/>
        </w:rPr>
        <w:t>13.9% of the habitats' biog</w:t>
      </w:r>
      <w:r>
        <w:rPr>
          <w:rFonts w:cs="Times New Roman"/>
          <w:noProof/>
          <w:sz w:val="20"/>
          <w:szCs w:val="20"/>
        </w:rPr>
        <w:t xml:space="preserve">eographic assessments were favourable in 2013 </w:t>
      </w:r>
      <w:r>
        <w:rPr>
          <w:rFonts w:cs="Times New Roman"/>
          <w:noProof/>
          <w:sz w:val="20"/>
        </w:rPr>
        <w:t>(EU 27: 16 %).</w:t>
      </w:r>
      <w:r>
        <w:rPr>
          <w:rFonts w:cs="Times New Roman"/>
          <w:noProof/>
          <w:sz w:val="20"/>
          <w:szCs w:val="20"/>
        </w:rPr>
        <w:t xml:space="preserve"> </w:t>
      </w:r>
      <w:r>
        <w:rPr>
          <w:rFonts w:cs="Times New Roman"/>
          <w:noProof/>
          <w:sz w:val="20"/>
        </w:rPr>
        <w:t>On the other hand, 41 % are considered to be unfavourable–inadequate</w:t>
      </w:r>
      <w:r>
        <w:rPr>
          <w:rFonts w:cs="Times New Roman"/>
          <w:noProof/>
          <w:sz w:val="20"/>
          <w:szCs w:val="20"/>
          <w:vertAlign w:val="superscript"/>
        </w:rPr>
        <w:footnoteReference w:id="34"/>
      </w:r>
      <w:r>
        <w:rPr>
          <w:rFonts w:cs="Times New Roman"/>
          <w:noProof/>
          <w:sz w:val="20"/>
        </w:rPr>
        <w:t xml:space="preserve"> (EU27: 47%) and 39 % are unfavourable – bad (EU27: 30%). </w:t>
      </w:r>
      <w:r>
        <w:rPr>
          <w:rFonts w:cs="Times New Roman"/>
          <w:noProof/>
          <w:sz w:val="20"/>
          <w:szCs w:val="20"/>
        </w:rPr>
        <w:t>As for the species, 15.9 % of the assessments were favourable in 201</w:t>
      </w:r>
      <w:r>
        <w:rPr>
          <w:rFonts w:cs="Times New Roman"/>
          <w:noProof/>
          <w:sz w:val="20"/>
          <w:szCs w:val="20"/>
        </w:rPr>
        <w:t xml:space="preserve">3 (EU 27: 23%) </w:t>
      </w:r>
      <w:r>
        <w:rPr>
          <w:rFonts w:cs="Times New Roman"/>
          <w:noProof/>
          <w:sz w:val="20"/>
        </w:rPr>
        <w:t>47 % at unfavourable-inadequate (EU27: 42%) and 34% unfavourable-bad status (EU27: 18%). This is depicted in Figure 6</w:t>
      </w:r>
      <w:r>
        <w:rPr>
          <w:rFonts w:cs="Times New Roman"/>
          <w:noProof/>
          <w:sz w:val="20"/>
          <w:vertAlign w:val="superscript"/>
        </w:rPr>
        <w:footnoteReference w:id="35"/>
      </w:r>
      <w:r>
        <w:rPr>
          <w:rFonts w:cs="Times New Roman"/>
          <w:noProof/>
          <w:sz w:val="20"/>
        </w:rPr>
        <w:t xml:space="preserve">. </w:t>
      </w:r>
      <w:r>
        <w:rPr>
          <w:rFonts w:cs="Times New Roman"/>
          <w:noProof/>
          <w:sz w:val="20"/>
          <w:szCs w:val="20"/>
        </w:rPr>
        <w:t>Only 9.8% and 3% of the unfavourable assessments respectively for species and habitats were showing a positive trend in 2</w:t>
      </w:r>
      <w:r>
        <w:rPr>
          <w:rFonts w:cs="Times New Roman"/>
          <w:noProof/>
          <w:sz w:val="20"/>
          <w:szCs w:val="20"/>
        </w:rPr>
        <w:t>013.</w:t>
      </w:r>
      <w:r>
        <w:rPr>
          <w:rFonts w:cs="Times New Roman"/>
          <w:noProof/>
          <w:sz w:val="20"/>
        </w:rPr>
        <w:t xml:space="preserve"> While the unfavourable assessments remained the same with regard to habitats between 2007and 2013, the trend for species improved.</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587940">
        <w:tc>
          <w:tcPr>
            <w:tcW w:w="4910" w:type="dxa"/>
          </w:tcPr>
          <w:p w:rsidR="00587940" w:rsidRDefault="00E43A41">
            <w:pPr>
              <w:widowControl w:val="0"/>
              <w:spacing w:after="120"/>
              <w:jc w:val="both"/>
              <w:rPr>
                <w:rFonts w:cs="Times New Roman"/>
                <w:b/>
                <w:noProof/>
                <w:color w:val="1F497D" w:themeColor="text2"/>
                <w:sz w:val="20"/>
              </w:rPr>
            </w:pPr>
            <w:r>
              <w:rPr>
                <w:rFonts w:cs="Times New Roman"/>
                <w:b/>
                <w:noProof/>
                <w:color w:val="1F497D" w:themeColor="text2"/>
                <w:sz w:val="20"/>
              </w:rPr>
              <w:t>Figure 6: Conservation status of habitats and species in Austria in 2007/2013 (%)</w:t>
            </w:r>
            <w:r>
              <w:rPr>
                <w:rFonts w:cs="Times New Roman"/>
                <w:b/>
                <w:noProof/>
                <w:color w:val="1F497D" w:themeColor="text2"/>
                <w:sz w:val="20"/>
                <w:vertAlign w:val="superscript"/>
              </w:rPr>
              <w:footnoteReference w:id="36"/>
            </w:r>
          </w:p>
        </w:tc>
      </w:tr>
      <w:tr w:rsidR="00587940">
        <w:tc>
          <w:tcPr>
            <w:tcW w:w="4910" w:type="dxa"/>
          </w:tcPr>
          <w:p w:rsidR="00587940" w:rsidRDefault="00E43A41">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60288" behindDoc="0" locked="0" layoutInCell="1" allowOverlap="1" wp14:anchorId="4037AC52" wp14:editId="32DA907E">
                  <wp:simplePos x="685800" y="4629150"/>
                  <wp:positionH relativeFrom="margin">
                    <wp:align>center</wp:align>
                  </wp:positionH>
                  <wp:positionV relativeFrom="margin">
                    <wp:align>center</wp:align>
                  </wp:positionV>
                  <wp:extent cx="2819400" cy="31254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9400" cy="3125470"/>
                          </a:xfrm>
                          <a:prstGeom prst="rect">
                            <a:avLst/>
                          </a:prstGeom>
                          <a:noFill/>
                        </pic:spPr>
                      </pic:pic>
                    </a:graphicData>
                  </a:graphic>
                </wp:anchor>
              </w:drawing>
            </w:r>
          </w:p>
        </w:tc>
      </w:tr>
    </w:tbl>
    <w:p w:rsidR="00587940" w:rsidRDefault="00E43A41">
      <w:pPr>
        <w:widowControl w:val="0"/>
        <w:spacing w:after="120" w:line="240" w:lineRule="auto"/>
        <w:jc w:val="both"/>
        <w:rPr>
          <w:rFonts w:cs="Times New Roman"/>
          <w:noProof/>
          <w:sz w:val="20"/>
        </w:rPr>
      </w:pPr>
      <w:r>
        <w:rPr>
          <w:rFonts w:cs="Times New Roman"/>
          <w:noProof/>
          <w:sz w:val="20"/>
        </w:rPr>
        <w:t xml:space="preserve">Figure 7 shows that as far as </w:t>
      </w:r>
      <w:r>
        <w:rPr>
          <w:rFonts w:cs="Times New Roman"/>
          <w:noProof/>
          <w:sz w:val="20"/>
        </w:rPr>
        <w:t>birds are concerned, 70% of the breeding species showed short-term increasing or stable population trends (for wintering species this figure was 68%).</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587940">
        <w:tc>
          <w:tcPr>
            <w:tcW w:w="4910" w:type="dxa"/>
          </w:tcPr>
          <w:p w:rsidR="00587940" w:rsidRDefault="00E43A41">
            <w:pPr>
              <w:widowControl w:val="0"/>
              <w:spacing w:after="120"/>
              <w:jc w:val="both"/>
              <w:rPr>
                <w:rFonts w:cs="Times New Roman"/>
                <w:noProof/>
                <w:color w:val="1F497D" w:themeColor="text2"/>
                <w:sz w:val="20"/>
              </w:rPr>
            </w:pPr>
            <w:r>
              <w:rPr>
                <w:rFonts w:cs="Times New Roman"/>
                <w:b/>
                <w:noProof/>
                <w:color w:val="1F497D" w:themeColor="text2"/>
                <w:sz w:val="20"/>
              </w:rPr>
              <w:t>Figure 7: Short-term population trend of breeding and wintering bird species in Austria in 2012 (%)</w:t>
            </w:r>
            <w:r>
              <w:rPr>
                <w:rFonts w:cs="Times New Roman"/>
                <w:b/>
                <w:bCs/>
                <w:noProof/>
                <w:color w:val="1F497D" w:themeColor="text2"/>
                <w:sz w:val="20"/>
                <w:vertAlign w:val="superscript"/>
              </w:rPr>
              <w:footnoteReference w:id="37"/>
            </w:r>
          </w:p>
        </w:tc>
      </w:tr>
      <w:tr w:rsidR="00587940">
        <w:tc>
          <w:tcPr>
            <w:tcW w:w="4910" w:type="dxa"/>
          </w:tcPr>
          <w:p w:rsidR="00587940" w:rsidRDefault="00E43A41">
            <w:pPr>
              <w:widowControl w:val="0"/>
              <w:spacing w:after="120"/>
              <w:jc w:val="both"/>
              <w:rPr>
                <w:rFonts w:cs="Times New Roman"/>
                <w:noProof/>
                <w:sz w:val="20"/>
              </w:rPr>
            </w:pPr>
            <w:r>
              <w:rPr>
                <w:rFonts w:cs="Times New Roman"/>
                <w:noProof/>
                <w:sz w:val="20"/>
                <w:lang w:eastAsia="en-GB"/>
              </w:rPr>
              <w:drawing>
                <wp:inline distT="0" distB="0" distL="0" distR="0" wp14:anchorId="05E60F4A" wp14:editId="65E5315E">
                  <wp:extent cx="2931158" cy="20669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34025" cy="2068947"/>
                          </a:xfrm>
                          <a:prstGeom prst="rect">
                            <a:avLst/>
                          </a:prstGeom>
                          <a:noFill/>
                        </pic:spPr>
                      </pic:pic>
                    </a:graphicData>
                  </a:graphic>
                </wp:inline>
              </w:drawing>
            </w:r>
          </w:p>
        </w:tc>
      </w:tr>
    </w:tbl>
    <w:p w:rsidR="00587940" w:rsidRDefault="00E43A41">
      <w:pPr>
        <w:widowControl w:val="0"/>
        <w:spacing w:after="120" w:line="240" w:lineRule="auto"/>
        <w:jc w:val="both"/>
        <w:rPr>
          <w:rFonts w:cs="Times New Roman"/>
          <w:noProof/>
          <w:sz w:val="20"/>
        </w:rPr>
      </w:pPr>
      <w:r>
        <w:rPr>
          <w:rFonts w:cs="Times New Roman"/>
          <w:noProof/>
          <w:sz w:val="20"/>
        </w:rPr>
        <w:t>Austria is the only EU member State where a population of large carnivore species became extinct since EU accession of the country (Central Alpine brown bear population). Whereas populations of large carnivores are overall increasing in Europe, no such inc</w:t>
      </w:r>
      <w:r>
        <w:rPr>
          <w:rFonts w:cs="Times New Roman"/>
          <w:noProof/>
          <w:sz w:val="20"/>
        </w:rPr>
        <w:t xml:space="preserve">rease currently in observed in Austria. Media reports suggest that high levels of illegal poaching are the main driver behind this phenomenon. </w:t>
      </w:r>
    </w:p>
    <w:p w:rsidR="00587940" w:rsidRDefault="00E43A41">
      <w:pPr>
        <w:widowControl w:val="0"/>
        <w:spacing w:after="120" w:line="240" w:lineRule="auto"/>
        <w:jc w:val="both"/>
        <w:rPr>
          <w:rFonts w:cs="Times New Roman"/>
          <w:noProof/>
          <w:sz w:val="20"/>
        </w:rPr>
      </w:pPr>
      <w:r>
        <w:rPr>
          <w:rFonts w:cs="Times New Roman"/>
          <w:noProof/>
          <w:sz w:val="20"/>
        </w:rPr>
        <w:t>The 5</w:t>
      </w:r>
      <w:r>
        <w:rPr>
          <w:rFonts w:cs="Times New Roman"/>
          <w:noProof/>
          <w:sz w:val="20"/>
          <w:vertAlign w:val="superscript"/>
        </w:rPr>
        <w:t>th</w:t>
      </w:r>
      <w:r>
        <w:rPr>
          <w:rFonts w:cs="Times New Roman"/>
          <w:noProof/>
          <w:sz w:val="20"/>
        </w:rPr>
        <w:t xml:space="preserve"> national report to the Convention on Biological Diversity (CBD)</w:t>
      </w:r>
      <w:r>
        <w:rPr>
          <w:rFonts w:cs="Times New Roman"/>
          <w:noProof/>
          <w:sz w:val="20"/>
          <w:vertAlign w:val="superscript"/>
        </w:rPr>
        <w:footnoteReference w:id="38"/>
      </w:r>
      <w:r>
        <w:rPr>
          <w:rFonts w:cs="Times New Roman"/>
          <w:noProof/>
          <w:sz w:val="20"/>
        </w:rPr>
        <w:t xml:space="preserve"> indicates a net deterioration of 7–8% f</w:t>
      </w:r>
      <w:r>
        <w:rPr>
          <w:rFonts w:cs="Times New Roman"/>
          <w:noProof/>
          <w:sz w:val="20"/>
        </w:rPr>
        <w:t>or habitat types and 2–3% for species, compared to the previous reporting period covering 2001-2006. The conservation status of habitats and species is less favourable in the continental than in the Alpine region. Amongst all ecosystem types in Austria fre</w:t>
      </w:r>
      <w:r>
        <w:rPr>
          <w:rFonts w:cs="Times New Roman"/>
          <w:noProof/>
          <w:sz w:val="20"/>
        </w:rPr>
        <w:t>shwater, mire and grassland ecosystems are doing worst.</w:t>
      </w:r>
    </w:p>
    <w:p w:rsidR="00587940" w:rsidRDefault="00E43A41">
      <w:pPr>
        <w:widowControl w:val="0"/>
        <w:spacing w:after="120" w:line="240" w:lineRule="auto"/>
        <w:jc w:val="both"/>
        <w:rPr>
          <w:rFonts w:cs="Times New Roman"/>
          <w:noProof/>
          <w:sz w:val="20"/>
        </w:rPr>
      </w:pPr>
      <w:r>
        <w:rPr>
          <w:rFonts w:cs="Times New Roman"/>
          <w:noProof/>
          <w:sz w:val="20"/>
        </w:rPr>
        <w:t>Major threats to biodiversity include agricultural intensification and land abandonment, increased sealing of land caused by housing and infrastructure development with the related loss and fragmentat</w:t>
      </w:r>
      <w:r>
        <w:rPr>
          <w:rFonts w:cs="Times New Roman"/>
          <w:noProof/>
          <w:sz w:val="20"/>
        </w:rPr>
        <w:t>ion of habitats; afforestation and dead wood removal; pollution, hydrological modifications, invasive alien species and climate change.</w:t>
      </w:r>
    </w:p>
    <w:p w:rsidR="00587940" w:rsidRDefault="00E43A41">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24A3D8CA" wp14:editId="3CC0779A">
            <wp:extent cx="2980690" cy="1985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Landscape iStock_74845123_SMAL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80690" cy="1985645"/>
                    </a:xfrm>
                    <a:prstGeom prst="rect">
                      <a:avLst/>
                    </a:prstGeom>
                  </pic:spPr>
                </pic:pic>
              </a:graphicData>
            </a:graphic>
          </wp:inline>
        </w:drawing>
      </w:r>
    </w:p>
    <w:p w:rsidR="00587940" w:rsidRDefault="00E43A41">
      <w:pPr>
        <w:widowControl w:val="0"/>
        <w:spacing w:after="120" w:line="240" w:lineRule="auto"/>
        <w:jc w:val="both"/>
        <w:rPr>
          <w:rFonts w:cs="Times New Roman"/>
          <w:noProof/>
          <w:sz w:val="20"/>
        </w:rPr>
      </w:pPr>
      <w:r>
        <w:rPr>
          <w:rFonts w:cs="Times New Roman"/>
          <w:noProof/>
          <w:sz w:val="20"/>
        </w:rPr>
        <w:t>Compared to other Member States of similar size, Austria has been very successful in obtaining LIFE-Nature funding, in</w:t>
      </w:r>
      <w:r>
        <w:rPr>
          <w:rFonts w:cs="Times New Roman"/>
          <w:noProof/>
          <w:sz w:val="20"/>
        </w:rPr>
        <w:t xml:space="preserve"> particular for Alpine river restoration projects. Austrian regional river administrations are well suited for preparing and implementing such projects, successfully combining nature conservation and flood protection. </w:t>
      </w:r>
    </w:p>
    <w:p w:rsidR="00587940" w:rsidRDefault="00E43A41">
      <w:pPr>
        <w:widowControl w:val="0"/>
        <w:spacing w:after="120" w:line="240" w:lineRule="auto"/>
        <w:jc w:val="both"/>
        <w:rPr>
          <w:rFonts w:cs="Times New Roman"/>
          <w:noProof/>
          <w:sz w:val="20"/>
        </w:rPr>
      </w:pPr>
      <w:r>
        <w:rPr>
          <w:rFonts w:cs="Times New Roman"/>
          <w:noProof/>
          <w:sz w:val="20"/>
        </w:rPr>
        <w:t>3.9 million hectare (46%) of the tota</w:t>
      </w:r>
      <w:r>
        <w:rPr>
          <w:rFonts w:cs="Times New Roman"/>
          <w:noProof/>
          <w:sz w:val="20"/>
        </w:rPr>
        <w:t>l area in Austria are forest land</w:t>
      </w:r>
      <w:r>
        <w:rPr>
          <w:rFonts w:cs="Times New Roman"/>
          <w:noProof/>
          <w:sz w:val="20"/>
          <w:vertAlign w:val="superscript"/>
        </w:rPr>
        <w:footnoteReference w:id="39"/>
      </w:r>
      <w:r>
        <w:rPr>
          <w:rFonts w:cs="Times New Roman"/>
          <w:noProof/>
          <w:sz w:val="20"/>
        </w:rPr>
        <w:t xml:space="preserve"> (0.5 ha per capita). The forest area is steadily increasing by some 2000 ha a year depending on afforestation of abandoned agricultural land. Coniferous forests of mixed and/or pure stands of spruce, fir, pine, larch, bea</w:t>
      </w:r>
      <w:r>
        <w:rPr>
          <w:rFonts w:cs="Times New Roman"/>
          <w:noProof/>
          <w:sz w:val="20"/>
        </w:rPr>
        <w:t>ch, maple, oak, alder, etc. find good growing conditions. 80% (3.1 million hectare) serve as commercial forests, 20% are protected forests.</w:t>
      </w:r>
    </w:p>
    <w:p w:rsidR="00587940" w:rsidRDefault="00E43A41">
      <w:pPr>
        <w:widowControl w:val="0"/>
        <w:spacing w:after="120" w:line="240" w:lineRule="auto"/>
        <w:jc w:val="both"/>
        <w:rPr>
          <w:rFonts w:cs="Times New Roman"/>
          <w:noProof/>
          <w:sz w:val="20"/>
        </w:rPr>
      </w:pPr>
      <w:r>
        <w:rPr>
          <w:rFonts w:cs="Times New Roman"/>
          <w:noProof/>
          <w:sz w:val="20"/>
        </w:rPr>
        <w:t>The main tree species are conifers (70%, predominantly spruce; and 30% broad-leaved species (mainly beech). Slightly</w:t>
      </w:r>
      <w:r>
        <w:rPr>
          <w:rFonts w:cs="Times New Roman"/>
          <w:noProof/>
          <w:sz w:val="20"/>
        </w:rPr>
        <w:t xml:space="preserve"> above a half (53%) is small private forests (&lt;200 ha), 32% private estates (&gt;200 ha), and 15% federal forests.</w:t>
      </w:r>
    </w:p>
    <w:p w:rsidR="00587940" w:rsidRDefault="00E43A41">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587940" w:rsidRDefault="00E43A41">
      <w:pPr>
        <w:pStyle w:val="SuggActions"/>
        <w:rPr>
          <w:noProof/>
        </w:rPr>
      </w:pPr>
      <w:bookmarkStart w:id="51" w:name="_Toc433296161"/>
      <w:r>
        <w:rPr>
          <w:noProof/>
        </w:rPr>
        <w:t>Complete the SAC designation process and put in place clearly defined conservation objectives and the necessary conservation me</w:t>
      </w:r>
      <w:r>
        <w:rPr>
          <w:noProof/>
        </w:rPr>
        <w:t xml:space="preserve">asures for the sites and provide adequate resources for their implementation in order to maintain/restore species and habitats of community interest to a favourable conservation status across their natural range. </w:t>
      </w:r>
    </w:p>
    <w:p w:rsidR="00587940" w:rsidRDefault="00E43A41">
      <w:pPr>
        <w:pStyle w:val="SuggActions"/>
        <w:rPr>
          <w:noProof/>
        </w:rPr>
      </w:pPr>
      <w:r>
        <w:rPr>
          <w:noProof/>
        </w:rPr>
        <w:t xml:space="preserve">Develop and promote smart and streamlined </w:t>
      </w:r>
      <w:r>
        <w:rPr>
          <w:noProof/>
        </w:rPr>
        <w:t>implementation approaches, in particular as regards site and species permitting procedures, ensuring the necessary knowledge and data availability.</w:t>
      </w:r>
    </w:p>
    <w:p w:rsidR="00587940" w:rsidRDefault="00E43A41">
      <w:pPr>
        <w:widowControl w:val="0"/>
        <w:spacing w:after="120" w:line="240" w:lineRule="auto"/>
        <w:jc w:val="both"/>
        <w:outlineLvl w:val="1"/>
        <w:rPr>
          <w:rFonts w:cs="Times New Roman"/>
          <w:b/>
          <w:noProof/>
          <w:color w:val="1F497D" w:themeColor="text2"/>
        </w:rPr>
      </w:pPr>
      <w:bookmarkStart w:id="52" w:name="_Toc469404508"/>
      <w:r>
        <w:rPr>
          <w:rFonts w:cs="Times New Roman"/>
          <w:b/>
          <w:noProof/>
          <w:color w:val="1F497D" w:themeColor="text2"/>
        </w:rPr>
        <w:t>Estimating Natural Capital</w:t>
      </w:r>
      <w:bookmarkEnd w:id="52"/>
    </w:p>
    <w:p w:rsidR="00587940" w:rsidRDefault="00E43A41">
      <w:pPr>
        <w:widowControl w:val="0"/>
        <w:spacing w:after="120" w:line="240" w:lineRule="auto"/>
        <w:jc w:val="both"/>
        <w:rPr>
          <w:rFonts w:cs="Arial"/>
          <w:noProof/>
          <w:sz w:val="20"/>
        </w:rPr>
      </w:pPr>
      <w:r>
        <w:rPr>
          <w:rFonts w:cs="Arial"/>
          <w:noProof/>
          <w:sz w:val="20"/>
        </w:rPr>
        <w:t xml:space="preserve">The EU Biodiversity Strategy to 2020 calls on the Member States to map and asses </w:t>
      </w:r>
      <w:r>
        <w:rPr>
          <w:rFonts w:cs="Arial"/>
          <w:noProof/>
          <w:sz w:val="20"/>
        </w:rPr>
        <w:t>the state of ecosystems and their services in their national territory by 2014, assess the economic value of such services, and promote the integration of these values into accounting and reporting systems at EU and national level by 2020.</w:t>
      </w:r>
    </w:p>
    <w:p w:rsidR="00587940" w:rsidRDefault="00E43A41">
      <w:pPr>
        <w:widowControl w:val="0"/>
        <w:spacing w:after="120" w:line="240" w:lineRule="auto"/>
        <w:jc w:val="both"/>
        <w:rPr>
          <w:rFonts w:cs="Arial"/>
          <w:noProof/>
          <w:sz w:val="20"/>
        </w:rPr>
      </w:pPr>
      <w:r>
        <w:rPr>
          <w:rFonts w:cs="Arial"/>
          <w:noProof/>
          <w:sz w:val="20"/>
        </w:rPr>
        <w:t>MAES related act</w:t>
      </w:r>
      <w:r>
        <w:rPr>
          <w:rFonts w:cs="Arial"/>
          <w:noProof/>
          <w:sz w:val="20"/>
        </w:rPr>
        <w:t>ivities in Austria focused on the development of biodiversity indicators. The mapping and assessing of ecosystems and their services</w:t>
      </w:r>
      <w:r>
        <w:rPr>
          <w:rFonts w:cs="Arial"/>
          <w:noProof/>
          <w:sz w:val="20"/>
          <w:vertAlign w:val="superscript"/>
        </w:rPr>
        <w:footnoteReference w:id="40"/>
      </w:r>
      <w:r>
        <w:rPr>
          <w:rFonts w:cs="Arial"/>
          <w:noProof/>
          <w:sz w:val="20"/>
        </w:rPr>
        <w:t xml:space="preserve"> is also part of the </w:t>
      </w:r>
      <w:hyperlink r:id="rId68" w:tgtFrame="_self" w:history="1">
        <w:r>
          <w:rPr>
            <w:rFonts w:cs="Arial"/>
            <w:noProof/>
            <w:sz w:val="20"/>
          </w:rPr>
          <w:t>Austrian Strategy on Biological Diversity 2020+ published in 2014</w:t>
        </w:r>
        <w:r>
          <w:rPr>
            <w:rFonts w:cs="Arial"/>
            <w:noProof/>
            <w:sz w:val="20"/>
            <w:vertAlign w:val="superscript"/>
          </w:rPr>
          <w:footnoteReference w:id="41"/>
        </w:r>
      </w:hyperlink>
      <w:r>
        <w:rPr>
          <w:rFonts w:cs="Arial"/>
          <w:noProof/>
          <w:sz w:val="20"/>
        </w:rPr>
        <w:t>. Further activities regarding mapping and assessing of ecosystems and their services are planned.</w:t>
      </w:r>
    </w:p>
    <w:p w:rsidR="00587940" w:rsidRDefault="00E43A41">
      <w:pPr>
        <w:widowControl w:val="0"/>
        <w:spacing w:after="120" w:line="240" w:lineRule="auto"/>
        <w:jc w:val="both"/>
        <w:rPr>
          <w:rFonts w:cs="Times New Roman"/>
          <w:noProof/>
          <w:sz w:val="20"/>
        </w:rPr>
      </w:pPr>
      <w:r>
        <w:rPr>
          <w:rFonts w:cs="Times New Roman"/>
          <w:noProof/>
          <w:sz w:val="20"/>
        </w:rPr>
        <w:t xml:space="preserve">A 2013 report on the situation and the significance of biological diversity </w:t>
      </w:r>
      <w:r>
        <w:rPr>
          <w:rFonts w:cs="Times New Roman"/>
          <w:noProof/>
          <w:sz w:val="20"/>
        </w:rPr>
        <w:t>maps out the different types of ecosystems and evaluated their conditions.</w:t>
      </w:r>
      <w:r>
        <w:rPr>
          <w:rFonts w:cs="Times New Roman"/>
          <w:noProof/>
          <w:sz w:val="20"/>
          <w:vertAlign w:val="superscript"/>
        </w:rPr>
        <w:footnoteReference w:id="42"/>
      </w:r>
    </w:p>
    <w:p w:rsidR="00587940" w:rsidRDefault="00E43A41">
      <w:pPr>
        <w:widowControl w:val="0"/>
        <w:spacing w:after="120" w:line="240" w:lineRule="auto"/>
        <w:jc w:val="both"/>
        <w:rPr>
          <w:rFonts w:cs="Times New Roman"/>
          <w:noProof/>
          <w:sz w:val="20"/>
        </w:rPr>
      </w:pPr>
      <w:r>
        <w:rPr>
          <w:rFonts w:cs="Times New Roman"/>
          <w:noProof/>
          <w:sz w:val="20"/>
        </w:rPr>
        <w:t>Work on natural capital accounting is at an early stage of development</w:t>
      </w:r>
      <w:r>
        <w:rPr>
          <w:rFonts w:cs="Times New Roman"/>
          <w:noProof/>
          <w:sz w:val="20"/>
          <w:vertAlign w:val="superscript"/>
        </w:rPr>
        <w:footnoteReference w:id="43"/>
      </w:r>
      <w:r>
        <w:rPr>
          <w:rFonts w:cs="Times New Roman"/>
          <w:noProof/>
          <w:sz w:val="20"/>
        </w:rPr>
        <w:t xml:space="preserve"> with a number of initiatives for the improvement of the knowledge base. A nation-wide mapping of ecosystems </w:t>
      </w:r>
      <w:r>
        <w:rPr>
          <w:rFonts w:cs="Times New Roman"/>
          <w:noProof/>
          <w:sz w:val="20"/>
        </w:rPr>
        <w:t>is underway with a spatial resolution of 10 x 10 metres</w:t>
      </w:r>
      <w:r>
        <w:rPr>
          <w:rFonts w:cs="Times New Roman"/>
          <w:noProof/>
          <w:sz w:val="20"/>
          <w:vertAlign w:val="superscript"/>
        </w:rPr>
        <w:footnoteReference w:id="44"/>
      </w:r>
      <w:r>
        <w:rPr>
          <w:rFonts w:cs="Times New Roman"/>
          <w:noProof/>
          <w:sz w:val="20"/>
        </w:rPr>
        <w:t>. An inventory of ecosystem services in agricultural context, taking into account human well-being and economic input, was published in 2011</w:t>
      </w:r>
      <w:r>
        <w:rPr>
          <w:rFonts w:cs="Times New Roman"/>
          <w:noProof/>
          <w:sz w:val="20"/>
          <w:vertAlign w:val="superscript"/>
        </w:rPr>
        <w:footnoteReference w:id="45"/>
      </w:r>
      <w:r>
        <w:rPr>
          <w:rFonts w:cs="Times New Roman"/>
          <w:noProof/>
          <w:sz w:val="20"/>
        </w:rPr>
        <w:t xml:space="preserve"> followed by an inventory of ecosystem services of forests </w:t>
      </w:r>
      <w:r>
        <w:rPr>
          <w:rFonts w:cs="Times New Roman"/>
          <w:noProof/>
          <w:sz w:val="20"/>
        </w:rPr>
        <w:t>in 2015</w:t>
      </w:r>
      <w:r>
        <w:rPr>
          <w:rFonts w:cs="Times New Roman"/>
          <w:noProof/>
          <w:sz w:val="20"/>
          <w:vertAlign w:val="superscript"/>
        </w:rPr>
        <w:footnoteReference w:id="46"/>
      </w:r>
      <w:r>
        <w:rPr>
          <w:rFonts w:cs="Times New Roman"/>
          <w:noProof/>
          <w:sz w:val="20"/>
        </w:rPr>
        <w:t>. A 2011 study</w:t>
      </w:r>
      <w:r>
        <w:rPr>
          <w:rFonts w:cs="Times New Roman"/>
          <w:noProof/>
          <w:sz w:val="20"/>
          <w:vertAlign w:val="superscript"/>
        </w:rPr>
        <w:footnoteReference w:id="47"/>
      </w:r>
      <w:r>
        <w:rPr>
          <w:rFonts w:cs="Times New Roman"/>
          <w:noProof/>
          <w:sz w:val="20"/>
        </w:rPr>
        <w:t xml:space="preserve"> supplied the first experience with monetary assessments of ecosystem services, along stretches of the river Mur in Styria. A 2015 report examined the potential, requirements and risks of the economic valuation of ecosystem services</w:t>
      </w:r>
      <w:r>
        <w:rPr>
          <w:rFonts w:cs="Times New Roman"/>
          <w:noProof/>
          <w:sz w:val="20"/>
          <w:vertAlign w:val="superscript"/>
        </w:rPr>
        <w:footnoteReference w:id="48"/>
      </w:r>
      <w:r>
        <w:rPr>
          <w:rFonts w:cs="Times New Roman"/>
          <w:noProof/>
          <w:sz w:val="20"/>
        </w:rPr>
        <w:t>. An assessment and economic valuation of five ecosystem services were carried out by the Austrian Federal Forests</w:t>
      </w:r>
      <w:r>
        <w:rPr>
          <w:rFonts w:cs="Times New Roman"/>
          <w:noProof/>
          <w:sz w:val="20"/>
          <w:vertAlign w:val="superscript"/>
        </w:rPr>
        <w:footnoteReference w:id="49"/>
      </w:r>
      <w:r>
        <w:rPr>
          <w:rFonts w:cs="Times New Roman"/>
          <w:noProof/>
          <w:sz w:val="20"/>
        </w:rPr>
        <w:t>.</w:t>
      </w:r>
    </w:p>
    <w:p w:rsidR="00587940" w:rsidRDefault="00E43A41">
      <w:pPr>
        <w:widowControl w:val="0"/>
        <w:spacing w:after="120" w:line="240" w:lineRule="auto"/>
        <w:jc w:val="both"/>
        <w:rPr>
          <w:rFonts w:cs="Times New Roman"/>
          <w:bCs/>
          <w:noProof/>
          <w:color w:val="1F497D" w:themeColor="text2"/>
        </w:rPr>
      </w:pPr>
      <w:r>
        <w:rPr>
          <w:rFonts w:cs="Times New Roman"/>
          <w:bCs/>
          <w:noProof/>
          <w:color w:val="1F497D" w:themeColor="text2"/>
        </w:rPr>
        <w:t>Suggested action</w:t>
      </w:r>
    </w:p>
    <w:p w:rsidR="00587940" w:rsidRDefault="00E43A41">
      <w:pPr>
        <w:pStyle w:val="SuggActions"/>
        <w:rPr>
          <w:noProof/>
        </w:rPr>
      </w:pPr>
      <w:r>
        <w:rPr>
          <w:noProof/>
        </w:rPr>
        <w:t>Provide government support to further improve knowledge on the mapping and assessment of ecosystems and their services, in</w:t>
      </w:r>
      <w:r>
        <w:rPr>
          <w:noProof/>
        </w:rPr>
        <w:t>cluding valuation and development of natural capital accounting systems.</w:t>
      </w:r>
    </w:p>
    <w:p w:rsidR="00587940" w:rsidRDefault="00E43A41">
      <w:pPr>
        <w:widowControl w:val="0"/>
        <w:spacing w:after="120" w:line="240" w:lineRule="auto"/>
        <w:jc w:val="both"/>
        <w:outlineLvl w:val="1"/>
        <w:rPr>
          <w:rFonts w:cs="Times New Roman"/>
          <w:b/>
          <w:noProof/>
          <w:color w:val="1F497D" w:themeColor="text2"/>
          <w:sz w:val="24"/>
        </w:rPr>
      </w:pPr>
      <w:bookmarkStart w:id="53" w:name="_Toc469404509"/>
      <w:r>
        <w:rPr>
          <w:rFonts w:cs="Times New Roman"/>
          <w:b/>
          <w:noProof/>
          <w:color w:val="1F497D" w:themeColor="text2"/>
          <w:sz w:val="24"/>
        </w:rPr>
        <w:t>Green Infrastructure</w:t>
      </w:r>
      <w:bookmarkEnd w:id="53"/>
      <w:r>
        <w:rPr>
          <w:rFonts w:cs="Times New Roman"/>
          <w:b/>
          <w:noProof/>
          <w:color w:val="1F497D" w:themeColor="text2"/>
          <w:sz w:val="24"/>
        </w:rPr>
        <w:t xml:space="preserve"> </w:t>
      </w:r>
    </w:p>
    <w:p w:rsidR="00587940" w:rsidRDefault="00E43A41">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50"/>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green infrastructure into related plans and programmes to help overcome fragmentation of </w:t>
      </w:r>
      <w:r>
        <w:rPr>
          <w:rFonts w:ascii="Calibri" w:eastAsia="Calibri" w:hAnsi="Calibri" w:cs="Times New Roman"/>
          <w:noProof/>
          <w:color w:val="FFFFFF" w:themeColor="background1"/>
          <w:sz w:val="20"/>
          <w:lang w:eastAsia="ar-SA"/>
        </w:rPr>
        <w:t>habitats and preserve or restore ecological connectivity, enhance ecosystem resilience and thereby ensure the continued provision of ecosystem services.</w:t>
      </w:r>
    </w:p>
    <w:p w:rsidR="00587940" w:rsidRDefault="00E43A41">
      <w:pPr>
        <w:widowControl w:val="0"/>
        <w:spacing w:after="120" w:line="240" w:lineRule="auto"/>
        <w:jc w:val="both"/>
        <w:rPr>
          <w:rFonts w:cs="Times New Roman"/>
          <w:noProof/>
          <w:sz w:val="20"/>
        </w:rPr>
      </w:pPr>
      <w:r>
        <w:rPr>
          <w:rFonts w:cs="Times New Roman"/>
          <w:noProof/>
          <w:sz w:val="20"/>
        </w:rPr>
        <w:t>Green Infrastructure provides ecological, economic and social benefits through natural solutions. It he</w:t>
      </w:r>
      <w:r>
        <w:rPr>
          <w:rFonts w:cs="Times New Roman"/>
          <w:noProof/>
          <w:sz w:val="20"/>
        </w:rPr>
        <w:t>lps to understand the value of the benefits that nature provides to human society and to mobilise investments to sustain and enhance them.</w:t>
      </w:r>
    </w:p>
    <w:p w:rsidR="00587940" w:rsidRDefault="00E43A41">
      <w:pPr>
        <w:widowControl w:val="0"/>
        <w:spacing w:after="120" w:line="240" w:lineRule="auto"/>
        <w:jc w:val="both"/>
        <w:rPr>
          <w:rFonts w:cs="Times New Roman"/>
          <w:noProof/>
          <w:sz w:val="20"/>
        </w:rPr>
      </w:pPr>
      <w:r>
        <w:rPr>
          <w:rFonts w:cs="Times New Roman"/>
          <w:noProof/>
          <w:sz w:val="20"/>
        </w:rPr>
        <w:t>The Austrian Biodiversity Strategy 2020+</w:t>
      </w:r>
      <w:r>
        <w:rPr>
          <w:rFonts w:cs="Times New Roman"/>
          <w:noProof/>
          <w:sz w:val="20"/>
          <w:vertAlign w:val="superscript"/>
        </w:rPr>
        <w:footnoteReference w:id="51"/>
      </w:r>
      <w:r>
        <w:rPr>
          <w:rFonts w:cs="Times New Roman"/>
          <w:noProof/>
          <w:sz w:val="20"/>
        </w:rPr>
        <w:t xml:space="preserve"> includes actions to strengthen biotope connectivity. Austria has specific t</w:t>
      </w:r>
      <w:r>
        <w:rPr>
          <w:rFonts w:cs="Times New Roman"/>
          <w:noProof/>
          <w:sz w:val="20"/>
        </w:rPr>
        <w:t>argets for integrating biodiversity and ecosystem services in spatial planning</w:t>
      </w:r>
      <w:r>
        <w:rPr>
          <w:rFonts w:cs="Times New Roman"/>
          <w:noProof/>
          <w:sz w:val="20"/>
          <w:vertAlign w:val="superscript"/>
        </w:rPr>
        <w:footnoteReference w:id="52"/>
      </w:r>
      <w:r>
        <w:rPr>
          <w:rFonts w:cs="Times New Roman"/>
          <w:noProof/>
          <w:sz w:val="20"/>
        </w:rPr>
        <w:t xml:space="preserve">, with measures such as </w:t>
      </w:r>
      <w:r>
        <w:rPr>
          <w:rFonts w:ascii="TimesNewRomanPSMT" w:hAnsi="TimesNewRomanPSMT" w:cs="TimesNewRomanPSMT"/>
          <w:noProof/>
          <w:sz w:val="21"/>
          <w:szCs w:val="21"/>
        </w:rPr>
        <w:t xml:space="preserve"> </w:t>
      </w:r>
      <w:r>
        <w:rPr>
          <w:rFonts w:cs="Times New Roman"/>
          <w:noProof/>
          <w:sz w:val="20"/>
        </w:rPr>
        <w:t>incorporating ecological infrastructure in spatial planning, consideration of functional connectivity and the habitat network when establishing compensa</w:t>
      </w:r>
      <w:r>
        <w:rPr>
          <w:rFonts w:cs="Times New Roman"/>
          <w:noProof/>
          <w:sz w:val="20"/>
        </w:rPr>
        <w:t>ting areas, increase of grasslands in urban areas, abandoned buildings and the provision of features that promote biodiversity in newly established green areas, and the preservation of un-fragmented areas and migration corridors. Most activities are execut</w:t>
      </w:r>
      <w:r>
        <w:rPr>
          <w:rFonts w:cs="Times New Roman"/>
          <w:noProof/>
          <w:sz w:val="20"/>
        </w:rPr>
        <w:t>ed at the local or federal province level and are funded by a variety of sources, including EU support.</w:t>
      </w:r>
    </w:p>
    <w:p w:rsidR="00587940" w:rsidRDefault="00E43A41">
      <w:pPr>
        <w:widowControl w:val="0"/>
        <w:spacing w:after="120" w:line="240" w:lineRule="auto"/>
        <w:jc w:val="both"/>
        <w:rPr>
          <w:rFonts w:cs="Times New Roman"/>
          <w:noProof/>
          <w:sz w:val="20"/>
        </w:rPr>
      </w:pPr>
      <w:r>
        <w:rPr>
          <w:rFonts w:cs="Times New Roman"/>
          <w:noProof/>
          <w:sz w:val="20"/>
        </w:rPr>
        <w:t xml:space="preserve">Green Infrastructure projects in Austria include cross-border spatial planning and habitat management measures in the Alps-Carpathians passage aimed at </w:t>
      </w:r>
      <w:r>
        <w:rPr>
          <w:rFonts w:cs="Times New Roman"/>
          <w:noProof/>
          <w:sz w:val="20"/>
        </w:rPr>
        <w:t>creating and preserving a coherent 120-km wide ecological corridor from the Alps to the Carpathians; the restoration of the Lower Morava Floodplains to near-natural river dynamics and new land-use practices; the restoration of the floodplain habitats of th</w:t>
      </w:r>
      <w:r>
        <w:rPr>
          <w:rFonts w:cs="Times New Roman"/>
          <w:noProof/>
          <w:sz w:val="20"/>
        </w:rPr>
        <w:t>e Traisen and the Ybbs rivers through Life+ projects; and other projects.</w:t>
      </w:r>
    </w:p>
    <w:p w:rsidR="00587940" w:rsidRDefault="00E43A41">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3EB92DF4" wp14:editId="6124CFC4">
            <wp:extent cx="2980690" cy="4261338"/>
            <wp:effectExtent l="0" t="0" r="0" b="6350"/>
            <wp:docPr id="19" name="Picture 19" descr="P:\ENV-E2\1. ENV IMPLEMENTATION REVIEW\EIR Data management\Pictures\LIFE pictures\Pictures_by_Country1\Austria\LIFE06_NAT_A_000127_120821151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1\Austria\LIFE06_NAT_A_000127_1208211512_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80690" cy="4261338"/>
                    </a:xfrm>
                    <a:prstGeom prst="rect">
                      <a:avLst/>
                    </a:prstGeom>
                    <a:noFill/>
                    <a:ln>
                      <a:noFill/>
                    </a:ln>
                  </pic:spPr>
                </pic:pic>
              </a:graphicData>
            </a:graphic>
          </wp:inline>
        </w:drawing>
      </w:r>
      <w:r>
        <w:rPr>
          <w:rFonts w:cs="Times New Roman"/>
          <w:noProof/>
          <w:sz w:val="20"/>
        </w:rPr>
        <w:t>The Austrian League for Nature Conservation (Naturschutzbund) coordinates land purchase, management and public awareness raising activities in the 1,300km that Austria contributes t</w:t>
      </w:r>
      <w:r>
        <w:rPr>
          <w:rFonts w:cs="Times New Roman"/>
          <w:noProof/>
          <w:sz w:val="20"/>
        </w:rPr>
        <w:t>o the European Green Belt</w:t>
      </w:r>
      <w:r>
        <w:rPr>
          <w:rFonts w:cs="Times New Roman"/>
          <w:noProof/>
          <w:sz w:val="20"/>
          <w:vertAlign w:val="superscript"/>
        </w:rPr>
        <w:footnoteReference w:id="53"/>
      </w:r>
      <w:r>
        <w:rPr>
          <w:rFonts w:cs="Times New Roman"/>
          <w:noProof/>
          <w:sz w:val="20"/>
        </w:rPr>
        <w:t>.</w:t>
      </w:r>
    </w:p>
    <w:p w:rsidR="00587940" w:rsidRDefault="00E43A41">
      <w:pPr>
        <w:widowControl w:val="0"/>
        <w:spacing w:after="120" w:line="240" w:lineRule="auto"/>
        <w:jc w:val="both"/>
        <w:outlineLvl w:val="1"/>
        <w:rPr>
          <w:rFonts w:cs="Times New Roman"/>
          <w:b/>
          <w:noProof/>
          <w:color w:val="1F497D" w:themeColor="text2"/>
          <w:sz w:val="24"/>
        </w:rPr>
      </w:pPr>
      <w:bookmarkStart w:id="54" w:name="_Toc433296162"/>
      <w:bookmarkStart w:id="55" w:name="_Toc469404510"/>
      <w:bookmarkEnd w:id="51"/>
      <w:r>
        <w:rPr>
          <w:rFonts w:cs="Times New Roman"/>
          <w:b/>
          <w:noProof/>
          <w:color w:val="1F497D" w:themeColor="text2"/>
          <w:sz w:val="24"/>
        </w:rPr>
        <w:t>Soil protection</w:t>
      </w:r>
      <w:bookmarkEnd w:id="54"/>
      <w:bookmarkEnd w:id="55"/>
      <w:r>
        <w:rPr>
          <w:rFonts w:cs="Times New Roman"/>
          <w:b/>
          <w:noProof/>
          <w:color w:val="1F497D" w:themeColor="text2"/>
          <w:sz w:val="24"/>
        </w:rPr>
        <w:t xml:space="preserve"> </w:t>
      </w:r>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Soil Thematic Strategy highlights the need to ensure a sustainable use of soils. This requires the prevention of further soil degradation and the preservation of its functions, as well as the restoration </w:t>
      </w:r>
      <w:r>
        <w:rPr>
          <w:rFonts w:cs="Times New Roman"/>
          <w:noProof/>
          <w:color w:val="FFFFFF" w:themeColor="background1"/>
          <w:sz w:val="20"/>
        </w:rPr>
        <w:t>of degraded soils. The 2011 Road Map for Resource-Efficient Europe, part of Europe 2020 Strategy provides that by 2020, EU policies take into account their direct and indirect impact on land use in the EU and globally, and the rate of land take is on track</w:t>
      </w:r>
      <w:r>
        <w:rPr>
          <w:rFonts w:cs="Times New Roman"/>
          <w:noProof/>
          <w:color w:val="FFFFFF" w:themeColor="background1"/>
          <w:sz w:val="20"/>
        </w:rPr>
        <w:t xml:space="preserve"> with an aim to achieve no net land take by 2050.</w:t>
      </w:r>
    </w:p>
    <w:p w:rsidR="00587940" w:rsidRDefault="00E43A41">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w:t>
      </w:r>
      <w:r>
        <w:rPr>
          <w:rFonts w:ascii="Calibri" w:eastAsia="Calibri" w:hAnsi="Calibri" w:cs="Times New Roman"/>
          <w:noProof/>
          <w:color w:val="FFFFFF"/>
          <w:sz w:val="20"/>
          <w:lang w:eastAsia="ar-SA"/>
        </w:rPr>
        <w:t xml:space="preserve"> 2030.</w:t>
      </w:r>
    </w:p>
    <w:p w:rsidR="00587940" w:rsidRDefault="00E43A41">
      <w:pPr>
        <w:widowControl w:val="0"/>
        <w:spacing w:before="12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sequestration, water purification and flood regulation, the provision of raw a</w:t>
      </w:r>
      <w:r>
        <w:rPr>
          <w:noProof/>
          <w:sz w:val="20"/>
          <w:lang w:eastAsia="en-GB"/>
        </w:rPr>
        <w:t xml:space="preserve">nd building material. Soil is a finite and extremely fragile resource and increasingly degrading in the EU. Land taken by urban development and infrastructure is highly unlikely to be reverted to its natural state; it consumes mostly agricultural land and </w:t>
      </w:r>
      <w:r>
        <w:rPr>
          <w:noProof/>
          <w:sz w:val="20"/>
          <w:lang w:eastAsia="en-GB"/>
        </w:rPr>
        <w:t>increases fragmentation of habitats. Soil protection is indirectly addressed in existing EU policies in areas such as agriculture, water, waste, chemicals, and prevention of industrial pollution.</w:t>
      </w:r>
    </w:p>
    <w:p w:rsidR="00587940" w:rsidRDefault="00E43A41">
      <w:pPr>
        <w:spacing w:after="120" w:line="240" w:lineRule="auto"/>
        <w:jc w:val="both"/>
        <w:rPr>
          <w:rFonts w:cs="Times New Roman"/>
          <w:noProof/>
          <w:sz w:val="20"/>
        </w:rPr>
      </w:pPr>
      <w:r>
        <w:rPr>
          <w:rFonts w:cs="Times New Roman"/>
          <w:noProof/>
          <w:sz w:val="20"/>
        </w:rPr>
        <w:t>Artificial land cover is used for settlements, production sy</w:t>
      </w:r>
      <w:r>
        <w:rPr>
          <w:rFonts w:cs="Times New Roman"/>
          <w:noProof/>
          <w:sz w:val="20"/>
        </w:rPr>
        <w:t>stems and infrastructure. It may itself be split between built-up areas (buildings) and non-built-up areas (such as linear transport networks and associated areas).</w:t>
      </w:r>
    </w:p>
    <w:p w:rsidR="00587940" w:rsidRDefault="00E43A41">
      <w:pPr>
        <w:spacing w:after="120" w:line="240" w:lineRule="auto"/>
        <w:jc w:val="both"/>
        <w:rPr>
          <w:rFonts w:cs="Times New Roman"/>
          <w:noProof/>
          <w:sz w:val="20"/>
        </w:rPr>
      </w:pPr>
      <w:r>
        <w:rPr>
          <w:rFonts w:cs="Times New Roman"/>
          <w:noProof/>
          <w:sz w:val="20"/>
        </w:rPr>
        <w:t>Built-up land in Austria is regularly monitored based on cadastre data. In 2015, built-up l</w:t>
      </w:r>
      <w:r>
        <w:rPr>
          <w:rFonts w:cs="Times New Roman"/>
          <w:noProof/>
          <w:sz w:val="20"/>
        </w:rPr>
        <w:t>and amounted to 6.6 % of the national area. The actually high annual land take rate is currently slightly decreasing, namely from 8,150 hectare in the period from 2009 to 2012 to 5,916 hectare in the period from 2012 to 2015</w:t>
      </w:r>
      <w:r>
        <w:rPr>
          <w:rFonts w:cs="Times New Roman"/>
          <w:noProof/>
          <w:sz w:val="20"/>
          <w:szCs w:val="20"/>
          <w:vertAlign w:val="superscript"/>
        </w:rPr>
        <w:footnoteReference w:id="54"/>
      </w:r>
      <w:r>
        <w:rPr>
          <w:rFonts w:cs="Times New Roman"/>
          <w:noProof/>
          <w:sz w:val="20"/>
        </w:rPr>
        <w:t>.</w:t>
      </w:r>
    </w:p>
    <w:p w:rsidR="00587940" w:rsidRDefault="00E43A41">
      <w:pPr>
        <w:spacing w:after="120" w:line="240" w:lineRule="auto"/>
        <w:jc w:val="both"/>
        <w:rPr>
          <w:rFonts w:cs="Times New Roman"/>
          <w:noProof/>
          <w:sz w:val="20"/>
        </w:rPr>
      </w:pPr>
      <w:r>
        <w:rPr>
          <w:rFonts w:cs="Times New Roman"/>
          <w:noProof/>
          <w:sz w:val="20"/>
        </w:rPr>
        <w:t xml:space="preserve">The annual land take rate </w:t>
      </w:r>
      <w:r>
        <w:rPr>
          <w:rFonts w:cs="Times New Roman"/>
          <w:noProof/>
          <w:sz w:val="20"/>
        </w:rPr>
        <w:t>(growth of artificial areas) as provided by CORINE Land Cover was 0.21% in Austria over the period 2006-12, below the EU average (0.41%). It represented 947.5 hectares per year</w:t>
      </w:r>
      <w:r>
        <w:rPr>
          <w:rFonts w:cs="Times New Roman"/>
          <w:noProof/>
          <w:sz w:val="20"/>
          <w:vertAlign w:val="superscript"/>
        </w:rPr>
        <w:footnoteReference w:id="55"/>
      </w:r>
      <w:r>
        <w:rPr>
          <w:rFonts w:cs="Times New Roman"/>
          <w:noProof/>
          <w:sz w:val="20"/>
        </w:rPr>
        <w:t xml:space="preserve">. </w:t>
      </w:r>
    </w:p>
    <w:p w:rsidR="00587940" w:rsidRDefault="00E43A41">
      <w:pPr>
        <w:spacing w:after="120" w:line="240" w:lineRule="auto"/>
        <w:jc w:val="both"/>
        <w:rPr>
          <w:rFonts w:cs="Times New Roman"/>
          <w:noProof/>
          <w:sz w:val="20"/>
        </w:rPr>
      </w:pPr>
      <w:r>
        <w:rPr>
          <w:rFonts w:cs="Times New Roman"/>
          <w:noProof/>
          <w:sz w:val="20"/>
        </w:rPr>
        <w:t>The soil erosion rate in 2009 was 3.8 tonnes per ha per year, some above EU2</w:t>
      </w:r>
      <w:r>
        <w:rPr>
          <w:rFonts w:cs="Times New Roman"/>
          <w:noProof/>
          <w:sz w:val="20"/>
        </w:rPr>
        <w:t>8 average (2.46 tonnes)</w:t>
      </w:r>
      <w:r>
        <w:rPr>
          <w:rFonts w:cs="Times New Roman"/>
          <w:noProof/>
          <w:sz w:val="20"/>
          <w:szCs w:val="20"/>
          <w:vertAlign w:val="superscript"/>
        </w:rPr>
        <w:footnoteReference w:id="56"/>
      </w:r>
      <w:r>
        <w:rPr>
          <w:rFonts w:cs="Times New Roman"/>
          <w:noProof/>
          <w:sz w:val="20"/>
          <w:szCs w:val="20"/>
        </w:rPr>
        <w:t>. Studies in 2012 and 2014 show similar results, but are not yet published</w:t>
      </w:r>
      <w:r>
        <w:rPr>
          <w:rFonts w:cs="Times New Roman"/>
          <w:noProof/>
          <w:sz w:val="20"/>
          <w:szCs w:val="20"/>
          <w:vertAlign w:val="superscript"/>
        </w:rPr>
        <w:footnoteReference w:id="57"/>
      </w:r>
      <w:r>
        <w:rPr>
          <w:rFonts w:cs="Times New Roman"/>
          <w:noProof/>
          <w:sz w:val="20"/>
          <w:szCs w:val="20"/>
        </w:rPr>
        <w:t>. Soil protecting cultivation supported by the Austrian agri-environment-programme has already led to an increased humus content in Austria’s agricultural so</w:t>
      </w:r>
      <w:r>
        <w:rPr>
          <w:rFonts w:cs="Times New Roman"/>
          <w:noProof/>
          <w:sz w:val="20"/>
          <w:szCs w:val="20"/>
        </w:rPr>
        <w:t>ils as well to a lower soil erosion rate for 3.4 t/ha/year</w:t>
      </w:r>
      <w:r>
        <w:rPr>
          <w:rFonts w:cs="Times New Roman"/>
          <w:noProof/>
          <w:sz w:val="20"/>
          <w:szCs w:val="20"/>
          <w:vertAlign w:val="superscript"/>
        </w:rPr>
        <w:footnoteReference w:id="58"/>
      </w:r>
      <w:r>
        <w:rPr>
          <w:rFonts w:cs="Times New Roman"/>
          <w:noProof/>
          <w:sz w:val="20"/>
          <w:szCs w:val="20"/>
        </w:rPr>
        <w:t>.</w:t>
      </w:r>
    </w:p>
    <w:p w:rsidR="00587940" w:rsidRDefault="00E43A41">
      <w:pPr>
        <w:spacing w:after="120" w:line="240" w:lineRule="auto"/>
        <w:jc w:val="both"/>
        <w:rPr>
          <w:rFonts w:cs="Times New Roman"/>
          <w:noProof/>
          <w:sz w:val="20"/>
          <w:lang w:eastAsia="en-GB"/>
        </w:rPr>
      </w:pPr>
      <w:r>
        <w:rPr>
          <w:rFonts w:cs="Times New Roman"/>
          <w:noProof/>
          <w:sz w:val="20"/>
          <w:lang w:eastAsia="en-GB"/>
        </w:rPr>
        <w:t>There are still not EU-wide datasets enabling the provision of benchmark indicators for soil organic matter decline, contaminated sites, pressures on soil biology and diffuse pollution.</w:t>
      </w:r>
      <w:r>
        <w:rPr>
          <w:rFonts w:cs="Times New Roman"/>
          <w:noProof/>
          <w:sz w:val="20"/>
        </w:rPr>
        <w:t xml:space="preserve"> An update</w:t>
      </w:r>
      <w:r>
        <w:rPr>
          <w:rFonts w:cs="Times New Roman"/>
          <w:noProof/>
          <w:sz w:val="20"/>
        </w:rPr>
        <w:t>d inventory and assessment of soil protection policy instruments in Austria and other EU Member States is being performed by the EU Expert Group on Soil Protection.</w:t>
      </w:r>
    </w:p>
    <w:p w:rsidR="00587940" w:rsidRDefault="00E43A41">
      <w:pPr>
        <w:spacing w:after="120" w:line="240" w:lineRule="auto"/>
        <w:jc w:val="both"/>
        <w:rPr>
          <w:rFonts w:cs="Times New Roman"/>
          <w:noProof/>
          <w:sz w:val="20"/>
        </w:rPr>
      </w:pPr>
      <w:r>
        <w:rPr>
          <w:rFonts w:cs="Times New Roman"/>
          <w:noProof/>
          <w:sz w:val="20"/>
        </w:rPr>
        <w:t>Figure 8 shows the different land cover types in Austria in 2012.</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587940">
        <w:trPr>
          <w:trHeight w:val="222"/>
        </w:trPr>
        <w:tc>
          <w:tcPr>
            <w:tcW w:w="4910" w:type="dxa"/>
          </w:tcPr>
          <w:p w:rsidR="00587940" w:rsidRDefault="00E43A41">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w:t>
            </w:r>
            <w:r>
              <w:rPr>
                <w:rFonts w:cs="Times New Roman"/>
                <w:b/>
                <w:bCs/>
                <w:noProof/>
                <w:color w:val="1F497D" w:themeColor="text2"/>
                <w:sz w:val="20"/>
              </w:rPr>
              <w:t>s in Austria 2012</w:t>
            </w:r>
            <w:r>
              <w:rPr>
                <w:rFonts w:cs="Times New Roman"/>
                <w:b/>
                <w:bCs/>
                <w:noProof/>
                <w:color w:val="1F497D" w:themeColor="text2"/>
                <w:sz w:val="20"/>
                <w:vertAlign w:val="superscript"/>
              </w:rPr>
              <w:footnoteReference w:id="59"/>
            </w:r>
          </w:p>
        </w:tc>
      </w:tr>
      <w:tr w:rsidR="00587940">
        <w:trPr>
          <w:trHeight w:val="3608"/>
        </w:trPr>
        <w:tc>
          <w:tcPr>
            <w:tcW w:w="4910" w:type="dxa"/>
          </w:tcPr>
          <w:p w:rsidR="00587940" w:rsidRDefault="00E43A41">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5C438225" wp14:editId="24E4AD85">
                  <wp:extent cx="3063875" cy="3650615"/>
                  <wp:effectExtent l="0" t="0" r="3175" b="6985"/>
                  <wp:docPr id="27" name="Picture 27" descr="AT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_CS_CLC_typ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3875" cy="3650615"/>
                          </a:xfrm>
                          <a:prstGeom prst="rect">
                            <a:avLst/>
                          </a:prstGeom>
                          <a:noFill/>
                          <a:ln>
                            <a:noFill/>
                          </a:ln>
                        </pic:spPr>
                      </pic:pic>
                    </a:graphicData>
                  </a:graphic>
                </wp:inline>
              </w:drawing>
            </w:r>
          </w:p>
        </w:tc>
      </w:tr>
    </w:tbl>
    <w:p w:rsidR="00587940" w:rsidRDefault="00E43A41">
      <w:pPr>
        <w:widowControl w:val="0"/>
        <w:spacing w:after="120" w:line="240" w:lineRule="auto"/>
        <w:jc w:val="both"/>
        <w:rPr>
          <w:rFonts w:cs="Times New Roman"/>
          <w:noProof/>
          <w:sz w:val="20"/>
        </w:rPr>
        <w:sectPr w:rsidR="00587940">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num="2" w:space="358"/>
          <w:docGrid w:linePitch="360"/>
        </w:sectPr>
      </w:pPr>
      <w:r>
        <w:rPr>
          <w:rFonts w:cs="Times New Roman"/>
          <w:noProof/>
          <w:sz w:val="20"/>
        </w:rPr>
        <w:br w:type="page"/>
      </w:r>
    </w:p>
    <w:p w:rsidR="00587940" w:rsidRDefault="00E43A41">
      <w:pPr>
        <w:numPr>
          <w:ilvl w:val="0"/>
          <w:numId w:val="18"/>
        </w:numPr>
        <w:spacing w:after="0" w:line="240" w:lineRule="auto"/>
        <w:jc w:val="center"/>
        <w:outlineLvl w:val="0"/>
        <w:rPr>
          <w:rFonts w:eastAsiaTheme="majorEastAsia" w:cstheme="majorBidi"/>
          <w:b/>
          <w:bCs/>
          <w:noProof/>
          <w:color w:val="1F497D" w:themeColor="text2"/>
          <w:sz w:val="32"/>
          <w:szCs w:val="28"/>
        </w:rPr>
      </w:pPr>
      <w:bookmarkStart w:id="56" w:name="_Toc469404511"/>
      <w:r>
        <w:rPr>
          <w:rFonts w:eastAsiaTheme="majorEastAsia" w:cstheme="majorBidi"/>
          <w:b/>
          <w:bCs/>
          <w:noProof/>
          <w:color w:val="1F497D" w:themeColor="text2"/>
          <w:sz w:val="32"/>
          <w:szCs w:val="28"/>
        </w:rPr>
        <w:t>Ensuring citizens' health and quality of life</w:t>
      </w:r>
      <w:bookmarkEnd w:id="56"/>
    </w:p>
    <w:p w:rsidR="00587940" w:rsidRDefault="00587940">
      <w:pPr>
        <w:widowControl w:val="0"/>
        <w:spacing w:after="120" w:line="240" w:lineRule="auto"/>
        <w:jc w:val="both"/>
        <w:rPr>
          <w:rFonts w:cs="Times New Roman"/>
          <w:noProof/>
          <w:sz w:val="20"/>
        </w:rPr>
      </w:pPr>
    </w:p>
    <w:p w:rsidR="00587940" w:rsidRDefault="00587940">
      <w:pPr>
        <w:widowControl w:val="0"/>
        <w:spacing w:after="120" w:line="240" w:lineRule="auto"/>
        <w:jc w:val="both"/>
        <w:rPr>
          <w:rFonts w:cs="Times New Roman"/>
          <w:noProof/>
          <w:sz w:val="20"/>
        </w:rPr>
        <w:sectPr w:rsidR="00587940">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space="566"/>
          <w:docGrid w:linePitch="360"/>
        </w:sectPr>
      </w:pPr>
    </w:p>
    <w:p w:rsidR="00587940" w:rsidRDefault="00E43A41">
      <w:pPr>
        <w:widowControl w:val="0"/>
        <w:spacing w:after="120" w:line="240" w:lineRule="auto"/>
        <w:jc w:val="both"/>
        <w:outlineLvl w:val="1"/>
        <w:rPr>
          <w:rFonts w:cs="Times New Roman"/>
          <w:b/>
          <w:noProof/>
          <w:color w:val="1F497D" w:themeColor="text2"/>
          <w:sz w:val="24"/>
        </w:rPr>
      </w:pPr>
      <w:bookmarkStart w:id="57" w:name="_Toc433296166"/>
      <w:bookmarkStart w:id="58" w:name="_Toc469404512"/>
      <w:r>
        <w:rPr>
          <w:rFonts w:cs="Times New Roman"/>
          <w:b/>
          <w:noProof/>
          <w:color w:val="1F497D" w:themeColor="text2"/>
          <w:sz w:val="24"/>
        </w:rPr>
        <w:t>Air quality</w:t>
      </w:r>
      <w:bookmarkEnd w:id="57"/>
      <w:bookmarkEnd w:id="58"/>
      <w:r>
        <w:rPr>
          <w:rFonts w:cs="Times New Roman"/>
          <w:b/>
          <w:noProof/>
          <w:color w:val="1F497D" w:themeColor="text2"/>
          <w:sz w:val="24"/>
        </w:rPr>
        <w:t xml:space="preserve"> </w:t>
      </w:r>
    </w:p>
    <w:tbl>
      <w:tblPr>
        <w:tblStyle w:val="TableGrid3"/>
        <w:tblpPr w:leftFromText="180" w:rightFromText="180" w:vertAnchor="text" w:horzAnchor="margin" w:tblpY="3307"/>
        <w:tblW w:w="97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587940">
        <w:trPr>
          <w:trHeight w:val="328"/>
        </w:trPr>
        <w:tc>
          <w:tcPr>
            <w:tcW w:w="9741" w:type="dxa"/>
          </w:tcPr>
          <w:p w:rsidR="00587940" w:rsidRDefault="00E43A41">
            <w:pPr>
              <w:spacing w:after="120"/>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w:t>
            </w:r>
          </w:p>
        </w:tc>
      </w:tr>
      <w:tr w:rsidR="00587940">
        <w:trPr>
          <w:trHeight w:val="4030"/>
        </w:trPr>
        <w:tc>
          <w:tcPr>
            <w:tcW w:w="9741" w:type="dxa"/>
          </w:tcPr>
          <w:p w:rsidR="00587940" w:rsidRDefault="00E43A41">
            <w:pPr>
              <w:spacing w:after="120"/>
              <w:jc w:val="both"/>
              <w:rPr>
                <w:rFonts w:cs="Times New Roman"/>
                <w:noProof/>
                <w:sz w:val="20"/>
              </w:rPr>
            </w:pPr>
            <w:r>
              <w:rPr>
                <w:rFonts w:cs="Times New Roman"/>
                <w:noProof/>
                <w:sz w:val="20"/>
                <w:lang w:eastAsia="en-GB"/>
              </w:rPr>
              <w:drawing>
                <wp:inline distT="0" distB="0" distL="0" distR="0" wp14:anchorId="73E18641" wp14:editId="2DE85BA2">
                  <wp:extent cx="6032665" cy="2981402"/>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31318" cy="2980736"/>
                          </a:xfrm>
                          <a:prstGeom prst="rect">
                            <a:avLst/>
                          </a:prstGeom>
                          <a:noFill/>
                        </pic:spPr>
                      </pic:pic>
                    </a:graphicData>
                  </a:graphic>
                </wp:inline>
              </w:drawing>
            </w:r>
          </w:p>
        </w:tc>
      </w:tr>
    </w:tbl>
    <w:p w:rsidR="00587940" w:rsidRDefault="00E43A41">
      <w:pPr>
        <w:widowControl w:val="0"/>
        <w:shd w:val="clear" w:color="auto" w:fill="4F81BD" w:themeFill="accent1"/>
        <w:spacing w:after="120" w:line="240" w:lineRule="auto"/>
        <w:jc w:val="both"/>
        <w:rPr>
          <w:rFonts w:cs="Times New Roman"/>
          <w:noProof/>
          <w:color w:val="FFFFFF" w:themeColor="background1"/>
          <w:sz w:val="20"/>
          <w:szCs w:val="20"/>
        </w:rPr>
      </w:pPr>
      <w:r>
        <w:rPr>
          <w:rFonts w:cs="Times New Roman"/>
          <w:noProof/>
          <w:color w:val="FFFFFF" w:themeColor="background1"/>
          <w:sz w:val="20"/>
          <w:szCs w:val="20"/>
        </w:rPr>
        <w:t xml:space="preserve">The EU Clean Air Policy and legislation require that air quality in the Union is significantly improved, </w:t>
      </w:r>
      <w:r>
        <w:rPr>
          <w:rFonts w:cs="Times New Roman"/>
          <w:noProof/>
          <w:color w:val="FFFFFF" w:themeColor="background1"/>
          <w:sz w:val="20"/>
          <w:szCs w:val="20"/>
        </w:rPr>
        <w:t>moving closer to the WHO recommended levels. Air pollution and its impacts on ecosystems and biodiversity should be further reduced with the long-term aim of not exceeding critical loads and levels. This requires strengthening efforts to reach full complia</w:t>
      </w:r>
      <w:r>
        <w:rPr>
          <w:rFonts w:cs="Times New Roman"/>
          <w:noProof/>
          <w:color w:val="FFFFFF" w:themeColor="background1"/>
          <w:sz w:val="20"/>
          <w:szCs w:val="20"/>
        </w:rPr>
        <w:t>nce with Union air quality legislation and defining strategic targets and actions beyond 2020.</w:t>
      </w:r>
    </w:p>
    <w:p w:rsidR="00587940" w:rsidRDefault="00E43A41">
      <w:pPr>
        <w:widowControl w:val="0"/>
        <w:spacing w:after="120" w:line="240" w:lineRule="auto"/>
        <w:jc w:val="both"/>
        <w:rPr>
          <w:rFonts w:cs="Times New Roman"/>
          <w:noProof/>
          <w:sz w:val="20"/>
          <w:szCs w:val="20"/>
        </w:rPr>
      </w:pPr>
      <w:r>
        <w:rPr>
          <w:rFonts w:cs="Times New Roman"/>
          <w:noProof/>
          <w:sz w:val="20"/>
          <w:szCs w:val="20"/>
        </w:rPr>
        <w:t>The EU has developed a comprehensive suite of air quality legislation</w:t>
      </w:r>
      <w:r>
        <w:rPr>
          <w:rFonts w:cs="Times New Roman"/>
          <w:noProof/>
          <w:sz w:val="20"/>
          <w:szCs w:val="20"/>
          <w:vertAlign w:val="superscript"/>
        </w:rPr>
        <w:footnoteReference w:id="60"/>
      </w:r>
      <w:r>
        <w:rPr>
          <w:rFonts w:cs="Times New Roman"/>
          <w:noProof/>
          <w:sz w:val="20"/>
          <w:szCs w:val="20"/>
        </w:rPr>
        <w:t>, which establishes health-based standards and objectives for a number of air pollutants. A</w:t>
      </w:r>
      <w:r>
        <w:rPr>
          <w:rFonts w:cs="Times New Roman"/>
          <w:noProof/>
          <w:sz w:val="20"/>
          <w:szCs w:val="20"/>
        </w:rPr>
        <w:t>s part of this, Member States are also required to ensure that up-to-date information on ambient concentrations of different air pollutants is routinely made available to the public. In addition, the National Emission Ceilings Directive provides for emissi</w:t>
      </w:r>
      <w:r>
        <w:rPr>
          <w:rFonts w:cs="Times New Roman"/>
          <w:noProof/>
          <w:sz w:val="20"/>
          <w:szCs w:val="20"/>
        </w:rPr>
        <w:t>on reductions at national level that should be achieved for main pollutants.</w:t>
      </w:r>
    </w:p>
    <w:p w:rsidR="00587940" w:rsidRDefault="00E43A41">
      <w:pPr>
        <w:widowControl w:val="0"/>
        <w:spacing w:after="120" w:line="240" w:lineRule="auto"/>
        <w:jc w:val="both"/>
        <w:rPr>
          <w:rFonts w:cs="Times New Roman"/>
          <w:noProof/>
          <w:sz w:val="20"/>
          <w:szCs w:val="20"/>
        </w:rPr>
      </w:pPr>
      <w:r>
        <w:rPr>
          <w:rFonts w:cs="Times New Roman"/>
          <w:noProof/>
          <w:sz w:val="20"/>
          <w:szCs w:val="20"/>
        </w:rPr>
        <w:t>The emission of several air pollutants has decreased significantly in Austria</w:t>
      </w:r>
      <w:r>
        <w:rPr>
          <w:rFonts w:cs="Times New Roman"/>
          <w:noProof/>
          <w:sz w:val="20"/>
          <w:szCs w:val="20"/>
          <w:vertAlign w:val="superscript"/>
        </w:rPr>
        <w:footnoteReference w:id="61"/>
      </w:r>
      <w:r>
        <w:rPr>
          <w:rFonts w:cs="Times New Roman"/>
          <w:noProof/>
          <w:sz w:val="20"/>
          <w:szCs w:val="20"/>
        </w:rPr>
        <w:t>. Reductions between 1990 and 2014 for sulphur oxides (-78%), as well as volatile organic compounds (</w:t>
      </w:r>
      <w:r>
        <w:rPr>
          <w:rFonts w:cs="Times New Roman"/>
          <w:noProof/>
          <w:sz w:val="20"/>
          <w:szCs w:val="20"/>
        </w:rPr>
        <w:t>-61%) ensure air emissions for these pollutants are within the currently applicable national emission ceilings</w:t>
      </w:r>
      <w:r>
        <w:rPr>
          <w:rFonts w:cs="Times New Roman"/>
          <w:noProof/>
          <w:sz w:val="20"/>
          <w:szCs w:val="20"/>
          <w:vertAlign w:val="superscript"/>
        </w:rPr>
        <w:footnoteReference w:id="62"/>
      </w:r>
      <w:r>
        <w:rPr>
          <w:rFonts w:cs="Times New Roman"/>
          <w:noProof/>
          <w:sz w:val="20"/>
          <w:szCs w:val="20"/>
        </w:rPr>
        <w:t>. Insufficient reductions in emissions for nitrogen oxides (-30 %) and a slight increase of ammonia emissions result in non-compliance with curre</w:t>
      </w:r>
      <w:r>
        <w:rPr>
          <w:rFonts w:cs="Times New Roman"/>
          <w:noProof/>
          <w:sz w:val="20"/>
          <w:szCs w:val="20"/>
        </w:rPr>
        <w:t xml:space="preserve">nt ceilings: these are exceeded by 47% and 2%, respectively. It should be noted that the exceedance of the current ceiling for nitrogen oxides is partly due to the non-delivery of the Euro standards for diesel vehicles, while the exceedance of the ceiling </w:t>
      </w:r>
      <w:r>
        <w:rPr>
          <w:rFonts w:cs="Times New Roman"/>
          <w:noProof/>
          <w:sz w:val="20"/>
          <w:szCs w:val="20"/>
        </w:rPr>
        <w:t xml:space="preserve">for ammonia partly results from the reporting of new sources of emissions </w:t>
      </w:r>
      <w:r>
        <w:rPr>
          <w:rFonts w:cs="Times New Roman"/>
          <w:noProof/>
          <w:sz w:val="20"/>
          <w:szCs w:val="20"/>
          <w:lang w:eastAsia="en-GB"/>
        </w:rPr>
        <w:t>which were not estimated or considered at the time when the emission ceilings were set.</w:t>
      </w:r>
    </w:p>
    <w:p w:rsidR="00587940" w:rsidRDefault="00E43A41">
      <w:pPr>
        <w:widowControl w:val="0"/>
        <w:spacing w:after="120" w:line="240" w:lineRule="auto"/>
        <w:jc w:val="both"/>
        <w:rPr>
          <w:rFonts w:cs="Times New Roman"/>
          <w:noProof/>
          <w:sz w:val="20"/>
          <w:szCs w:val="20"/>
        </w:rPr>
      </w:pPr>
      <w:r>
        <w:rPr>
          <w:rFonts w:cs="Times New Roman"/>
          <w:noProof/>
          <w:sz w:val="20"/>
          <w:szCs w:val="20"/>
        </w:rPr>
        <w:t>At the same time, air quality in Austria continues to give cause for concern. For the year 201</w:t>
      </w:r>
      <w:r>
        <w:rPr>
          <w:rFonts w:cs="Times New Roman"/>
          <w:noProof/>
          <w:sz w:val="20"/>
          <w:szCs w:val="20"/>
        </w:rPr>
        <w:t>3, the European Environment Agency estimated that about 6 960 premature deaths were attributable to fine particulate matter</w:t>
      </w:r>
      <w:r>
        <w:rPr>
          <w:rFonts w:cs="Times New Roman"/>
          <w:noProof/>
          <w:sz w:val="20"/>
          <w:szCs w:val="20"/>
          <w:vertAlign w:val="superscript"/>
        </w:rPr>
        <w:footnoteReference w:id="63"/>
      </w:r>
      <w:r>
        <w:rPr>
          <w:rFonts w:cs="Times New Roman"/>
          <w:noProof/>
          <w:sz w:val="20"/>
          <w:szCs w:val="20"/>
        </w:rPr>
        <w:t xml:space="preserve"> concentrations, 330 to ozone</w:t>
      </w:r>
      <w:r>
        <w:rPr>
          <w:rFonts w:cs="Times New Roman"/>
          <w:noProof/>
          <w:sz w:val="20"/>
          <w:szCs w:val="20"/>
          <w:vertAlign w:val="superscript"/>
        </w:rPr>
        <w:footnoteReference w:id="64"/>
      </w:r>
      <w:r>
        <w:rPr>
          <w:rFonts w:cs="Times New Roman"/>
          <w:noProof/>
          <w:sz w:val="20"/>
          <w:szCs w:val="20"/>
        </w:rPr>
        <w:t xml:space="preserve"> concentration and 910 to nitrogen dioxide</w:t>
      </w:r>
      <w:r>
        <w:rPr>
          <w:rFonts w:cs="Times New Roman"/>
          <w:noProof/>
          <w:sz w:val="20"/>
          <w:szCs w:val="20"/>
          <w:vertAlign w:val="superscript"/>
        </w:rPr>
        <w:footnoteReference w:id="65"/>
      </w:r>
      <w:r>
        <w:rPr>
          <w:rFonts w:cs="Times New Roman"/>
          <w:noProof/>
          <w:sz w:val="20"/>
          <w:szCs w:val="20"/>
        </w:rPr>
        <w:t xml:space="preserve"> concentrations.</w:t>
      </w:r>
      <w:r>
        <w:rPr>
          <w:rFonts w:cs="Times New Roman"/>
          <w:noProof/>
          <w:sz w:val="20"/>
          <w:szCs w:val="20"/>
          <w:vertAlign w:val="superscript"/>
        </w:rPr>
        <w:footnoteReference w:id="66"/>
      </w:r>
      <w:r>
        <w:rPr>
          <w:rFonts w:cs="Times New Roman"/>
          <w:noProof/>
          <w:sz w:val="20"/>
          <w:szCs w:val="20"/>
        </w:rPr>
        <w:t xml:space="preserve"> This is due also to exceedances above the</w:t>
      </w:r>
      <w:r>
        <w:rPr>
          <w:rFonts w:cs="Times New Roman"/>
          <w:noProof/>
          <w:sz w:val="20"/>
          <w:szCs w:val="20"/>
        </w:rPr>
        <w:t xml:space="preserve"> EU air quality standards such as shown in Figure 9</w:t>
      </w:r>
      <w:r>
        <w:rPr>
          <w:rFonts w:cs="Times New Roman"/>
          <w:noProof/>
          <w:sz w:val="20"/>
          <w:szCs w:val="20"/>
          <w:vertAlign w:val="superscript"/>
        </w:rPr>
        <w:footnoteReference w:id="67"/>
      </w:r>
      <w:r>
        <w:rPr>
          <w:rFonts w:cs="Times New Roman"/>
          <w:noProof/>
          <w:sz w:val="20"/>
          <w:szCs w:val="20"/>
        </w:rPr>
        <w:t xml:space="preserve">. </w:t>
      </w:r>
    </w:p>
    <w:p w:rsidR="00587940" w:rsidRDefault="00E43A41">
      <w:pPr>
        <w:widowControl w:val="0"/>
        <w:spacing w:after="120" w:line="240" w:lineRule="auto"/>
        <w:jc w:val="both"/>
        <w:rPr>
          <w:rFonts w:cs="Times New Roman"/>
          <w:noProof/>
          <w:sz w:val="20"/>
          <w:szCs w:val="20"/>
        </w:rPr>
      </w:pPr>
      <w:r>
        <w:rPr>
          <w:rFonts w:cs="Times New Roman"/>
          <w:noProof/>
          <w:sz w:val="20"/>
          <w:lang w:eastAsia="en-GB"/>
        </w:rPr>
        <w:drawing>
          <wp:inline distT="0" distB="0" distL="0" distR="0" wp14:anchorId="46101E9B" wp14:editId="73730875">
            <wp:extent cx="2971800" cy="44028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Traffic jam iStock_63056933_SMALL.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73564" cy="4405473"/>
                    </a:xfrm>
                    <a:prstGeom prst="rect">
                      <a:avLst/>
                    </a:prstGeom>
                  </pic:spPr>
                </pic:pic>
              </a:graphicData>
            </a:graphic>
          </wp:inline>
        </w:drawing>
      </w:r>
      <w:r>
        <w:rPr>
          <w:rFonts w:cs="Times New Roman"/>
          <w:noProof/>
          <w:sz w:val="20"/>
          <w:szCs w:val="20"/>
        </w:rPr>
        <w:t>For 2014, exceedances reported include those related to limit value of annual mean concentration of nitrogen dioxide (NO</w:t>
      </w:r>
      <w:r>
        <w:rPr>
          <w:rFonts w:cs="Times New Roman"/>
          <w:noProof/>
          <w:sz w:val="20"/>
          <w:szCs w:val="20"/>
          <w:vertAlign w:val="subscript"/>
        </w:rPr>
        <w:t>2</w:t>
      </w:r>
      <w:r>
        <w:rPr>
          <w:rFonts w:cs="Times New Roman"/>
          <w:noProof/>
          <w:sz w:val="20"/>
          <w:szCs w:val="20"/>
        </w:rPr>
        <w:t>) in seven air quality zones (Oberösterreich, Vorarlberg, Tirol, Salzburg, Graz</w:t>
      </w:r>
      <w:r>
        <w:rPr>
          <w:rFonts w:cs="Times New Roman"/>
          <w:noProof/>
          <w:sz w:val="20"/>
          <w:szCs w:val="20"/>
        </w:rPr>
        <w:t>, Linz, and Wien), and related to limit value of daily concentrations of particulate matter (PM</w:t>
      </w:r>
      <w:r>
        <w:rPr>
          <w:rFonts w:cs="Times New Roman"/>
          <w:noProof/>
          <w:sz w:val="20"/>
          <w:szCs w:val="20"/>
          <w:vertAlign w:val="subscript"/>
        </w:rPr>
        <w:t>10</w:t>
      </w:r>
      <w:r>
        <w:rPr>
          <w:rFonts w:cs="Times New Roman"/>
          <w:noProof/>
          <w:sz w:val="20"/>
          <w:szCs w:val="20"/>
        </w:rPr>
        <w:t>) in one air quality zone (Graz). Furthermore, the target values for ozone are not met in several air quality zones.</w:t>
      </w:r>
      <w:r>
        <w:rPr>
          <w:rStyle w:val="FootnoteReference"/>
          <w:rFonts w:cs="Times New Roman"/>
          <w:noProof/>
          <w:sz w:val="20"/>
          <w:szCs w:val="20"/>
        </w:rPr>
        <w:footnoteReference w:id="68"/>
      </w:r>
    </w:p>
    <w:p w:rsidR="00587940" w:rsidRDefault="00E43A41">
      <w:pPr>
        <w:widowControl w:val="0"/>
        <w:spacing w:after="120" w:line="240" w:lineRule="auto"/>
        <w:jc w:val="both"/>
        <w:rPr>
          <w:rFonts w:cs="Times New Roman"/>
          <w:noProof/>
          <w:sz w:val="20"/>
          <w:szCs w:val="20"/>
        </w:rPr>
      </w:pPr>
      <w:r>
        <w:rPr>
          <w:rFonts w:cs="Times New Roman"/>
          <w:noProof/>
          <w:sz w:val="20"/>
          <w:szCs w:val="20"/>
        </w:rPr>
        <w:t xml:space="preserve">The persistent breaches of air quality </w:t>
      </w:r>
      <w:r>
        <w:rPr>
          <w:rFonts w:cs="Times New Roman"/>
          <w:noProof/>
          <w:sz w:val="20"/>
          <w:szCs w:val="20"/>
        </w:rPr>
        <w:t>requirements (for NO</w:t>
      </w:r>
      <w:r>
        <w:rPr>
          <w:rFonts w:cs="Times New Roman"/>
          <w:noProof/>
          <w:sz w:val="20"/>
          <w:szCs w:val="20"/>
          <w:vertAlign w:val="subscript"/>
        </w:rPr>
        <w:t>2</w:t>
      </w:r>
      <w:r>
        <w:rPr>
          <w:rFonts w:cs="Times New Roman"/>
          <w:noProof/>
          <w:sz w:val="20"/>
          <w:szCs w:val="20"/>
        </w:rPr>
        <w:t>), which have severe negative effects on health and environment are being followed up by the European Commission through infringement procedures covering all the Member States concerned, including Austria. The aim is that adequate meas</w:t>
      </w:r>
      <w:r>
        <w:rPr>
          <w:rFonts w:cs="Times New Roman"/>
          <w:noProof/>
          <w:sz w:val="20"/>
          <w:szCs w:val="20"/>
        </w:rPr>
        <w:t>ures are put in place to bring all zones into compliance.</w:t>
      </w:r>
    </w:p>
    <w:p w:rsidR="00587940" w:rsidRDefault="00E43A41">
      <w:pPr>
        <w:widowControl w:val="0"/>
        <w:spacing w:after="120" w:line="240" w:lineRule="auto"/>
        <w:jc w:val="both"/>
        <w:rPr>
          <w:rFonts w:cs="Times New Roman"/>
          <w:noProof/>
          <w:sz w:val="20"/>
          <w:szCs w:val="20"/>
          <w:lang w:eastAsia="en-GB"/>
        </w:rPr>
      </w:pPr>
      <w:r>
        <w:rPr>
          <w:rFonts w:cs="Times New Roman"/>
          <w:noProof/>
          <w:sz w:val="20"/>
          <w:szCs w:val="20"/>
          <w:lang w:eastAsia="en-GB"/>
        </w:rPr>
        <w:t xml:space="preserve">It has been estimated that the health-related external costs from air pollution in Austria are above EUR 5 billion/year (income adjusted, 2010), which include not only the intrinsic value of living </w:t>
      </w:r>
      <w:r>
        <w:rPr>
          <w:rFonts w:cs="Times New Roman"/>
          <w:noProof/>
          <w:sz w:val="20"/>
          <w:szCs w:val="20"/>
          <w:lang w:eastAsia="en-GB"/>
        </w:rPr>
        <w:t xml:space="preserve">a full health life but also direct costs to the economy. These direct economic costs relate to almost 2 million workdays lost each year due to sickness related to air pollution, with associated costs for employers of EUR 249 million/year (income adjusted, </w:t>
      </w:r>
      <w:r>
        <w:rPr>
          <w:rFonts w:cs="Times New Roman"/>
          <w:noProof/>
          <w:sz w:val="20"/>
          <w:szCs w:val="20"/>
          <w:lang w:eastAsia="en-GB"/>
        </w:rPr>
        <w:t>2010), for healthcare of above EUR 24 million/year (income adjusted, 2010), and for agriculture (crop losses) of EUR 82 million/year (2010)</w:t>
      </w:r>
      <w:r>
        <w:rPr>
          <w:rFonts w:cs="Times New Roman"/>
          <w:noProof/>
          <w:sz w:val="20"/>
          <w:szCs w:val="20"/>
          <w:vertAlign w:val="superscript"/>
          <w:lang w:eastAsia="en-GB"/>
        </w:rPr>
        <w:footnoteReference w:id="69"/>
      </w:r>
      <w:r>
        <w:rPr>
          <w:rFonts w:cs="Times New Roman"/>
          <w:noProof/>
          <w:sz w:val="20"/>
          <w:szCs w:val="20"/>
          <w:lang w:eastAsia="en-GB"/>
        </w:rPr>
        <w:t>.</w:t>
      </w:r>
    </w:p>
    <w:p w:rsidR="00587940" w:rsidRDefault="00E43A41">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587940" w:rsidRDefault="00E43A41">
      <w:pPr>
        <w:pStyle w:val="SuggActions"/>
        <w:rPr>
          <w:noProof/>
        </w:rPr>
      </w:pPr>
      <w:r>
        <w:rPr>
          <w:noProof/>
        </w:rPr>
        <w:t xml:space="preserve">Maintain downward emissions trends of air pollutants in order to achieve full compliance with </w:t>
      </w:r>
      <w:r>
        <w:rPr>
          <w:noProof/>
        </w:rPr>
        <w:t>currently applicable national emission ceilings and air quality limit values - and reduce adverse air pollution impacts on health, environment and economy.</w:t>
      </w:r>
    </w:p>
    <w:p w:rsidR="00587940" w:rsidRDefault="00E43A41">
      <w:pPr>
        <w:pStyle w:val="SuggActions"/>
        <w:rPr>
          <w:noProof/>
        </w:rPr>
      </w:pPr>
      <w:r>
        <w:rPr>
          <w:noProof/>
        </w:rPr>
        <w:t>Reduce ammonia (NH3) emissions to comply with currently applicable national emission ceilings, for e</w:t>
      </w:r>
      <w:r>
        <w:rPr>
          <w:noProof/>
        </w:rPr>
        <w:t>xample by introducing or expanding the use of low-emission agricultural techniques.</w:t>
      </w:r>
    </w:p>
    <w:p w:rsidR="00587940" w:rsidRDefault="00E43A41">
      <w:pPr>
        <w:pStyle w:val="SuggActions"/>
        <w:rPr>
          <w:noProof/>
        </w:rPr>
      </w:pPr>
      <w:r>
        <w:rPr>
          <w:noProof/>
        </w:rPr>
        <w:t>Reduce nitrogen oxide (NOx) emissions to comply with currently applicable national emission ceilings</w:t>
      </w:r>
      <w:r>
        <w:rPr>
          <w:rStyle w:val="FootnoteReference"/>
          <w:noProof/>
          <w:vertAlign w:val="baseline"/>
        </w:rPr>
        <w:footnoteReference w:id="70"/>
      </w:r>
      <w:r>
        <w:rPr>
          <w:noProof/>
        </w:rPr>
        <w:t xml:space="preserve"> and/or to reduce nitrogen dioxide (NO2) (and ozone concentrations), in</w:t>
      </w:r>
      <w:r>
        <w:rPr>
          <w:noProof/>
        </w:rPr>
        <w:t>ter alia, by reducing transport related emissions - in particular in urban areas.</w:t>
      </w:r>
    </w:p>
    <w:p w:rsidR="00587940" w:rsidRDefault="00E43A41">
      <w:pPr>
        <w:pStyle w:val="SuggActions"/>
        <w:rPr>
          <w:noProof/>
        </w:rPr>
      </w:pPr>
      <w:r>
        <w:rPr>
          <w:noProof/>
        </w:rPr>
        <w:t>Reduce PM10 emission and concentration, inter alia, by reducing emissions related to energy and heat generation using solid fuels, to transport and to agriculture.</w:t>
      </w:r>
    </w:p>
    <w:p w:rsidR="00587940" w:rsidRDefault="00E43A41">
      <w:pPr>
        <w:spacing w:after="120" w:line="240" w:lineRule="auto"/>
        <w:rPr>
          <w:rFonts w:ascii="Calibri" w:eastAsia="Calibri" w:hAnsi="Calibri" w:cs="Times New Roman"/>
          <w:b/>
          <w:noProof/>
          <w:color w:val="1F497D"/>
          <w:sz w:val="20"/>
          <w:szCs w:val="20"/>
          <w:lang w:eastAsia="ar-SA"/>
        </w:rPr>
      </w:pPr>
      <w:r>
        <w:rPr>
          <w:rFonts w:cs="Times New Roman"/>
          <w:b/>
          <w:noProof/>
          <w:color w:val="1F497D" w:themeColor="text2"/>
          <w:sz w:val="24"/>
        </w:rPr>
        <w:t>Noise</w:t>
      </w:r>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w:t>
      </w:r>
      <w:r>
        <w:rPr>
          <w:rFonts w:cs="Times New Roman"/>
          <w:noProof/>
          <w:color w:val="FFFFFF" w:themeColor="background1"/>
          <w:sz w:val="20"/>
        </w:rPr>
        <w:t>Environmental Noise Directive provides for a common approach for the avoidance, prevention and reduction of harmful effects due to exposure to environmental noise.</w:t>
      </w:r>
    </w:p>
    <w:p w:rsidR="00587940" w:rsidRDefault="00E43A41">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71"/>
      </w:r>
      <w:r>
        <w:rPr>
          <w:rFonts w:cs="Times New Roman"/>
          <w:noProof/>
          <w:sz w:val="20"/>
        </w:rPr>
        <w:t xml:space="preserve">. To alleviate this, the EU </w:t>
      </w:r>
      <w:r>
        <w:rPr>
          <w:rFonts w:cs="Times New Roman"/>
          <w:i/>
          <w:noProof/>
          <w:sz w:val="20"/>
        </w:rPr>
        <w:t>acqui</w:t>
      </w:r>
      <w:r>
        <w:rPr>
          <w:rFonts w:cs="Times New Roman"/>
          <w:i/>
          <w:noProof/>
          <w:sz w:val="20"/>
        </w:rPr>
        <w:t>s</w:t>
      </w:r>
      <w:r>
        <w:rPr>
          <w:rFonts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action plans with a view to preve</w:t>
      </w:r>
      <w:r>
        <w:rPr>
          <w:rFonts w:cs="Times New Roman"/>
          <w:noProof/>
          <w:sz w:val="20"/>
        </w:rPr>
        <w:t>nting and reducing environmental noise where necessary and to preserving the acoustic environment quality where it is good.</w:t>
      </w:r>
    </w:p>
    <w:p w:rsidR="00587940" w:rsidRDefault="00E43A41">
      <w:pPr>
        <w:widowControl w:val="0"/>
        <w:spacing w:after="120" w:line="240" w:lineRule="auto"/>
        <w:jc w:val="both"/>
        <w:rPr>
          <w:rFonts w:cs="Times New Roman"/>
          <w:noProof/>
          <w:sz w:val="20"/>
        </w:rPr>
      </w:pPr>
      <w:r>
        <w:rPr>
          <w:rFonts w:cs="Times New Roman"/>
          <w:noProof/>
          <w:sz w:val="20"/>
        </w:rPr>
        <w:t>Austrian authorities have fulfilled all their obligations with regards to the Environmental Noise Directive</w:t>
      </w:r>
      <w:r>
        <w:rPr>
          <w:rFonts w:cs="Times New Roman"/>
          <w:noProof/>
          <w:sz w:val="20"/>
          <w:vertAlign w:val="superscript"/>
        </w:rPr>
        <w:footnoteReference w:id="72"/>
      </w:r>
      <w:r>
        <w:rPr>
          <w:rFonts w:cs="Times New Roman"/>
          <w:noProof/>
          <w:sz w:val="20"/>
        </w:rPr>
        <w:t xml:space="preserve"> for the current reporti</w:t>
      </w:r>
      <w:r>
        <w:rPr>
          <w:rFonts w:cs="Times New Roman"/>
          <w:noProof/>
          <w:sz w:val="20"/>
        </w:rPr>
        <w:t>ng period.</w:t>
      </w:r>
      <w:bookmarkStart w:id="59" w:name="_Toc454457656"/>
    </w:p>
    <w:p w:rsidR="00587940" w:rsidRDefault="00E43A41">
      <w:pPr>
        <w:widowControl w:val="0"/>
        <w:spacing w:after="120" w:line="240" w:lineRule="auto"/>
        <w:jc w:val="both"/>
        <w:outlineLvl w:val="1"/>
        <w:rPr>
          <w:rFonts w:cs="Times New Roman"/>
          <w:b/>
          <w:noProof/>
          <w:color w:val="1F497D" w:themeColor="text2"/>
          <w:sz w:val="24"/>
        </w:rPr>
      </w:pPr>
      <w:bookmarkStart w:id="60" w:name="_Toc469404513"/>
      <w:r>
        <w:rPr>
          <w:rFonts w:cs="Times New Roman"/>
          <w:b/>
          <w:noProof/>
          <w:color w:val="1F497D" w:themeColor="text2"/>
          <w:sz w:val="24"/>
        </w:rPr>
        <w:t>Water quality and management</w:t>
      </w:r>
      <w:bookmarkEnd w:id="59"/>
      <w:bookmarkEnd w:id="60"/>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water policy and legislation require that the impact of pressures on transitional, coastal and fresh waters (including surface and ground waters) is significantly reduced to achieve, maintain or enhance good </w:t>
      </w:r>
      <w:r>
        <w:rPr>
          <w:rFonts w:cs="Times New Roman"/>
          <w:noProof/>
          <w:color w:val="FFFFFF" w:themeColor="background1"/>
          <w:sz w:val="20"/>
        </w:rPr>
        <w:t xml:space="preserve">status of water bodies, as defined by the Water Framework Directive; that citizens throughout the Union benefit from high standards for safe drinking and bathing water; and that the nutrient cycle (nitrogen and phosphorus) is managed in a more sustainable </w:t>
      </w:r>
      <w:r>
        <w:rPr>
          <w:rFonts w:cs="Times New Roman"/>
          <w:noProof/>
          <w:color w:val="FFFFFF" w:themeColor="background1"/>
          <w:sz w:val="20"/>
        </w:rPr>
        <w:t>and resource-efficient way.</w:t>
      </w:r>
    </w:p>
    <w:p w:rsidR="00587940" w:rsidRDefault="00E43A41">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587940" w:rsidRDefault="00E43A41">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w:t>
      </w:r>
      <w:r>
        <w:rPr>
          <w:rFonts w:eastAsia="Times New Roman" w:cs="Times New Roman"/>
          <w:noProof/>
          <w:color w:val="000000"/>
          <w:sz w:val="20"/>
          <w:szCs w:val="20"/>
        </w:rPr>
        <w:t xml:space="preserve">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73"/>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w:t>
      </w:r>
      <w:r>
        <w:rPr>
          <w:rFonts w:eastAsia="Times New Roman" w:cs="Times New Roman"/>
          <w:noProof/>
          <w:color w:val="000000"/>
          <w:sz w:val="20"/>
          <w:szCs w:val="20"/>
        </w:rPr>
        <w:t xml:space="preserve">bodies) and the management of risks of flooding. </w:t>
      </w:r>
    </w:p>
    <w:p w:rsidR="00587940" w:rsidRDefault="00E43A41">
      <w:pPr>
        <w:widowControl w:val="0"/>
        <w:autoSpaceDE w:val="0"/>
        <w:spacing w:after="120" w:line="240" w:lineRule="auto"/>
        <w:jc w:val="both"/>
        <w:rPr>
          <w:rFonts w:cs="Times New Roman"/>
          <w:noProof/>
          <w:sz w:val="20"/>
        </w:rPr>
      </w:pPr>
      <w:r>
        <w:rPr>
          <w:rFonts w:cs="Times New Roman"/>
          <w:noProof/>
          <w:sz w:val="20"/>
        </w:rPr>
        <w:t xml:space="preserve">River Basin Management Plans (RBMPs) are a requirement of the Water Framework Directive and a means of achieving the protection, improvement and sustainable use of the water environment across Europe. This </w:t>
      </w:r>
      <w:r>
        <w:rPr>
          <w:rFonts w:cs="Times New Roman"/>
          <w:noProof/>
          <w:sz w:val="20"/>
        </w:rPr>
        <w:t>includes surface freshwaters such as lakes and rivers, groundwater, estuaries and coastal waters up to one nautical mile.</w:t>
      </w:r>
    </w:p>
    <w:p w:rsidR="00587940" w:rsidRDefault="00E43A41">
      <w:pPr>
        <w:widowControl w:val="0"/>
        <w:spacing w:after="120" w:line="240" w:lineRule="auto"/>
        <w:jc w:val="both"/>
        <w:rPr>
          <w:rFonts w:cs="Times New Roman"/>
          <w:noProof/>
          <w:sz w:val="20"/>
        </w:rPr>
      </w:pPr>
      <w:r>
        <w:rPr>
          <w:rFonts w:cs="Times New Roman"/>
          <w:noProof/>
          <w:sz w:val="20"/>
        </w:rPr>
        <w:t xml:space="preserve">Austria has not yet provided information to the Commission from its second generation of RBMPs. </w:t>
      </w:r>
    </w:p>
    <w:p w:rsidR="00587940" w:rsidRDefault="00E43A41">
      <w:pPr>
        <w:widowControl w:val="0"/>
        <w:autoSpaceDE w:val="0"/>
        <w:spacing w:after="120" w:line="240" w:lineRule="auto"/>
        <w:jc w:val="both"/>
        <w:rPr>
          <w:rFonts w:eastAsia="Times New Roman" w:cs="Times New Roman"/>
          <w:noProof/>
          <w:color w:val="000000"/>
          <w:sz w:val="20"/>
        </w:rPr>
      </w:pPr>
      <w:r>
        <w:rPr>
          <w:rFonts w:eastAsia="Times New Roman" w:cs="Times New Roman"/>
          <w:noProof/>
          <w:color w:val="000000"/>
          <w:sz w:val="20"/>
        </w:rPr>
        <w:t>In its first generation of RBMPs Aust</w:t>
      </w:r>
      <w:r>
        <w:rPr>
          <w:rFonts w:eastAsia="Times New Roman" w:cs="Times New Roman"/>
          <w:noProof/>
          <w:color w:val="000000"/>
          <w:sz w:val="20"/>
        </w:rPr>
        <w:t>ria reported the status of 7339 rivers, 62 lakes and 136 groundwater bodies. Only 44% of natural surface water bodies achieve a good or high ecological status</w:t>
      </w:r>
      <w:r>
        <w:rPr>
          <w:rFonts w:eastAsia="Times New Roman" w:cs="Times New Roman"/>
          <w:noProof/>
          <w:color w:val="000000"/>
          <w:sz w:val="20"/>
          <w:vertAlign w:val="superscript"/>
        </w:rPr>
        <w:footnoteReference w:id="74"/>
      </w:r>
      <w:r>
        <w:rPr>
          <w:rFonts w:eastAsia="Times New Roman" w:cs="Times New Roman"/>
          <w:noProof/>
          <w:color w:val="000000"/>
          <w:sz w:val="20"/>
        </w:rPr>
        <w:t xml:space="preserve"> and 26% of heavily modified or artificial water bodies</w:t>
      </w:r>
      <w:r>
        <w:rPr>
          <w:rFonts w:eastAsia="Times New Roman" w:cs="Times New Roman"/>
          <w:noProof/>
          <w:color w:val="000000"/>
          <w:sz w:val="20"/>
          <w:vertAlign w:val="superscript"/>
        </w:rPr>
        <w:footnoteReference w:id="75"/>
      </w:r>
      <w:r>
        <w:rPr>
          <w:rFonts w:eastAsia="Times New Roman" w:cs="Times New Roman"/>
          <w:noProof/>
          <w:color w:val="000000"/>
          <w:sz w:val="20"/>
        </w:rPr>
        <w:t xml:space="preserve"> achieve a good or high ecological potent</w:t>
      </w:r>
      <w:r>
        <w:rPr>
          <w:rFonts w:eastAsia="Times New Roman" w:cs="Times New Roman"/>
          <w:noProof/>
          <w:color w:val="000000"/>
          <w:sz w:val="20"/>
        </w:rPr>
        <w:t>ial. Almost all surface water bodies and heavily modified and artificial water bodies and 98% of groundwater</w:t>
      </w:r>
      <w:r>
        <w:rPr>
          <w:rFonts w:eastAsia="Times New Roman" w:cs="Times New Roman"/>
          <w:noProof/>
          <w:color w:val="000000"/>
          <w:sz w:val="20"/>
          <w:vertAlign w:val="superscript"/>
        </w:rPr>
        <w:footnoteReference w:id="76"/>
      </w:r>
      <w:r>
        <w:rPr>
          <w:rFonts w:eastAsia="Times New Roman" w:cs="Times New Roman"/>
          <w:noProof/>
          <w:color w:val="000000"/>
          <w:sz w:val="20"/>
        </w:rPr>
        <w:t xml:space="preserve"> bodies achieve at least good chemical status</w:t>
      </w:r>
      <w:r>
        <w:rPr>
          <w:rFonts w:eastAsia="Times New Roman" w:cs="Times New Roman"/>
          <w:noProof/>
          <w:color w:val="000000"/>
          <w:sz w:val="20"/>
          <w:vertAlign w:val="superscript"/>
        </w:rPr>
        <w:footnoteReference w:id="77"/>
      </w:r>
      <w:r>
        <w:rPr>
          <w:rFonts w:eastAsia="Times New Roman" w:cs="Times New Roman"/>
          <w:noProof/>
          <w:color w:val="000000"/>
          <w:sz w:val="20"/>
        </w:rPr>
        <w:t>. 98%</w:t>
      </w:r>
      <w:r>
        <w:rPr>
          <w:rFonts w:eastAsia="Times New Roman" w:cs="Times New Roman"/>
          <w:noProof/>
          <w:color w:val="000000"/>
          <w:sz w:val="20"/>
          <w:vertAlign w:val="superscript"/>
        </w:rPr>
        <w:footnoteReference w:id="78"/>
      </w:r>
      <w:r>
        <w:rPr>
          <w:rFonts w:eastAsia="Times New Roman" w:cs="Times New Roman"/>
          <w:noProof/>
          <w:color w:val="000000"/>
          <w:sz w:val="20"/>
        </w:rPr>
        <w:t xml:space="preserve"> of groundwater bodies are in good quantitative status</w:t>
      </w:r>
      <w:r>
        <w:rPr>
          <w:rFonts w:eastAsia="Times New Roman" w:cs="Times New Roman"/>
          <w:noProof/>
          <w:color w:val="000000"/>
          <w:sz w:val="20"/>
          <w:vertAlign w:val="superscript"/>
        </w:rPr>
        <w:footnoteReference w:id="79"/>
      </w:r>
      <w:r>
        <w:rPr>
          <w:rFonts w:eastAsia="Times New Roman" w:cs="Times New Roman"/>
          <w:noProof/>
          <w:color w:val="000000"/>
          <w:sz w:val="20"/>
        </w:rPr>
        <w:t>.</w:t>
      </w:r>
    </w:p>
    <w:p w:rsidR="00587940" w:rsidRDefault="00E43A41">
      <w:pPr>
        <w:widowControl w:val="0"/>
        <w:autoSpaceDE w:val="0"/>
        <w:spacing w:after="120" w:line="240" w:lineRule="auto"/>
        <w:jc w:val="both"/>
        <w:rPr>
          <w:rFonts w:cs="Times New Roman"/>
          <w:noProof/>
          <w:sz w:val="20"/>
        </w:rPr>
      </w:pPr>
      <w:r>
        <w:rPr>
          <w:rFonts w:eastAsia="Times New Roman" w:cs="Times New Roman"/>
          <w:noProof/>
          <w:color w:val="000000"/>
          <w:sz w:val="20"/>
        </w:rPr>
        <w:t xml:space="preserve">The main pressure on Austrian waters </w:t>
      </w:r>
      <w:r>
        <w:rPr>
          <w:rFonts w:eastAsia="Times New Roman" w:cs="Times New Roman"/>
          <w:noProof/>
          <w:color w:val="000000"/>
          <w:sz w:val="20"/>
        </w:rPr>
        <w:t>comes from flow regulation and morphological changes – 56% of surface water bodies are affected. The next most important pressure is diffuse pollution</w:t>
      </w:r>
      <w:r>
        <w:rPr>
          <w:rFonts w:eastAsia="Times New Roman" w:cs="Times New Roman"/>
          <w:noProof/>
          <w:color w:val="000000"/>
          <w:sz w:val="20"/>
          <w:vertAlign w:val="superscript"/>
        </w:rPr>
        <w:footnoteReference w:id="80"/>
      </w:r>
      <w:r>
        <w:rPr>
          <w:rFonts w:eastAsia="Times New Roman" w:cs="Times New Roman"/>
          <w:noProof/>
          <w:color w:val="000000"/>
          <w:sz w:val="20"/>
        </w:rPr>
        <w:t xml:space="preserve"> mainly from agriculture (nutrients and pesticides) but also from industry– 16% of water bodies are affec</w:t>
      </w:r>
      <w:r>
        <w:rPr>
          <w:rFonts w:eastAsia="Times New Roman" w:cs="Times New Roman"/>
          <w:noProof/>
          <w:color w:val="000000"/>
          <w:sz w:val="20"/>
        </w:rPr>
        <w:t xml:space="preserve">ted. Point sources such as Urban Waste Water Treatment Plants and industrial installations affect 1% of water bodies. </w:t>
      </w:r>
      <w:r>
        <w:rPr>
          <w:rFonts w:cs="Times New Roman"/>
          <w:noProof/>
          <w:sz w:val="20"/>
        </w:rPr>
        <w:t>Hydropower is the main pressure relating to water abstraction. Water abstraction for irrigation is only of importance in South/East Austri</w:t>
      </w:r>
      <w:r>
        <w:rPr>
          <w:rFonts w:cs="Times New Roman"/>
          <w:noProof/>
          <w:sz w:val="20"/>
        </w:rPr>
        <w:t xml:space="preserve">a. Commercial and industrial abstractions are substantially lower than the significance thresholds established and do not pose a risk for achieving good ecological potential. </w:t>
      </w:r>
    </w:p>
    <w:p w:rsidR="00587940" w:rsidRDefault="00E43A41">
      <w:pPr>
        <w:widowControl w:val="0"/>
        <w:autoSpaceDE w:val="0"/>
        <w:spacing w:after="120" w:line="240" w:lineRule="auto"/>
        <w:jc w:val="both"/>
        <w:rPr>
          <w:rFonts w:cs="Times New Roman"/>
          <w:noProof/>
          <w:sz w:val="20"/>
          <w:szCs w:val="20"/>
        </w:rPr>
      </w:pPr>
      <w:r>
        <w:rPr>
          <w:rFonts w:cs="Times New Roman"/>
          <w:noProof/>
          <w:sz w:val="20"/>
        </w:rPr>
        <w:t>Austria has capable water management administration and developed River Basin Ma</w:t>
      </w:r>
      <w:r>
        <w:rPr>
          <w:rFonts w:cs="Times New Roman"/>
          <w:noProof/>
          <w:sz w:val="20"/>
        </w:rPr>
        <w:t>nagement Plans for 2009 that are largely in compliance with the requirements of the Water Framework Directive. However, the plans are not fully transparent on several aspects including the link between monitoring and status classification, design of progra</w:t>
      </w:r>
      <w:r>
        <w:rPr>
          <w:rFonts w:cs="Times New Roman"/>
          <w:noProof/>
          <w:sz w:val="20"/>
        </w:rPr>
        <w:t>mmes of measures addressing the hydromorphological pressures from hydropower and diffuse pollution from agriculture, and application and justification of exemptions. The measures planned are expected to result in only slight improvement of water status.</w:t>
      </w:r>
    </w:p>
    <w:p w:rsidR="00587940" w:rsidRDefault="00E43A41">
      <w:pPr>
        <w:widowControl w:val="0"/>
        <w:spacing w:after="120" w:line="240" w:lineRule="auto"/>
        <w:jc w:val="both"/>
        <w:rPr>
          <w:rFonts w:eastAsia="Calibri" w:cs="Times New Roman"/>
          <w:noProof/>
          <w:color w:val="000000"/>
          <w:sz w:val="20"/>
        </w:rPr>
      </w:pPr>
      <w:r>
        <w:rPr>
          <w:rFonts w:cs="Times New Roman"/>
          <w:noProof/>
          <w:sz w:val="20"/>
        </w:rPr>
        <w:t>In</w:t>
      </w:r>
      <w:r>
        <w:rPr>
          <w:rFonts w:cs="Times New Roman"/>
          <w:noProof/>
          <w:sz w:val="20"/>
        </w:rPr>
        <w:t xml:space="preserve"> the context of the Nitrates Directive,</w:t>
      </w:r>
      <w:r>
        <w:rPr>
          <w:rFonts w:cs="Times New Roman"/>
          <w:b/>
          <w:noProof/>
          <w:sz w:val="20"/>
        </w:rPr>
        <w:t xml:space="preserve"> </w:t>
      </w:r>
      <w:r>
        <w:rPr>
          <w:rFonts w:eastAsia="Calibri" w:cs="Times New Roman"/>
          <w:noProof/>
          <w:color w:val="000000"/>
          <w:sz w:val="20"/>
        </w:rPr>
        <w:t xml:space="preserve">Austria </w:t>
      </w:r>
      <w:r>
        <w:rPr>
          <w:rFonts w:cs="Times New Roman"/>
          <w:noProof/>
          <w:color w:val="000000"/>
          <w:sz w:val="20"/>
        </w:rPr>
        <w:t>has decided to</w:t>
      </w:r>
      <w:r>
        <w:rPr>
          <w:rFonts w:eastAsia="Calibri" w:cs="Times New Roman"/>
          <w:noProof/>
          <w:color w:val="000000"/>
          <w:sz w:val="20"/>
        </w:rPr>
        <w:t xml:space="preserve"> apply mandatory measures on its whole territory. The 2008-2011 Nitrates Directive reporting showed an overall stable situation concerning nitrate concentrations; however eutrophication trends o</w:t>
      </w:r>
      <w:r>
        <w:rPr>
          <w:rFonts w:eastAsia="Calibri" w:cs="Times New Roman"/>
          <w:noProof/>
          <w:color w:val="000000"/>
          <w:sz w:val="20"/>
        </w:rPr>
        <w:t>f inland waters showed the need for further improvements</w:t>
      </w:r>
      <w:r>
        <w:rPr>
          <w:rFonts w:eastAsia="Calibri" w:cs="Times New Roman"/>
          <w:noProof/>
          <w:color w:val="000000"/>
          <w:sz w:val="20"/>
          <w:vertAlign w:val="superscript"/>
        </w:rPr>
        <w:footnoteReference w:id="81"/>
      </w:r>
      <w:r>
        <w:rPr>
          <w:rFonts w:eastAsia="Calibri" w:cs="Times New Roman"/>
          <w:noProof/>
          <w:color w:val="000000"/>
          <w:sz w:val="20"/>
        </w:rPr>
        <w:t>.</w:t>
      </w:r>
    </w:p>
    <w:p w:rsidR="00587940" w:rsidRDefault="00E43A41">
      <w:pPr>
        <w:widowControl w:val="0"/>
        <w:spacing w:after="120" w:line="240" w:lineRule="auto"/>
        <w:jc w:val="both"/>
        <w:rPr>
          <w:rFonts w:cs="Times New Roman"/>
          <w:noProof/>
          <w:sz w:val="20"/>
        </w:rPr>
      </w:pPr>
      <w:r>
        <w:rPr>
          <w:rFonts w:cs="Times New Roman"/>
          <w:noProof/>
          <w:sz w:val="20"/>
        </w:rPr>
        <w:t>As regards drinking water, Austria reaches very high compliance rates of 99-100 % for microbiological, chemical and indicator parameters laid down in the Drinking Water Directive</w:t>
      </w:r>
      <w:r>
        <w:rPr>
          <w:rFonts w:cs="Times New Roman"/>
          <w:noProof/>
          <w:sz w:val="20"/>
          <w:vertAlign w:val="superscript"/>
          <w:lang w:val="en-US"/>
        </w:rPr>
        <w:footnoteReference w:id="82"/>
      </w:r>
      <w:r>
        <w:rPr>
          <w:rFonts w:cs="Times New Roman"/>
          <w:noProof/>
          <w:sz w:val="20"/>
        </w:rPr>
        <w:t xml:space="preserve">. </w:t>
      </w:r>
    </w:p>
    <w:p w:rsidR="00587940" w:rsidRDefault="00E43A41">
      <w:pPr>
        <w:widowControl w:val="0"/>
        <w:spacing w:after="120" w:line="240" w:lineRule="auto"/>
        <w:jc w:val="both"/>
        <w:rPr>
          <w:rFonts w:cs="Times New Roman"/>
          <w:noProof/>
          <w:sz w:val="20"/>
        </w:rPr>
      </w:pPr>
      <w:r>
        <w:rPr>
          <w:rFonts w:cs="Times New Roman"/>
          <w:noProof/>
          <w:sz w:val="20"/>
        </w:rPr>
        <w:t xml:space="preserve">As shown in </w:t>
      </w:r>
      <w:r>
        <w:rPr>
          <w:rFonts w:cs="Times New Roman"/>
          <w:noProof/>
          <w:sz w:val="20"/>
        </w:rPr>
        <w:t>Figure 10, in 2015 in Austria, out of 265 bathing waters, 90.2 % were of excellent quality, 9.1% of good quality and 0.4% of sufficient quality</w:t>
      </w:r>
      <w:r>
        <w:rPr>
          <w:rFonts w:cs="Times New Roman"/>
          <w:noProof/>
          <w:sz w:val="20"/>
          <w:vertAlign w:val="superscript"/>
        </w:rPr>
        <w:footnoteReference w:id="83"/>
      </w:r>
      <w:r>
        <w:rPr>
          <w:rFonts w:cs="Times New Roman"/>
          <w:noProof/>
          <w:sz w:val="20"/>
        </w:rPr>
        <w:t>. It is shown that Austria has improved its bathing water quality since 2012.</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587940">
        <w:tc>
          <w:tcPr>
            <w:tcW w:w="4910" w:type="dxa"/>
          </w:tcPr>
          <w:p w:rsidR="00587940" w:rsidRDefault="00E43A41">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w:t>
            </w:r>
            <w:r>
              <w:rPr>
                <w:rFonts w:cs="Times New Roman"/>
                <w:b/>
                <w:bCs/>
                <w:noProof/>
                <w:color w:val="1F497D" w:themeColor="text2"/>
                <w:sz w:val="20"/>
              </w:rPr>
              <w:t>012 – 2015</w:t>
            </w:r>
            <w:r>
              <w:rPr>
                <w:rFonts w:cs="Times New Roman"/>
                <w:b/>
                <w:bCs/>
                <w:noProof/>
                <w:color w:val="1F497D" w:themeColor="text2"/>
                <w:sz w:val="20"/>
                <w:vertAlign w:val="superscript"/>
              </w:rPr>
              <w:footnoteReference w:id="84"/>
            </w:r>
          </w:p>
        </w:tc>
      </w:tr>
      <w:tr w:rsidR="00587940">
        <w:tc>
          <w:tcPr>
            <w:tcW w:w="4910" w:type="dxa"/>
          </w:tcPr>
          <w:p w:rsidR="00587940" w:rsidRDefault="00E43A41">
            <w:pPr>
              <w:widowControl w:val="0"/>
              <w:spacing w:after="120"/>
              <w:jc w:val="both"/>
              <w:rPr>
                <w:rFonts w:cs="Times New Roman"/>
                <w:noProof/>
                <w:sz w:val="20"/>
              </w:rPr>
            </w:pPr>
            <w:r>
              <w:rPr>
                <w:rFonts w:cs="Times New Roman"/>
                <w:noProof/>
                <w:sz w:val="20"/>
                <w:lang w:eastAsia="en-GB"/>
              </w:rPr>
              <w:drawing>
                <wp:inline distT="0" distB="0" distL="0" distR="0" wp14:anchorId="1F185CC7" wp14:editId="04AC03E8">
                  <wp:extent cx="3111335" cy="2825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15514" cy="2829075"/>
                          </a:xfrm>
                          <a:prstGeom prst="rect">
                            <a:avLst/>
                          </a:prstGeom>
                          <a:noFill/>
                        </pic:spPr>
                      </pic:pic>
                    </a:graphicData>
                  </a:graphic>
                </wp:inline>
              </w:drawing>
            </w:r>
          </w:p>
        </w:tc>
      </w:tr>
    </w:tbl>
    <w:p w:rsidR="00587940" w:rsidRDefault="00E43A41">
      <w:pPr>
        <w:widowControl w:val="0"/>
        <w:spacing w:after="120" w:line="240" w:lineRule="auto"/>
        <w:jc w:val="both"/>
        <w:rPr>
          <w:rFonts w:cs="Times New Roman"/>
          <w:noProof/>
          <w:sz w:val="20"/>
        </w:rPr>
      </w:pPr>
      <w:r>
        <w:rPr>
          <w:rFonts w:cs="Times New Roman"/>
          <w:noProof/>
          <w:sz w:val="20"/>
        </w:rPr>
        <w:t>Austria demonstrates excellent compliance rates with the Urban Waste Water Treatment Directive</w:t>
      </w:r>
      <w:r>
        <w:rPr>
          <w:rFonts w:cs="Times New Roman"/>
          <w:noProof/>
          <w:sz w:val="20"/>
          <w:vertAlign w:val="superscript"/>
        </w:rPr>
        <w:footnoteReference w:id="85"/>
      </w:r>
      <w:r>
        <w:rPr>
          <w:rFonts w:cs="Times New Roman"/>
          <w:noProof/>
          <w:sz w:val="20"/>
        </w:rPr>
        <w:t>.</w:t>
      </w:r>
    </w:p>
    <w:p w:rsidR="00587940" w:rsidRDefault="00E43A41">
      <w:pPr>
        <w:widowControl w:val="0"/>
        <w:spacing w:after="120" w:line="240" w:lineRule="auto"/>
        <w:jc w:val="both"/>
        <w:rPr>
          <w:noProof/>
          <w:sz w:val="20"/>
        </w:rPr>
      </w:pPr>
      <w:r>
        <w:rPr>
          <w:noProof/>
          <w:sz w:val="20"/>
        </w:rPr>
        <w:t>Flood risk areas have already been identified and mapped in Austria</w:t>
      </w:r>
      <w:r>
        <w:rPr>
          <w:noProof/>
          <w:sz w:val="20"/>
          <w:vertAlign w:val="superscript"/>
          <w:lang w:val="it-IT"/>
        </w:rPr>
        <w:footnoteReference w:id="86"/>
      </w:r>
      <w:r>
        <w:rPr>
          <w:noProof/>
          <w:sz w:val="20"/>
        </w:rPr>
        <w:t xml:space="preserve">. Austria is hit regularly by flooding incidents with serious economic </w:t>
      </w:r>
      <w:r>
        <w:rPr>
          <w:noProof/>
          <w:sz w:val="20"/>
        </w:rPr>
        <w:t>damage costs</w:t>
      </w:r>
      <w:r>
        <w:rPr>
          <w:noProof/>
          <w:sz w:val="20"/>
          <w:vertAlign w:val="superscript"/>
        </w:rPr>
        <w:footnoteReference w:id="87"/>
      </w:r>
      <w:r>
        <w:rPr>
          <w:noProof/>
          <w:sz w:val="20"/>
        </w:rPr>
        <w:t>. Between 2002 and 2013, for the 8 floods recorded the total direct costs were EUR 5300 million. The average cost per flood was EUR 660 million.</w:t>
      </w:r>
    </w:p>
    <w:p w:rsidR="00587940" w:rsidRDefault="00E43A41">
      <w:pPr>
        <w:widowControl w:val="0"/>
        <w:spacing w:after="120" w:line="240" w:lineRule="auto"/>
        <w:jc w:val="both"/>
        <w:rPr>
          <w:noProof/>
          <w:sz w:val="20"/>
        </w:rPr>
      </w:pPr>
      <w:r>
        <w:rPr>
          <w:noProof/>
          <w:sz w:val="20"/>
        </w:rPr>
        <w:t>Within the 2007-2013 EU-funding period Austria implemented several projects to improve flood preve</w:t>
      </w:r>
      <w:r>
        <w:rPr>
          <w:noProof/>
          <w:sz w:val="20"/>
        </w:rPr>
        <w:t>ntion. For the running funding period (2014-2020) the River Modelling Centre in Vienna is foreseen to receive financial support for its work regarding floods.</w:t>
      </w:r>
    </w:p>
    <w:p w:rsidR="00587940" w:rsidRDefault="00E43A41">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bookmarkStart w:id="61" w:name="_Toc433296168"/>
      <w:bookmarkStart w:id="62" w:name="_Toc439678157"/>
    </w:p>
    <w:p w:rsidR="00587940" w:rsidRDefault="00E43A41">
      <w:pPr>
        <w:pStyle w:val="SuggActions"/>
        <w:rPr>
          <w:noProof/>
        </w:rPr>
      </w:pPr>
      <w:r>
        <w:rPr>
          <w:noProof/>
        </w:rPr>
        <w:t>Develop and implement an effective Programme of Measures clearly focusing on the</w:t>
      </w:r>
      <w:r>
        <w:rPr>
          <w:noProof/>
        </w:rPr>
        <w:t xml:space="preserve"> main pressures (hydromorphology and diffuse pollution) and covering fully the implementation gaps in order to improve the overall status in the future.</w:t>
      </w:r>
    </w:p>
    <w:p w:rsidR="00587940" w:rsidRDefault="00E43A41">
      <w:pPr>
        <w:pStyle w:val="SuggActions"/>
        <w:rPr>
          <w:noProof/>
        </w:rPr>
      </w:pPr>
      <w:r>
        <w:rPr>
          <w:noProof/>
        </w:rPr>
        <w:t>Improve the transparency of the use of exemptions including for hydropower permits, especially by using</w:t>
      </w:r>
      <w:r>
        <w:rPr>
          <w:noProof/>
        </w:rPr>
        <w:t xml:space="preserve"> criteria provided by the European law.</w:t>
      </w:r>
    </w:p>
    <w:p w:rsidR="00587940" w:rsidRDefault="00E43A41">
      <w:pPr>
        <w:widowControl w:val="0"/>
        <w:spacing w:after="120" w:line="240" w:lineRule="auto"/>
        <w:jc w:val="both"/>
        <w:outlineLvl w:val="1"/>
        <w:rPr>
          <w:rFonts w:cs="Times New Roman"/>
          <w:b/>
          <w:noProof/>
          <w:color w:val="1F497D" w:themeColor="text2"/>
          <w:sz w:val="24"/>
          <w:lang w:eastAsia="en-GB"/>
        </w:rPr>
      </w:pPr>
      <w:bookmarkStart w:id="63" w:name="_Toc436815691"/>
      <w:bookmarkStart w:id="64" w:name="_Toc454460686"/>
      <w:bookmarkStart w:id="65" w:name="_Toc469404514"/>
      <w:bookmarkEnd w:id="61"/>
      <w:bookmarkEnd w:id="62"/>
      <w:r>
        <w:rPr>
          <w:rFonts w:cs="Times New Roman"/>
          <w:b/>
          <w:noProof/>
          <w:color w:val="1F497D" w:themeColor="text2"/>
          <w:sz w:val="24"/>
          <w:lang w:eastAsia="en-GB"/>
        </w:rPr>
        <w:t>Enhancing the sustainability of cities</w:t>
      </w:r>
      <w:bookmarkEnd w:id="63"/>
      <w:bookmarkEnd w:id="64"/>
      <w:bookmarkEnd w:id="65"/>
      <w:r>
        <w:rPr>
          <w:rFonts w:cs="Times New Roman"/>
          <w:b/>
          <w:noProof/>
          <w:color w:val="1F497D" w:themeColor="text2"/>
          <w:sz w:val="24"/>
          <w:lang w:eastAsia="en-GB"/>
        </w:rPr>
        <w:t xml:space="preserve"> </w:t>
      </w:r>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efficiency and urban biodiversi</w:t>
      </w:r>
      <w:r>
        <w:rPr>
          <w:rFonts w:cs="Times New Roman"/>
          <w:noProof/>
          <w:color w:val="FFFFFF" w:themeColor="background1"/>
          <w:sz w:val="20"/>
        </w:rPr>
        <w:t xml:space="preserve">ty conservation. </w:t>
      </w:r>
    </w:p>
    <w:p w:rsidR="00587940" w:rsidRDefault="00E43A41">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587940" w:rsidRDefault="00E43A41">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88"/>
      </w:r>
      <w:r>
        <w:rPr>
          <w:rFonts w:cs="Times New Roman"/>
          <w:noProof/>
          <w:sz w:val="20"/>
        </w:rPr>
        <w:t xml:space="preserve"> The urban environment poses particular challe</w:t>
      </w:r>
      <w:r>
        <w:rPr>
          <w:rFonts w:cs="Times New Roman"/>
          <w:noProof/>
          <w:sz w:val="20"/>
        </w:rPr>
        <w:t xml:space="preserve">nges for the environment and human health, whilst also providing opportunities and efficiency gains in the use of resources. </w:t>
      </w:r>
    </w:p>
    <w:p w:rsidR="00587940" w:rsidRDefault="00E43A41">
      <w:pPr>
        <w:widowControl w:val="0"/>
        <w:spacing w:after="120" w:line="240" w:lineRule="auto"/>
        <w:jc w:val="both"/>
        <w:rPr>
          <w:rFonts w:cs="Times New Roman"/>
          <w:noProof/>
          <w:sz w:val="20"/>
        </w:rPr>
      </w:pPr>
      <w:r>
        <w:rPr>
          <w:rFonts w:cs="Times New Roman"/>
          <w:noProof/>
          <w:sz w:val="20"/>
        </w:rPr>
        <w:t xml:space="preserve">The Member States, European institutions, cities and stakeholders have prepared a new Urban Agenda for the EU (incorporating the </w:t>
      </w:r>
      <w:r>
        <w:rPr>
          <w:rFonts w:cs="Times New Roman"/>
          <w:noProof/>
          <w:sz w:val="20"/>
        </w:rPr>
        <w:t>Smart Cities initiative) to tackle these issues in a comprehensive way, including their connections with social and economic challenges. At the heart of this Urban Agenda will be the development of twelve partnerships on the identified urban challenges, in</w:t>
      </w:r>
      <w:r>
        <w:rPr>
          <w:rFonts w:cs="Times New Roman"/>
          <w:noProof/>
          <w:sz w:val="20"/>
        </w:rPr>
        <w:t>cluding air quality and housing</w:t>
      </w:r>
      <w:r>
        <w:rPr>
          <w:rFonts w:cs="Times New Roman"/>
          <w:noProof/>
          <w:sz w:val="20"/>
          <w:vertAlign w:val="superscript"/>
        </w:rPr>
        <w:footnoteReference w:id="89"/>
      </w:r>
      <w:r>
        <w:rPr>
          <w:rFonts w:cs="Times New Roman"/>
          <w:noProof/>
          <w:sz w:val="20"/>
        </w:rPr>
        <w:t xml:space="preserve">. </w:t>
      </w:r>
    </w:p>
    <w:p w:rsidR="00587940" w:rsidRDefault="00E43A41">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90"/>
      </w:r>
      <w:r>
        <w:rPr>
          <w:rFonts w:cs="Times New Roman"/>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 xml:space="preserve">The EU stimulates green cities through awards and funding, such as the EU Green Capital Award aimed at cities with </w:t>
      </w:r>
      <w:r>
        <w:rPr>
          <w:rFonts w:cs="Times New Roman"/>
          <w:bCs/>
          <w:iCs/>
          <w:noProof/>
          <w:sz w:val="20"/>
        </w:rPr>
        <w:t>more than 100,000 inhabitants</w:t>
      </w:r>
      <w:r>
        <w:rPr>
          <w:rFonts w:cs="Times New Roman"/>
          <w:noProof/>
          <w:sz w:val="20"/>
        </w:rPr>
        <w:t xml:space="preserve"> and </w:t>
      </w:r>
      <w:r>
        <w:rPr>
          <w:rFonts w:cs="Times New Roman"/>
          <w:noProof/>
          <w:sz w:val="20"/>
        </w:rPr>
        <w:t xml:space="preserve">the EU Green Leaf initiative </w:t>
      </w:r>
      <w:r>
        <w:rPr>
          <w:rFonts w:cs="Times New Roman"/>
          <w:noProof/>
          <w:sz w:val="20"/>
          <w:lang w:val="en"/>
        </w:rPr>
        <w:t>aimed at cities and towns, with between 20,000 and 100,000 inhabitants</w:t>
      </w:r>
      <w:r>
        <w:rPr>
          <w:rFonts w:cs="Times New Roman"/>
          <w:noProof/>
          <w:sz w:val="20"/>
        </w:rPr>
        <w:t>.</w:t>
      </w:r>
    </w:p>
    <w:p w:rsidR="00587940" w:rsidRDefault="00E43A41">
      <w:pPr>
        <w:widowControl w:val="0"/>
        <w:spacing w:after="120" w:line="240" w:lineRule="auto"/>
        <w:jc w:val="both"/>
        <w:rPr>
          <w:noProof/>
          <w:sz w:val="20"/>
        </w:rPr>
      </w:pPr>
      <w:r>
        <w:rPr>
          <w:noProof/>
          <w:sz w:val="20"/>
        </w:rPr>
        <w:t>From the European Regional Development Fund Austria has allocated EUR 27.2 million for sustainable urban development (Vienna and Upper Austria) to help sol</w:t>
      </w:r>
      <w:r>
        <w:rPr>
          <w:noProof/>
          <w:sz w:val="20"/>
        </w:rPr>
        <w:t>ving use conflicts in cities and urban areas. Measures like CO</w:t>
      </w:r>
      <w:r>
        <w:rPr>
          <w:noProof/>
          <w:sz w:val="20"/>
          <w:vertAlign w:val="subscript"/>
        </w:rPr>
        <w:t>2</w:t>
      </w:r>
      <w:r>
        <w:rPr>
          <w:noProof/>
          <w:sz w:val="20"/>
        </w:rPr>
        <w:t xml:space="preserve"> reduction strategies, sustainable mobility strategies, integrated sustainable development and efficient use of resources will be supported.</w:t>
      </w:r>
    </w:p>
    <w:p w:rsidR="00587940" w:rsidRDefault="00E43A41">
      <w:pPr>
        <w:widowControl w:val="0"/>
        <w:spacing w:after="120" w:line="240" w:lineRule="auto"/>
        <w:jc w:val="both"/>
        <w:rPr>
          <w:noProof/>
          <w:sz w:val="20"/>
        </w:rPr>
      </w:pPr>
      <w:r>
        <w:rPr>
          <w:rFonts w:cs="Times New Roman"/>
          <w:noProof/>
          <w:sz w:val="20"/>
          <w:lang w:eastAsia="en-GB"/>
        </w:rPr>
        <w:drawing>
          <wp:inline distT="0" distB="0" distL="0" distR="0" wp14:anchorId="561E84F1" wp14:editId="6BDEEB16">
            <wp:extent cx="2962275" cy="197951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Vienna city iStock_68871859_SMALL.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64239" cy="1980825"/>
                    </a:xfrm>
                    <a:prstGeom prst="rect">
                      <a:avLst/>
                    </a:prstGeom>
                  </pic:spPr>
                </pic:pic>
              </a:graphicData>
            </a:graphic>
          </wp:inline>
        </w:drawing>
      </w:r>
      <w:r>
        <w:rPr>
          <w:noProof/>
          <w:sz w:val="20"/>
        </w:rPr>
        <w:t xml:space="preserve">An EcoBusinessPlan sponsored by the city of Vienna </w:t>
      </w:r>
      <w:r>
        <w:rPr>
          <w:noProof/>
          <w:sz w:val="20"/>
        </w:rPr>
        <w:t>since 1998 supports Viennese companies in implementing environmental / sustainability - relevant measures in the company and contributes to decreasing administrative costs. The EcoBusinessPlan Vienna has achieved a number of successes: 817 participating co</w:t>
      </w:r>
      <w:r>
        <w:rPr>
          <w:noProof/>
          <w:sz w:val="20"/>
        </w:rPr>
        <w:t>mpanies, with more than 11,000 environmental projects from waste prevention to energy saving measures to rearranging complete production processes.</w:t>
      </w:r>
    </w:p>
    <w:p w:rsidR="00587940" w:rsidRDefault="00E43A41">
      <w:pPr>
        <w:widowControl w:val="0"/>
        <w:spacing w:after="120" w:line="240" w:lineRule="auto"/>
        <w:jc w:val="both"/>
        <w:outlineLvl w:val="1"/>
        <w:rPr>
          <w:rFonts w:cs="Times New Roman"/>
          <w:b/>
          <w:noProof/>
          <w:color w:val="1F497D" w:themeColor="text2"/>
          <w:sz w:val="24"/>
          <w:lang w:eastAsia="en-GB"/>
        </w:rPr>
      </w:pPr>
      <w:bookmarkStart w:id="66" w:name="_Toc454460687"/>
      <w:bookmarkStart w:id="67" w:name="_Toc469404515"/>
      <w:r>
        <w:rPr>
          <w:rFonts w:cs="Times New Roman"/>
          <w:b/>
          <w:noProof/>
          <w:color w:val="1F497D" w:themeColor="text2"/>
          <w:sz w:val="24"/>
          <w:lang w:eastAsia="en-GB"/>
        </w:rPr>
        <w:t>International agreements</w:t>
      </w:r>
      <w:bookmarkEnd w:id="66"/>
      <w:bookmarkEnd w:id="67"/>
      <w:r>
        <w:rPr>
          <w:rFonts w:cs="Times New Roman"/>
          <w:b/>
          <w:noProof/>
          <w:color w:val="1F497D" w:themeColor="text2"/>
          <w:sz w:val="24"/>
          <w:lang w:eastAsia="en-GB"/>
        </w:rPr>
        <w:t xml:space="preserve"> </w:t>
      </w:r>
    </w:p>
    <w:p w:rsidR="00587940" w:rsidRDefault="00E43A41">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w:t>
      </w:r>
      <w:r>
        <w:rPr>
          <w:rFonts w:cs="Times New Roman"/>
          <w:noProof/>
          <w:color w:val="FFFFFF" w:themeColor="background1"/>
          <w:sz w:val="20"/>
        </w:rPr>
        <w:t xml:space="preserve"> at the international level to deal with regional or worldwide environmental problems.</w:t>
      </w:r>
    </w:p>
    <w:p w:rsidR="00587940" w:rsidRDefault="00E43A41">
      <w:pPr>
        <w:widowControl w:val="0"/>
        <w:spacing w:after="120" w:line="240" w:lineRule="auto"/>
        <w:jc w:val="both"/>
        <w:rPr>
          <w:rFonts w:cs="Times New Roman"/>
          <w:noProof/>
          <w:sz w:val="20"/>
        </w:rPr>
      </w:pPr>
      <w:r>
        <w:rPr>
          <w:rFonts w:cs="Times New Roman"/>
          <w:noProof/>
          <w:sz w:val="20"/>
        </w:rPr>
        <w:t>Most environmental problems have a transboundary nature and often a global scope and they can only be addressed effectively through international co-operation. Internati</w:t>
      </w:r>
      <w:r>
        <w:rPr>
          <w:rFonts w:cs="Times New Roman"/>
          <w:noProof/>
          <w:sz w:val="20"/>
        </w:rPr>
        <w:t>onal environmental agreements concluded by the Union are binding upon the institutions of the Union and on its Member States. This requires the EU and the Member States to sign, ratify and effectively implement all relevant multilateral environmental agree</w:t>
      </w:r>
      <w:r>
        <w:rPr>
          <w:rFonts w:cs="Times New Roman"/>
          <w:noProof/>
          <w:sz w:val="20"/>
        </w:rPr>
        <w:t>ments (MEAs) in a timely manner. This will also be an important contribution towards the achievement of the SDGs, which Member States committed to in 2015 and include many commitments contained already in legally binding agreements.</w:t>
      </w:r>
    </w:p>
    <w:p w:rsidR="00587940" w:rsidRDefault="00E43A41">
      <w:pPr>
        <w:widowControl w:val="0"/>
        <w:spacing w:after="120" w:line="240" w:lineRule="auto"/>
        <w:jc w:val="both"/>
        <w:rPr>
          <w:rFonts w:cs="Times New Roman"/>
          <w:noProof/>
          <w:sz w:val="20"/>
        </w:rPr>
      </w:pPr>
      <w:r>
        <w:rPr>
          <w:rFonts w:cs="Times New Roman"/>
          <w:noProof/>
          <w:sz w:val="20"/>
        </w:rPr>
        <w:t>The fact that some Memb</w:t>
      </w:r>
      <w:r>
        <w:rPr>
          <w:rFonts w:cs="Times New Roman"/>
          <w:noProof/>
          <w:sz w:val="20"/>
        </w:rPr>
        <w:t>er States did not sign and/or ratify a number of MEAs compromises environmental implementation, including within the Union, as well as the Union’s credibility in related negotiations and international meetings where supporting the participation of third co</w:t>
      </w:r>
      <w:r>
        <w:rPr>
          <w:rFonts w:cs="Times New Roman"/>
          <w:noProof/>
          <w:sz w:val="20"/>
        </w:rPr>
        <w:t xml:space="preserve">untries to such agreements is an established EU policy objective. In agreements where voting takes place it has a direct impact on the number of votes to be cast by the EU. </w:t>
      </w:r>
    </w:p>
    <w:p w:rsidR="00587940" w:rsidRDefault="00E43A41">
      <w:pPr>
        <w:widowControl w:val="0"/>
        <w:spacing w:after="120" w:line="240" w:lineRule="auto"/>
        <w:jc w:val="both"/>
        <w:rPr>
          <w:rFonts w:cs="Times New Roman"/>
          <w:noProof/>
          <w:sz w:val="20"/>
        </w:rPr>
      </w:pPr>
      <w:r>
        <w:rPr>
          <w:rFonts w:cs="Times New Roman"/>
          <w:noProof/>
          <w:sz w:val="20"/>
        </w:rPr>
        <w:t>Currently, Austria has signed but not yet ratified the Gothenburg Protocol to Abat</w:t>
      </w:r>
      <w:r>
        <w:rPr>
          <w:rFonts w:cs="Times New Roman"/>
          <w:noProof/>
          <w:sz w:val="20"/>
        </w:rPr>
        <w:t>e Acidification, Eutrophication and Ground-level Ozone and the Nagoya Protocol</w:t>
      </w:r>
      <w:r>
        <w:rPr>
          <w:rFonts w:cs="Times New Roman"/>
          <w:noProof/>
          <w:sz w:val="20"/>
          <w:vertAlign w:val="superscript"/>
        </w:rPr>
        <w:footnoteReference w:id="91"/>
      </w:r>
      <w:r>
        <w:rPr>
          <w:rFonts w:cs="Times New Roman"/>
          <w:noProof/>
          <w:sz w:val="20"/>
        </w:rPr>
        <w:t>. It has neither signed nor ratified the African-Eurasian Migratory Waterbird Agreement.</w:t>
      </w:r>
    </w:p>
    <w:p w:rsidR="00587940" w:rsidRDefault="00587940">
      <w:pPr>
        <w:widowControl w:val="0"/>
        <w:spacing w:after="120" w:line="240" w:lineRule="auto"/>
        <w:jc w:val="both"/>
        <w:rPr>
          <w:rFonts w:cs="Times New Roman"/>
          <w:noProof/>
          <w:sz w:val="20"/>
        </w:rPr>
      </w:pPr>
    </w:p>
    <w:p w:rsidR="00587940" w:rsidRDefault="00587940">
      <w:pPr>
        <w:widowControl w:val="0"/>
        <w:spacing w:after="120" w:line="240" w:lineRule="auto"/>
        <w:jc w:val="both"/>
        <w:rPr>
          <w:rFonts w:cs="Times New Roman"/>
          <w:noProof/>
          <w:sz w:val="20"/>
        </w:rPr>
        <w:sectPr w:rsidR="00587940">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440" w:right="1080" w:bottom="1440" w:left="1080" w:header="708" w:footer="708" w:gutter="0"/>
          <w:cols w:num="2" w:space="358"/>
          <w:docGrid w:linePitch="360"/>
        </w:sectPr>
      </w:pPr>
    </w:p>
    <w:p w:rsidR="00587940" w:rsidRDefault="00E43A41">
      <w:pPr>
        <w:spacing w:after="0" w:line="240" w:lineRule="auto"/>
        <w:jc w:val="center"/>
        <w:outlineLvl w:val="0"/>
        <w:rPr>
          <w:rFonts w:eastAsiaTheme="majorEastAsia" w:cstheme="majorBidi"/>
          <w:b/>
          <w:bCs/>
          <w:noProof/>
          <w:color w:val="1F497D" w:themeColor="text2"/>
          <w:sz w:val="32"/>
          <w:szCs w:val="28"/>
        </w:rPr>
      </w:pPr>
      <w:bookmarkStart w:id="68" w:name="_Toc433296176"/>
      <w:bookmarkStart w:id="69" w:name="_Toc469404516"/>
      <w:r>
        <w:rPr>
          <w:rFonts w:eastAsiaTheme="majorEastAsia" w:cstheme="majorBidi"/>
          <w:b/>
          <w:bCs/>
          <w:noProof/>
          <w:color w:val="1F497D" w:themeColor="text2"/>
          <w:sz w:val="32"/>
          <w:szCs w:val="28"/>
        </w:rPr>
        <w:t xml:space="preserve">Part II: </w:t>
      </w:r>
      <w:bookmarkEnd w:id="68"/>
      <w:r>
        <w:rPr>
          <w:rFonts w:eastAsiaTheme="majorEastAsia" w:cstheme="majorBidi"/>
          <w:b/>
          <w:bCs/>
          <w:noProof/>
          <w:color w:val="1F497D" w:themeColor="text2"/>
          <w:sz w:val="32"/>
          <w:szCs w:val="28"/>
        </w:rPr>
        <w:t>Enabling Framework: Implementation Tools</w:t>
      </w:r>
      <w:bookmarkEnd w:id="69"/>
    </w:p>
    <w:p w:rsidR="00587940" w:rsidRDefault="00587940">
      <w:pPr>
        <w:widowControl w:val="0"/>
        <w:spacing w:after="120" w:line="240" w:lineRule="auto"/>
        <w:jc w:val="both"/>
        <w:rPr>
          <w:rFonts w:cs="Times New Roman"/>
          <w:noProof/>
          <w:sz w:val="20"/>
        </w:rPr>
      </w:pPr>
    </w:p>
    <w:p w:rsidR="00587940" w:rsidRDefault="00587940">
      <w:pPr>
        <w:numPr>
          <w:ilvl w:val="0"/>
          <w:numId w:val="17"/>
        </w:numPr>
        <w:spacing w:after="0" w:line="240" w:lineRule="auto"/>
        <w:ind w:left="0" w:firstLine="0"/>
        <w:jc w:val="center"/>
        <w:outlineLvl w:val="0"/>
        <w:rPr>
          <w:rFonts w:eastAsiaTheme="majorEastAsia" w:cstheme="majorBidi"/>
          <w:b/>
          <w:bCs/>
          <w:noProof/>
          <w:color w:val="1F497D" w:themeColor="text2"/>
          <w:sz w:val="32"/>
          <w:szCs w:val="28"/>
        </w:rPr>
        <w:sectPr w:rsidR="00587940">
          <w:headerReference w:type="even" r:id="rId93"/>
          <w:headerReference w:type="default" r:id="rId94"/>
          <w:footerReference w:type="even" r:id="rId95"/>
          <w:footerReference w:type="default" r:id="rId96"/>
          <w:headerReference w:type="first" r:id="rId97"/>
          <w:footerReference w:type="first" r:id="rId98"/>
          <w:type w:val="continuous"/>
          <w:pgSz w:w="11906" w:h="16838"/>
          <w:pgMar w:top="1440" w:right="1080" w:bottom="1440" w:left="1080" w:header="708" w:footer="708" w:gutter="0"/>
          <w:cols w:space="566"/>
          <w:docGrid w:linePitch="360"/>
        </w:sectPr>
      </w:pPr>
    </w:p>
    <w:p w:rsidR="00587940" w:rsidRDefault="00E43A41">
      <w:pPr>
        <w:spacing w:after="0" w:line="240" w:lineRule="auto"/>
        <w:jc w:val="center"/>
        <w:outlineLvl w:val="0"/>
        <w:rPr>
          <w:rFonts w:eastAsiaTheme="majorEastAsia" w:cstheme="majorBidi"/>
          <w:b/>
          <w:bCs/>
          <w:noProof/>
          <w:color w:val="1F497D" w:themeColor="text2"/>
          <w:sz w:val="32"/>
          <w:szCs w:val="28"/>
        </w:rPr>
      </w:pPr>
      <w:bookmarkStart w:id="70" w:name="_Toc469404517"/>
      <w:r>
        <w:rPr>
          <w:rFonts w:eastAsiaTheme="majorEastAsia" w:cstheme="majorBidi"/>
          <w:b/>
          <w:bCs/>
          <w:noProof/>
          <w:color w:val="1F497D" w:themeColor="text2"/>
          <w:sz w:val="32"/>
          <w:szCs w:val="28"/>
        </w:rPr>
        <w:t xml:space="preserve">4. Market </w:t>
      </w:r>
      <w:r>
        <w:rPr>
          <w:rFonts w:eastAsiaTheme="majorEastAsia" w:cstheme="majorBidi"/>
          <w:b/>
          <w:bCs/>
          <w:noProof/>
          <w:color w:val="1F497D" w:themeColor="text2"/>
          <w:sz w:val="32"/>
          <w:szCs w:val="28"/>
        </w:rPr>
        <w:t>based instruments and investment</w:t>
      </w:r>
      <w:bookmarkEnd w:id="70"/>
    </w:p>
    <w:p w:rsidR="00587940" w:rsidRDefault="00587940">
      <w:pPr>
        <w:widowControl w:val="0"/>
        <w:spacing w:after="120" w:line="240" w:lineRule="auto"/>
        <w:jc w:val="both"/>
        <w:rPr>
          <w:rFonts w:cs="Times New Roman"/>
          <w:noProof/>
          <w:sz w:val="20"/>
        </w:rPr>
        <w:sectPr w:rsidR="00587940">
          <w:headerReference w:type="even" r:id="rId99"/>
          <w:headerReference w:type="default" r:id="rId100"/>
          <w:footerReference w:type="even" r:id="rId101"/>
          <w:footerReference w:type="default" r:id="rId102"/>
          <w:headerReference w:type="first" r:id="rId103"/>
          <w:footerReference w:type="first" r:id="rId104"/>
          <w:type w:val="continuous"/>
          <w:pgSz w:w="11906" w:h="16838"/>
          <w:pgMar w:top="1440" w:right="1080" w:bottom="1440" w:left="1080" w:header="708" w:footer="708" w:gutter="0"/>
          <w:cols w:space="566"/>
          <w:docGrid w:linePitch="360"/>
        </w:sectPr>
      </w:pPr>
    </w:p>
    <w:p w:rsidR="00587940" w:rsidRDefault="00587940">
      <w:pPr>
        <w:widowControl w:val="0"/>
        <w:spacing w:after="120"/>
        <w:rPr>
          <w:rFonts w:cs="Times New Roman"/>
          <w:noProof/>
          <w:sz w:val="20"/>
        </w:rPr>
      </w:pPr>
      <w:bookmarkStart w:id="71" w:name="_Toc433798401"/>
    </w:p>
    <w:p w:rsidR="00587940" w:rsidRDefault="00587940">
      <w:pPr>
        <w:widowControl w:val="0"/>
        <w:spacing w:after="120"/>
        <w:rPr>
          <w:rFonts w:cs="Times New Roman"/>
          <w:noProof/>
          <w:sz w:val="20"/>
        </w:rPr>
        <w:sectPr w:rsidR="00587940">
          <w:headerReference w:type="even" r:id="rId105"/>
          <w:headerReference w:type="default" r:id="rId106"/>
          <w:footerReference w:type="even" r:id="rId107"/>
          <w:footerReference w:type="default" r:id="rId108"/>
          <w:headerReference w:type="first" r:id="rId109"/>
          <w:footerReference w:type="first" r:id="rId110"/>
          <w:type w:val="continuous"/>
          <w:pgSz w:w="11906" w:h="16838" w:code="9"/>
          <w:pgMar w:top="1080" w:right="1440" w:bottom="1080" w:left="1440" w:header="709" w:footer="709" w:gutter="0"/>
          <w:cols w:space="566"/>
          <w:docGrid w:linePitch="360"/>
        </w:sectPr>
      </w:pPr>
    </w:p>
    <w:p w:rsidR="00587940" w:rsidRDefault="00E43A41">
      <w:pPr>
        <w:widowControl w:val="0"/>
        <w:spacing w:after="120" w:line="240" w:lineRule="auto"/>
        <w:jc w:val="both"/>
        <w:outlineLvl w:val="1"/>
        <w:rPr>
          <w:rFonts w:cs="Times New Roman"/>
          <w:b/>
          <w:noProof/>
          <w:color w:val="1F497D" w:themeColor="text2"/>
          <w:sz w:val="24"/>
        </w:rPr>
      </w:pPr>
      <w:bookmarkStart w:id="72" w:name="_Toc469404518"/>
      <w:r>
        <w:rPr>
          <w:rFonts w:cs="Times New Roman"/>
          <w:b/>
          <w:noProof/>
          <w:color w:val="1F497D" w:themeColor="text2"/>
          <w:sz w:val="24"/>
        </w:rPr>
        <w:t>Green taxation and environmentally harmful subsidies</w:t>
      </w:r>
      <w:bookmarkEnd w:id="72"/>
    </w:p>
    <w:p w:rsidR="00587940" w:rsidRDefault="00E43A41">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incentives and economic instruments, such as taxation to ensure that product prices better reflect </w:t>
      </w:r>
      <w:r>
        <w:rPr>
          <w:rFonts w:ascii="Calibri" w:eastAsia="Calibri" w:hAnsi="Calibri" w:cs="Times New Roman"/>
          <w:noProof/>
          <w:color w:val="FFFFFF"/>
          <w:sz w:val="20"/>
          <w:lang w:eastAsia="ar-SA"/>
        </w:rPr>
        <w:t>environmental costs. The phasing out of environmentally harmful subsidies is monitored in the context of the European Semester and in national reform programmes submitted by Member States.</w:t>
      </w:r>
    </w:p>
    <w:p w:rsidR="00587940" w:rsidRDefault="00E43A41">
      <w:pPr>
        <w:widowControl w:val="0"/>
        <w:spacing w:after="120" w:line="240" w:lineRule="auto"/>
        <w:jc w:val="both"/>
        <w:rPr>
          <w:rFonts w:cs="Times New Roman"/>
          <w:noProof/>
          <w:sz w:val="20"/>
        </w:rPr>
      </w:pPr>
      <w:r>
        <w:rPr>
          <w:rFonts w:cs="Times New Roman"/>
          <w:noProof/>
          <w:sz w:val="20"/>
        </w:rPr>
        <w:t>Taxing pollution and resource use can generate increased revenue an</w:t>
      </w:r>
      <w:r>
        <w:rPr>
          <w:rFonts w:cs="Times New Roman"/>
          <w:noProof/>
          <w:sz w:val="20"/>
        </w:rPr>
        <w:t>d bring important social and environmental benefits.</w:t>
      </w:r>
    </w:p>
    <w:p w:rsidR="00587940" w:rsidRDefault="00E43A41">
      <w:pPr>
        <w:widowControl w:val="0"/>
        <w:spacing w:after="120" w:line="240" w:lineRule="auto"/>
        <w:jc w:val="both"/>
        <w:rPr>
          <w:rFonts w:cs="Times New Roman"/>
          <w:noProof/>
          <w:sz w:val="20"/>
        </w:rPr>
      </w:pPr>
      <w:r>
        <w:rPr>
          <w:rFonts w:cs="Times New Roman"/>
          <w:noProof/>
          <w:sz w:val="20"/>
        </w:rPr>
        <w:t>Latest data show that environmental tax revenue amounted to 2.43% of Austria's GDP in 2014 (EU28 average: 2.46%), having been relatively stable since 2004 (2.37%)</w:t>
      </w:r>
      <w:r>
        <w:rPr>
          <w:rFonts w:cs="Times New Roman"/>
          <w:noProof/>
          <w:sz w:val="20"/>
          <w:vertAlign w:val="superscript"/>
        </w:rPr>
        <w:footnoteReference w:id="92"/>
      </w:r>
      <w:r>
        <w:rPr>
          <w:rFonts w:cs="Times New Roman"/>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In the same year environmental tax rev</w:t>
      </w:r>
      <w:r>
        <w:rPr>
          <w:rFonts w:cs="Times New Roman"/>
          <w:noProof/>
          <w:sz w:val="20"/>
        </w:rPr>
        <w:t>enues accounted for 5.63% of total revenues from taxes and social-security contributions</w:t>
      </w:r>
      <w:r>
        <w:rPr>
          <w:rFonts w:cs="Times New Roman"/>
          <w:noProof/>
          <w:sz w:val="20"/>
          <w:vertAlign w:val="superscript"/>
        </w:rPr>
        <w:footnoteReference w:id="93"/>
      </w:r>
      <w:r>
        <w:rPr>
          <w:rFonts w:cs="Times New Roman"/>
          <w:noProof/>
          <w:sz w:val="20"/>
        </w:rPr>
        <w:t xml:space="preserve"> (EU28 average: 6.35%) as shown in Figure 11.</w:t>
      </w:r>
    </w:p>
    <w:p w:rsidR="00587940" w:rsidRDefault="00E43A41">
      <w:pPr>
        <w:widowControl w:val="0"/>
        <w:spacing w:after="120" w:line="240" w:lineRule="auto"/>
        <w:jc w:val="both"/>
        <w:rPr>
          <w:rFonts w:cs="Times New Roman"/>
          <w:noProof/>
          <w:sz w:val="20"/>
        </w:rPr>
      </w:pPr>
      <w:r>
        <w:rPr>
          <w:rFonts w:cs="Times New Roman"/>
          <w:noProof/>
          <w:sz w:val="20"/>
        </w:rPr>
        <w:t xml:space="preserve">The Austrian austerity package of 2011 included the introduction of a flight levy (short distance EUR 8, middle distance </w:t>
      </w:r>
      <w:r>
        <w:rPr>
          <w:rFonts w:cs="Times New Roman"/>
          <w:noProof/>
          <w:sz w:val="20"/>
        </w:rPr>
        <w:t>EUR 20, long distance EUR 35), an increase in the mineral oil tax on diesel (of EUR 0.05/litre) and petrol (of EUR 0.04/litre) and an adjustment of the car registration tax: on the one hand, the carbon element of the tax was increased; on the other hand, t</w:t>
      </w:r>
      <w:r>
        <w:rPr>
          <w:rFonts w:cs="Times New Roman"/>
          <w:noProof/>
          <w:sz w:val="20"/>
        </w:rPr>
        <w:t>he permissible limits for toxic emissions were reduced.</w:t>
      </w:r>
    </w:p>
    <w:p w:rsidR="00587940" w:rsidRDefault="00E43A41">
      <w:pPr>
        <w:widowControl w:val="0"/>
        <w:spacing w:after="120" w:line="240" w:lineRule="auto"/>
        <w:jc w:val="both"/>
        <w:rPr>
          <w:rFonts w:cs="Times New Roman"/>
          <w:noProof/>
          <w:sz w:val="20"/>
        </w:rPr>
      </w:pPr>
      <w:r>
        <w:rPr>
          <w:rFonts w:cs="Times New Roman"/>
          <w:noProof/>
          <w:sz w:val="20"/>
        </w:rPr>
        <w:t xml:space="preserve">In the Stability Act of 2012, mineral oil tax reimbursement for agriculture and public transport was abolished (generating revenues of about EUR 0.07-0.08 billion). The flight levy introduced in 2011 </w:t>
      </w:r>
      <w:r>
        <w:rPr>
          <w:rFonts w:cs="Times New Roman"/>
          <w:noProof/>
          <w:sz w:val="20"/>
        </w:rPr>
        <w:t>was reduced for competitive reasons (short distance EUR 7, middle distance EUR 15, long distance EUR 35), and commuting allowances were raised (leading to additional budget losses of about EUR 0.15 billion).</w:t>
      </w:r>
    </w:p>
    <w:p w:rsidR="00587940" w:rsidRDefault="00E43A41">
      <w:pPr>
        <w:widowControl w:val="0"/>
        <w:spacing w:after="120" w:line="240" w:lineRule="auto"/>
        <w:jc w:val="both"/>
        <w:rPr>
          <w:rFonts w:cs="Times New Roman"/>
          <w:noProof/>
          <w:sz w:val="20"/>
        </w:rPr>
      </w:pPr>
      <w:r>
        <w:rPr>
          <w:rFonts w:cs="Times New Roman"/>
          <w:noProof/>
          <w:sz w:val="20"/>
        </w:rPr>
        <w:t>A 2016 study shows for Austria there is consider</w:t>
      </w:r>
      <w:r>
        <w:rPr>
          <w:rFonts w:cs="Times New Roman"/>
          <w:noProof/>
          <w:sz w:val="20"/>
        </w:rPr>
        <w:t>able potential for shifting taxes from labour to environmental taxes</w:t>
      </w:r>
      <w:r>
        <w:rPr>
          <w:rStyle w:val="FootnoteReference"/>
          <w:rFonts w:cs="Times New Roman"/>
          <w:noProof/>
          <w:sz w:val="20"/>
        </w:rPr>
        <w:footnoteReference w:id="94"/>
      </w:r>
      <w:r>
        <w:rPr>
          <w:rFonts w:cs="Times New Roman"/>
          <w:noProof/>
          <w:sz w:val="20"/>
        </w:rPr>
        <w:t>. Under a good practise scenario</w:t>
      </w:r>
      <w:r>
        <w:rPr>
          <w:rStyle w:val="FootnoteReference"/>
          <w:rFonts w:cs="Times New Roman"/>
          <w:noProof/>
          <w:sz w:val="20"/>
        </w:rPr>
        <w:footnoteReference w:id="95"/>
      </w:r>
      <w:r>
        <w:rPr>
          <w:rFonts w:cs="Times New Roman"/>
          <w:noProof/>
          <w:sz w:val="20"/>
        </w:rPr>
        <w:t>, these taxes could generate an additional EUR 1545 million in 2018, rising to EUR 3032 million in 2030 (both in real 2015 terms). This is equivalent to a</w:t>
      </w:r>
      <w:r>
        <w:rPr>
          <w:rFonts w:cs="Times New Roman"/>
          <w:noProof/>
          <w:sz w:val="20"/>
        </w:rPr>
        <w:t>n additional 0.44% and 0.73% of GDP in 2018 and 2030, respectively</w:t>
      </w:r>
      <w:r>
        <w:rPr>
          <w:rFonts w:cs="Times New Roman"/>
          <w:noProof/>
          <w:sz w:val="20"/>
          <w:vertAlign w:val="superscript"/>
        </w:rPr>
        <w:footnoteReference w:id="96"/>
      </w:r>
      <w:r>
        <w:rPr>
          <w:rFonts w:cs="Times New Roman"/>
          <w:noProof/>
          <w:sz w:val="20"/>
        </w:rPr>
        <w: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587940">
        <w:tc>
          <w:tcPr>
            <w:tcW w:w="4910" w:type="dxa"/>
          </w:tcPr>
          <w:p w:rsidR="00587940" w:rsidRDefault="00E43A41">
            <w:pPr>
              <w:widowControl w:val="0"/>
              <w:spacing w:after="120"/>
              <w:jc w:val="both"/>
              <w:rPr>
                <w:rFonts w:cs="Times New Roman"/>
                <w:b/>
                <w:bCs/>
                <w:noProof/>
                <w:color w:val="1F497D" w:themeColor="text2"/>
                <w:sz w:val="20"/>
              </w:rPr>
            </w:pPr>
            <w:r>
              <w:rPr>
                <w:b/>
                <w:bCs/>
                <w:noProof/>
                <w:color w:val="1F497D" w:themeColor="text2"/>
                <w:sz w:val="20"/>
              </w:rPr>
              <w:t>Figure 10: Environmental tax revenues as a share of total revenues from taxes and social contributions  (excluding imputed social contributions) in 2014</w:t>
            </w:r>
            <w:r>
              <w:rPr>
                <w:b/>
                <w:bCs/>
                <w:noProof/>
                <w:color w:val="1F497D" w:themeColor="text2"/>
                <w:sz w:val="20"/>
                <w:vertAlign w:val="superscript"/>
              </w:rPr>
              <w:footnoteReference w:id="97"/>
            </w:r>
          </w:p>
        </w:tc>
      </w:tr>
      <w:tr w:rsidR="00587940">
        <w:tc>
          <w:tcPr>
            <w:tcW w:w="4910" w:type="dxa"/>
          </w:tcPr>
          <w:p w:rsidR="00587940" w:rsidRDefault="00E43A41">
            <w:pPr>
              <w:widowControl w:val="0"/>
              <w:spacing w:after="120"/>
              <w:jc w:val="both"/>
              <w:rPr>
                <w:rFonts w:cs="Times New Roman"/>
                <w:noProof/>
                <w:sz w:val="20"/>
              </w:rPr>
            </w:pPr>
            <w:r>
              <w:rPr>
                <w:rFonts w:cs="Times New Roman"/>
                <w:noProof/>
                <w:sz w:val="20"/>
                <w:lang w:eastAsia="en-GB"/>
              </w:rPr>
              <w:drawing>
                <wp:inline distT="0" distB="0" distL="0" distR="0" wp14:anchorId="61EDAD84" wp14:editId="76268AD3">
                  <wp:extent cx="3099460" cy="4543007"/>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02275" cy="4547133"/>
                          </a:xfrm>
                          <a:prstGeom prst="rect">
                            <a:avLst/>
                          </a:prstGeom>
                          <a:noFill/>
                        </pic:spPr>
                      </pic:pic>
                    </a:graphicData>
                  </a:graphic>
                </wp:inline>
              </w:drawing>
            </w:r>
          </w:p>
        </w:tc>
      </w:tr>
    </w:tbl>
    <w:p w:rsidR="00587940" w:rsidRDefault="00E43A41">
      <w:pPr>
        <w:widowControl w:val="0"/>
        <w:spacing w:after="120" w:line="240" w:lineRule="auto"/>
        <w:jc w:val="both"/>
        <w:rPr>
          <w:rFonts w:cs="Times New Roman"/>
          <w:noProof/>
          <w:sz w:val="20"/>
        </w:rPr>
      </w:pPr>
      <w:r>
        <w:rPr>
          <w:rFonts w:cs="Times New Roman"/>
          <w:noProof/>
          <w:sz w:val="20"/>
        </w:rPr>
        <w:t xml:space="preserve">The largest potential source </w:t>
      </w:r>
      <w:r>
        <w:rPr>
          <w:rFonts w:cs="Times New Roman"/>
          <w:noProof/>
          <w:sz w:val="20"/>
        </w:rPr>
        <w:t>of revenue comes from the proposed amendments to taxes on transport fuels. This accounts for EUR 1090 million in 2030 (real 2015 terms), equivalent to 0.26% of GDP.</w:t>
      </w:r>
    </w:p>
    <w:p w:rsidR="00587940" w:rsidRDefault="00E43A41">
      <w:pPr>
        <w:widowControl w:val="0"/>
        <w:spacing w:after="120" w:line="240" w:lineRule="auto"/>
        <w:jc w:val="both"/>
        <w:rPr>
          <w:rFonts w:cs="Times New Roman"/>
          <w:noProof/>
          <w:sz w:val="20"/>
        </w:rPr>
      </w:pPr>
      <w:r>
        <w:rPr>
          <w:rFonts w:cs="Times New Roman"/>
          <w:noProof/>
          <w:sz w:val="20"/>
        </w:rPr>
        <w:t>In Austria appears to have, according to a Commission's assessment</w:t>
      </w:r>
      <w:r>
        <w:rPr>
          <w:rFonts w:cs="Times New Roman"/>
          <w:noProof/>
          <w:sz w:val="20"/>
          <w:vertAlign w:val="superscript"/>
        </w:rPr>
        <w:footnoteReference w:id="98"/>
      </w:r>
      <w:r>
        <w:rPr>
          <w:rFonts w:cs="Times New Roman"/>
          <w:noProof/>
          <w:sz w:val="20"/>
        </w:rPr>
        <w:t xml:space="preserve"> a potential need to red</w:t>
      </w:r>
      <w:r>
        <w:rPr>
          <w:rFonts w:cs="Times New Roman"/>
          <w:noProof/>
          <w:sz w:val="20"/>
        </w:rPr>
        <w:t>uce a relatively high tax burden on labour and potential scope to increase the least distortive taxes like environmental taxes. Potential scope to increase environmental taxes might exist since the implicit tax rate on energy is relatively low (183.3 EUR p</w:t>
      </w:r>
      <w:r>
        <w:rPr>
          <w:rFonts w:cs="Times New Roman"/>
          <w:noProof/>
          <w:sz w:val="20"/>
        </w:rPr>
        <w:t>er tonnes of oil equivalent, TOE) compared to the EU average (222.8 EUR/TOE). The OECD</w:t>
      </w:r>
      <w:r>
        <w:rPr>
          <w:rFonts w:cs="Times New Roman"/>
          <w:noProof/>
          <w:sz w:val="20"/>
          <w:vertAlign w:val="superscript"/>
        </w:rPr>
        <w:footnoteReference w:id="99"/>
      </w:r>
      <w:r>
        <w:rPr>
          <w:rFonts w:cs="Times New Roman"/>
          <w:noProof/>
          <w:sz w:val="20"/>
        </w:rPr>
        <w:t xml:space="preserve"> recommends as well financing a reduction of labour tax wedge by broadening the tax base and increases in consumption, environmental and recurrent property taxes.</w:t>
      </w:r>
    </w:p>
    <w:p w:rsidR="00587940" w:rsidRDefault="00E43A41">
      <w:pPr>
        <w:widowControl w:val="0"/>
        <w:spacing w:after="120" w:line="240" w:lineRule="auto"/>
        <w:jc w:val="both"/>
        <w:rPr>
          <w:rFonts w:cs="Times New Roman"/>
          <w:noProof/>
          <w:sz w:val="20"/>
        </w:rPr>
      </w:pPr>
      <w:r>
        <w:rPr>
          <w:rFonts w:cs="Times New Roman"/>
          <w:noProof/>
          <w:sz w:val="20"/>
        </w:rPr>
        <w:t>In 201</w:t>
      </w:r>
      <w:r>
        <w:rPr>
          <w:rFonts w:cs="Times New Roman"/>
          <w:noProof/>
          <w:sz w:val="20"/>
        </w:rPr>
        <w:t>5, Austria enacted a comprehensive reform of the country's tax system mainly to reduce tax wedge on labour. But it did not use the opportunity to overhaul its environmental taxes in order to achieve environmental objectives. The only environment related me</w:t>
      </w:r>
      <w:r>
        <w:rPr>
          <w:rFonts w:cs="Times New Roman"/>
          <w:noProof/>
          <w:sz w:val="20"/>
        </w:rPr>
        <w:t>asure was the increase of the taxable income from the private use of company cars from 1.5% to 2% of the total acquisition cost of the car, and the right to deduct tax for CO</w:t>
      </w:r>
      <w:r>
        <w:rPr>
          <w:rFonts w:cs="Times New Roman"/>
          <w:noProof/>
          <w:sz w:val="20"/>
          <w:vertAlign w:val="subscript"/>
        </w:rPr>
        <w:t>2</w:t>
      </w:r>
      <w:r>
        <w:rPr>
          <w:rFonts w:cs="Times New Roman"/>
          <w:noProof/>
          <w:sz w:val="20"/>
        </w:rPr>
        <w:t xml:space="preserve"> emission free cars was introduced.</w:t>
      </w:r>
    </w:p>
    <w:p w:rsidR="00587940" w:rsidRDefault="00E43A41">
      <w:pPr>
        <w:widowControl w:val="0"/>
        <w:spacing w:after="120" w:line="240" w:lineRule="auto"/>
        <w:jc w:val="both"/>
        <w:rPr>
          <w:rFonts w:cs="Times New Roman"/>
          <w:noProof/>
          <w:sz w:val="20"/>
        </w:rPr>
      </w:pPr>
      <w:r>
        <w:rPr>
          <w:rFonts w:cs="Times New Roman"/>
          <w:noProof/>
          <w:sz w:val="20"/>
        </w:rPr>
        <w:t xml:space="preserve">No measures were taken to reduce </w:t>
      </w:r>
      <w:r>
        <w:rPr>
          <w:rFonts w:cs="Times New Roman"/>
          <w:noProof/>
          <w:sz w:val="20"/>
        </w:rPr>
        <w:t>environmental harmful subsidies. The different tax treatment of diesel and gasoline</w:t>
      </w:r>
      <w:r>
        <w:rPr>
          <w:rFonts w:cs="Times New Roman"/>
          <w:noProof/>
          <w:sz w:val="20"/>
          <w:vertAlign w:val="superscript"/>
        </w:rPr>
        <w:footnoteReference w:id="100"/>
      </w:r>
      <w:r>
        <w:rPr>
          <w:rFonts w:cs="Times New Roman"/>
          <w:noProof/>
          <w:sz w:val="20"/>
        </w:rPr>
        <w:t xml:space="preserve"> for road use is from the environmental point of view unjustified. Diesel is taxed at a lower rate (both in terms of carbon and energy content), although it emits more air </w:t>
      </w:r>
      <w:r>
        <w:rPr>
          <w:rFonts w:cs="Times New Roman"/>
          <w:noProof/>
          <w:sz w:val="20"/>
        </w:rPr>
        <w:t>pollutants.</w:t>
      </w:r>
    </w:p>
    <w:p w:rsidR="00587940" w:rsidRDefault="00E43A41">
      <w:pPr>
        <w:widowControl w:val="0"/>
        <w:spacing w:after="120" w:line="240" w:lineRule="auto"/>
        <w:jc w:val="both"/>
        <w:rPr>
          <w:rFonts w:cs="Times New Roman"/>
          <w:noProof/>
          <w:sz w:val="20"/>
        </w:rPr>
      </w:pPr>
      <w:r>
        <w:rPr>
          <w:rFonts w:cs="Times New Roman"/>
          <w:noProof/>
          <w:sz w:val="20"/>
        </w:rPr>
        <w:t>In addition, recent data</w:t>
      </w:r>
      <w:r>
        <w:rPr>
          <w:rFonts w:cs="Times New Roman"/>
          <w:noProof/>
          <w:sz w:val="20"/>
          <w:vertAlign w:val="superscript"/>
        </w:rPr>
        <w:footnoteReference w:id="101"/>
      </w:r>
      <w:r>
        <w:rPr>
          <w:rFonts w:cs="Times New Roman"/>
          <w:noProof/>
          <w:sz w:val="20"/>
        </w:rPr>
        <w:t xml:space="preserve"> show that Austria confers tax advantages on company cars that could stimulate the excessive use of fossil fuels and undermine the EU energy, climate and environmental policies. This preferential tax treatment for compa</w:t>
      </w:r>
      <w:r>
        <w:rPr>
          <w:rFonts w:cs="Times New Roman"/>
          <w:noProof/>
          <w:sz w:val="20"/>
        </w:rPr>
        <w:t>ny cars leads to estimated revenue losses of EUR 558 million.</w:t>
      </w:r>
    </w:p>
    <w:p w:rsidR="00587940" w:rsidRDefault="00E43A41">
      <w:pPr>
        <w:widowControl w:val="0"/>
        <w:spacing w:after="120" w:line="240" w:lineRule="auto"/>
        <w:jc w:val="both"/>
        <w:outlineLvl w:val="1"/>
        <w:rPr>
          <w:rFonts w:cs="Times New Roman"/>
          <w:b/>
          <w:noProof/>
          <w:color w:val="1F497D" w:themeColor="text2"/>
          <w:sz w:val="24"/>
          <w:lang w:eastAsia="en-GB"/>
        </w:rPr>
      </w:pPr>
      <w:bookmarkStart w:id="73" w:name="_Toc454460691"/>
      <w:bookmarkStart w:id="74" w:name="_Toc469404519"/>
      <w:bookmarkStart w:id="75" w:name="_Toc448925421"/>
      <w:r>
        <w:rPr>
          <w:rFonts w:cs="Times New Roman"/>
          <w:b/>
          <w:noProof/>
          <w:color w:val="1F497D" w:themeColor="text2"/>
          <w:sz w:val="24"/>
          <w:lang w:eastAsia="en-GB"/>
        </w:rPr>
        <w:t>Green Public Procurement</w:t>
      </w:r>
      <w:bookmarkEnd w:id="73"/>
      <w:bookmarkEnd w:id="74"/>
      <w:r>
        <w:rPr>
          <w:rFonts w:cs="Times New Roman"/>
          <w:b/>
          <w:noProof/>
          <w:color w:val="1F497D" w:themeColor="text2"/>
          <w:sz w:val="24"/>
          <w:lang w:eastAsia="en-GB"/>
        </w:rPr>
        <w:t xml:space="preserve"> </w:t>
      </w:r>
    </w:p>
    <w:p w:rsidR="00587940" w:rsidRDefault="00E43A41">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target of applying green procurement criteria to at least 50% of pub</w:t>
      </w:r>
      <w:r>
        <w:rPr>
          <w:rFonts w:cs="Times New Roman"/>
          <w:noProof/>
          <w:color w:val="FFFFFF" w:themeColor="background1"/>
          <w:sz w:val="20"/>
        </w:rPr>
        <w:t>lic tenders.</w:t>
      </w:r>
    </w:p>
    <w:bookmarkEnd w:id="75"/>
    <w:p w:rsidR="00587940" w:rsidRDefault="00E43A41">
      <w:pPr>
        <w:widowControl w:val="0"/>
        <w:spacing w:before="240"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reduced environmental impact throughout their life-cycle when compared to goods, services and works with the same primary f</w:t>
      </w:r>
      <w:r>
        <w:rPr>
          <w:rFonts w:cs="Times New Roman"/>
          <w:noProof/>
          <w:sz w:val="20"/>
        </w:rPr>
        <w:t xml:space="preserve">unction that would otherwise be procured. </w:t>
      </w:r>
    </w:p>
    <w:p w:rsidR="00587940" w:rsidRDefault="00E43A41">
      <w:pPr>
        <w:widowControl w:val="0"/>
        <w:spacing w:after="120" w:line="240" w:lineRule="auto"/>
        <w:jc w:val="both"/>
        <w:rPr>
          <w:rFonts w:cs="Times New Roman"/>
          <w:noProof/>
          <w:sz w:val="20"/>
        </w:rPr>
      </w:pPr>
      <w:r>
        <w:rPr>
          <w:rFonts w:cs="Times New Roman"/>
          <w:noProof/>
          <w:sz w:val="20"/>
        </w:rPr>
        <w:t>The purchasing power of public procurement in the EU equals to approximately 14% of GDP</w:t>
      </w:r>
      <w:r>
        <w:rPr>
          <w:rFonts w:cs="Times New Roman"/>
          <w:noProof/>
          <w:sz w:val="20"/>
          <w:vertAlign w:val="superscript"/>
        </w:rPr>
        <w:footnoteReference w:id="102"/>
      </w:r>
      <w:r>
        <w:rPr>
          <w:rFonts w:cs="Times New Roman"/>
          <w:noProof/>
          <w:sz w:val="20"/>
        </w:rPr>
        <w:t>. A substantial part of this money is spent on sectors with high environmental impact such as construction or transport, so G</w:t>
      </w:r>
      <w:r>
        <w:rPr>
          <w:rFonts w:cs="Times New Roman"/>
          <w:noProof/>
          <w:sz w:val="20"/>
        </w:rPr>
        <w:t>PP can help to significantly lower the impact of public spending and foster sustainable innovative businesses. The Commission has proposed EU GPP criteria</w:t>
      </w:r>
      <w:r>
        <w:rPr>
          <w:rFonts w:cs="Times New Roman"/>
          <w:noProof/>
          <w:sz w:val="20"/>
          <w:vertAlign w:val="superscript"/>
        </w:rPr>
        <w:footnoteReference w:id="103"/>
      </w:r>
      <w:r>
        <w:rPr>
          <w:rFonts w:cs="Times New Roman"/>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 xml:space="preserve">In Austria, a national action plan (NAP) for GPP, named </w:t>
      </w:r>
      <w:r>
        <w:rPr>
          <w:rFonts w:cs="Times New Roman"/>
          <w:i/>
          <w:noProof/>
          <w:sz w:val="20"/>
        </w:rPr>
        <w:t>Aktionsplan</w:t>
      </w:r>
      <w:r>
        <w:rPr>
          <w:rFonts w:cs="Times New Roman"/>
          <w:noProof/>
          <w:sz w:val="20"/>
        </w:rPr>
        <w:t xml:space="preserve"> </w:t>
      </w:r>
      <w:hyperlink r:id="rId112" w:history="1">
        <w:r>
          <w:rPr>
            <w:rFonts w:cs="Times New Roman"/>
            <w:i/>
            <w:noProof/>
            <w:sz w:val="20"/>
            <w:u w:val="single"/>
          </w:rPr>
          <w:t>nachhaltige öffentliche Beschaffung</w:t>
        </w:r>
      </w:hyperlink>
      <w:r>
        <w:rPr>
          <w:rFonts w:cs="Times New Roman"/>
          <w:i/>
          <w:noProof/>
          <w:sz w:val="20"/>
          <w:u w:val="single"/>
          <w:vertAlign w:val="superscript"/>
        </w:rPr>
        <w:footnoteReference w:id="104"/>
      </w:r>
      <w:r>
        <w:rPr>
          <w:rFonts w:cs="Times New Roman"/>
          <w:noProof/>
          <w:sz w:val="20"/>
        </w:rPr>
        <w:t>, was adopted by the Council of Ministers in July 2010. It determines that the Federal Procurement Agency, per instruction of the Ministry of Finance, must include the national green public procure</w:t>
      </w:r>
      <w:r>
        <w:rPr>
          <w:rFonts w:cs="Times New Roman"/>
          <w:noProof/>
          <w:sz w:val="20"/>
        </w:rPr>
        <w:t xml:space="preserve">ment requirements for 14 products (textiles products and leasing, transport IT equipment, cleaning products and services, furniture, food and catering services, indoor lighting, energy-using appliances, infrastructure, construction, electricity, gardening </w:t>
      </w:r>
      <w:r>
        <w:rPr>
          <w:rFonts w:cs="Times New Roman"/>
          <w:noProof/>
          <w:sz w:val="20"/>
        </w:rPr>
        <w:t>products and services, office supplies, paper, event management) for which GPP criteria were established</w:t>
      </w:r>
      <w:r>
        <w:rPr>
          <w:rFonts w:cs="Times New Roman"/>
          <w:noProof/>
          <w:sz w:val="20"/>
          <w:vertAlign w:val="superscript"/>
        </w:rPr>
        <w:footnoteReference w:id="105"/>
      </w:r>
      <w:r>
        <w:rPr>
          <w:rFonts w:cs="Times New Roman"/>
          <w:noProof/>
          <w:sz w:val="20"/>
        </w:rPr>
        <w:t>.</w:t>
      </w:r>
    </w:p>
    <w:p w:rsidR="00587940" w:rsidRDefault="00E43A41">
      <w:pPr>
        <w:widowControl w:val="0"/>
        <w:spacing w:after="120" w:line="240" w:lineRule="auto"/>
        <w:jc w:val="both"/>
        <w:rPr>
          <w:rFonts w:cs="Times New Roman"/>
          <w:iCs/>
          <w:noProof/>
          <w:sz w:val="20"/>
          <w:lang w:val="en-US"/>
        </w:rPr>
      </w:pPr>
      <w:r>
        <w:rPr>
          <w:rFonts w:cs="Times New Roman"/>
          <w:noProof/>
          <w:sz w:val="20"/>
        </w:rPr>
        <w:t>In addition, the provincial governments of Austria have passed a resolution in 2016 in relation to the GPP criteria of national action plan as the ba</w:t>
      </w:r>
      <w:r>
        <w:rPr>
          <w:rFonts w:cs="Times New Roman"/>
          <w:noProof/>
          <w:sz w:val="20"/>
        </w:rPr>
        <w:t xml:space="preserve">sis of minimum requirements for all municipalities and provinces (recommendation). </w:t>
      </w:r>
      <w:r>
        <w:rPr>
          <w:rFonts w:cs="Times New Roman"/>
          <w:iCs/>
          <w:noProof/>
          <w:sz w:val="20"/>
        </w:rPr>
        <w:t>In the provinces of Vorarlberg, Tyrol and Lower Austria local public procurers are provided with a particular procurement service to bundle procurements and foster sustainab</w:t>
      </w:r>
      <w:r>
        <w:rPr>
          <w:rFonts w:cs="Times New Roman"/>
          <w:iCs/>
          <w:noProof/>
          <w:sz w:val="20"/>
        </w:rPr>
        <w:t xml:space="preserve">ility (Nachhaltiges </w:t>
      </w:r>
      <w:r>
        <w:rPr>
          <w:rFonts w:cs="Times New Roman"/>
          <w:iCs/>
          <w:noProof/>
          <w:sz w:val="20"/>
          <w:lang w:val="en-US"/>
        </w:rPr>
        <w:t>Beschaffungsservice).</w:t>
      </w:r>
    </w:p>
    <w:p w:rsidR="00587940" w:rsidRDefault="00E43A41">
      <w:pPr>
        <w:widowControl w:val="0"/>
        <w:spacing w:after="120" w:line="240" w:lineRule="auto"/>
        <w:jc w:val="both"/>
        <w:rPr>
          <w:rFonts w:cs="Times New Roman"/>
          <w:noProof/>
          <w:sz w:val="20"/>
        </w:rPr>
      </w:pPr>
      <w:r>
        <w:rPr>
          <w:rFonts w:cs="Times New Roman"/>
          <w:noProof/>
          <w:sz w:val="20"/>
        </w:rPr>
        <w:t>To exchange experience of procurement officers with GPP on the different governmental levels (federal, regional and local level) a specific platform including a help-desk</w:t>
      </w:r>
      <w:r>
        <w:rPr>
          <w:rFonts w:cs="Times New Roman"/>
          <w:noProof/>
          <w:sz w:val="20"/>
          <w:vertAlign w:val="superscript"/>
        </w:rPr>
        <w:footnoteReference w:id="106"/>
      </w:r>
      <w:r>
        <w:rPr>
          <w:rFonts w:cs="Times New Roman"/>
          <w:noProof/>
          <w:sz w:val="20"/>
        </w:rPr>
        <w:t xml:space="preserve"> has been established.</w:t>
      </w:r>
    </w:p>
    <w:p w:rsidR="00587940" w:rsidRDefault="00E43A41">
      <w:pPr>
        <w:widowControl w:val="0"/>
        <w:spacing w:after="120" w:line="240" w:lineRule="auto"/>
        <w:jc w:val="both"/>
        <w:rPr>
          <w:rFonts w:cs="Times New Roman"/>
          <w:noProof/>
          <w:sz w:val="20"/>
        </w:rPr>
      </w:pPr>
      <w:r>
        <w:rPr>
          <w:rFonts w:cs="Times New Roman"/>
          <w:noProof/>
          <w:sz w:val="20"/>
        </w:rPr>
        <w:t xml:space="preserve">A 2011-study states </w:t>
      </w:r>
      <w:r>
        <w:rPr>
          <w:rFonts w:cs="Times New Roman"/>
          <w:noProof/>
          <w:sz w:val="20"/>
        </w:rPr>
        <w:t>that the share of Austrian authorities that included GPP requirements in between 50% and 100% of their contracts was estimated between 10 and 20%</w:t>
      </w:r>
      <w:r>
        <w:rPr>
          <w:rFonts w:cs="Times New Roman"/>
          <w:noProof/>
          <w:sz w:val="20"/>
          <w:vertAlign w:val="superscript"/>
        </w:rPr>
        <w:footnoteReference w:id="107"/>
      </w:r>
      <w:r>
        <w:rPr>
          <w:rFonts w:cs="Times New Roman"/>
          <w:noProof/>
          <w:sz w:val="20"/>
        </w:rPr>
        <w:t>.</w:t>
      </w:r>
    </w:p>
    <w:p w:rsidR="00587940" w:rsidRDefault="00E43A41">
      <w:pPr>
        <w:widowControl w:val="0"/>
        <w:spacing w:after="120" w:line="240" w:lineRule="auto"/>
        <w:jc w:val="both"/>
        <w:rPr>
          <w:rFonts w:cstheme="minorHAnsi"/>
          <w:noProof/>
          <w:szCs w:val="26"/>
        </w:rPr>
      </w:pPr>
      <w:r>
        <w:rPr>
          <w:rFonts w:cs="Times New Roman"/>
          <w:noProof/>
          <w:sz w:val="20"/>
        </w:rPr>
        <w:t xml:space="preserve">According to a 2012-survey, Austrian authorities included at least one of the EU core green criteria in 73% </w:t>
      </w:r>
      <w:r>
        <w:rPr>
          <w:rFonts w:cs="Times New Roman"/>
          <w:noProof/>
          <w:sz w:val="20"/>
        </w:rPr>
        <w:t>of the contracts and 38% of the contracts included all the relevant EU core green criteria</w:t>
      </w:r>
      <w:r>
        <w:rPr>
          <w:rFonts w:cs="Times New Roman"/>
          <w:noProof/>
          <w:sz w:val="20"/>
          <w:vertAlign w:val="superscript"/>
        </w:rPr>
        <w:footnoteReference w:id="108"/>
      </w:r>
      <w:r>
        <w:rPr>
          <w:rFonts w:cs="Times New Roman"/>
          <w:noProof/>
          <w:sz w:val="20"/>
        </w:rPr>
        <w:t>.</w:t>
      </w:r>
    </w:p>
    <w:p w:rsidR="00587940" w:rsidRDefault="00E43A41">
      <w:pPr>
        <w:widowControl w:val="0"/>
        <w:spacing w:after="120" w:line="240" w:lineRule="auto"/>
        <w:jc w:val="both"/>
        <w:outlineLvl w:val="1"/>
        <w:rPr>
          <w:rFonts w:cs="Times New Roman"/>
          <w:b/>
          <w:noProof/>
          <w:color w:val="1F497D" w:themeColor="text2"/>
          <w:sz w:val="24"/>
        </w:rPr>
      </w:pPr>
      <w:bookmarkStart w:id="76" w:name="_Toc469404520"/>
      <w:r>
        <w:rPr>
          <w:rFonts w:cs="Times New Roman"/>
          <w:b/>
          <w:noProof/>
          <w:color w:val="1F497D" w:themeColor="text2"/>
          <w:sz w:val="24"/>
        </w:rPr>
        <w:t>Investments: the contribution of EU funds</w:t>
      </w:r>
      <w:bookmarkEnd w:id="76"/>
      <w:r>
        <w:rPr>
          <w:rFonts w:cs="Times New Roman"/>
          <w:b/>
          <w:noProof/>
          <w:color w:val="1F497D" w:themeColor="text2"/>
          <w:sz w:val="24"/>
        </w:rPr>
        <w:t xml:space="preserve"> </w:t>
      </w:r>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provide that Member States promote environment and climate objectiv</w:t>
      </w:r>
      <w:r>
        <w:rPr>
          <w:rFonts w:cs="Times New Roman"/>
          <w:noProof/>
          <w:color w:val="FFFFFF" w:themeColor="background1"/>
          <w:sz w:val="20"/>
        </w:rPr>
        <w:t>es in their funding strategies and programmes for economic, social and territorial cohesion, rural development and maritime policy, and reinforce the capacity of implementing bodies to deliver cost-effective and sustainable investments in these areas.</w:t>
      </w:r>
    </w:p>
    <w:p w:rsidR="00587940" w:rsidRDefault="00E43A41">
      <w:pPr>
        <w:widowControl w:val="0"/>
        <w:spacing w:after="120" w:line="240" w:lineRule="auto"/>
        <w:jc w:val="both"/>
        <w:rPr>
          <w:rFonts w:cs="Times New Roman"/>
          <w:noProof/>
          <w:sz w:val="20"/>
        </w:rPr>
      </w:pPr>
      <w:r>
        <w:rPr>
          <w:rFonts w:cs="Times New Roman"/>
          <w:noProof/>
          <w:sz w:val="20"/>
        </w:rPr>
        <w:t>Maki</w:t>
      </w:r>
      <w:r>
        <w:rPr>
          <w:rFonts w:cs="Times New Roman"/>
          <w:noProof/>
          <w:sz w:val="20"/>
        </w:rPr>
        <w:t xml:space="preserve">ng good use of the </w:t>
      </w:r>
      <w:r>
        <w:rPr>
          <w:rFonts w:cs="Times New Roman"/>
          <w:noProof/>
          <w:sz w:val="20"/>
          <w:szCs w:val="24"/>
        </w:rPr>
        <w:t>European Structural and Investment Funds (ESIF)</w:t>
      </w:r>
      <w:r>
        <w:rPr>
          <w:rFonts w:cs="Times New Roman"/>
          <w:noProof/>
          <w:sz w:val="20"/>
          <w:szCs w:val="24"/>
          <w:vertAlign w:val="superscript"/>
        </w:rPr>
        <w:footnoteReference w:id="109"/>
      </w:r>
      <w:r>
        <w:rPr>
          <w:rFonts w:cs="Times New Roman"/>
          <w:noProof/>
          <w:sz w:val="20"/>
          <w:szCs w:val="24"/>
        </w:rPr>
        <w:t xml:space="preserve"> </w:t>
      </w:r>
      <w:r>
        <w:rPr>
          <w:rFonts w:cs="Times New Roman"/>
          <w:noProof/>
          <w:sz w:val="20"/>
        </w:rPr>
        <w:t xml:space="preserve">is essential to achieve the environmental goals and integrate these into other policy areas. Other instruments such as the Horizon 2020, the LIFE programme and European Fund for Strategic </w:t>
      </w:r>
      <w:r>
        <w:rPr>
          <w:rFonts w:cs="Times New Roman"/>
          <w:noProof/>
          <w:sz w:val="20"/>
        </w:rPr>
        <w:t>Investment</w:t>
      </w:r>
      <w:r>
        <w:rPr>
          <w:rFonts w:cs="Times New Roman"/>
          <w:noProof/>
          <w:sz w:val="20"/>
          <w:vertAlign w:val="superscript"/>
        </w:rPr>
        <w:footnoteReference w:id="110"/>
      </w:r>
      <w:r>
        <w:rPr>
          <w:rFonts w:cs="Times New Roman"/>
          <w:noProof/>
          <w:sz w:val="20"/>
        </w:rPr>
        <w:t xml:space="preserve"> (EFSI) may also support implementation and spread off best practice.</w:t>
      </w:r>
    </w:p>
    <w:p w:rsidR="00587940" w:rsidRDefault="00E43A41">
      <w:pPr>
        <w:spacing w:after="120" w:line="240" w:lineRule="auto"/>
        <w:jc w:val="both"/>
        <w:rPr>
          <w:rFonts w:cs="Times New Roman"/>
          <w:noProof/>
          <w:sz w:val="20"/>
        </w:rPr>
      </w:pPr>
      <w:r>
        <w:rPr>
          <w:rFonts w:cs="Times New Roman"/>
          <w:noProof/>
          <w:sz w:val="20"/>
        </w:rPr>
        <w:t>Austria benefits, through three national programmes and a common regional programme, from European Structural and Investment Funds (ESIF) funding of EUR 4.9 billion over the p</w:t>
      </w:r>
      <w:r>
        <w:rPr>
          <w:rFonts w:cs="Times New Roman"/>
          <w:noProof/>
          <w:sz w:val="20"/>
        </w:rPr>
        <w:t>eriod 2014-2020</w:t>
      </w:r>
      <w:r>
        <w:rPr>
          <w:rFonts w:cs="Times New Roman"/>
          <w:noProof/>
          <w:sz w:val="20"/>
          <w:vertAlign w:val="superscript"/>
        </w:rPr>
        <w:footnoteReference w:id="111"/>
      </w:r>
      <w:r>
        <w:rPr>
          <w:rFonts w:cs="Times New Roman"/>
          <w:noProof/>
          <w:sz w:val="20"/>
        </w:rPr>
        <w:t>.</w:t>
      </w:r>
    </w:p>
    <w:p w:rsidR="00587940" w:rsidRDefault="00E43A41">
      <w:pPr>
        <w:spacing w:after="120" w:line="240" w:lineRule="auto"/>
        <w:jc w:val="both"/>
        <w:rPr>
          <w:rFonts w:cs="Times New Roman"/>
          <w:noProof/>
          <w:sz w:val="20"/>
        </w:rPr>
      </w:pPr>
      <w:r>
        <w:rPr>
          <w:rFonts w:cs="Times New Roman"/>
          <w:noProof/>
          <w:sz w:val="20"/>
        </w:rPr>
        <w:t>EUR 536.3 m (10.9%) is coming from the European Fund for Regional Development (ERDF), EUR 3938.0 m (80.0%) from the European Agricultural Fund for Rural Development (EAFRD), EUR 7.0 m (0.1%) from the European Maritime and Fisheries Fund (</w:t>
      </w:r>
      <w:r>
        <w:rPr>
          <w:rFonts w:cs="Times New Roman"/>
          <w:noProof/>
          <w:sz w:val="20"/>
        </w:rPr>
        <w:t>EMFF) and EUR 442.1 m (9.0%) from the European Social Fund (ESF).</w:t>
      </w:r>
    </w:p>
    <w:p w:rsidR="00587940" w:rsidRDefault="00E43A41">
      <w:pPr>
        <w:spacing w:after="120" w:line="240" w:lineRule="auto"/>
        <w:jc w:val="both"/>
        <w:rPr>
          <w:rFonts w:cs="Times New Roman"/>
          <w:noProof/>
          <w:sz w:val="20"/>
        </w:rPr>
      </w:pPr>
      <w:r>
        <w:rPr>
          <w:rFonts w:cs="Times New Roman"/>
          <w:noProof/>
          <w:sz w:val="20"/>
        </w:rPr>
        <w:t xml:space="preserve">In total, EUR 1297.7 m are dedicated to the Thematic objective (TO) 6 </w:t>
      </w:r>
      <w:r>
        <w:rPr>
          <w:rFonts w:cs="Times New Roman"/>
          <w:i/>
          <w:noProof/>
          <w:sz w:val="20"/>
        </w:rPr>
        <w:t>Environment Protection and Resource efficiency</w:t>
      </w:r>
      <w:r>
        <w:rPr>
          <w:rFonts w:cs="Times New Roman"/>
          <w:noProof/>
          <w:sz w:val="20"/>
        </w:rPr>
        <w:t xml:space="preserve">, EUR 1290.7 m through the EAFRD programme, EUR 7.0 m through the ERDF programmes. In addition, EUR 206.5 m is foreseen for TO4 </w:t>
      </w:r>
      <w:r>
        <w:rPr>
          <w:rFonts w:cs="Times New Roman"/>
          <w:i/>
          <w:noProof/>
          <w:sz w:val="20"/>
        </w:rPr>
        <w:t>Low Carbon Economy</w:t>
      </w:r>
      <w:r>
        <w:rPr>
          <w:rFonts w:cs="Times New Roman"/>
          <w:noProof/>
          <w:sz w:val="20"/>
        </w:rPr>
        <w:t xml:space="preserve"> (EAFRD and ERDF) and EUR 1289.8 m for TO5 </w:t>
      </w:r>
      <w:r>
        <w:rPr>
          <w:rFonts w:cs="Times New Roman"/>
          <w:i/>
          <w:noProof/>
          <w:sz w:val="20"/>
        </w:rPr>
        <w:t xml:space="preserve">Climate Change Adoption and Risk Prevention </w:t>
      </w:r>
      <w:r>
        <w:rPr>
          <w:rFonts w:cs="Times New Roman"/>
          <w:noProof/>
          <w:sz w:val="20"/>
        </w:rPr>
        <w:t>(EAFRD only).</w:t>
      </w:r>
    </w:p>
    <w:p w:rsidR="00587940" w:rsidRDefault="00E43A41">
      <w:pPr>
        <w:spacing w:after="120" w:line="240" w:lineRule="auto"/>
        <w:jc w:val="both"/>
        <w:rPr>
          <w:rFonts w:cs="Times New Roman"/>
          <w:noProof/>
          <w:sz w:val="20"/>
        </w:rPr>
      </w:pPr>
      <w:r>
        <w:rPr>
          <w:rFonts w:cs="Times New Roman"/>
          <w:noProof/>
          <w:sz w:val="20"/>
        </w:rPr>
        <w:t>This fund</w:t>
      </w:r>
      <w:r>
        <w:rPr>
          <w:rFonts w:cs="Times New Roman"/>
          <w:noProof/>
          <w:sz w:val="20"/>
        </w:rPr>
        <w:t>ing includes support for sustainable urban development (Vienna and Upper Austria) and aims at solving use conflicts in cities and urban areas. Measures like CO2 reduction strategies, sustainable mobility strategies, integrated sustainable development and e</w:t>
      </w:r>
      <w:r>
        <w:rPr>
          <w:rFonts w:cs="Times New Roman"/>
          <w:noProof/>
          <w:sz w:val="20"/>
        </w:rPr>
        <w:t xml:space="preserve">fficient use of resources will be supported. In Vienna the Responsible River Modelling Centre (research in the area of energy, flood protection and ecology) will be funded. Theses allocations amount to </w:t>
      </w:r>
      <w:r>
        <w:rPr>
          <w:noProof/>
          <w:sz w:val="20"/>
        </w:rPr>
        <w:t xml:space="preserve">EUR 27.2 million </w:t>
      </w:r>
    </w:p>
    <w:p w:rsidR="00587940" w:rsidRDefault="00E43A41">
      <w:pPr>
        <w:spacing w:after="120" w:line="240" w:lineRule="auto"/>
        <w:jc w:val="both"/>
        <w:rPr>
          <w:bCs/>
          <w:iCs/>
          <w:noProof/>
          <w:sz w:val="20"/>
          <w:szCs w:val="20"/>
        </w:rPr>
      </w:pPr>
      <w:r>
        <w:rPr>
          <w:bCs/>
          <w:iCs/>
          <w:noProof/>
          <w:sz w:val="20"/>
          <w:szCs w:val="20"/>
        </w:rPr>
        <w:t xml:space="preserve">It is too early to draw meaningful conclusions as regards the use and results of ESIF funds for the period 2014-2020, as the relevant operational programmes are still in an early stage of their implementation. </w:t>
      </w:r>
    </w:p>
    <w:p w:rsidR="00587940" w:rsidRDefault="00E43A41">
      <w:pPr>
        <w:widowControl w:val="0"/>
        <w:suppressLineNumbers/>
        <w:spacing w:after="120" w:line="240" w:lineRule="auto"/>
        <w:jc w:val="both"/>
        <w:rPr>
          <w:rFonts w:cs="Times New Roman"/>
          <w:noProof/>
          <w:sz w:val="20"/>
        </w:rPr>
      </w:pPr>
      <w:r>
        <w:rPr>
          <w:rFonts w:cs="Times New Roman"/>
          <w:noProof/>
          <w:sz w:val="20"/>
        </w:rPr>
        <w:t>Figure 12 depicts the 2014-2020 EU Structural</w:t>
      </w:r>
      <w:r>
        <w:rPr>
          <w:rFonts w:cs="Times New Roman"/>
          <w:noProof/>
          <w:sz w:val="20"/>
        </w:rPr>
        <w:t xml:space="preserve"> and Investment Funds budget allocation for Austria.</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587940">
        <w:tc>
          <w:tcPr>
            <w:tcW w:w="4910" w:type="dxa"/>
          </w:tcPr>
          <w:p w:rsidR="00587940" w:rsidRDefault="00E43A41">
            <w:pPr>
              <w:spacing w:after="120"/>
              <w:jc w:val="both"/>
              <w:rPr>
                <w:rFonts w:cs="Times New Roman"/>
                <w:noProof/>
                <w:sz w:val="20"/>
              </w:rPr>
            </w:pPr>
            <w:r>
              <w:rPr>
                <w:rFonts w:cs="Times New Roman"/>
                <w:b/>
                <w:bCs/>
                <w:noProof/>
                <w:color w:val="1F497D" w:themeColor="text2"/>
                <w:sz w:val="20"/>
              </w:rPr>
              <w:t>Figure 12: European Structural and Investment Funds 2014-2020: Budget Austria by theme, EUR billion</w:t>
            </w:r>
            <w:r>
              <w:rPr>
                <w:rFonts w:cs="Times New Roman"/>
                <w:b/>
                <w:bCs/>
                <w:noProof/>
                <w:color w:val="1F497D" w:themeColor="text2"/>
                <w:sz w:val="20"/>
                <w:vertAlign w:val="superscript"/>
              </w:rPr>
              <w:footnoteReference w:id="112"/>
            </w:r>
          </w:p>
        </w:tc>
      </w:tr>
      <w:tr w:rsidR="00587940">
        <w:tc>
          <w:tcPr>
            <w:tcW w:w="4910" w:type="dxa"/>
          </w:tcPr>
          <w:p w:rsidR="00587940" w:rsidRDefault="00E43A41">
            <w:pPr>
              <w:spacing w:after="120"/>
              <w:jc w:val="both"/>
              <w:rPr>
                <w:rFonts w:cs="Times New Roman"/>
                <w:noProof/>
                <w:sz w:val="20"/>
              </w:rPr>
            </w:pPr>
            <w:r>
              <w:rPr>
                <w:rFonts w:cs="Times New Roman"/>
                <w:noProof/>
                <w:sz w:val="20"/>
                <w:lang w:eastAsia="en-GB"/>
              </w:rPr>
              <w:drawing>
                <wp:inline distT="0" distB="0" distL="0" distR="0" wp14:anchorId="3FA8B3BE" wp14:editId="460459DD">
                  <wp:extent cx="3056353" cy="3790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056353" cy="3790950"/>
                          </a:xfrm>
                          <a:prstGeom prst="rect">
                            <a:avLst/>
                          </a:prstGeom>
                        </pic:spPr>
                      </pic:pic>
                    </a:graphicData>
                  </a:graphic>
                </wp:inline>
              </w:drawing>
            </w:r>
          </w:p>
        </w:tc>
      </w:tr>
    </w:tbl>
    <w:p w:rsidR="00587940" w:rsidRDefault="00E43A41">
      <w:pPr>
        <w:spacing w:after="120" w:line="240" w:lineRule="auto"/>
        <w:jc w:val="both"/>
        <w:rPr>
          <w:rFonts w:cs="Times New Roman"/>
          <w:noProof/>
          <w:sz w:val="20"/>
        </w:rPr>
      </w:pPr>
      <w:r>
        <w:rPr>
          <w:rFonts w:cs="Times New Roman"/>
          <w:noProof/>
          <w:sz w:val="20"/>
        </w:rPr>
        <w:t xml:space="preserve">With regard to the integration of environmental concerns into the </w:t>
      </w:r>
      <w:r>
        <w:rPr>
          <w:rFonts w:cs="Times New Roman"/>
          <w:b/>
          <w:noProof/>
          <w:sz w:val="20"/>
        </w:rPr>
        <w:t>Common Agricultural Policy</w:t>
      </w:r>
      <w:r>
        <w:rPr>
          <w:rFonts w:cs="Times New Roman"/>
          <w:noProof/>
          <w:sz w:val="20"/>
        </w:rPr>
        <w:t xml:space="preserve"> (CAP)</w:t>
      </w:r>
      <w:r>
        <w:rPr>
          <w:rFonts w:cs="Times New Roman"/>
          <w:noProof/>
          <w:sz w:val="20"/>
        </w:rPr>
        <w:t>, the two key areas for Austria (as for all Member States) are, first, using Rural Development funds to pay for environmental land management and other environmental measures, while avoiding financing measures which could damage the environment; and second</w:t>
      </w:r>
      <w:r>
        <w:rPr>
          <w:rFonts w:cs="Times New Roman"/>
          <w:noProof/>
          <w:sz w:val="20"/>
        </w:rPr>
        <w:t xml:space="preserve">ly, ensuring an effective implementation of the first pillar of the CAP with regard to cross compliance and 1st pillar 'greening'. </w:t>
      </w:r>
    </w:p>
    <w:p w:rsidR="00587940" w:rsidRDefault="00E43A41">
      <w:pPr>
        <w:spacing w:after="120" w:line="240" w:lineRule="auto"/>
        <w:jc w:val="both"/>
        <w:rPr>
          <w:rFonts w:cs="Times New Roman"/>
          <w:noProof/>
          <w:sz w:val="20"/>
        </w:rPr>
      </w:pPr>
      <w:r>
        <w:rPr>
          <w:rFonts w:cs="Times New Roman"/>
          <w:noProof/>
          <w:sz w:val="20"/>
        </w:rPr>
        <w:t>The approved National Rural Development Programme (NRP) amounts overall to EUR 3938.0 m. The planned spending on the ecosyst</w:t>
      </w:r>
      <w:r>
        <w:rPr>
          <w:rFonts w:cs="Times New Roman"/>
          <w:noProof/>
          <w:sz w:val="20"/>
        </w:rPr>
        <w:t>em priority, priority 4 is EUR 2490.9 m, which represents 63.3% of the total EU budget. EUR 1065.1 m, 27 % is dedicated to agri-environment-climate measures. In addition, EUR 400.7 m, that is 10.2 %, is dedicated to organic farming measures alone, which is</w:t>
      </w:r>
      <w:r>
        <w:rPr>
          <w:rFonts w:cs="Times New Roman"/>
          <w:noProof/>
          <w:sz w:val="20"/>
        </w:rPr>
        <w:t xml:space="preserve"> also is part of the Austrian agri-environmental-programme. Furthermore, EUR 874.4 m, from the total NRP budget, is dedicated to payments to areas facing natural or other specific constraints. Thus, the NRP allocates a very large part of the total budget t</w:t>
      </w:r>
      <w:r>
        <w:rPr>
          <w:rFonts w:cs="Times New Roman"/>
          <w:noProof/>
          <w:sz w:val="20"/>
        </w:rPr>
        <w:t>o the enhancement of natural resources and the environment. Although it is welcomed that the programme foresees that up to about 80% of the agricultural area of the country will benefit from agro-environment measures, Austria has elaborated and implemented</w:t>
      </w:r>
      <w:r>
        <w:rPr>
          <w:rFonts w:cs="Times New Roman"/>
          <w:noProof/>
          <w:sz w:val="20"/>
        </w:rPr>
        <w:t xml:space="preserve"> further actions to improve the design and effectiveness of the environmental measures in practice (including more attention to training, advice and cooperation). Austria should continue this approach aimed at creating the best environmental value for mone</w:t>
      </w:r>
      <w:r>
        <w:rPr>
          <w:rFonts w:cs="Times New Roman"/>
          <w:noProof/>
          <w:sz w:val="20"/>
        </w:rPr>
        <w:t>y in the implementation stage of the NRP.</w:t>
      </w:r>
    </w:p>
    <w:p w:rsidR="00587940" w:rsidRDefault="00E43A41">
      <w:pPr>
        <w:spacing w:after="120" w:line="240" w:lineRule="auto"/>
        <w:jc w:val="both"/>
        <w:rPr>
          <w:rFonts w:cs="Times New Roman"/>
          <w:noProof/>
          <w:sz w:val="20"/>
        </w:rPr>
      </w:pPr>
      <w:r>
        <w:rPr>
          <w:rFonts w:cs="Times New Roman"/>
          <w:noProof/>
          <w:sz w:val="20"/>
        </w:rPr>
        <w:t>The Direct Payment envelope of Austria for the period 2015-2020 is EUR 3.46 bn, 30 % of which (1.04 bn) being allocated to greening practices beneficial for the environment. An environmentally ambitious implementat</w:t>
      </w:r>
      <w:r>
        <w:rPr>
          <w:rFonts w:cs="Times New Roman"/>
          <w:noProof/>
          <w:sz w:val="20"/>
        </w:rPr>
        <w:t>ion of 1st pillar greening would clearly help to improve the environmental situation in areas not covered by rural development, including intensive area, and if appropriate Austria could review its implementation of this.</w:t>
      </w:r>
    </w:p>
    <w:p w:rsidR="00587940" w:rsidRDefault="00E43A41">
      <w:pPr>
        <w:spacing w:after="120" w:line="240" w:lineRule="auto"/>
        <w:jc w:val="both"/>
        <w:rPr>
          <w:rFonts w:cs="Times New Roman"/>
          <w:noProof/>
          <w:sz w:val="20"/>
        </w:rPr>
      </w:pPr>
      <w:r>
        <w:rPr>
          <w:rFonts w:cs="Times New Roman"/>
          <w:noProof/>
          <w:sz w:val="20"/>
        </w:rPr>
        <w:t>The European Fund for Strategic In</w:t>
      </w:r>
      <w:r>
        <w:rPr>
          <w:rFonts w:cs="Times New Roman"/>
          <w:noProof/>
          <w:sz w:val="20"/>
        </w:rPr>
        <w:t>vestments (EFSI) will help financially to construct and operate three wind farms</w:t>
      </w:r>
      <w:r>
        <w:rPr>
          <w:rFonts w:cs="Times New Roman"/>
          <w:noProof/>
          <w:sz w:val="20"/>
          <w:vertAlign w:val="superscript"/>
        </w:rPr>
        <w:footnoteReference w:id="113"/>
      </w:r>
      <w:r>
        <w:rPr>
          <w:rFonts w:cs="Times New Roman"/>
          <w:noProof/>
          <w:sz w:val="20"/>
        </w:rPr>
        <w:t xml:space="preserve"> in Austria. </w:t>
      </w:r>
    </w:p>
    <w:bookmarkEnd w:id="71"/>
    <w:p w:rsidR="00587940" w:rsidRDefault="00587940">
      <w:pPr>
        <w:numPr>
          <w:ilvl w:val="0"/>
          <w:numId w:val="17"/>
        </w:numPr>
        <w:spacing w:after="0" w:line="240" w:lineRule="auto"/>
        <w:ind w:left="0" w:firstLine="0"/>
        <w:jc w:val="center"/>
        <w:outlineLvl w:val="0"/>
        <w:rPr>
          <w:rFonts w:eastAsiaTheme="majorEastAsia" w:cstheme="majorBidi"/>
          <w:b/>
          <w:bCs/>
          <w:noProof/>
          <w:color w:val="1F497D" w:themeColor="text2"/>
          <w:sz w:val="32"/>
          <w:szCs w:val="28"/>
        </w:rPr>
        <w:sectPr w:rsidR="00587940">
          <w:headerReference w:type="even" r:id="rId114"/>
          <w:headerReference w:type="default" r:id="rId115"/>
          <w:footerReference w:type="even" r:id="rId116"/>
          <w:footerReference w:type="default" r:id="rId117"/>
          <w:headerReference w:type="first" r:id="rId118"/>
          <w:footerReference w:type="first" r:id="rId119"/>
          <w:type w:val="continuous"/>
          <w:pgSz w:w="11906" w:h="16838"/>
          <w:pgMar w:top="1440" w:right="1080" w:bottom="1440" w:left="1080" w:header="708" w:footer="708" w:gutter="0"/>
          <w:cols w:num="2" w:space="358"/>
          <w:docGrid w:linePitch="360"/>
        </w:sectPr>
      </w:pPr>
    </w:p>
    <w:p w:rsidR="00587940" w:rsidRDefault="00E43A41">
      <w:pPr>
        <w:spacing w:after="0" w:line="240" w:lineRule="auto"/>
        <w:jc w:val="center"/>
        <w:outlineLvl w:val="0"/>
        <w:rPr>
          <w:rFonts w:eastAsiaTheme="majorEastAsia" w:cstheme="majorBidi"/>
          <w:b/>
          <w:bCs/>
          <w:noProof/>
          <w:color w:val="1F497D" w:themeColor="text2"/>
          <w:sz w:val="32"/>
          <w:szCs w:val="28"/>
        </w:rPr>
      </w:pPr>
      <w:bookmarkStart w:id="77" w:name="_Toc469404521"/>
      <w:r>
        <w:rPr>
          <w:rFonts w:eastAsiaTheme="majorEastAsia" w:cstheme="majorBidi"/>
          <w:b/>
          <w:bCs/>
          <w:noProof/>
          <w:color w:val="1F497D" w:themeColor="text2"/>
          <w:sz w:val="32"/>
          <w:szCs w:val="28"/>
        </w:rPr>
        <w:t>5. Effective governance and knowledge</w:t>
      </w:r>
      <w:bookmarkEnd w:id="77"/>
    </w:p>
    <w:p w:rsidR="00587940" w:rsidRDefault="00587940">
      <w:pPr>
        <w:widowControl w:val="0"/>
        <w:spacing w:after="120" w:line="240" w:lineRule="auto"/>
        <w:jc w:val="both"/>
        <w:rPr>
          <w:rFonts w:cs="Times New Roman"/>
          <w:noProof/>
          <w:sz w:val="20"/>
        </w:rPr>
      </w:pPr>
    </w:p>
    <w:p w:rsidR="00587940" w:rsidRDefault="00587940">
      <w:pPr>
        <w:widowControl w:val="0"/>
        <w:spacing w:after="120"/>
        <w:rPr>
          <w:rFonts w:cs="Times New Roman"/>
          <w:noProof/>
          <w:sz w:val="20"/>
        </w:rPr>
        <w:sectPr w:rsidR="00587940">
          <w:headerReference w:type="even" r:id="rId120"/>
          <w:headerReference w:type="default" r:id="rId121"/>
          <w:footerReference w:type="even" r:id="rId122"/>
          <w:footerReference w:type="default" r:id="rId123"/>
          <w:headerReference w:type="first" r:id="rId124"/>
          <w:footerReference w:type="first" r:id="rId125"/>
          <w:pgSz w:w="11906" w:h="16838" w:code="9"/>
          <w:pgMar w:top="1080" w:right="1440" w:bottom="1080" w:left="1440" w:header="709" w:footer="709" w:gutter="0"/>
          <w:cols w:space="566"/>
          <w:docGrid w:linePitch="360"/>
        </w:sectPr>
      </w:pPr>
    </w:p>
    <w:p w:rsidR="00587940" w:rsidRDefault="00E43A41">
      <w:pPr>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16 aims at providing access to justice and building effective, accountable and inclusive institutions at all levels. SDG 17 aims at better</w:t>
      </w:r>
      <w:r>
        <w:rPr>
          <w:rFonts w:cs="Times New Roman"/>
          <w:noProof/>
          <w:color w:val="FFFFFF" w:themeColor="background1"/>
          <w:sz w:val="20"/>
        </w:rPr>
        <w:t xml:space="preserve"> implementation, improving policy coordination and policy coherence, stimulating science, technology and innovation, establishing partnerships and developing measurements of progress.</w:t>
      </w:r>
    </w:p>
    <w:p w:rsidR="00587940" w:rsidRDefault="00E43A41">
      <w:pPr>
        <w:widowControl w:val="0"/>
        <w:spacing w:after="120" w:line="240" w:lineRule="auto"/>
        <w:jc w:val="both"/>
        <w:rPr>
          <w:rFonts w:cs="Times New Roman"/>
          <w:noProof/>
          <w:sz w:val="20"/>
        </w:rPr>
      </w:pPr>
      <w:bookmarkStart w:id="78" w:name="_Toc454457665"/>
      <w:bookmarkStart w:id="79" w:name="_Toc469404522"/>
      <w:r>
        <w:rPr>
          <w:rFonts w:cs="Times New Roman"/>
          <w:noProof/>
          <w:sz w:val="20"/>
        </w:rPr>
        <w:t>Effective governance of EU environmental legislation and policies requir</w:t>
      </w:r>
      <w:r>
        <w:rPr>
          <w:rFonts w:cs="Times New Roman"/>
          <w:noProof/>
          <w:sz w:val="20"/>
        </w:rPr>
        <w:t>es having an appropriate 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114"/>
      </w:r>
      <w:r>
        <w:rPr>
          <w:rFonts w:cs="Times New Roman"/>
          <w:noProof/>
          <w:sz w:val="20"/>
        </w:rPr>
        <w:t xml:space="preserve">. Successful implementation </w:t>
      </w:r>
      <w:r>
        <w:rPr>
          <w:rFonts w:cs="Times New Roman"/>
          <w:noProof/>
          <w:sz w:val="20"/>
        </w:rPr>
        <w:t xml:space="preserve">depends, to a large extent, on central, regional and local government fulfilling key legislative and administrative tasks, notably adoption of sound implementing legislation, co-ordinated action to meet environmental objectives and correct decision-making </w:t>
      </w:r>
      <w:r>
        <w:rPr>
          <w:rFonts w:cs="Times New Roman"/>
          <w:noProof/>
          <w:sz w:val="20"/>
        </w:rPr>
        <w:t>on matters such as industrial permits. Beyond fulfilment of these tasks, government must intervene to ensure day-to-day compliance by economic operators, utilities and individuals ("compliance assurance"). Civil society also has a role to play, including t</w:t>
      </w:r>
      <w:r>
        <w:rPr>
          <w:rFonts w:cs="Times New Roman"/>
          <w:noProof/>
          <w:sz w:val="20"/>
        </w:rPr>
        <w:t>hrough legal action. To underpin the roles of all actors, it is crucial to collect and share knowledge and evidence on the state of the environment and on environmental pressures, drivers and impacts.</w:t>
      </w:r>
    </w:p>
    <w:p w:rsidR="00587940" w:rsidRDefault="00E43A41">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w:t>
      </w:r>
      <w:r>
        <w:rPr>
          <w:rFonts w:cs="Times New Roman"/>
          <w:noProof/>
          <w:sz w:val="20"/>
          <w:szCs w:val="20"/>
          <w:lang w:val="en-US"/>
        </w:rPr>
        <w:t>lation and policies benefits from a dialogue within Member States and between Member States and the Commission on whether the current EU environmental legislation is fit for purpose. Legislation can only be properly implemented when it takes into account e</w:t>
      </w:r>
      <w:r>
        <w:rPr>
          <w:rFonts w:cs="Times New Roman"/>
          <w:noProof/>
          <w:sz w:val="20"/>
          <w:szCs w:val="20"/>
          <w:lang w:val="en-US"/>
        </w:rPr>
        <w:t>xperiences at Member State level with putting EU commitments into effect. The Make it Work initiative, a Member State driven project, established in 2014, organizes a discussion on how the clarity, coherence and structure of EU environmental legislation ca</w:t>
      </w:r>
      <w:r>
        <w:rPr>
          <w:rFonts w:cs="Times New Roman"/>
          <w:noProof/>
          <w:sz w:val="20"/>
          <w:szCs w:val="20"/>
          <w:lang w:val="en-US"/>
        </w:rPr>
        <w:t>n be improved without lowering existing protection standards.</w:t>
      </w:r>
    </w:p>
    <w:p w:rsidR="00587940" w:rsidRDefault="00E43A41">
      <w:pPr>
        <w:widowControl w:val="0"/>
        <w:spacing w:after="120" w:line="240" w:lineRule="auto"/>
        <w:jc w:val="both"/>
        <w:outlineLvl w:val="1"/>
        <w:rPr>
          <w:rFonts w:cs="Times New Roman"/>
          <w:b/>
          <w:noProof/>
          <w:color w:val="1F497D" w:themeColor="text2"/>
          <w:sz w:val="24"/>
        </w:rPr>
      </w:pPr>
      <w:r>
        <w:rPr>
          <w:rFonts w:cs="Times New Roman"/>
          <w:b/>
          <w:noProof/>
          <w:color w:val="1F497D" w:themeColor="text2"/>
          <w:sz w:val="24"/>
        </w:rPr>
        <w:t>Effective governance within central, regional and local government</w:t>
      </w:r>
      <w:bookmarkEnd w:id="78"/>
      <w:bookmarkEnd w:id="79"/>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Those involved in implementing environment legislation at Union, national, regional and local levels need to be equipped with </w:t>
      </w:r>
      <w:r>
        <w:rPr>
          <w:rFonts w:cs="Times New Roman"/>
          <w:noProof/>
          <w:color w:val="FFFFFF" w:themeColor="background1"/>
          <w:sz w:val="20"/>
        </w:rPr>
        <w:t>the knowledge, tools and capacity to improve the delivery of benefits from that legislation, and the governance of the enforcement process.</w:t>
      </w:r>
    </w:p>
    <w:p w:rsidR="00587940" w:rsidRDefault="00E43A41">
      <w:pPr>
        <w:widowControl w:val="0"/>
        <w:spacing w:before="200" w:after="0" w:line="240" w:lineRule="auto"/>
        <w:jc w:val="both"/>
        <w:outlineLvl w:val="2"/>
        <w:rPr>
          <w:rFonts w:eastAsiaTheme="majorEastAsia" w:cstheme="majorBidi"/>
          <w:b/>
          <w:bCs/>
          <w:noProof/>
          <w:color w:val="1F497D" w:themeColor="text2"/>
        </w:rPr>
      </w:pPr>
      <w:bookmarkStart w:id="80" w:name="_Toc454792405"/>
      <w:bookmarkStart w:id="81" w:name="_Toc454792454"/>
      <w:bookmarkStart w:id="82" w:name="_Toc454899170"/>
      <w:bookmarkStart w:id="83" w:name="_Toc454984919"/>
      <w:bookmarkStart w:id="84" w:name="_Toc455589221"/>
      <w:bookmarkStart w:id="85" w:name="_Toc455750331"/>
      <w:bookmarkStart w:id="86" w:name="_Toc456008263"/>
      <w:bookmarkStart w:id="87" w:name="_Toc466450470"/>
      <w:bookmarkStart w:id="88" w:name="_Toc469404166"/>
      <w:bookmarkStart w:id="89" w:name="_Toc469404523"/>
      <w:r>
        <w:rPr>
          <w:rFonts w:eastAsiaTheme="majorEastAsia" w:cstheme="majorBidi"/>
          <w:b/>
          <w:bCs/>
          <w:noProof/>
          <w:color w:val="1F497D" w:themeColor="text2"/>
        </w:rPr>
        <w:t>Capacity to implement rules</w:t>
      </w:r>
      <w:bookmarkEnd w:id="80"/>
      <w:bookmarkEnd w:id="81"/>
      <w:bookmarkEnd w:id="82"/>
      <w:bookmarkEnd w:id="83"/>
      <w:bookmarkEnd w:id="84"/>
      <w:bookmarkEnd w:id="85"/>
      <w:bookmarkEnd w:id="86"/>
      <w:bookmarkEnd w:id="87"/>
      <w:bookmarkEnd w:id="88"/>
      <w:bookmarkEnd w:id="89"/>
    </w:p>
    <w:p w:rsidR="00587940" w:rsidRDefault="00E43A41">
      <w:pPr>
        <w:widowControl w:val="0"/>
        <w:spacing w:after="120" w:line="240" w:lineRule="auto"/>
        <w:jc w:val="both"/>
        <w:rPr>
          <w:rFonts w:cs="Times New Roman"/>
          <w:noProof/>
          <w:color w:val="000000" w:themeColor="text1"/>
          <w:sz w:val="20"/>
        </w:rPr>
      </w:pPr>
      <w:r>
        <w:rPr>
          <w:rFonts w:cs="Times New Roman"/>
          <w:noProof/>
          <w:color w:val="000000" w:themeColor="text1"/>
          <w:sz w:val="20"/>
        </w:rPr>
        <w:t>It is crucial that federal, regional and local administrations have the necessary capaci</w:t>
      </w:r>
      <w:r>
        <w:rPr>
          <w:rFonts w:cs="Times New Roman"/>
          <w:noProof/>
          <w:color w:val="000000" w:themeColor="text1"/>
          <w:sz w:val="20"/>
        </w:rPr>
        <w:t>ties and skills and training to carry out their own tasks and co-operate and co-ordinate effectively with each other, within a system of multi-level governance.</w:t>
      </w:r>
    </w:p>
    <w:p w:rsidR="00587940" w:rsidRDefault="00E43A41">
      <w:pPr>
        <w:widowControl w:val="0"/>
        <w:spacing w:after="120" w:line="240" w:lineRule="auto"/>
        <w:jc w:val="both"/>
        <w:rPr>
          <w:rFonts w:cs="Times New Roman"/>
          <w:noProof/>
          <w:color w:val="000000" w:themeColor="text1"/>
          <w:sz w:val="20"/>
        </w:rPr>
      </w:pPr>
      <w:r>
        <w:rPr>
          <w:noProof/>
          <w:color w:val="000000" w:themeColor="text1"/>
          <w:sz w:val="20"/>
        </w:rPr>
        <w:t>The 2013 European Quality of Government Index puts Austria in 6</w:t>
      </w:r>
      <w:r>
        <w:rPr>
          <w:noProof/>
          <w:color w:val="000000" w:themeColor="text1"/>
          <w:sz w:val="20"/>
          <w:vertAlign w:val="superscript"/>
        </w:rPr>
        <w:t>th</w:t>
      </w:r>
      <w:r>
        <w:rPr>
          <w:noProof/>
          <w:color w:val="000000" w:themeColor="text1"/>
          <w:sz w:val="20"/>
        </w:rPr>
        <w:t xml:space="preserve"> place out of the 28 Member St</w:t>
      </w:r>
      <w:r>
        <w:rPr>
          <w:noProof/>
          <w:color w:val="000000" w:themeColor="text1"/>
          <w:sz w:val="20"/>
        </w:rPr>
        <w:t>ates</w:t>
      </w:r>
      <w:r>
        <w:rPr>
          <w:noProof/>
          <w:color w:val="000000" w:themeColor="text1"/>
          <w:sz w:val="20"/>
          <w:vertAlign w:val="superscript"/>
        </w:rPr>
        <w:footnoteReference w:id="115"/>
      </w:r>
      <w:r>
        <w:rPr>
          <w:noProof/>
          <w:color w:val="000000" w:themeColor="text1"/>
          <w:sz w:val="20"/>
        </w:rPr>
        <w:t>.</w:t>
      </w:r>
    </w:p>
    <w:p w:rsidR="00587940" w:rsidRDefault="00E43A41">
      <w:pPr>
        <w:widowControl w:val="0"/>
        <w:spacing w:after="120" w:line="240" w:lineRule="auto"/>
        <w:jc w:val="both"/>
        <w:rPr>
          <w:rFonts w:cs="Times New Roman"/>
          <w:noProof/>
          <w:sz w:val="20"/>
        </w:rPr>
      </w:pPr>
      <w:r>
        <w:rPr>
          <w:rFonts w:cs="Times New Roman"/>
          <w:noProof/>
          <w:sz w:val="20"/>
        </w:rPr>
        <w:t>Compliance performance in the field of environment is good (with relatively low number of cases and complaints) and corresponds to the overall very good state of environment (see above). Challenges remain in the field of nature, water and governance</w:t>
      </w:r>
      <w:r>
        <w:rPr>
          <w:rFonts w:cs="Times New Roman"/>
          <w:noProof/>
          <w:sz w:val="20"/>
        </w:rPr>
        <w:t xml:space="preserve">. </w:t>
      </w:r>
    </w:p>
    <w:p w:rsidR="00587940" w:rsidRDefault="00E43A41">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2FF844F5" wp14:editId="627A4464">
            <wp:extent cx="2980690" cy="1986995"/>
            <wp:effectExtent l="0" t="0" r="0" b="0"/>
            <wp:docPr id="1" name="Picture 1" descr="P:\ENV-E2\1. ENV IMPLEMENTATION REVIEW\EIR Data management\Pictures\remaining pictures istock\clean\AT parliament iStock-48125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AT parliament iStock-481257694.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80690" cy="1986995"/>
                    </a:xfrm>
                    <a:prstGeom prst="rect">
                      <a:avLst/>
                    </a:prstGeom>
                    <a:noFill/>
                    <a:ln>
                      <a:noFill/>
                    </a:ln>
                  </pic:spPr>
                </pic:pic>
              </a:graphicData>
            </a:graphic>
          </wp:inline>
        </w:drawing>
      </w:r>
      <w:r>
        <w:rPr>
          <w:rFonts w:cs="Times New Roman"/>
          <w:noProof/>
          <w:sz w:val="20"/>
        </w:rPr>
        <w:t>As to nature there are still some deficiencies concerning establishing the Natura 2000 network and designation of SPAs and bird hunting practices in some Länder raise concerns in terms of compatibility with the Habitats Directive. Infrastructure projects p</w:t>
      </w:r>
      <w:r>
        <w:rPr>
          <w:rFonts w:cs="Times New Roman"/>
          <w:noProof/>
          <w:sz w:val="20"/>
        </w:rPr>
        <w:t>ut pressure on both nature protection and water: there are a number of cases and complaints regarding hydropower development rising non-compliance with either the Habitats or Water Framework Directive. Apart from EIA and IPPC procedures access to justice p</w:t>
      </w:r>
      <w:r>
        <w:rPr>
          <w:rFonts w:cs="Times New Roman"/>
          <w:noProof/>
          <w:sz w:val="20"/>
        </w:rPr>
        <w:t>rovisions are still deficient in Austria, which has recently been confirmed by the Court of Justice in relation to screening of EIA which was remedied by an amendment to the EIA Act in early 2016. Two more infringement cases are ongoing in this area. The s</w:t>
      </w:r>
      <w:r>
        <w:rPr>
          <w:rFonts w:cs="Times New Roman"/>
          <w:noProof/>
          <w:sz w:val="20"/>
        </w:rPr>
        <w:t xml:space="preserve">ituation on air pollution has generally improved and the case on PM10 pollution has been closed. Yet NO2 pollution represents a challenge in cities due to emissions of diesel cars and an infringement procedure is likely to follow soon. </w:t>
      </w:r>
    </w:p>
    <w:p w:rsidR="00587940" w:rsidRDefault="00E43A41">
      <w:pPr>
        <w:widowControl w:val="0"/>
        <w:spacing w:after="120" w:line="240" w:lineRule="auto"/>
        <w:jc w:val="both"/>
        <w:rPr>
          <w:rFonts w:cs="Times New Roman"/>
          <w:noProof/>
          <w:sz w:val="20"/>
        </w:rPr>
      </w:pPr>
      <w:r>
        <w:rPr>
          <w:rFonts w:cs="Times New Roman"/>
          <w:noProof/>
          <w:sz w:val="20"/>
        </w:rPr>
        <w:t>In some of the envi</w:t>
      </w:r>
      <w:r>
        <w:rPr>
          <w:rFonts w:cs="Times New Roman"/>
          <w:noProof/>
          <w:sz w:val="20"/>
        </w:rPr>
        <w:t>ronmental cases where individuals or NGOs have gained access before the national courts over the past years, the Austrian judges referred several requests for preliminary rulings to the Court of Justice of the EU. This represented a valuable contribution t</w:t>
      </w:r>
      <w:r>
        <w:rPr>
          <w:rFonts w:cs="Times New Roman"/>
          <w:noProof/>
          <w:sz w:val="20"/>
        </w:rPr>
        <w:t>o the development of EU environment law, since preliminary rulings enable the Court of Justice to give a coherent interpretation of the EU law.</w:t>
      </w:r>
    </w:p>
    <w:p w:rsidR="00587940" w:rsidRDefault="00E43A41">
      <w:pPr>
        <w:widowControl w:val="0"/>
        <w:spacing w:after="120" w:line="240" w:lineRule="auto"/>
        <w:jc w:val="both"/>
        <w:rPr>
          <w:rFonts w:cs="Times New Roman"/>
          <w:noProof/>
          <w:sz w:val="20"/>
        </w:rPr>
      </w:pPr>
      <w:r>
        <w:rPr>
          <w:rFonts w:cs="Times New Roman"/>
          <w:noProof/>
          <w:sz w:val="20"/>
        </w:rPr>
        <w:t>Two working groups at expert level have been established in order to discuss legal possibilities for improvement</w:t>
      </w:r>
      <w:r>
        <w:rPr>
          <w:rFonts w:cs="Times New Roman"/>
          <w:noProof/>
          <w:sz w:val="20"/>
        </w:rPr>
        <w:t>.</w:t>
      </w:r>
    </w:p>
    <w:p w:rsidR="00587940" w:rsidRDefault="00E43A41">
      <w:pPr>
        <w:widowControl w:val="0"/>
        <w:spacing w:before="200" w:after="0" w:line="240" w:lineRule="auto"/>
        <w:jc w:val="both"/>
        <w:outlineLvl w:val="2"/>
        <w:rPr>
          <w:rFonts w:eastAsiaTheme="majorEastAsia" w:cstheme="majorBidi"/>
          <w:b/>
          <w:bCs/>
          <w:noProof/>
          <w:color w:val="1F497D" w:themeColor="text2"/>
        </w:rPr>
      </w:pPr>
      <w:bookmarkStart w:id="90" w:name="_Toc454792406"/>
      <w:bookmarkStart w:id="91" w:name="_Toc454792455"/>
      <w:bookmarkStart w:id="92" w:name="_Toc454899171"/>
      <w:bookmarkStart w:id="93" w:name="_Toc454984920"/>
      <w:bookmarkStart w:id="94" w:name="_Toc455589222"/>
      <w:bookmarkStart w:id="95" w:name="_Toc455750332"/>
      <w:bookmarkStart w:id="96" w:name="_Toc456008264"/>
      <w:bookmarkStart w:id="97" w:name="_Toc466450471"/>
      <w:bookmarkStart w:id="98" w:name="_Toc469404167"/>
      <w:bookmarkStart w:id="99" w:name="_Toc469404524"/>
      <w:r>
        <w:rPr>
          <w:rFonts w:eastAsiaTheme="majorEastAsia" w:cstheme="majorBidi"/>
          <w:b/>
          <w:bCs/>
          <w:noProof/>
          <w:color w:val="1F497D" w:themeColor="text2"/>
        </w:rPr>
        <w:t>Coordination and integration</w:t>
      </w:r>
      <w:bookmarkEnd w:id="90"/>
      <w:bookmarkEnd w:id="91"/>
      <w:bookmarkEnd w:id="92"/>
      <w:bookmarkEnd w:id="93"/>
      <w:bookmarkEnd w:id="94"/>
      <w:bookmarkEnd w:id="95"/>
      <w:bookmarkEnd w:id="96"/>
      <w:bookmarkEnd w:id="97"/>
      <w:bookmarkEnd w:id="98"/>
      <w:bookmarkEnd w:id="99"/>
    </w:p>
    <w:p w:rsidR="00587940" w:rsidRDefault="00E43A41">
      <w:pPr>
        <w:spacing w:after="120" w:line="240" w:lineRule="auto"/>
        <w:jc w:val="both"/>
        <w:rPr>
          <w:rFonts w:cs="Times New Roman"/>
          <w:noProof/>
          <w:sz w:val="20"/>
        </w:rPr>
      </w:pPr>
      <w:r>
        <w:rPr>
          <w:rFonts w:cs="Times New Roman"/>
          <w:noProof/>
          <w:sz w:val="20"/>
        </w:rPr>
        <w:t xml:space="preserve">In 2002, the </w:t>
      </w:r>
      <w:r>
        <w:rPr>
          <w:rFonts w:cs="Times New Roman"/>
          <w:i/>
          <w:noProof/>
          <w:sz w:val="20"/>
        </w:rPr>
        <w:t>Austrian Strategy Sustainable Development</w:t>
      </w:r>
      <w:r>
        <w:rPr>
          <w:rFonts w:cs="Times New Roman"/>
          <w:i/>
          <w:noProof/>
          <w:color w:val="000000" w:themeColor="text1"/>
          <w:sz w:val="20"/>
          <w:vertAlign w:val="superscript"/>
        </w:rPr>
        <w:footnoteReference w:id="116"/>
      </w:r>
      <w:r>
        <w:rPr>
          <w:rFonts w:cs="Times New Roman"/>
          <w:noProof/>
          <w:sz w:val="20"/>
        </w:rPr>
        <w:t xml:space="preserve"> was adopted as a government level concept that sets the points for a policy of sustainability at national level based on a long-term orientation and defined binding fram</w:t>
      </w:r>
      <w:r>
        <w:rPr>
          <w:rFonts w:cs="Times New Roman"/>
          <w:noProof/>
          <w:sz w:val="20"/>
        </w:rPr>
        <w:t xml:space="preserve">ework conditions. This national strategy was, in 2010, complemented by common approach by the Federal and Länder government, the </w:t>
      </w:r>
      <w:r>
        <w:rPr>
          <w:rFonts w:cs="Times New Roman"/>
          <w:i/>
          <w:noProof/>
          <w:sz w:val="20"/>
        </w:rPr>
        <w:t>Österreichische Strategie Nachhaltige Entwicklung" (ÖSTRAT</w:t>
      </w:r>
      <w:r>
        <w:rPr>
          <w:rFonts w:cs="Times New Roman"/>
          <w:i/>
          <w:noProof/>
          <w:color w:val="000000" w:themeColor="text1"/>
          <w:sz w:val="20"/>
          <w:vertAlign w:val="superscript"/>
        </w:rPr>
        <w:footnoteReference w:id="117"/>
      </w:r>
      <w:r>
        <w:rPr>
          <w:rFonts w:cs="Times New Roman"/>
          <w:i/>
          <w:noProof/>
          <w:sz w:val="20"/>
        </w:rPr>
        <w:t>)</w:t>
      </w:r>
      <w:r>
        <w:rPr>
          <w:rFonts w:cs="Times New Roman"/>
          <w:noProof/>
          <w:sz w:val="20"/>
        </w:rPr>
        <w:t>. It provides a common framework for the different political levels</w:t>
      </w:r>
      <w:r>
        <w:rPr>
          <w:rFonts w:cs="Times New Roman"/>
          <w:noProof/>
          <w:sz w:val="20"/>
        </w:rPr>
        <w:t xml:space="preserve"> and names the main topics for actions (e.g. preserving the natural environment, high level of social security, shaping globalisation environmentally and socially sustainable). Different committees and working groups are in charge of coordinating the diffe</w:t>
      </w:r>
      <w:r>
        <w:rPr>
          <w:rFonts w:cs="Times New Roman"/>
          <w:noProof/>
          <w:sz w:val="20"/>
        </w:rPr>
        <w:t xml:space="preserve">rent initiatives, informing the public, and the further development of the strategy. </w:t>
      </w:r>
    </w:p>
    <w:p w:rsidR="00587940" w:rsidRDefault="00E43A41">
      <w:pPr>
        <w:widowControl w:val="0"/>
        <w:spacing w:before="120" w:after="120" w:line="240" w:lineRule="auto"/>
        <w:jc w:val="both"/>
        <w:rPr>
          <w:rFonts w:cs="Times New Roman"/>
          <w:noProof/>
          <w:sz w:val="20"/>
        </w:rPr>
      </w:pPr>
      <w:r>
        <w:rPr>
          <w:rFonts w:cs="Times New Roman"/>
          <w:noProof/>
          <w:sz w:val="20"/>
          <w:szCs w:val="20"/>
        </w:rPr>
        <w:t>Impact assessments are important tools to ensure environmental integration in all government policies</w:t>
      </w:r>
      <w:r>
        <w:rPr>
          <w:rFonts w:cs="Times New Roman"/>
          <w:noProof/>
          <w:sz w:val="20"/>
          <w:szCs w:val="20"/>
          <w:vertAlign w:val="superscript"/>
        </w:rPr>
        <w:footnoteReference w:id="118"/>
      </w:r>
      <w:r>
        <w:rPr>
          <w:rFonts w:cs="Times New Roman"/>
          <w:noProof/>
          <w:sz w:val="20"/>
          <w:szCs w:val="20"/>
        </w:rPr>
        <w:t xml:space="preserve">. </w:t>
      </w:r>
      <w:r>
        <w:rPr>
          <w:rFonts w:cs="Times New Roman"/>
          <w:noProof/>
          <w:sz w:val="20"/>
        </w:rPr>
        <w:t>The Commission encourages the streamlining of the environmental as</w:t>
      </w:r>
      <w:r>
        <w:rPr>
          <w:rFonts w:cs="Times New Roman"/>
          <w:noProof/>
          <w:sz w:val="20"/>
        </w:rPr>
        <w:t>sessments to avoid overlaps in environmental assessments and accelerate decision-making, without compromising the quality of the environmental assessment procedure. The Commission has issued a guidance document in 2016</w:t>
      </w:r>
      <w:r>
        <w:rPr>
          <w:rFonts w:cs="Times New Roman"/>
          <w:noProof/>
          <w:sz w:val="20"/>
          <w:vertAlign w:val="superscript"/>
        </w:rPr>
        <w:footnoteReference w:id="119"/>
      </w:r>
      <w:r>
        <w:rPr>
          <w:rFonts w:cs="Times New Roman"/>
          <w:noProof/>
          <w:sz w:val="20"/>
        </w:rPr>
        <w:t xml:space="preserve"> regarding the setting up of coordina</w:t>
      </w:r>
      <w:r>
        <w:rPr>
          <w:rFonts w:cs="Times New Roman"/>
          <w:noProof/>
          <w:sz w:val="20"/>
        </w:rPr>
        <w:t>ted and/or joint procedures that are simultaneously subject to assessments under the EIA Directive, Habitats Directive, Water Framework Directive, and the Industrial Emissions Directive.</w:t>
      </w:r>
    </w:p>
    <w:p w:rsidR="00587940" w:rsidRDefault="00E43A41">
      <w:pPr>
        <w:widowControl w:val="0"/>
        <w:spacing w:after="120" w:line="240" w:lineRule="auto"/>
        <w:jc w:val="both"/>
        <w:outlineLvl w:val="1"/>
        <w:rPr>
          <w:rFonts w:cs="Times New Roman"/>
          <w:b/>
          <w:noProof/>
          <w:color w:val="000000" w:themeColor="text1"/>
          <w:sz w:val="24"/>
        </w:rPr>
      </w:pPr>
      <w:bookmarkStart w:id="100" w:name="_Toc469404525"/>
      <w:r>
        <w:rPr>
          <w:rFonts w:cs="Times New Roman"/>
          <w:b/>
          <w:noProof/>
          <w:color w:val="1F497D" w:themeColor="text2"/>
          <w:sz w:val="24"/>
        </w:rPr>
        <w:t>Compliance assurance</w:t>
      </w:r>
      <w:bookmarkEnd w:id="100"/>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 law generally and specific provisions on insp</w:t>
      </w:r>
      <w:r>
        <w:rPr>
          <w:rFonts w:cs="Times New Roman"/>
          <w:noProof/>
          <w:color w:val="FFFFFF" w:themeColor="background1"/>
          <w:sz w:val="20"/>
        </w:rPr>
        <w:t>ections, other checks, penalties and environmental liability help lay the basis for the systems Member States need to have in place to secure compliance with EU environmental rules.</w:t>
      </w:r>
    </w:p>
    <w:p w:rsidR="00587940" w:rsidRDefault="00E43A41">
      <w:pPr>
        <w:widowControl w:val="0"/>
        <w:spacing w:after="120" w:line="240" w:lineRule="auto"/>
        <w:jc w:val="both"/>
        <w:rPr>
          <w:noProof/>
          <w:sz w:val="20"/>
        </w:rPr>
      </w:pPr>
      <w:r>
        <w:rPr>
          <w:rFonts w:cs="Times New Roman"/>
          <w:noProof/>
          <w:sz w:val="20"/>
        </w:rPr>
        <w:t xml:space="preserve">Public authorities help ensure accountability of duty-holders by </w:t>
      </w:r>
      <w:r>
        <w:rPr>
          <w:rFonts w:cs="Times New Roman"/>
          <w:noProof/>
          <w:sz w:val="20"/>
        </w:rPr>
        <w:t>monitoring and promoting compliance and by taking credible follow-up action (i.e. enforcement) when breaches occur or liabilities arise. Compliance monitoring can be done both on the initiative of authorities themselves and in response to citizen complaint</w:t>
      </w:r>
      <w:r>
        <w:rPr>
          <w:rFonts w:cs="Times New Roman"/>
          <w:noProof/>
          <w:sz w:val="20"/>
        </w:rPr>
        <w:t>s. It can involve using various kinds of checks, including inspections for permitted activities, surveillance for possible illegal activities, investigations for crimes and audits for systemic weaknesses. Similarly, there is a range of means to promote com</w:t>
      </w:r>
      <w:r>
        <w:rPr>
          <w:rFonts w:cs="Times New Roman"/>
          <w:noProof/>
          <w:sz w:val="20"/>
        </w:rPr>
        <w:t>pliance, including awareness-raising campaigns and use of guidance documents and online information tools. Follow-up to breaches and liabilities can include administrative action (e.g. withdrawal of a permit), use of criminal law</w:t>
      </w:r>
      <w:r>
        <w:rPr>
          <w:rFonts w:cs="Times New Roman"/>
          <w:noProof/>
          <w:sz w:val="20"/>
          <w:vertAlign w:val="superscript"/>
        </w:rPr>
        <w:footnoteReference w:id="120"/>
      </w:r>
      <w:r>
        <w:rPr>
          <w:rFonts w:cs="Times New Roman"/>
          <w:noProof/>
          <w:sz w:val="20"/>
        </w:rPr>
        <w:t xml:space="preserve"> and action under liabilit</w:t>
      </w:r>
      <w:r>
        <w:rPr>
          <w:rFonts w:cs="Times New Roman"/>
          <w:noProof/>
          <w:sz w:val="20"/>
        </w:rPr>
        <w:t xml:space="preserve">y law (e.g. required remediation after damage from an accident using liability rules) and contractual law (e.g. measures to require compliance with nature conservation contracts). Taken together, all of these interventions represent "compliance assurance" </w:t>
      </w:r>
      <w:r>
        <w:rPr>
          <w:rFonts w:cs="Times New Roman"/>
          <w:noProof/>
          <w:sz w:val="20"/>
        </w:rPr>
        <w:t>as shown in Figure 13.</w:t>
      </w:r>
      <w:r>
        <w:rPr>
          <w:noProof/>
          <w:sz w:val="20"/>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87940">
        <w:trPr>
          <w:trHeight w:val="261"/>
        </w:trPr>
        <w:tc>
          <w:tcPr>
            <w:tcW w:w="4909" w:type="dxa"/>
            <w:hideMark/>
          </w:tcPr>
          <w:p w:rsidR="00587940" w:rsidRDefault="00E43A41">
            <w:pPr>
              <w:widowControl w:val="0"/>
              <w:spacing w:after="120"/>
              <w:jc w:val="both"/>
              <w:rPr>
                <w:rFonts w:cs="Times New Roman"/>
                <w:b/>
                <w:bCs/>
                <w:noProof/>
                <w:color w:val="1F497D" w:themeColor="text2"/>
                <w:sz w:val="20"/>
              </w:rPr>
            </w:pPr>
            <w:r>
              <w:rPr>
                <w:rFonts w:cs="Times New Roman"/>
                <w:b/>
                <w:bCs/>
                <w:noProof/>
                <w:color w:val="1F497D" w:themeColor="text2"/>
                <w:sz w:val="20"/>
              </w:rPr>
              <w:t>Figure 13: Environmental compliance assurance</w:t>
            </w:r>
          </w:p>
        </w:tc>
      </w:tr>
      <w:tr w:rsidR="00587940">
        <w:trPr>
          <w:trHeight w:val="3156"/>
        </w:trPr>
        <w:tc>
          <w:tcPr>
            <w:tcW w:w="4909" w:type="dxa"/>
            <w:hideMark/>
          </w:tcPr>
          <w:p w:rsidR="00587940" w:rsidRDefault="00E43A41">
            <w:pPr>
              <w:widowControl w:val="0"/>
              <w:spacing w:after="120"/>
              <w:jc w:val="both"/>
              <w:rPr>
                <w:rFonts w:cs="Times New Roman"/>
                <w:noProof/>
                <w:sz w:val="20"/>
              </w:rPr>
            </w:pPr>
            <w:r>
              <w:rPr>
                <w:rFonts w:cs="Times New Roman"/>
                <w:noProof/>
                <w:sz w:val="20"/>
                <w:lang w:eastAsia="en-GB"/>
              </w:rPr>
              <w:drawing>
                <wp:inline distT="0" distB="0" distL="0" distR="0" wp14:anchorId="079EA4EC" wp14:editId="6C29971F">
                  <wp:extent cx="2894275" cy="2043561"/>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93873" cy="2043277"/>
                          </a:xfrm>
                          <a:prstGeom prst="rect">
                            <a:avLst/>
                          </a:prstGeom>
                          <a:noFill/>
                          <a:ln>
                            <a:noFill/>
                          </a:ln>
                        </pic:spPr>
                      </pic:pic>
                    </a:graphicData>
                  </a:graphic>
                </wp:inline>
              </w:drawing>
            </w:r>
          </w:p>
        </w:tc>
      </w:tr>
    </w:tbl>
    <w:p w:rsidR="00587940" w:rsidRDefault="00E43A41">
      <w:pPr>
        <w:spacing w:after="120" w:line="240" w:lineRule="auto"/>
        <w:jc w:val="both"/>
        <w:rPr>
          <w:rFonts w:cs="Times New Roman"/>
          <w:noProof/>
          <w:sz w:val="20"/>
        </w:rPr>
      </w:pPr>
      <w:r>
        <w:rPr>
          <w:rFonts w:cs="Times New Roman"/>
          <w:noProof/>
          <w:sz w:val="20"/>
        </w:rPr>
        <w:t>Best practice has moved towards a risk-based approach at strategic and operational levels in which the best mix of compliance monitoring, promotion and enforcement is directed at the</w:t>
      </w:r>
      <w:r>
        <w:rPr>
          <w:rFonts w:cs="Times New Roman"/>
          <w:noProof/>
          <w:sz w:val="20"/>
        </w:rPr>
        <w:t xml:space="preserve"> most serious problems. Best practice also recognises the need for coordination and cooperation between different authorities to ensure consistency, avoid duplication of work and reduce administrative burden. Active participation in established pan-Europea</w:t>
      </w:r>
      <w:r>
        <w:rPr>
          <w:rFonts w:cs="Times New Roman"/>
          <w:noProof/>
          <w:sz w:val="20"/>
        </w:rPr>
        <w:t>n networks of inspectors, police, prosecutors and judges, such as</w:t>
      </w:r>
      <w:r>
        <w:rPr>
          <w:rFonts w:cs="Times New Roman"/>
          <w:i/>
          <w:noProof/>
          <w:sz w:val="20"/>
        </w:rPr>
        <w:t xml:space="preserve"> IMPEL</w:t>
      </w:r>
      <w:r>
        <w:rPr>
          <w:rFonts w:cs="Times New Roman"/>
          <w:i/>
          <w:noProof/>
          <w:sz w:val="20"/>
          <w:vertAlign w:val="superscript"/>
        </w:rPr>
        <w:footnoteReference w:id="121"/>
      </w:r>
      <w:r>
        <w:rPr>
          <w:rFonts w:cs="Times New Roman"/>
          <w:i/>
          <w:noProof/>
          <w:sz w:val="20"/>
        </w:rPr>
        <w:t>, EUFJE</w:t>
      </w:r>
      <w:r>
        <w:rPr>
          <w:rFonts w:cs="Times New Roman"/>
          <w:i/>
          <w:noProof/>
          <w:sz w:val="20"/>
          <w:vertAlign w:val="superscript"/>
        </w:rPr>
        <w:footnoteReference w:id="122"/>
      </w:r>
      <w:r>
        <w:rPr>
          <w:rFonts w:cs="Times New Roman"/>
          <w:i/>
          <w:noProof/>
          <w:sz w:val="20"/>
        </w:rPr>
        <w:t>, ENPE</w:t>
      </w:r>
      <w:r>
        <w:rPr>
          <w:rFonts w:cs="Times New Roman"/>
          <w:i/>
          <w:noProof/>
          <w:sz w:val="20"/>
          <w:vertAlign w:val="superscript"/>
        </w:rPr>
        <w:footnoteReference w:id="123"/>
      </w:r>
      <w:r>
        <w:rPr>
          <w:rFonts w:cs="Times New Roman"/>
          <w:i/>
          <w:noProof/>
          <w:sz w:val="20"/>
        </w:rPr>
        <w:t xml:space="preserve"> and EnviCrimeNet</w:t>
      </w:r>
      <w:r>
        <w:rPr>
          <w:rFonts w:cs="Times New Roman"/>
          <w:i/>
          <w:noProof/>
          <w:sz w:val="20"/>
          <w:vertAlign w:val="superscript"/>
        </w:rPr>
        <w:footnoteReference w:id="124"/>
      </w:r>
      <w:r>
        <w:rPr>
          <w:rFonts w:cs="Times New Roman"/>
          <w:noProof/>
          <w:sz w:val="20"/>
        </w:rPr>
        <w:t>, is a valuable tool for sharing experience and good practices.</w:t>
      </w:r>
    </w:p>
    <w:p w:rsidR="00587940" w:rsidRDefault="00E43A41">
      <w:pPr>
        <w:spacing w:after="120" w:line="240" w:lineRule="auto"/>
        <w:jc w:val="both"/>
        <w:rPr>
          <w:rFonts w:cs="Times New Roman"/>
          <w:noProof/>
          <w:sz w:val="20"/>
        </w:rPr>
      </w:pPr>
      <w:r>
        <w:rPr>
          <w:rFonts w:cs="Times New Roman"/>
          <w:noProof/>
          <w:sz w:val="20"/>
        </w:rPr>
        <w:t>Currently, there exist a number of sectoral obligations on inspections and the EU direc</w:t>
      </w:r>
      <w:r>
        <w:rPr>
          <w:rFonts w:cs="Times New Roman"/>
          <w:noProof/>
          <w:sz w:val="20"/>
        </w:rPr>
        <w:t>tive on environmental liability (ELD)</w:t>
      </w:r>
      <w:r>
        <w:rPr>
          <w:rFonts w:cs="Times New Roman"/>
          <w:noProof/>
          <w:sz w:val="20"/>
          <w:vertAlign w:val="superscript"/>
        </w:rPr>
        <w:t xml:space="preserve"> </w:t>
      </w:r>
      <w:r>
        <w:rPr>
          <w:rFonts w:cs="Times New Roman"/>
          <w:noProof/>
          <w:sz w:val="20"/>
          <w:vertAlign w:val="superscript"/>
        </w:rPr>
        <w:footnoteReference w:id="125"/>
      </w:r>
      <w:r>
        <w:rPr>
          <w:rFonts w:cs="Times New Roman"/>
          <w:noProof/>
          <w:sz w:val="20"/>
        </w:rPr>
        <w:t xml:space="preserve"> provides a means of ensuring that the "polluter-pays principle" is applied when there are accidents and incidents that harm the environment. There is also publically available information giving insights into existin</w:t>
      </w:r>
      <w:r>
        <w:rPr>
          <w:rFonts w:cs="Times New Roman"/>
          <w:noProof/>
          <w:sz w:val="20"/>
        </w:rPr>
        <w:t xml:space="preserve">g strengths and weaknesses in each Member State. </w:t>
      </w:r>
    </w:p>
    <w:p w:rsidR="00587940" w:rsidRDefault="00E43A41">
      <w:pPr>
        <w:spacing w:after="120" w:line="240" w:lineRule="auto"/>
        <w:jc w:val="both"/>
        <w:rPr>
          <w:rFonts w:cs="Times New Roman"/>
          <w:noProof/>
          <w:sz w:val="20"/>
        </w:rPr>
      </w:pPr>
      <w:r>
        <w:rPr>
          <w:rFonts w:cs="Times New Roman"/>
          <w:noProof/>
          <w:sz w:val="20"/>
        </w:rPr>
        <w:t>For each Member State, the following were therefore reviewed: use of risk-based compliance assurance; coordination and co-operation between authorities and participation in pan-European networks; and key as</w:t>
      </w:r>
      <w:r>
        <w:rPr>
          <w:rFonts w:cs="Times New Roman"/>
          <w:noProof/>
          <w:sz w:val="20"/>
        </w:rPr>
        <w:t>pects of implementation of the ELD based on the Commission's recently published implementation report and REFIT evaluation.</w:t>
      </w:r>
      <w:r>
        <w:rPr>
          <w:rFonts w:cs="Times New Roman"/>
          <w:noProof/>
          <w:sz w:val="20"/>
          <w:vertAlign w:val="superscript"/>
        </w:rPr>
        <w:footnoteReference w:id="126"/>
      </w:r>
      <w:r>
        <w:rPr>
          <w:rFonts w:cs="Times New Roman"/>
          <w:noProof/>
          <w:sz w:val="20"/>
        </w:rPr>
        <w:t xml:space="preserve"> </w:t>
      </w:r>
    </w:p>
    <w:p w:rsidR="00587940" w:rsidRDefault="00E43A41">
      <w:pPr>
        <w:widowControl w:val="0"/>
        <w:spacing w:after="120" w:line="240" w:lineRule="auto"/>
        <w:jc w:val="both"/>
        <w:rPr>
          <w:rFonts w:cs="Times New Roman"/>
          <w:noProof/>
          <w:sz w:val="20"/>
        </w:rPr>
      </w:pPr>
      <w:r>
        <w:rPr>
          <w:rFonts w:cs="Times New Roman"/>
          <w:noProof/>
          <w:sz w:val="20"/>
        </w:rPr>
        <w:t>Austria has made efforts to improve its system of inspections of industrial facilities. The Austrian Federal Ministry for Agricult</w:t>
      </w:r>
      <w:r>
        <w:rPr>
          <w:rFonts w:cs="Times New Roman"/>
          <w:noProof/>
          <w:sz w:val="20"/>
        </w:rPr>
        <w:t>ure, Forestry, Environment and Water Management has developed a national inspection plan which includes some priority setting elements and in its annex a comprehensive set of criteria for risk-assessment based on the IMPEL IRAM inspections planning tool</w:t>
      </w:r>
      <w:r>
        <w:rPr>
          <w:rFonts w:cs="Times New Roman"/>
          <w:noProof/>
          <w:sz w:val="20"/>
          <w:vertAlign w:val="superscript"/>
        </w:rPr>
        <w:footnoteReference w:id="127"/>
      </w:r>
      <w:r>
        <w:rPr>
          <w:rFonts w:cs="Times New Roman"/>
          <w:noProof/>
          <w:sz w:val="20"/>
        </w:rPr>
        <w:t xml:space="preserve">. </w:t>
      </w:r>
      <w:r>
        <w:rPr>
          <w:rFonts w:cs="Times New Roman"/>
          <w:noProof/>
          <w:sz w:val="20"/>
        </w:rPr>
        <w:t>It is the basis for inspection programs developed at the L</w:t>
      </w:r>
      <w:r>
        <w:rPr>
          <w:rFonts w:cstheme="minorHAnsi"/>
          <w:noProof/>
          <w:sz w:val="20"/>
        </w:rPr>
        <w:t>ä</w:t>
      </w:r>
      <w:r>
        <w:rPr>
          <w:rFonts w:cs="Times New Roman"/>
          <w:noProof/>
          <w:sz w:val="20"/>
        </w:rPr>
        <w:t>nder level</w:t>
      </w:r>
      <w:r>
        <w:rPr>
          <w:rFonts w:cs="Times New Roman"/>
          <w:noProof/>
          <w:sz w:val="20"/>
          <w:vertAlign w:val="superscript"/>
        </w:rPr>
        <w:footnoteReference w:id="128"/>
      </w:r>
      <w:r>
        <w:rPr>
          <w:rFonts w:cs="Times New Roman"/>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Up-to-date information is lacking and would be valuable in relation to the following:</w:t>
      </w:r>
    </w:p>
    <w:p w:rsidR="00587940" w:rsidRDefault="00E43A41">
      <w:pPr>
        <w:widowControl w:val="0"/>
        <w:numPr>
          <w:ilvl w:val="0"/>
          <w:numId w:val="20"/>
        </w:numPr>
        <w:spacing w:after="120" w:line="240" w:lineRule="auto"/>
        <w:contextualSpacing/>
        <w:jc w:val="both"/>
        <w:rPr>
          <w:rFonts w:cs="Times New Roman"/>
          <w:noProof/>
          <w:sz w:val="20"/>
        </w:rPr>
      </w:pPr>
      <w:r>
        <w:rPr>
          <w:rFonts w:cs="Times New Roman"/>
          <w:noProof/>
          <w:sz w:val="20"/>
        </w:rPr>
        <w:t xml:space="preserve">data-collection arrangements to track the use and effectiveness of different compliance assurance </w:t>
      </w:r>
      <w:r>
        <w:rPr>
          <w:rFonts w:cs="Times New Roman"/>
          <w:noProof/>
          <w:sz w:val="20"/>
        </w:rPr>
        <w:t>interventions</w:t>
      </w:r>
      <w:r>
        <w:rPr>
          <w:rFonts w:cs="Times New Roman"/>
          <w:noProof/>
          <w:sz w:val="20"/>
          <w:vertAlign w:val="superscript"/>
        </w:rPr>
        <w:footnoteReference w:id="129"/>
      </w:r>
      <w:r>
        <w:rPr>
          <w:rFonts w:cs="Times New Roman"/>
          <w:noProof/>
          <w:sz w:val="20"/>
        </w:rPr>
        <w:t>;</w:t>
      </w:r>
    </w:p>
    <w:p w:rsidR="00587940" w:rsidRDefault="00E43A41">
      <w:pPr>
        <w:widowControl w:val="0"/>
        <w:numPr>
          <w:ilvl w:val="0"/>
          <w:numId w:val="20"/>
        </w:numPr>
        <w:spacing w:after="120" w:line="240" w:lineRule="auto"/>
        <w:contextualSpacing/>
        <w:jc w:val="both"/>
        <w:rPr>
          <w:rFonts w:cs="Times New Roman"/>
          <w:noProof/>
          <w:sz w:val="20"/>
        </w:rPr>
      </w:pPr>
      <w:r>
        <w:rPr>
          <w:rFonts w:cs="Times New Roman"/>
          <w:noProof/>
          <w:sz w:val="20"/>
        </w:rPr>
        <w:t>the extent to which risk-based methods are used to direct compliance assurance at the strategic level and in relation to critical activities outside of industrial installations, especially specific problem-areas highlighted elsewhere in thi</w:t>
      </w:r>
      <w:r>
        <w:rPr>
          <w:rFonts w:cs="Times New Roman"/>
          <w:noProof/>
          <w:sz w:val="20"/>
        </w:rPr>
        <w:t xml:space="preserve">s Country Report, i.e. the threats to protected habitat types and species, poor air quality and the pressures on water quality from diffuse sources of pollution; </w:t>
      </w:r>
    </w:p>
    <w:p w:rsidR="00587940" w:rsidRDefault="00E43A41">
      <w:pPr>
        <w:widowControl w:val="0"/>
        <w:numPr>
          <w:ilvl w:val="0"/>
          <w:numId w:val="20"/>
        </w:numPr>
        <w:spacing w:after="120" w:line="240" w:lineRule="auto"/>
        <w:contextualSpacing/>
        <w:jc w:val="both"/>
        <w:rPr>
          <w:rFonts w:cs="Times New Roman"/>
          <w:noProof/>
          <w:sz w:val="20"/>
        </w:rPr>
      </w:pPr>
      <w:r>
        <w:rPr>
          <w:rFonts w:cs="Times New Roman"/>
          <w:noProof/>
          <w:sz w:val="20"/>
        </w:rPr>
        <w:t>how competent authorities in Austria ensure coordination and coordination of compliance assur</w:t>
      </w:r>
      <w:r>
        <w:rPr>
          <w:rFonts w:cs="Times New Roman"/>
          <w:noProof/>
          <w:sz w:val="20"/>
        </w:rPr>
        <w:t>ance at the different administrative levels</w:t>
      </w:r>
      <w:r>
        <w:rPr>
          <w:rFonts w:cs="Times New Roman"/>
          <w:noProof/>
          <w:sz w:val="20"/>
          <w:vertAlign w:val="superscript"/>
        </w:rPr>
        <w:footnoteReference w:id="130"/>
      </w:r>
      <w:r>
        <w:rPr>
          <w:rFonts w:cs="Times New Roman"/>
          <w:noProof/>
          <w:sz w:val="20"/>
        </w:rPr>
        <w:t>;</w:t>
      </w:r>
    </w:p>
    <w:p w:rsidR="00587940" w:rsidRDefault="00E43A41">
      <w:pPr>
        <w:widowControl w:val="0"/>
        <w:numPr>
          <w:ilvl w:val="0"/>
          <w:numId w:val="20"/>
        </w:numPr>
        <w:spacing w:after="120" w:line="240" w:lineRule="auto"/>
        <w:contextualSpacing/>
        <w:jc w:val="both"/>
        <w:rPr>
          <w:rFonts w:cs="Times New Roman"/>
          <w:noProof/>
          <w:sz w:val="20"/>
        </w:rPr>
      </w:pPr>
      <w:r>
        <w:rPr>
          <w:rFonts w:cs="Times New Roman"/>
          <w:noProof/>
          <w:sz w:val="20"/>
        </w:rPr>
        <w:t xml:space="preserve">how competent authorities in Austria ensure a targeted and proportionate response to different types of non-compliant behaviour, in particular in relation to serious breaches detected. </w:t>
      </w:r>
    </w:p>
    <w:p w:rsidR="00587940" w:rsidRDefault="00E43A41">
      <w:pPr>
        <w:widowControl w:val="0"/>
        <w:spacing w:before="240" w:after="0" w:line="240" w:lineRule="auto"/>
        <w:jc w:val="both"/>
        <w:rPr>
          <w:rFonts w:cs="Times New Roman"/>
          <w:noProof/>
          <w:sz w:val="20"/>
        </w:rPr>
      </w:pPr>
      <w:r>
        <w:rPr>
          <w:rFonts w:cs="Times New Roman"/>
          <w:noProof/>
          <w:sz w:val="20"/>
        </w:rPr>
        <w:t xml:space="preserve">Austria participates in IMPEL activities but is not very active within the other European networks of environmental professionals. </w:t>
      </w:r>
    </w:p>
    <w:p w:rsidR="00587940" w:rsidRDefault="00E43A41">
      <w:pPr>
        <w:widowControl w:val="0"/>
        <w:spacing w:after="120" w:line="240" w:lineRule="auto"/>
        <w:jc w:val="both"/>
        <w:rPr>
          <w:rFonts w:cs="Times New Roman"/>
          <w:noProof/>
          <w:sz w:val="20"/>
        </w:rPr>
      </w:pPr>
      <w:r>
        <w:rPr>
          <w:rFonts w:cs="Times New Roman"/>
          <w:noProof/>
          <w:sz w:val="20"/>
        </w:rPr>
        <w:t xml:space="preserve">For the period 2007-2013, Austria did not report any case of environmental damage remediation pursuant to the Environmental </w:t>
      </w:r>
      <w:r>
        <w:rPr>
          <w:rFonts w:cs="Times New Roman"/>
          <w:noProof/>
          <w:sz w:val="20"/>
        </w:rPr>
        <w:t xml:space="preserve">Liability Directive, although a few cases where the application has been considered but was finally dismissed in court proceedings or otherwise have been drawn to the Commission's attention. There is no mandatory financial security (to pay for remediation </w:t>
      </w:r>
      <w:r>
        <w:rPr>
          <w:rFonts w:cs="Times New Roman"/>
          <w:noProof/>
          <w:sz w:val="20"/>
        </w:rPr>
        <w:t xml:space="preserve">where an operator cannot). The insurance sector provides coverage for environmental impairment liability (EIL), supplementing the general third party liability insurance (GTPL), a standard product used by all bigger enterprises. However, it is not evident </w:t>
      </w:r>
      <w:r>
        <w:rPr>
          <w:rFonts w:cs="Times New Roman"/>
          <w:noProof/>
          <w:sz w:val="20"/>
        </w:rPr>
        <w:t xml:space="preserve">that EIL is taken up. </w:t>
      </w:r>
    </w:p>
    <w:p w:rsidR="00587940" w:rsidRDefault="00E43A41">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587940" w:rsidRDefault="00E43A41">
      <w:pPr>
        <w:pStyle w:val="SuggActions"/>
        <w:rPr>
          <w:noProof/>
        </w:rPr>
      </w:pPr>
      <w:r>
        <w:rPr>
          <w:noProof/>
        </w:rPr>
        <w:t>Improve transparency on the organisation and functioning of compliance assurance and on how significant risks are addressed, as outlined above.</w:t>
      </w:r>
    </w:p>
    <w:p w:rsidR="00587940" w:rsidRDefault="00E43A41">
      <w:pPr>
        <w:pStyle w:val="SuggActions"/>
        <w:rPr>
          <w:noProof/>
        </w:rPr>
      </w:pPr>
      <w:r>
        <w:rPr>
          <w:noProof/>
        </w:rPr>
        <w:t>Encourage greater participation of competent authorities in environmenta</w:t>
      </w:r>
      <w:r>
        <w:rPr>
          <w:noProof/>
        </w:rPr>
        <w:t xml:space="preserve">l compliance networks. </w:t>
      </w:r>
    </w:p>
    <w:p w:rsidR="00587940" w:rsidRDefault="00E43A41">
      <w:pPr>
        <w:pStyle w:val="SuggActions"/>
        <w:rPr>
          <w:noProof/>
        </w:rPr>
      </w:pPr>
      <w:r>
        <w:rPr>
          <w:noProof/>
        </w:rPr>
        <w:t>Step up efforts in the implementation of the Environmental Liability Directive (ELD) with proactive initiatives, in particular by setting up a national register of ELD incidents and drafting national guidance.</w:t>
      </w:r>
    </w:p>
    <w:p w:rsidR="00587940" w:rsidRDefault="00E43A41">
      <w:pPr>
        <w:widowControl w:val="0"/>
        <w:spacing w:before="240" w:after="120" w:line="240" w:lineRule="auto"/>
        <w:jc w:val="both"/>
        <w:outlineLvl w:val="1"/>
        <w:rPr>
          <w:rFonts w:cs="Times New Roman"/>
          <w:b/>
          <w:noProof/>
          <w:color w:val="1F497D" w:themeColor="text2"/>
          <w:sz w:val="24"/>
        </w:rPr>
      </w:pPr>
      <w:bookmarkStart w:id="101" w:name="_Toc439678163"/>
      <w:bookmarkStart w:id="102" w:name="_Toc454457667"/>
      <w:bookmarkStart w:id="103" w:name="_Toc469404526"/>
      <w:r>
        <w:rPr>
          <w:rFonts w:cs="Times New Roman"/>
          <w:b/>
          <w:noProof/>
          <w:color w:val="1F497D" w:themeColor="text2"/>
          <w:sz w:val="24"/>
        </w:rPr>
        <w:t>Public participation a</w:t>
      </w:r>
      <w:r>
        <w:rPr>
          <w:rFonts w:cs="Times New Roman"/>
          <w:b/>
          <w:noProof/>
          <w:color w:val="1F497D" w:themeColor="text2"/>
          <w:sz w:val="24"/>
        </w:rPr>
        <w:t>nd access to justice</w:t>
      </w:r>
      <w:bookmarkEnd w:id="101"/>
      <w:bookmarkEnd w:id="102"/>
      <w:bookmarkEnd w:id="103"/>
      <w:r>
        <w:rPr>
          <w:rFonts w:cs="Times New Roman"/>
          <w:b/>
          <w:noProof/>
          <w:color w:val="FFFFFF" w:themeColor="background1"/>
          <w:sz w:val="24"/>
        </w:rPr>
        <w:t xml:space="preserve"> </w:t>
      </w:r>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and the case-law of the Court of Justice require that citizens and their associations should be able to participate in decision</w:t>
      </w:r>
      <w:r>
        <w:rPr>
          <w:rFonts w:cs="Times New Roman"/>
          <w:noProof/>
          <w:color w:val="FFFFFF" w:themeColor="background1"/>
          <w:sz w:val="20"/>
        </w:rPr>
        <w:t>-making on projects and plans and should enjoy effective environmental access to justice.</w:t>
      </w:r>
    </w:p>
    <w:p w:rsidR="00587940" w:rsidRDefault="00E43A41">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w:t>
      </w:r>
      <w:r>
        <w:rPr>
          <w:rFonts w:cs="Times New Roman"/>
          <w:noProof/>
          <w:sz w:val="20"/>
        </w:rPr>
        <w:t>sion-making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w:t>
      </w:r>
    </w:p>
    <w:p w:rsidR="00587940" w:rsidRDefault="00E43A41">
      <w:pPr>
        <w:widowControl w:val="0"/>
        <w:spacing w:after="120" w:line="240" w:lineRule="auto"/>
        <w:jc w:val="both"/>
        <w:rPr>
          <w:rFonts w:cs="Times New Roman"/>
          <w:noProof/>
          <w:sz w:val="20"/>
        </w:rPr>
      </w:pPr>
      <w:r>
        <w:rPr>
          <w:rFonts w:cs="Times New Roman"/>
          <w:noProof/>
          <w:sz w:val="20"/>
        </w:rPr>
        <w:t>Acc</w:t>
      </w:r>
      <w:r>
        <w:rPr>
          <w:rFonts w:cs="Times New Roman"/>
          <w:noProof/>
          <w:sz w:val="20"/>
        </w:rPr>
        <w:t>ess to justice in environmental matters is a set of guarantees that allows citizens and their associations to challenge acts or omissions of the public administration before a court. It is a tool for decentralised implementation of EU environmental law.</w:t>
      </w:r>
    </w:p>
    <w:p w:rsidR="00587940" w:rsidRDefault="00E43A41">
      <w:pPr>
        <w:widowControl w:val="0"/>
        <w:spacing w:after="120" w:line="240" w:lineRule="auto"/>
        <w:jc w:val="both"/>
        <w:rPr>
          <w:rFonts w:cs="Times New Roman"/>
          <w:noProof/>
          <w:sz w:val="20"/>
        </w:rPr>
      </w:pPr>
      <w:r>
        <w:rPr>
          <w:rFonts w:cs="Times New Roman"/>
          <w:noProof/>
          <w:sz w:val="20"/>
        </w:rPr>
        <w:t>Fo</w:t>
      </w:r>
      <w:r>
        <w:rPr>
          <w:rFonts w:cs="Times New Roman"/>
          <w:noProof/>
          <w:sz w:val="20"/>
        </w:rPr>
        <w:t>r each Member State, two crucial elements for effective access to justice have been systematically reviewed: the legal standing for the public, including NGOs and the extent to which prohibitive costs represent a barrier.</w:t>
      </w:r>
    </w:p>
    <w:p w:rsidR="00587940" w:rsidRDefault="00E43A41">
      <w:pPr>
        <w:widowControl w:val="0"/>
        <w:spacing w:after="120" w:line="240" w:lineRule="auto"/>
        <w:jc w:val="both"/>
        <w:rPr>
          <w:rFonts w:ascii="Times New Roman" w:hAnsi="Times New Roman" w:cs="Times New Roman"/>
          <w:noProof/>
          <w:color w:val="000000" w:themeColor="text1"/>
          <w:sz w:val="20"/>
          <w:szCs w:val="20"/>
        </w:rPr>
      </w:pPr>
      <w:r>
        <w:rPr>
          <w:rFonts w:cs="Times New Roman"/>
          <w:noProof/>
          <w:sz w:val="20"/>
        </w:rPr>
        <w:t>In general, the existing rules and</w:t>
      </w:r>
      <w:r>
        <w:rPr>
          <w:rFonts w:cs="Times New Roman"/>
          <w:noProof/>
          <w:sz w:val="20"/>
        </w:rPr>
        <w:t xml:space="preserve"> provisions in the Austrian law concerning access to administrative appeal and to judicial review are predictable and transparent. However, environmental NGOs still do not have legal standing in many of the environmental sectors. The costs of administrativ</w:t>
      </w:r>
      <w:r>
        <w:rPr>
          <w:rFonts w:cs="Times New Roman"/>
          <w:noProof/>
          <w:sz w:val="20"/>
        </w:rPr>
        <w:t>e court procedure, however, are not considered as being prohibitively high</w:t>
      </w:r>
      <w:r>
        <w:rPr>
          <w:rFonts w:cs="Times New Roman"/>
          <w:noProof/>
          <w:sz w:val="20"/>
          <w:vertAlign w:val="superscript"/>
        </w:rPr>
        <w:footnoteReference w:id="131"/>
      </w:r>
      <w:r>
        <w:rPr>
          <w:rFonts w:cs="Times New Roman"/>
          <w:noProof/>
          <w:sz w:val="20"/>
        </w:rPr>
        <w:t>.</w:t>
      </w:r>
    </w:p>
    <w:p w:rsidR="00587940" w:rsidRDefault="00E43A41">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587940" w:rsidRDefault="00E43A41">
      <w:pPr>
        <w:pStyle w:val="SuggActions"/>
        <w:rPr>
          <w:noProof/>
        </w:rPr>
      </w:pPr>
      <w:bookmarkStart w:id="104" w:name="_Toc454544448"/>
      <w:bookmarkStart w:id="105" w:name="_Toc454546709"/>
      <w:r>
        <w:rPr>
          <w:noProof/>
        </w:rPr>
        <w:t>Take the necessary measures to ensure standing of environmental NGOs to challenge acts or omissions of a public authority in all sectoral EU environmental laws, i</w:t>
      </w:r>
      <w:r>
        <w:rPr>
          <w:noProof/>
        </w:rPr>
        <w:t>n full compliance with EU law as well as the Convention on Access to Information, Public Participation in Decision-making and Access to Justice in environmental matters (Aarhus Convention).</w:t>
      </w:r>
      <w:bookmarkEnd w:id="104"/>
      <w:bookmarkEnd w:id="105"/>
    </w:p>
    <w:p w:rsidR="00587940" w:rsidRDefault="00E43A41">
      <w:pPr>
        <w:widowControl w:val="0"/>
        <w:spacing w:before="240" w:after="120" w:line="240" w:lineRule="auto"/>
        <w:jc w:val="both"/>
        <w:outlineLvl w:val="1"/>
        <w:rPr>
          <w:rFonts w:cs="Times New Roman"/>
          <w:b/>
          <w:noProof/>
          <w:color w:val="1F497D" w:themeColor="text2"/>
          <w:sz w:val="24"/>
        </w:rPr>
      </w:pPr>
      <w:bookmarkStart w:id="106" w:name="_Toc454457668"/>
      <w:bookmarkStart w:id="107" w:name="_Toc469404527"/>
      <w:r>
        <w:rPr>
          <w:rFonts w:cs="Times New Roman"/>
          <w:b/>
          <w:noProof/>
          <w:color w:val="1F497D" w:themeColor="text2"/>
          <w:sz w:val="24"/>
        </w:rPr>
        <w:t>Access to information, knowledge and evidence</w:t>
      </w:r>
      <w:bookmarkEnd w:id="106"/>
      <w:bookmarkEnd w:id="107"/>
    </w:p>
    <w:p w:rsidR="00587940" w:rsidRDefault="00E43A41">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w:t>
      </w:r>
      <w:r>
        <w:rPr>
          <w:rFonts w:cs="Times New Roman"/>
          <w:noProof/>
          <w:color w:val="FFFFFF" w:themeColor="background1"/>
          <w:sz w:val="20"/>
        </w:rPr>
        <w:t>n and related EU legislation on access to information and the sharing of spatial data require that the public has access to clear information on the environment, including on how Union environmental law is being implemented.</w:t>
      </w:r>
    </w:p>
    <w:p w:rsidR="00587940" w:rsidRDefault="00E43A41">
      <w:pPr>
        <w:spacing w:after="120" w:line="240" w:lineRule="auto"/>
        <w:jc w:val="both"/>
        <w:rPr>
          <w:rFonts w:cs="Times New Roman"/>
          <w:noProof/>
          <w:sz w:val="20"/>
        </w:rPr>
      </w:pPr>
      <w:r>
        <w:rPr>
          <w:rFonts w:cs="Times New Roman"/>
          <w:noProof/>
          <w:sz w:val="20"/>
        </w:rPr>
        <w:t xml:space="preserve">It is of crucial importance to </w:t>
      </w:r>
      <w:r>
        <w:rPr>
          <w:rFonts w:cs="Times New Roman"/>
          <w:noProof/>
          <w:sz w:val="20"/>
        </w:rPr>
        <w:t>public authorities, the public and business that environmental information is shared in an efficient and effective way. This covers reporting by businesses and public authorities and active dissemination to the public, increasingly through electronic means</w:t>
      </w:r>
      <w:r>
        <w:rPr>
          <w:rFonts w:cs="Times New Roman"/>
          <w:noProof/>
          <w:sz w:val="20"/>
        </w:rPr>
        <w:t>.</w:t>
      </w:r>
    </w:p>
    <w:p w:rsidR="00587940" w:rsidRDefault="00E43A41">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132"/>
      </w:r>
      <w:r>
        <w:rPr>
          <w:rFonts w:cs="Times New Roman"/>
          <w:noProof/>
          <w:sz w:val="20"/>
        </w:rPr>
        <w:t>, the Access to Environmental Information Directive</w:t>
      </w:r>
      <w:r>
        <w:rPr>
          <w:rFonts w:cs="Times New Roman"/>
          <w:noProof/>
          <w:sz w:val="20"/>
          <w:vertAlign w:val="superscript"/>
        </w:rPr>
        <w:footnoteReference w:id="133"/>
      </w:r>
      <w:r>
        <w:rPr>
          <w:rFonts w:cs="Times New Roman"/>
          <w:noProof/>
          <w:sz w:val="20"/>
        </w:rPr>
        <w:t xml:space="preserve"> and the INSPIRE Directive</w:t>
      </w:r>
      <w:r>
        <w:rPr>
          <w:rFonts w:cs="Times New Roman"/>
          <w:noProof/>
          <w:sz w:val="20"/>
          <w:vertAlign w:val="superscript"/>
        </w:rPr>
        <w:footnoteReference w:id="134"/>
      </w:r>
      <w:r>
        <w:rPr>
          <w:rFonts w:cs="Times New Roman"/>
          <w:noProof/>
          <w:sz w:val="20"/>
        </w:rPr>
        <w:t xml:space="preserve"> together create a legal foundation for the sharing of environmental information between public authorities and with the public. They also represent the </w:t>
      </w:r>
      <w:r>
        <w:rPr>
          <w:rFonts w:cs="Times New Roman"/>
          <w:noProof/>
          <w:sz w:val="20"/>
        </w:rPr>
        <w:t>green part of the ongoing EU e-Government Action Plan</w:t>
      </w:r>
      <w:r>
        <w:rPr>
          <w:rFonts w:cs="Times New Roman"/>
          <w:noProof/>
          <w:sz w:val="20"/>
          <w:vertAlign w:val="superscript"/>
        </w:rPr>
        <w:footnoteReference w:id="135"/>
      </w:r>
      <w:r>
        <w:rPr>
          <w:rFonts w:cs="Times New Roman"/>
          <w:noProof/>
          <w:sz w:val="20"/>
        </w:rPr>
        <w:t>. The first two instruments create obligations to provide information to the public, both on request and actively. The INSPIRE Directive is a pioneering instrument for electronic data-sharing between pu</w:t>
      </w:r>
      <w:r>
        <w:rPr>
          <w:rFonts w:cs="Times New Roman"/>
          <w:noProof/>
          <w:sz w:val="20"/>
        </w:rPr>
        <w:t>blic authorities who can vary in their data-sharing policies, e.g. on whether access to data is for free. The INSPIRE Directive sets up a geoportal which indicates the level of shared spatial data in each Member State – i.e. data related to specific locati</w:t>
      </w:r>
      <w:r>
        <w:rPr>
          <w:rFonts w:cs="Times New Roman"/>
          <w:noProof/>
          <w:sz w:val="20"/>
        </w:rPr>
        <w:t xml:space="preserve">ons, such as air quality monitoring data. Amongst other benefits it facilitates the public authorities' reporting obligations. </w:t>
      </w:r>
    </w:p>
    <w:p w:rsidR="00587940" w:rsidRDefault="00E43A41">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envisages) as well as data-s</w:t>
      </w:r>
      <w:r>
        <w:rPr>
          <w:rFonts w:cs="Times New Roman"/>
          <w:noProof/>
          <w:sz w:val="20"/>
        </w:rPr>
        <w:t>haring policies ('open data') have been systematically reviewed</w:t>
      </w:r>
      <w:r>
        <w:rPr>
          <w:rFonts w:cs="Times New Roman"/>
          <w:noProof/>
          <w:sz w:val="20"/>
          <w:vertAlign w:val="superscript"/>
        </w:rPr>
        <w:footnoteReference w:id="136"/>
      </w:r>
      <w:r>
        <w:rPr>
          <w:rFonts w:cs="Times New Roman"/>
          <w:noProof/>
          <w:sz w:val="20"/>
        </w:rPr>
        <w:t xml:space="preserve">. </w:t>
      </w:r>
    </w:p>
    <w:p w:rsidR="00587940" w:rsidRDefault="00E43A41">
      <w:pPr>
        <w:widowControl w:val="0"/>
        <w:spacing w:after="120" w:line="240" w:lineRule="auto"/>
        <w:jc w:val="both"/>
        <w:rPr>
          <w:rFonts w:cs="Times New Roman"/>
          <w:noProof/>
          <w:sz w:val="20"/>
        </w:rPr>
      </w:pPr>
      <w:r>
        <w:rPr>
          <w:rFonts w:cs="Times New Roman"/>
          <w:noProof/>
          <w:sz w:val="20"/>
        </w:rPr>
        <w:t xml:space="preserve">Austria's performance on the implementation of the INSPIRE Directive as enabling framework to actively disseminate environmental information to the public is good. Austria has indicated in </w:t>
      </w:r>
      <w:r>
        <w:rPr>
          <w:rFonts w:cs="Times New Roman"/>
          <w:noProof/>
          <w:sz w:val="20"/>
        </w:rPr>
        <w:t>the 3-yearly INSPIRE implementation report</w:t>
      </w:r>
      <w:r>
        <w:rPr>
          <w:rFonts w:cs="Times New Roman"/>
          <w:noProof/>
          <w:sz w:val="20"/>
          <w:vertAlign w:val="superscript"/>
        </w:rPr>
        <w:footnoteReference w:id="137"/>
      </w:r>
      <w:r>
        <w:rPr>
          <w:rFonts w:cs="Times New Roman"/>
          <w:noProof/>
          <w:sz w:val="20"/>
        </w:rPr>
        <w:t xml:space="preserve"> that the necessary data-sharing policies allowing access and use of spatial data by national administrations, other Member States' administrations and EU institutions without procedural obstacles are available an</w:t>
      </w:r>
      <w:r>
        <w:rPr>
          <w:rFonts w:cs="Times New Roman"/>
          <w:noProof/>
          <w:sz w:val="20"/>
        </w:rPr>
        <w:t>d implemented. Austria has no common data-sharing policies for all administrative levels in the federated state, resulting in a differentiated landscape of terms for access and use ranging from open data policies to policies aiming at recovering data acqui</w:t>
      </w:r>
      <w:r>
        <w:rPr>
          <w:rFonts w:cs="Times New Roman"/>
          <w:noProof/>
          <w:sz w:val="20"/>
        </w:rPr>
        <w:t xml:space="preserve">sition and management costs. </w:t>
      </w:r>
    </w:p>
    <w:p w:rsidR="00587940" w:rsidRDefault="00E43A41">
      <w:pPr>
        <w:widowControl w:val="0"/>
        <w:spacing w:after="120" w:line="240" w:lineRule="auto"/>
        <w:jc w:val="both"/>
        <w:rPr>
          <w:rFonts w:cs="Times New Roman"/>
          <w:noProof/>
          <w:sz w:val="20"/>
        </w:rPr>
      </w:pPr>
      <w:r>
        <w:rPr>
          <w:rFonts w:cs="Times New Roman"/>
          <w:noProof/>
          <w:sz w:val="20"/>
        </w:rPr>
        <w:t>Following the assessments of monitoring reports</w:t>
      </w:r>
      <w:r>
        <w:rPr>
          <w:rFonts w:cs="Times New Roman"/>
          <w:noProof/>
          <w:sz w:val="20"/>
          <w:vertAlign w:val="superscript"/>
        </w:rPr>
        <w:footnoteReference w:id="138"/>
      </w:r>
      <w:r>
        <w:rPr>
          <w:rFonts w:cs="Times New Roman"/>
          <w:noProof/>
          <w:sz w:val="20"/>
        </w:rPr>
        <w:t xml:space="preserve"> issued by Austria and the spatial information that Austria has published on the INSPIRE geoportal</w:t>
      </w:r>
      <w:r>
        <w:rPr>
          <w:rFonts w:cs="Times New Roman"/>
          <w:noProof/>
          <w:sz w:val="20"/>
          <w:vertAlign w:val="superscript"/>
        </w:rPr>
        <w:footnoteReference w:id="139"/>
      </w:r>
      <w:r>
        <w:rPr>
          <w:rFonts w:cs="Times New Roman"/>
          <w:noProof/>
          <w:sz w:val="20"/>
        </w:rPr>
        <w:t xml:space="preserve"> not all spatial information needed for the evaluation and implementation of EU</w:t>
      </w:r>
      <w:r>
        <w:rPr>
          <w:rFonts w:cs="Times New Roman"/>
          <w:noProof/>
          <w:sz w:val="20"/>
        </w:rPr>
        <w:t xml:space="preserve"> environmental law has been made available or is accessible. However, at least the majority of the data required to be made available under the existing reporting and monitoring regulations of EU environmental law has been published on the INSPIRE geoporta</w:t>
      </w:r>
      <w:r>
        <w:rPr>
          <w:rFonts w:cs="Times New Roman"/>
          <w:noProof/>
          <w:sz w:val="20"/>
        </w:rPr>
        <w:t>l.</w:t>
      </w:r>
    </w:p>
    <w:p w:rsidR="00587940" w:rsidRDefault="00E43A41">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587940" w:rsidRDefault="00E43A41">
      <w:pPr>
        <w:pStyle w:val="SuggActions"/>
        <w:rPr>
          <w:noProof/>
        </w:rPr>
      </w:pPr>
      <w:r>
        <w:rPr>
          <w:noProof/>
        </w:rPr>
        <w:t>Critically review the effectiveness of its data policies and amend them, taking 'best practices' into consideration.</w:t>
      </w:r>
    </w:p>
    <w:p w:rsidR="00587940" w:rsidRDefault="00E43A41">
      <w:pPr>
        <w:pStyle w:val="SuggActions"/>
        <w:rPr>
          <w:noProof/>
        </w:rPr>
      </w:pPr>
      <w:r>
        <w:rPr>
          <w:noProof/>
        </w:rPr>
        <w:t>Identify and document all spatial data sets required for the implementation of environmental law, and make the data and</w:t>
      </w:r>
      <w:r>
        <w:rPr>
          <w:noProof/>
        </w:rPr>
        <w:t xml:space="preserve"> documentation at least accessible 'as is' to other public authorities and the public through the digital services foreseen in the INSPIRE Directive.</w:t>
      </w:r>
    </w:p>
    <w:sectPr w:rsidR="00587940">
      <w:headerReference w:type="even" r:id="rId128"/>
      <w:headerReference w:type="default" r:id="rId129"/>
      <w:footerReference w:type="even" r:id="rId130"/>
      <w:footerReference w:type="default" r:id="rId131"/>
      <w:headerReference w:type="first" r:id="rId132"/>
      <w:footerReference w:type="first" r:id="rId133"/>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940" w:rsidRDefault="00E43A41">
      <w:pPr>
        <w:spacing w:after="0" w:line="240" w:lineRule="auto"/>
      </w:pPr>
      <w:r>
        <w:separator/>
      </w:r>
    </w:p>
  </w:endnote>
  <w:endnote w:type="continuationSeparator" w:id="0">
    <w:p w:rsidR="00587940" w:rsidRDefault="00E4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dvOTbc475f09">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A41" w:rsidRPr="00E43A41" w:rsidRDefault="00E43A41" w:rsidP="00E43A4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2016 – Austria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Austria</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A41" w:rsidRPr="00E43A41" w:rsidRDefault="00E43A41" w:rsidP="00E43A41">
    <w:pPr>
      <w:pStyle w:val="FooterCoverPage"/>
      <w:rPr>
        <w:rFonts w:ascii="Arial" w:hAnsi="Arial" w:cs="Arial"/>
        <w:b/>
        <w:sz w:val="48"/>
      </w:rPr>
    </w:pPr>
    <w:r w:rsidRPr="00E43A41">
      <w:rPr>
        <w:rFonts w:ascii="Arial" w:hAnsi="Arial" w:cs="Arial"/>
        <w:b/>
        <w:sz w:val="48"/>
      </w:rPr>
      <w:t>EN</w:t>
    </w:r>
    <w:r w:rsidRPr="00E43A41">
      <w:rPr>
        <w:rFonts w:ascii="Arial" w:hAnsi="Arial" w:cs="Arial"/>
        <w:b/>
        <w:sz w:val="48"/>
      </w:rPr>
      <w:tab/>
    </w:r>
    <w:r w:rsidRPr="00E43A41">
      <w:rPr>
        <w:rFonts w:ascii="Arial" w:hAnsi="Arial" w:cs="Arial"/>
        <w:b/>
        <w:sz w:val="48"/>
      </w:rPr>
      <w:tab/>
    </w:r>
    <w:fldSimple w:instr=" DOCVARIABLE &quot;LW_Confidence&quot; \* MERGEFORMAT ">
      <w:r>
        <w:t xml:space="preserve"> </w:t>
      </w:r>
    </w:fldSimple>
    <w:r w:rsidRPr="00E43A41">
      <w:tab/>
    </w:r>
    <w:proofErr w:type="spellStart"/>
    <w:r w:rsidRPr="00E43A41">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A41" w:rsidRPr="00E43A41" w:rsidRDefault="00E43A41" w:rsidP="00E43A41">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2016 – Austria</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2016 – Austria</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Footer"/>
      <w:jc w:val="center"/>
    </w:pPr>
    <w:r>
      <w:t xml:space="preserve"> Environmental Implementation Report – Austria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940" w:rsidRDefault="00E43A41">
      <w:pPr>
        <w:spacing w:after="0" w:line="240" w:lineRule="auto"/>
      </w:pPr>
      <w:r>
        <w:separator/>
      </w:r>
    </w:p>
  </w:footnote>
  <w:footnote w:type="continuationSeparator" w:id="0">
    <w:p w:rsidR="00587940" w:rsidRDefault="00E43A41">
      <w:pPr>
        <w:spacing w:after="0" w:line="240" w:lineRule="auto"/>
      </w:pPr>
      <w:r>
        <w:continuationSeparator/>
      </w:r>
    </w:p>
  </w:footnote>
  <w:footnote w:id="1">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roofErr w:type="gramEnd"/>
    </w:p>
  </w:footnote>
  <w:footnote w:id="2">
    <w:p w:rsidR="00587940" w:rsidRDefault="00E43A41">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Decision No. 1386</w:t>
      </w:r>
      <w:r>
        <w:rPr>
          <w:rFonts w:asciiTheme="minorHAnsi" w:hAnsiTheme="minorHAnsi"/>
          <w:sz w:val="16"/>
          <w:szCs w:val="16"/>
        </w:rPr>
        <w:t>/2013/EU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587940" w:rsidRDefault="00E43A41">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587940" w:rsidRDefault="00E43A41">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4" w:history="1">
        <w:r>
          <w:rPr>
            <w:rStyle w:val="Hyperlink"/>
            <w:rFonts w:asciiTheme="minorHAnsi" w:hAnsiTheme="minorHAnsi"/>
            <w:sz w:val="16"/>
            <w:szCs w:val="16"/>
          </w:rPr>
          <w:t>Proposed Circular Economy Package</w:t>
        </w:r>
      </w:hyperlink>
    </w:p>
  </w:footnote>
  <w:footnote w:id="6">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5"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color w:val="auto"/>
          <w:sz w:val="16"/>
          <w:szCs w:val="16"/>
          <w:u w:val="none"/>
        </w:rPr>
        <w:t xml:space="preserve"> accessed October 2016</w:t>
      </w:r>
      <w:hyperlink w:history="1"/>
    </w:p>
  </w:footnote>
  <w:footnote w:id="7">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6"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2016</w:t>
      </w:r>
    </w:p>
  </w:footnote>
  <w:footnote w:id="8">
    <w:p w:rsidR="00587940" w:rsidRDefault="00E43A41">
      <w:pPr>
        <w:pStyle w:val="FootnoteText"/>
        <w:ind w:left="170" w:hanging="170"/>
        <w:rPr>
          <w:rFonts w:asciiTheme="minorHAnsi" w:hAnsiTheme="minorHAnsi"/>
          <w:sz w:val="16"/>
          <w:szCs w:val="16"/>
          <w:lang w:val="nb-NO"/>
        </w:rPr>
      </w:pPr>
      <w:r>
        <w:rPr>
          <w:rStyle w:val="FootnoteReference"/>
          <w:rFonts w:asciiTheme="minorHAnsi" w:hAnsiTheme="minorHAnsi"/>
          <w:sz w:val="16"/>
          <w:szCs w:val="16"/>
        </w:rPr>
        <w:footnoteRef/>
      </w:r>
      <w:r>
        <w:rPr>
          <w:rFonts w:asciiTheme="minorHAnsi" w:hAnsiTheme="minorHAnsi"/>
          <w:sz w:val="16"/>
          <w:szCs w:val="16"/>
          <w:lang w:val="nb-NO"/>
        </w:rPr>
        <w:t xml:space="preserve"> </w:t>
      </w:r>
      <w:hyperlink r:id="rId7" w:history="1">
        <w:proofErr w:type="spellStart"/>
        <w:r>
          <w:rPr>
            <w:rStyle w:val="Hyperlink"/>
            <w:rFonts w:asciiTheme="minorHAnsi" w:hAnsiTheme="minorHAnsi"/>
            <w:sz w:val="16"/>
            <w:szCs w:val="16"/>
            <w:lang w:val="nb-NO"/>
          </w:rPr>
          <w:t>G</w:t>
        </w:r>
        <w:r>
          <w:rPr>
            <w:rStyle w:val="Hyperlink"/>
            <w:rFonts w:asciiTheme="minorHAnsi" w:hAnsiTheme="minorHAnsi" w:cstheme="minorHAnsi"/>
            <w:sz w:val="16"/>
            <w:szCs w:val="16"/>
            <w:lang w:val="nb-NO"/>
          </w:rPr>
          <w:t>ü</w:t>
        </w:r>
        <w:r>
          <w:rPr>
            <w:rStyle w:val="Hyperlink"/>
            <w:rFonts w:asciiTheme="minorHAnsi" w:hAnsiTheme="minorHAnsi"/>
            <w:sz w:val="16"/>
            <w:szCs w:val="16"/>
            <w:lang w:val="nb-NO"/>
          </w:rPr>
          <w:t>ssing</w:t>
        </w:r>
        <w:proofErr w:type="spellEnd"/>
        <w:r>
          <w:rPr>
            <w:rStyle w:val="Hyperlink"/>
            <w:rFonts w:asciiTheme="minorHAnsi" w:hAnsiTheme="minorHAnsi"/>
            <w:sz w:val="16"/>
            <w:szCs w:val="16"/>
            <w:lang w:val="nb-NO"/>
          </w:rPr>
          <w:t xml:space="preserve"> </w:t>
        </w:r>
        <w:proofErr w:type="spellStart"/>
        <w:r>
          <w:rPr>
            <w:rStyle w:val="Hyperlink"/>
            <w:rFonts w:asciiTheme="minorHAnsi" w:hAnsiTheme="minorHAnsi"/>
            <w:sz w:val="16"/>
            <w:szCs w:val="16"/>
            <w:lang w:val="nb-NO"/>
          </w:rPr>
          <w:t>Renwable</w:t>
        </w:r>
        <w:proofErr w:type="spellEnd"/>
        <w:r>
          <w:rPr>
            <w:rStyle w:val="Hyperlink"/>
            <w:rFonts w:asciiTheme="minorHAnsi" w:hAnsiTheme="minorHAnsi"/>
            <w:sz w:val="16"/>
            <w:szCs w:val="16"/>
            <w:lang w:val="nb-NO"/>
          </w:rPr>
          <w:t xml:space="preserve"> Energy Centre</w:t>
        </w:r>
      </w:hyperlink>
      <w:r>
        <w:rPr>
          <w:rFonts w:asciiTheme="minorHAnsi" w:hAnsiTheme="minorHAnsi"/>
          <w:sz w:val="16"/>
          <w:szCs w:val="16"/>
          <w:lang w:val="nb-NO"/>
        </w:rPr>
        <w:t xml:space="preserve"> </w:t>
      </w:r>
    </w:p>
  </w:footnote>
  <w:footnote w:id="9">
    <w:p w:rsidR="00587940" w:rsidRDefault="00E43A41">
      <w:pPr>
        <w:pStyle w:val="FootnoteText"/>
        <w:ind w:left="170" w:hanging="170"/>
        <w:rPr>
          <w:rFonts w:asciiTheme="minorHAnsi" w:hAnsiTheme="minorHAnsi"/>
          <w:sz w:val="16"/>
          <w:szCs w:val="16"/>
          <w:lang w:val="nb-NO"/>
        </w:rPr>
      </w:pPr>
      <w:r>
        <w:rPr>
          <w:rStyle w:val="FootnoteReference"/>
          <w:rFonts w:asciiTheme="minorHAnsi" w:hAnsiTheme="minorHAnsi"/>
          <w:sz w:val="16"/>
          <w:szCs w:val="16"/>
        </w:rPr>
        <w:footnoteRef/>
      </w:r>
      <w:r>
        <w:rPr>
          <w:rFonts w:asciiTheme="minorHAnsi" w:hAnsiTheme="minorHAnsi"/>
          <w:sz w:val="16"/>
          <w:szCs w:val="16"/>
          <w:lang w:val="nb-NO"/>
        </w:rPr>
        <w:t xml:space="preserve"> </w:t>
      </w:r>
      <w:hyperlink r:id="rId8" w:history="1">
        <w:proofErr w:type="spellStart"/>
        <w:r>
          <w:rPr>
            <w:rStyle w:val="Hyperlink"/>
            <w:rFonts w:asciiTheme="minorHAnsi" w:hAnsiTheme="minorHAnsi"/>
            <w:sz w:val="16"/>
            <w:szCs w:val="16"/>
            <w:lang w:val="nb-NO"/>
          </w:rPr>
          <w:t>Bioregion</w:t>
        </w:r>
        <w:proofErr w:type="spellEnd"/>
        <w:r>
          <w:rPr>
            <w:rStyle w:val="Hyperlink"/>
            <w:rFonts w:asciiTheme="minorHAnsi" w:hAnsiTheme="minorHAnsi"/>
            <w:sz w:val="16"/>
            <w:szCs w:val="16"/>
            <w:lang w:val="nb-NO"/>
          </w:rPr>
          <w:t xml:space="preserve"> </w:t>
        </w:r>
        <w:proofErr w:type="spellStart"/>
        <w:r>
          <w:rPr>
            <w:rStyle w:val="Hyperlink"/>
            <w:rFonts w:asciiTheme="minorHAnsi" w:hAnsiTheme="minorHAnsi"/>
            <w:sz w:val="16"/>
            <w:szCs w:val="16"/>
            <w:lang w:val="nb-NO"/>
          </w:rPr>
          <w:t>Mühlviertel</w:t>
        </w:r>
        <w:proofErr w:type="spellEnd"/>
      </w:hyperlink>
      <w:r>
        <w:rPr>
          <w:rFonts w:asciiTheme="minorHAnsi" w:hAnsiTheme="minorHAnsi"/>
          <w:sz w:val="16"/>
          <w:szCs w:val="16"/>
          <w:lang w:val="nb-NO"/>
        </w:rPr>
        <w:t xml:space="preserve"> </w:t>
      </w:r>
    </w:p>
  </w:footnote>
  <w:footnote w:id="10">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 w:history="1">
        <w:r>
          <w:rPr>
            <w:rStyle w:val="Hyperlink"/>
            <w:rFonts w:asciiTheme="minorHAnsi" w:hAnsiTheme="minorHAnsi"/>
            <w:sz w:val="16"/>
            <w:szCs w:val="16"/>
          </w:rPr>
          <w:t xml:space="preserve">Energy Vision </w:t>
        </w:r>
        <w:proofErr w:type="spellStart"/>
        <w:r>
          <w:rPr>
            <w:rStyle w:val="Hyperlink"/>
            <w:rFonts w:asciiTheme="minorHAnsi" w:hAnsiTheme="minorHAnsi"/>
            <w:sz w:val="16"/>
            <w:szCs w:val="16"/>
          </w:rPr>
          <w:t>Murau</w:t>
        </w:r>
        <w:proofErr w:type="spellEnd"/>
        <w:r>
          <w:rPr>
            <w:rStyle w:val="Hyperlink"/>
            <w:rFonts w:asciiTheme="minorHAnsi" w:hAnsiTheme="minorHAnsi"/>
            <w:sz w:val="16"/>
            <w:szCs w:val="16"/>
          </w:rPr>
          <w:t xml:space="preserve"> </w:t>
        </w:r>
      </w:hyperlink>
      <w:r>
        <w:rPr>
          <w:rFonts w:asciiTheme="minorHAnsi" w:hAnsiTheme="minorHAnsi"/>
          <w:sz w:val="16"/>
          <w:szCs w:val="16"/>
        </w:rPr>
        <w:t xml:space="preserve"> </w:t>
      </w:r>
    </w:p>
  </w:footnote>
  <w:footnote w:id="11">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sz w:val="16"/>
          <w:szCs w:val="16"/>
        </w:rPr>
        <w:t xml:space="preserve">Eurostat, </w:t>
      </w:r>
      <w:hyperlink r:id="rId10" w:history="1">
        <w:r>
          <w:rPr>
            <w:rStyle w:val="Hyperlink"/>
            <w:rFonts w:asciiTheme="minorHAnsi" w:hAnsiTheme="minorHAnsi" w:cstheme="minorHAnsi"/>
            <w:sz w:val="16"/>
            <w:szCs w:val="16"/>
          </w:rPr>
          <w:t>Employment in the environmental goods and services sector</w:t>
        </w:r>
      </w:hyperlink>
      <w:r>
        <w:rPr>
          <w:rStyle w:val="leftside"/>
          <w:rFonts w:asciiTheme="minorHAnsi" w:hAnsiTheme="minorHAnsi" w:cstheme="minorHAnsi"/>
          <w:sz w:val="16"/>
          <w:szCs w:val="16"/>
        </w:rPr>
        <w:t>, accessed June 2016</w:t>
      </w:r>
    </w:p>
  </w:footnote>
  <w:footnote w:id="12">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Bundesministerium für Land- und Forstwirtschaft, Umwelt und Wasserwi</w:t>
      </w:r>
      <w:r>
        <w:rPr>
          <w:rFonts w:asciiTheme="minorHAnsi" w:hAnsiTheme="minorHAnsi"/>
          <w:sz w:val="16"/>
          <w:szCs w:val="16"/>
          <w:lang w:val="de-DE"/>
        </w:rPr>
        <w:t xml:space="preserve">rtschaft, 2010. </w:t>
      </w:r>
      <w:hyperlink r:id="rId11" w:history="1">
        <w:r>
          <w:rPr>
            <w:rStyle w:val="Hyperlink"/>
            <w:rFonts w:asciiTheme="minorHAnsi" w:hAnsiTheme="minorHAnsi"/>
            <w:sz w:val="16"/>
            <w:szCs w:val="16"/>
            <w:lang w:val="de-DE"/>
          </w:rPr>
          <w:t>Masterplan "</w:t>
        </w:r>
        <w:proofErr w:type="spellStart"/>
        <w:r>
          <w:rPr>
            <w:rStyle w:val="Hyperlink"/>
            <w:rFonts w:asciiTheme="minorHAnsi" w:hAnsiTheme="minorHAnsi"/>
            <w:sz w:val="16"/>
            <w:szCs w:val="16"/>
            <w:lang w:val="de-DE"/>
          </w:rPr>
          <w:t>green</w:t>
        </w:r>
        <w:proofErr w:type="spellEnd"/>
        <w:r>
          <w:rPr>
            <w:rStyle w:val="Hyperlink"/>
            <w:rFonts w:asciiTheme="minorHAnsi" w:hAnsiTheme="minorHAnsi"/>
            <w:sz w:val="16"/>
            <w:szCs w:val="16"/>
            <w:lang w:val="de-DE"/>
          </w:rPr>
          <w:t xml:space="preserve"> </w:t>
        </w:r>
        <w:proofErr w:type="spellStart"/>
        <w:r>
          <w:rPr>
            <w:rStyle w:val="Hyperlink"/>
            <w:rFonts w:asciiTheme="minorHAnsi" w:hAnsiTheme="minorHAnsi"/>
            <w:sz w:val="16"/>
            <w:szCs w:val="16"/>
            <w:lang w:val="de-DE"/>
          </w:rPr>
          <w:t>jobs</w:t>
        </w:r>
        <w:proofErr w:type="spellEnd"/>
        <w:r>
          <w:rPr>
            <w:rStyle w:val="Hyperlink"/>
            <w:rFonts w:asciiTheme="minorHAnsi" w:hAnsiTheme="minorHAnsi"/>
            <w:sz w:val="16"/>
            <w:szCs w:val="16"/>
            <w:lang w:val="de-DE"/>
          </w:rPr>
          <w:t>"</w:t>
        </w:r>
      </w:hyperlink>
      <w:r>
        <w:rPr>
          <w:rFonts w:asciiTheme="minorHAnsi" w:hAnsiTheme="minorHAnsi"/>
          <w:sz w:val="16"/>
          <w:szCs w:val="16"/>
          <w:lang w:val="de-DE"/>
        </w:rPr>
        <w:t xml:space="preserve"> </w:t>
      </w:r>
    </w:p>
  </w:footnote>
  <w:footnote w:id="13">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Bundesministerium für Land- und Forstwirtschaft, Umwelt und Wasserwirtschaft: </w:t>
      </w:r>
      <w:hyperlink r:id="rId12" w:history="1">
        <w:r>
          <w:rPr>
            <w:rStyle w:val="Hyperlink"/>
            <w:rFonts w:asciiTheme="minorHAnsi" w:hAnsiTheme="minorHAnsi"/>
            <w:sz w:val="16"/>
            <w:szCs w:val="16"/>
            <w:lang w:val="de-DE"/>
          </w:rPr>
          <w:t xml:space="preserve">Karriereportal </w:t>
        </w:r>
        <w:proofErr w:type="spellStart"/>
        <w:r>
          <w:rPr>
            <w:rStyle w:val="Hyperlink"/>
            <w:rFonts w:asciiTheme="minorHAnsi" w:hAnsiTheme="minorHAnsi"/>
            <w:sz w:val="16"/>
            <w:szCs w:val="16"/>
            <w:lang w:val="de-DE"/>
          </w:rPr>
          <w:t>green</w:t>
        </w:r>
        <w:proofErr w:type="spellEnd"/>
        <w:r>
          <w:rPr>
            <w:rStyle w:val="Hyperlink"/>
            <w:rFonts w:asciiTheme="minorHAnsi" w:hAnsiTheme="minorHAnsi"/>
            <w:sz w:val="16"/>
            <w:szCs w:val="16"/>
            <w:lang w:val="de-DE"/>
          </w:rPr>
          <w:t xml:space="preserve"> </w:t>
        </w:r>
        <w:proofErr w:type="spellStart"/>
        <w:r>
          <w:rPr>
            <w:rStyle w:val="Hyperlink"/>
            <w:rFonts w:asciiTheme="minorHAnsi" w:hAnsiTheme="minorHAnsi"/>
            <w:sz w:val="16"/>
            <w:szCs w:val="16"/>
            <w:lang w:val="de-DE"/>
          </w:rPr>
          <w:t>jobs</w:t>
        </w:r>
        <w:proofErr w:type="spellEnd"/>
      </w:hyperlink>
      <w:r>
        <w:rPr>
          <w:rFonts w:asciiTheme="minorHAnsi" w:hAnsiTheme="minorHAnsi"/>
          <w:sz w:val="16"/>
          <w:szCs w:val="16"/>
          <w:lang w:val="de-DE"/>
        </w:rPr>
        <w:t xml:space="preserve">: </w:t>
      </w:r>
    </w:p>
  </w:footnote>
  <w:footnote w:id="14">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Bundesministerium für Land- und Forstwirtschaft, Umwelt und Wasserwirtschaft: </w:t>
      </w:r>
      <w:hyperlink r:id="rId13" w:history="1">
        <w:r>
          <w:rPr>
            <w:rStyle w:val="Hyperlink"/>
            <w:rFonts w:asciiTheme="minorHAnsi" w:hAnsiTheme="minorHAnsi"/>
            <w:sz w:val="16"/>
            <w:szCs w:val="16"/>
            <w:lang w:val="de-DE"/>
          </w:rPr>
          <w:t>klimaaktiv Bildungskoordination</w:t>
        </w:r>
      </w:hyperlink>
    </w:p>
  </w:footnote>
  <w:footnote w:id="15">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de-DE"/>
        </w:rPr>
        <w:t xml:space="preserve"> Martin </w:t>
      </w:r>
      <w:proofErr w:type="spellStart"/>
      <w:r>
        <w:rPr>
          <w:rFonts w:asciiTheme="minorHAnsi" w:hAnsiTheme="minorHAnsi"/>
          <w:sz w:val="16"/>
          <w:szCs w:val="16"/>
          <w:lang w:val="de-DE"/>
        </w:rPr>
        <w:t>Hirschnitz-Ga</w:t>
      </w:r>
      <w:r>
        <w:rPr>
          <w:rFonts w:asciiTheme="minorHAnsi" w:hAnsiTheme="minorHAnsi"/>
          <w:sz w:val="16"/>
          <w:szCs w:val="16"/>
          <w:lang w:val="de-DE"/>
        </w:rPr>
        <w:t>rbers</w:t>
      </w:r>
      <w:proofErr w:type="spellEnd"/>
      <w:r>
        <w:rPr>
          <w:rFonts w:asciiTheme="minorHAnsi" w:hAnsiTheme="minorHAnsi"/>
          <w:sz w:val="16"/>
          <w:szCs w:val="16"/>
          <w:lang w:val="de-DE"/>
        </w:rPr>
        <w:t xml:space="preserve">, Mandy </w:t>
      </w:r>
      <w:proofErr w:type="spellStart"/>
      <w:r>
        <w:rPr>
          <w:rFonts w:asciiTheme="minorHAnsi" w:hAnsiTheme="minorHAnsi"/>
          <w:sz w:val="16"/>
          <w:szCs w:val="16"/>
          <w:lang w:val="de-DE"/>
        </w:rPr>
        <w:t>Hinzmann</w:t>
      </w:r>
      <w:proofErr w:type="spellEnd"/>
      <w:r>
        <w:rPr>
          <w:rFonts w:asciiTheme="minorHAnsi" w:hAnsiTheme="minorHAnsi"/>
          <w:sz w:val="16"/>
          <w:szCs w:val="16"/>
          <w:lang w:val="de-DE"/>
        </w:rPr>
        <w:t xml:space="preserve">, Emma Watkins, Patrick </w:t>
      </w:r>
      <w:proofErr w:type="spellStart"/>
      <w:r>
        <w:rPr>
          <w:rFonts w:asciiTheme="minorHAnsi" w:hAnsiTheme="minorHAnsi"/>
          <w:sz w:val="16"/>
          <w:szCs w:val="16"/>
          <w:lang w:val="de-DE"/>
        </w:rPr>
        <w:t>ten</w:t>
      </w:r>
      <w:proofErr w:type="spellEnd"/>
      <w:r>
        <w:rPr>
          <w:rFonts w:asciiTheme="minorHAnsi" w:hAnsiTheme="minorHAnsi"/>
          <w:sz w:val="16"/>
          <w:szCs w:val="16"/>
          <w:lang w:val="de-DE"/>
        </w:rPr>
        <w:t xml:space="preserve"> Brink, Leonidas </w:t>
      </w:r>
      <w:proofErr w:type="spellStart"/>
      <w:r>
        <w:rPr>
          <w:rFonts w:asciiTheme="minorHAnsi" w:hAnsiTheme="minorHAnsi"/>
          <w:sz w:val="16"/>
          <w:szCs w:val="16"/>
          <w:lang w:val="de-DE"/>
        </w:rPr>
        <w:t>Milios</w:t>
      </w:r>
      <w:proofErr w:type="spellEnd"/>
      <w:r>
        <w:rPr>
          <w:rFonts w:asciiTheme="minorHAnsi" w:hAnsiTheme="minorHAnsi"/>
          <w:sz w:val="16"/>
          <w:szCs w:val="16"/>
          <w:lang w:val="de-DE"/>
        </w:rPr>
        <w:t xml:space="preserve"> </w:t>
      </w:r>
      <w:proofErr w:type="spellStart"/>
      <w:r>
        <w:rPr>
          <w:rFonts w:asciiTheme="minorHAnsi" w:hAnsiTheme="minorHAnsi"/>
          <w:sz w:val="16"/>
          <w:szCs w:val="16"/>
          <w:lang w:val="de-DE"/>
        </w:rPr>
        <w:t>and</w:t>
      </w:r>
      <w:proofErr w:type="spellEnd"/>
      <w:r>
        <w:rPr>
          <w:rFonts w:asciiTheme="minorHAnsi" w:hAnsiTheme="minorHAnsi"/>
          <w:sz w:val="16"/>
          <w:szCs w:val="16"/>
          <w:lang w:val="de-DE"/>
        </w:rPr>
        <w:t xml:space="preserve"> Sebastien </w:t>
      </w:r>
      <w:proofErr w:type="spellStart"/>
      <w:r>
        <w:rPr>
          <w:rFonts w:asciiTheme="minorHAnsi" w:hAnsiTheme="minorHAnsi"/>
          <w:sz w:val="16"/>
          <w:szCs w:val="16"/>
          <w:lang w:val="de-DE"/>
        </w:rPr>
        <w:t>Soleille</w:t>
      </w:r>
      <w:proofErr w:type="spellEnd"/>
      <w:r>
        <w:rPr>
          <w:rFonts w:asciiTheme="minorHAnsi" w:hAnsiTheme="minorHAnsi"/>
          <w:sz w:val="16"/>
          <w:szCs w:val="16"/>
          <w:lang w:val="de-DE"/>
        </w:rPr>
        <w:t xml:space="preserve">, 2016. </w:t>
      </w:r>
      <w:hyperlink r:id="rId14" w:history="1">
        <w:r>
          <w:rPr>
            <w:rStyle w:val="Hyperlink"/>
            <w:rFonts w:asciiTheme="minorHAnsi" w:hAnsiTheme="minorHAnsi"/>
            <w:sz w:val="16"/>
            <w:szCs w:val="16"/>
          </w:rPr>
          <w:t>A framework for Member Stat</w:t>
        </w:r>
        <w:r>
          <w:rPr>
            <w:rStyle w:val="Hyperlink"/>
            <w:rFonts w:asciiTheme="minorHAnsi" w:hAnsiTheme="minorHAnsi"/>
            <w:sz w:val="16"/>
            <w:szCs w:val="16"/>
          </w:rPr>
          <w:t>es to support business in improving its resource efficiency</w:t>
        </w:r>
      </w:hyperlink>
      <w:r>
        <w:rPr>
          <w:rFonts w:asciiTheme="minorHAnsi" w:hAnsiTheme="minorHAnsi"/>
          <w:sz w:val="16"/>
          <w:szCs w:val="16"/>
        </w:rPr>
        <w:t>, 2015, p. 59</w:t>
      </w:r>
    </w:p>
  </w:footnote>
  <w:footnote w:id="16">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15" w:history="1">
        <w:r>
          <w:rPr>
            <w:rStyle w:val="Hyperlink"/>
            <w:rFonts w:asciiTheme="minorHAnsi" w:hAnsiTheme="minorHAnsi"/>
            <w:sz w:val="16"/>
            <w:szCs w:val="16"/>
          </w:rPr>
          <w:t xml:space="preserve">Flash 426 </w:t>
        </w:r>
        <w:proofErr w:type="spellStart"/>
        <w:r>
          <w:rPr>
            <w:rStyle w:val="Hyperlink"/>
            <w:rFonts w:asciiTheme="minorHAnsi" w:hAnsiTheme="minorHAnsi"/>
            <w:sz w:val="16"/>
            <w:szCs w:val="16"/>
          </w:rPr>
          <w:t>Eurobarometer</w:t>
        </w:r>
        <w:proofErr w:type="spellEnd"/>
      </w:hyperlink>
      <w:r>
        <w:rPr>
          <w:rFonts w:asciiTheme="minorHAnsi" w:hAnsiTheme="minorHAnsi"/>
          <w:sz w:val="16"/>
          <w:szCs w:val="16"/>
        </w:rPr>
        <w:t xml:space="preserve"> "SMEs, resource efficiency and green markets"</w:t>
      </w:r>
    </w:p>
  </w:footnote>
  <w:footnote w:id="17">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16" w:history="1">
        <w:r>
          <w:rPr>
            <w:rStyle w:val="Hyperlink"/>
            <w:rFonts w:asciiTheme="minorHAnsi" w:hAnsiTheme="minorHAnsi"/>
            <w:sz w:val="16"/>
            <w:szCs w:val="16"/>
          </w:rPr>
          <w:t xml:space="preserve">Flash 426 </w:t>
        </w:r>
        <w:proofErr w:type="spellStart"/>
        <w:r>
          <w:rPr>
            <w:rStyle w:val="Hyperlink"/>
            <w:rFonts w:asciiTheme="minorHAnsi" w:hAnsiTheme="minorHAnsi"/>
            <w:sz w:val="16"/>
            <w:szCs w:val="16"/>
          </w:rPr>
          <w:t>Eurobarometer</w:t>
        </w:r>
        <w:proofErr w:type="spellEnd"/>
      </w:hyperlink>
      <w:r>
        <w:rPr>
          <w:rFonts w:asciiTheme="minorHAnsi" w:hAnsiTheme="minorHAnsi"/>
          <w:sz w:val="16"/>
          <w:szCs w:val="16"/>
        </w:rPr>
        <w:t xml:space="preserve"> "SMEs, resource efficiency and green markets"</w:t>
      </w:r>
    </w:p>
  </w:footnote>
  <w:footnote w:id="18">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7" w:history="1">
        <w:r>
          <w:rPr>
            <w:rStyle w:val="Hyperlink"/>
            <w:rFonts w:asciiTheme="minorHAnsi" w:hAnsiTheme="minorHAnsi"/>
            <w:sz w:val="16"/>
            <w:szCs w:val="16"/>
          </w:rPr>
          <w:t>Eco-innovati</w:t>
        </w:r>
        <w:r>
          <w:rPr>
            <w:rStyle w:val="Hyperlink"/>
            <w:rFonts w:asciiTheme="minorHAnsi" w:hAnsiTheme="minorHAnsi"/>
            <w:sz w:val="16"/>
            <w:szCs w:val="16"/>
          </w:rPr>
          <w:t>on Observatory</w:t>
        </w:r>
      </w:hyperlink>
      <w:r>
        <w:rPr>
          <w:rFonts w:asciiTheme="minorHAnsi" w:hAnsiTheme="minorHAnsi"/>
          <w:sz w:val="16"/>
          <w:szCs w:val="16"/>
        </w:rPr>
        <w:t>: Eco-Innovation scoreboard 2015</w:t>
      </w:r>
    </w:p>
  </w:footnote>
  <w:footnote w:id="19">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IHS, 2014.</w:t>
      </w:r>
      <w:proofErr w:type="gramEnd"/>
      <w:r>
        <w:rPr>
          <w:rFonts w:asciiTheme="minorHAnsi" w:hAnsiTheme="minorHAnsi"/>
          <w:sz w:val="16"/>
          <w:szCs w:val="16"/>
        </w:rPr>
        <w:t xml:space="preserve"> </w:t>
      </w:r>
      <w:hyperlink r:id="rId18" w:history="1">
        <w:r>
          <w:rPr>
            <w:rStyle w:val="Hyperlink"/>
            <w:rFonts w:asciiTheme="minorHAnsi" w:hAnsiTheme="minorHAnsi"/>
            <w:sz w:val="16"/>
            <w:szCs w:val="16"/>
          </w:rPr>
          <w:t xml:space="preserve">Das </w:t>
        </w:r>
        <w:proofErr w:type="spellStart"/>
        <w:r>
          <w:rPr>
            <w:rStyle w:val="Hyperlink"/>
            <w:rFonts w:asciiTheme="minorHAnsi" w:hAnsiTheme="minorHAnsi"/>
            <w:sz w:val="16"/>
            <w:szCs w:val="16"/>
          </w:rPr>
          <w:t>Potenzial</w:t>
        </w:r>
        <w:proofErr w:type="spellEnd"/>
        <w:r>
          <w:rPr>
            <w:rStyle w:val="Hyperlink"/>
            <w:rFonts w:asciiTheme="minorHAnsi" w:hAnsiTheme="minorHAnsi"/>
            <w:sz w:val="16"/>
            <w:szCs w:val="16"/>
          </w:rPr>
          <w:t xml:space="preserve"> von </w:t>
        </w:r>
        <w:proofErr w:type="spellStart"/>
        <w:r>
          <w:rPr>
            <w:rStyle w:val="Hyperlink"/>
            <w:rFonts w:asciiTheme="minorHAnsi" w:hAnsiTheme="minorHAnsi"/>
            <w:sz w:val="16"/>
            <w:szCs w:val="16"/>
          </w:rPr>
          <w:t>Öko-Innovationen</w:t>
        </w:r>
        <w:proofErr w:type="spellEnd"/>
        <w:r>
          <w:rPr>
            <w:rStyle w:val="Hyperlink"/>
            <w:rFonts w:asciiTheme="minorHAnsi" w:hAnsiTheme="minorHAnsi"/>
            <w:sz w:val="16"/>
            <w:szCs w:val="16"/>
          </w:rPr>
          <w:t xml:space="preserve"> </w:t>
        </w:r>
        <w:proofErr w:type="spellStart"/>
        <w:r>
          <w:rPr>
            <w:rStyle w:val="Hyperlink"/>
            <w:rFonts w:asciiTheme="minorHAnsi" w:hAnsiTheme="minorHAnsi"/>
            <w:sz w:val="16"/>
            <w:szCs w:val="16"/>
          </w:rPr>
          <w:t>für</w:t>
        </w:r>
        <w:proofErr w:type="spellEnd"/>
        <w:r>
          <w:rPr>
            <w:rStyle w:val="Hyperlink"/>
            <w:rFonts w:asciiTheme="minorHAnsi" w:hAnsiTheme="minorHAnsi"/>
            <w:sz w:val="16"/>
            <w:szCs w:val="16"/>
          </w:rPr>
          <w:t xml:space="preserve"> den </w:t>
        </w:r>
        <w:proofErr w:type="spellStart"/>
        <w:r>
          <w:rPr>
            <w:rStyle w:val="Hyperlink"/>
            <w:rFonts w:asciiTheme="minorHAnsi" w:hAnsiTheme="minorHAnsi"/>
            <w:sz w:val="16"/>
            <w:szCs w:val="16"/>
          </w:rPr>
          <w:t>S</w:t>
        </w:r>
        <w:r>
          <w:rPr>
            <w:rStyle w:val="Hyperlink"/>
            <w:rFonts w:asciiTheme="minorHAnsi" w:hAnsiTheme="minorHAnsi"/>
            <w:sz w:val="16"/>
            <w:szCs w:val="16"/>
          </w:rPr>
          <w:t>tandort</w:t>
        </w:r>
        <w:proofErr w:type="spellEnd"/>
        <w:r>
          <w:rPr>
            <w:rStyle w:val="Hyperlink"/>
            <w:rFonts w:asciiTheme="minorHAnsi" w:hAnsiTheme="minorHAnsi"/>
            <w:sz w:val="16"/>
            <w:szCs w:val="16"/>
          </w:rPr>
          <w:t xml:space="preserve"> </w:t>
        </w:r>
        <w:proofErr w:type="spellStart"/>
        <w:r>
          <w:rPr>
            <w:rStyle w:val="Hyperlink"/>
            <w:rFonts w:asciiTheme="minorHAnsi" w:hAnsiTheme="minorHAnsi"/>
            <w:sz w:val="16"/>
            <w:szCs w:val="16"/>
          </w:rPr>
          <w:t>Österreich</w:t>
        </w:r>
        <w:proofErr w:type="spellEnd"/>
      </w:hyperlink>
      <w:r>
        <w:rPr>
          <w:rFonts w:asciiTheme="minorHAnsi" w:hAnsiTheme="minorHAnsi"/>
          <w:sz w:val="16"/>
          <w:szCs w:val="16"/>
        </w:rPr>
        <w:t xml:space="preserve">. </w:t>
      </w:r>
      <w:r>
        <w:rPr>
          <w:rFonts w:asciiTheme="minorHAnsi" w:hAnsiTheme="minorHAnsi"/>
          <w:sz w:val="16"/>
          <w:szCs w:val="16"/>
          <w:lang w:val="de-DE"/>
        </w:rPr>
        <w:t>Institut für Höhere Studien (IHS), Wien.</w:t>
      </w:r>
    </w:p>
  </w:footnote>
  <w:footnote w:id="20">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w:t>
      </w:r>
      <w:proofErr w:type="spellStart"/>
      <w:r>
        <w:rPr>
          <w:rFonts w:asciiTheme="minorHAnsi" w:hAnsiTheme="minorHAnsi"/>
          <w:sz w:val="16"/>
          <w:szCs w:val="16"/>
          <w:lang w:val="de-DE"/>
        </w:rPr>
        <w:t>Waste</w:t>
      </w:r>
      <w:proofErr w:type="spellEnd"/>
      <w:r>
        <w:rPr>
          <w:rFonts w:asciiTheme="minorHAnsi" w:hAnsiTheme="minorHAnsi"/>
          <w:sz w:val="16"/>
          <w:szCs w:val="16"/>
          <w:lang w:val="de-DE"/>
        </w:rPr>
        <w:t xml:space="preserve"> Management Plans/</w:t>
      </w:r>
      <w:proofErr w:type="spellStart"/>
      <w:r>
        <w:rPr>
          <w:rFonts w:asciiTheme="minorHAnsi" w:hAnsiTheme="minorHAnsi"/>
          <w:sz w:val="16"/>
          <w:szCs w:val="16"/>
          <w:lang w:val="de-DE"/>
        </w:rPr>
        <w:t>Waste</w:t>
      </w:r>
      <w:proofErr w:type="spellEnd"/>
      <w:r>
        <w:rPr>
          <w:rFonts w:asciiTheme="minorHAnsi" w:hAnsiTheme="minorHAnsi"/>
          <w:sz w:val="16"/>
          <w:szCs w:val="16"/>
          <w:lang w:val="de-DE"/>
        </w:rPr>
        <w:t xml:space="preserve"> </w:t>
      </w:r>
      <w:proofErr w:type="spellStart"/>
      <w:r>
        <w:rPr>
          <w:rFonts w:asciiTheme="minorHAnsi" w:hAnsiTheme="minorHAnsi"/>
          <w:sz w:val="16"/>
          <w:szCs w:val="16"/>
          <w:lang w:val="de-DE"/>
        </w:rPr>
        <w:t>Prevention</w:t>
      </w:r>
      <w:proofErr w:type="spellEnd"/>
      <w:r>
        <w:rPr>
          <w:rFonts w:asciiTheme="minorHAnsi" w:hAnsiTheme="minorHAnsi"/>
          <w:sz w:val="16"/>
          <w:szCs w:val="16"/>
          <w:lang w:val="de-DE"/>
        </w:rPr>
        <w:t xml:space="preserve"> Programmes</w:t>
      </w:r>
    </w:p>
  </w:footnote>
  <w:footnote w:id="21">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9" w:history="1">
        <w:r>
          <w:rPr>
            <w:rStyle w:val="Hyperlink"/>
            <w:rFonts w:asciiTheme="minorHAnsi" w:hAnsiTheme="minorHAnsi"/>
            <w:sz w:val="16"/>
            <w:szCs w:val="16"/>
          </w:rPr>
          <w:t>Municipal waste and</w:t>
        </w:r>
        <w:r>
          <w:rPr>
            <w:rStyle w:val="Hyperlink"/>
            <w:rFonts w:asciiTheme="minorHAnsi" w:hAnsiTheme="minorHAnsi"/>
            <w:sz w:val="16"/>
            <w:szCs w:val="16"/>
          </w:rPr>
          <w:t xml:space="preserve"> treatment, by type of treatment method,</w:t>
        </w:r>
      </w:hyperlink>
      <w:r>
        <w:rPr>
          <w:rFonts w:asciiTheme="minorHAnsi" w:hAnsiTheme="minorHAnsi"/>
          <w:sz w:val="16"/>
          <w:szCs w:val="16"/>
        </w:rPr>
        <w:t xml:space="preserve"> accessed October 2016</w:t>
      </w:r>
    </w:p>
  </w:footnote>
  <w:footnote w:id="22">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municipal authorities, or directly by the private sector (business or private non-profit institutions) not on behalf of municipa</w:t>
      </w:r>
      <w:r>
        <w:rPr>
          <w:rFonts w:asciiTheme="minorHAnsi" w:hAnsiTheme="minorHAnsi"/>
          <w:sz w:val="16"/>
          <w:szCs w:val="16"/>
        </w:rPr>
        <w:t>lities.</w:t>
      </w:r>
    </w:p>
  </w:footnote>
  <w:footnote w:id="23">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24">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20" w:history="1">
        <w:r>
          <w:rPr>
            <w:rStyle w:val="Hyperlink"/>
            <w:rFonts w:asciiTheme="minorHAnsi" w:hAnsiTheme="minorHAnsi"/>
            <w:sz w:val="16"/>
            <w:szCs w:val="16"/>
          </w:rPr>
          <w:t>Recycling rate of municipal waste</w:t>
        </w:r>
      </w:hyperlink>
      <w:r>
        <w:rPr>
          <w:rFonts w:asciiTheme="minorHAnsi" w:hAnsiTheme="minorHAnsi"/>
          <w:sz w:val="16"/>
          <w:szCs w:val="16"/>
        </w:rPr>
        <w:t xml:space="preserve">, accessed </w:t>
      </w:r>
      <w:r>
        <w:rPr>
          <w:rStyle w:val="Hyperlink"/>
          <w:rFonts w:asciiTheme="minorHAnsi" w:hAnsiTheme="minorHAnsi" w:cstheme="minorHAnsi"/>
          <w:color w:val="auto"/>
          <w:sz w:val="16"/>
          <w:szCs w:val="16"/>
          <w:u w:val="none"/>
        </w:rPr>
        <w:t>October 2016</w:t>
      </w:r>
    </w:p>
  </w:footnote>
  <w:footnote w:id="25">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Proposal for a Directive on the landfill of waste, </w:t>
      </w:r>
      <w:hyperlink r:id="rId21" w:history="1">
        <w:r>
          <w:rPr>
            <w:rStyle w:val="Hyperlink"/>
            <w:rFonts w:asciiTheme="minorHAnsi" w:hAnsiTheme="minorHAnsi"/>
            <w:sz w:val="16"/>
            <w:szCs w:val="16"/>
          </w:rPr>
          <w:t>COM/2015/0594</w:t>
        </w:r>
      </w:hyperlink>
      <w:r>
        <w:rPr>
          <w:rFonts w:asciiTheme="minorHAnsi" w:hAnsiTheme="minorHAnsi"/>
          <w:sz w:val="16"/>
          <w:szCs w:val="16"/>
        </w:rPr>
        <w:t xml:space="preserve"> &amp; European Union, Proposal for a Directive amending Directive 2008/98/EC on waste, </w:t>
      </w:r>
      <w:hyperlink r:id="rId22" w:history="1">
        <w:r>
          <w:rPr>
            <w:rStyle w:val="Hyperlink"/>
            <w:rFonts w:asciiTheme="minorHAnsi" w:hAnsiTheme="minorHAnsi"/>
            <w:sz w:val="16"/>
            <w:szCs w:val="16"/>
          </w:rPr>
          <w:t>COM/2015/0595</w:t>
        </w:r>
      </w:hyperlink>
    </w:p>
  </w:footnote>
  <w:footnote w:id="26">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w:t>
      </w:r>
      <w:r>
        <w:rPr>
          <w:rFonts w:asciiTheme="minorHAnsi" w:hAnsiTheme="minorHAnsi"/>
          <w:sz w:val="16"/>
          <w:szCs w:val="16"/>
        </w:rPr>
        <w:t xml:space="preserve">an Commission, Roadmap to a Resource Efficient Europe, </w:t>
      </w:r>
      <w:hyperlink r:id="rId23" w:history="1">
        <w:r>
          <w:rPr>
            <w:rFonts w:asciiTheme="minorHAnsi" w:hAnsiTheme="minorHAnsi"/>
            <w:color w:val="0000FF"/>
            <w:sz w:val="16"/>
            <w:szCs w:val="16"/>
            <w:u w:val="single"/>
          </w:rPr>
          <w:t>COM/2011/571</w:t>
        </w:r>
      </w:hyperlink>
      <w:r>
        <w:rPr>
          <w:rFonts w:asciiTheme="minorHAnsi" w:hAnsiTheme="minorHAnsi"/>
          <w:sz w:val="16"/>
          <w:szCs w:val="16"/>
        </w:rPr>
        <w:t xml:space="preserve">, which </w:t>
      </w:r>
      <w:r>
        <w:rPr>
          <w:rFonts w:asciiTheme="minorHAnsi" w:hAnsiTheme="minorHAnsi"/>
          <w:sz w:val="16"/>
          <w:szCs w:val="16"/>
          <w:lang w:val="en"/>
        </w:rPr>
        <w:t>outlines how we can transform Europe's economy into a sustainable one by 2050.</w:t>
      </w:r>
      <w:proofErr w:type="gramEnd"/>
    </w:p>
  </w:footnote>
  <w:footnote w:id="27">
    <w:p w:rsidR="00587940" w:rsidRDefault="00E43A41">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w:t>
      </w:r>
      <w:r>
        <w:rPr>
          <w:rFonts w:asciiTheme="minorHAnsi" w:hAnsiTheme="minorHAnsi"/>
          <w:sz w:val="16"/>
          <w:szCs w:val="16"/>
        </w:rPr>
        <w:t>ity Importance (SCIs) are designated pursuant to the Habitats Directive whereas Special Areas of Protection (SPAs) are designated pursuant to the Birds Directive; figures of coverage do not add up due to the fact that some SCIs and SPAs overlap. Special Ar</w:t>
      </w:r>
      <w:r>
        <w:rPr>
          <w:rFonts w:asciiTheme="minorHAnsi" w:hAnsiTheme="minorHAnsi"/>
          <w:sz w:val="16"/>
          <w:szCs w:val="16"/>
        </w:rPr>
        <w:t xml:space="preserve">eas of Conservation (SACs) </w:t>
      </w:r>
      <w:r>
        <w:rPr>
          <w:rFonts w:asciiTheme="minorHAnsi" w:hAnsiTheme="minorHAnsi"/>
          <w:sz w:val="16"/>
          <w:szCs w:val="16"/>
          <w:lang w:val="en"/>
        </w:rPr>
        <w:t>means a SCI designated by the Member States.</w:t>
      </w:r>
    </w:p>
  </w:footnote>
  <w:footnote w:id="28">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u w:color="FF0000"/>
        </w:rPr>
        <w:t>For each Member State, the Commission assesses whether the species and habitat types on Annexes I and II of the Habitats Directive are sufficiently represented by the sites designate</w:t>
      </w:r>
      <w:r>
        <w:rPr>
          <w:rFonts w:asciiTheme="minorHAnsi" w:hAnsiTheme="minorHAnsi"/>
          <w:sz w:val="16"/>
          <w:szCs w:val="16"/>
          <w:u w:color="FF0000"/>
        </w:rPr>
        <w:t xml:space="preserve">d to date. This is expressed as a percentage of species and habitats for which further areas need to be designated in order to complete the network in that country. </w:t>
      </w:r>
      <w:hyperlink r:id="rId24" w:history="1">
        <w:r>
          <w:rPr>
            <w:rStyle w:val="Hyperlink"/>
            <w:rFonts w:asciiTheme="minorHAnsi" w:hAnsiTheme="minorHAnsi"/>
            <w:sz w:val="16"/>
            <w:szCs w:val="16"/>
          </w:rPr>
          <w:t>The current data</w:t>
        </w:r>
      </w:hyperlink>
      <w:r>
        <w:rPr>
          <w:rFonts w:asciiTheme="minorHAnsi" w:hAnsiTheme="minorHAnsi"/>
          <w:sz w:val="16"/>
          <w:szCs w:val="16"/>
        </w:rPr>
        <w:t>,</w:t>
      </w:r>
      <w:r>
        <w:rPr>
          <w:rFonts w:asciiTheme="minorHAnsi" w:hAnsiTheme="minorHAnsi"/>
          <w:sz w:val="16"/>
          <w:szCs w:val="16"/>
          <w:u w:color="FF0000"/>
        </w:rPr>
        <w:t xml:space="preserve"> which were assessed in 2014-2015, reflect the situation up until December 2013</w:t>
      </w:r>
      <w:r>
        <w:rPr>
          <w:rFonts w:asciiTheme="minorHAnsi" w:hAnsiTheme="minorHAnsi"/>
          <w:sz w:val="16"/>
          <w:szCs w:val="16"/>
        </w:rPr>
        <w:t>.</w:t>
      </w:r>
    </w:p>
  </w:footnote>
  <w:footnote w:id="29">
    <w:p w:rsidR="00587940" w:rsidRDefault="00E43A41">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 xml:space="preserve">The percentages in Figure 5 refer to percentages of the total number of assessments (one assessment covering 1 species or 1 habitat in a given </w:t>
      </w:r>
      <w:r>
        <w:rPr>
          <w:sz w:val="16"/>
          <w:szCs w:val="16"/>
        </w:rPr>
        <w:t>biographical region with the Member State); if a habitat type or a species occurs in more than 1 Biogeographic region within a given Member State, there will be as many individual assessments as there are Biogeographic regions with an occurrence of that sp</w:t>
      </w:r>
      <w:r>
        <w:rPr>
          <w:sz w:val="16"/>
          <w:szCs w:val="16"/>
        </w:rPr>
        <w:t>ecies or habitat in this Member State.</w:t>
      </w:r>
    </w:p>
  </w:footnote>
  <w:footnote w:id="30">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31">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According to the Austrian Constitution nature protection falls within the competence of the provinces.</w:t>
      </w:r>
    </w:p>
  </w:footnote>
  <w:footnote w:id="32">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requires Member States to report</w:t>
      </w:r>
      <w:r>
        <w:rPr>
          <w:rFonts w:asciiTheme="minorHAnsi" w:hAnsiTheme="minorHAnsi"/>
          <w:sz w:val="16"/>
          <w:szCs w:val="16"/>
        </w:rPr>
        <w:t xml:space="preserve"> about the progress made with the implementation of the Birds Directive.</w:t>
      </w:r>
    </w:p>
  </w:footnote>
  <w:footnote w:id="33">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core of the ‘Article 17’ report is the assessment of conservation status of the habitats and species targeted by the Habitats Directive. </w:t>
      </w:r>
    </w:p>
  </w:footnote>
  <w:footnote w:id="34">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w:t>
      </w:r>
      <w:r>
        <w:rPr>
          <w:rFonts w:asciiTheme="minorHAnsi" w:hAnsiTheme="minorHAnsi"/>
          <w:sz w:val="16"/>
          <w:szCs w:val="16"/>
        </w:rPr>
        <w:t xml:space="preserve"> a standard methodology as being either ‘favourable’, ‘unfavourable-inadequate’ and ‘unfavourable-bad’, based on four parameters as defined in Article 1 of the Habitats Directive.</w:t>
      </w:r>
    </w:p>
  </w:footnote>
  <w:footnote w:id="35">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w:t>
      </w:r>
      <w:r>
        <w:rPr>
          <w:rFonts w:asciiTheme="minorHAnsi" w:hAnsiTheme="minorHAnsi"/>
          <w:sz w:val="16"/>
          <w:szCs w:val="16"/>
        </w:rPr>
        <w:t>ated by the fact that Bulgaria and Romania were not covered by the 2007 reporting cycle, that the ‘unknown’ assessments have strongly diminished particularly for species, and that some reported changes are not genuine as they result from improved data / mo</w:t>
      </w:r>
      <w:r>
        <w:rPr>
          <w:rFonts w:asciiTheme="minorHAnsi" w:hAnsiTheme="minorHAnsi"/>
          <w:sz w:val="16"/>
          <w:szCs w:val="16"/>
        </w:rPr>
        <w:t>nitoring methods.</w:t>
      </w:r>
    </w:p>
  </w:footnote>
  <w:footnote w:id="36">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species </w:t>
      </w:r>
      <w:r>
        <w:rPr>
          <w:sz w:val="16"/>
          <w:szCs w:val="16"/>
        </w:rPr>
        <w:t>(one assessment covering 1 species or 1 habitat in a given biographical region with the Member State)</w:t>
      </w:r>
      <w:r>
        <w:rPr>
          <w:rFonts w:asciiTheme="minorHAnsi" w:hAnsiTheme="minorHAnsi" w:cstheme="minorHAnsi"/>
          <w:iCs/>
          <w:sz w:val="16"/>
          <w:szCs w:val="16"/>
        </w:rPr>
        <w:t>, res</w:t>
      </w:r>
      <w:r>
        <w:rPr>
          <w:rFonts w:asciiTheme="minorHAnsi" w:hAnsiTheme="minorHAnsi" w:cstheme="minorHAnsi"/>
          <w:iCs/>
          <w:sz w:val="16"/>
          <w:szCs w:val="16"/>
        </w:rPr>
        <w:t>pectively.</w:t>
      </w:r>
      <w:r>
        <w:rPr>
          <w:rFonts w:asciiTheme="minorHAnsi" w:hAnsiTheme="minorHAnsi"/>
          <w:sz w:val="16"/>
          <w:szCs w:val="16"/>
        </w:rPr>
        <w:t xml:space="preserve"> The information is based on Article 17 of the Habitats Directive reporting - national summary of </w:t>
      </w:r>
      <w:hyperlink r:id="rId25" w:history="1">
        <w:r>
          <w:rPr>
            <w:rStyle w:val="Hyperlink"/>
            <w:rFonts w:asciiTheme="minorHAnsi" w:hAnsiTheme="minorHAnsi"/>
            <w:sz w:val="16"/>
            <w:szCs w:val="16"/>
          </w:rPr>
          <w:t>Austria</w:t>
        </w:r>
      </w:hyperlink>
    </w:p>
  </w:footnote>
  <w:footnote w:id="37">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w:t>
      </w:r>
      <w:r>
        <w:rPr>
          <w:rFonts w:asciiTheme="minorHAnsi" w:hAnsiTheme="minorHAnsi"/>
          <w:sz w:val="16"/>
          <w:szCs w:val="16"/>
        </w:rPr>
        <w:t xml:space="preserve">rting - national summary of </w:t>
      </w:r>
      <w:hyperlink r:id="rId26" w:history="1">
        <w:r>
          <w:rPr>
            <w:rStyle w:val="Hyperlink"/>
            <w:rFonts w:asciiTheme="minorHAnsi" w:hAnsiTheme="minorHAnsi"/>
            <w:sz w:val="16"/>
            <w:szCs w:val="16"/>
          </w:rPr>
          <w:t>Austria</w:t>
        </w:r>
      </w:hyperlink>
    </w:p>
  </w:footnote>
  <w:footnote w:id="38">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Style w:val="Emphasis"/>
          <w:rFonts w:asciiTheme="minorHAnsi" w:hAnsiTheme="minorHAnsi"/>
          <w:color w:val="auto"/>
          <w:sz w:val="16"/>
          <w:szCs w:val="16"/>
        </w:rPr>
        <w:t>Austria:  5</w:t>
      </w:r>
      <w:r>
        <w:rPr>
          <w:rStyle w:val="Emphasis"/>
          <w:rFonts w:asciiTheme="minorHAnsi" w:hAnsiTheme="minorHAnsi"/>
          <w:color w:val="auto"/>
          <w:sz w:val="16"/>
          <w:szCs w:val="16"/>
          <w:vertAlign w:val="superscript"/>
        </w:rPr>
        <w:t>th</w:t>
      </w:r>
      <w:r>
        <w:rPr>
          <w:rStyle w:val="Emphasis"/>
          <w:rFonts w:asciiTheme="minorHAnsi" w:hAnsiTheme="minorHAnsi"/>
          <w:color w:val="auto"/>
          <w:sz w:val="16"/>
          <w:szCs w:val="16"/>
        </w:rPr>
        <w:t xml:space="preserve"> National </w:t>
      </w:r>
      <w:hyperlink r:id="rId27" w:history="1">
        <w:r>
          <w:rPr>
            <w:rStyle w:val="Hyperlink"/>
            <w:rFonts w:asciiTheme="minorHAnsi" w:hAnsiTheme="minorHAnsi"/>
            <w:sz w:val="16"/>
            <w:szCs w:val="16"/>
          </w:rPr>
          <w:t xml:space="preserve">Report to the </w:t>
        </w:r>
        <w:r>
          <w:rPr>
            <w:rStyle w:val="Hyperlink"/>
            <w:rFonts w:asciiTheme="minorHAnsi" w:hAnsiTheme="minorHAnsi"/>
            <w:sz w:val="16"/>
            <w:szCs w:val="16"/>
          </w:rPr>
          <w:t>Convention on Biological Diversity</w:t>
        </w:r>
      </w:hyperlink>
    </w:p>
  </w:footnote>
  <w:footnote w:id="39">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FAO </w:t>
      </w:r>
      <w:hyperlink r:id="rId28" w:history="1">
        <w:r>
          <w:rPr>
            <w:rStyle w:val="Hyperlink"/>
            <w:rFonts w:asciiTheme="minorHAnsi" w:hAnsiTheme="minorHAnsi"/>
            <w:sz w:val="16"/>
            <w:szCs w:val="16"/>
          </w:rPr>
          <w:t>Forest harvesting and environment in Austria</w:t>
        </w:r>
      </w:hyperlink>
    </w:p>
  </w:footnote>
  <w:footnote w:id="40">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which huma</w:t>
      </w:r>
      <w:r>
        <w:rPr>
          <w:rFonts w:asciiTheme="minorHAnsi" w:hAnsiTheme="minorHAnsi"/>
          <w:sz w:val="16"/>
          <w:szCs w:val="16"/>
        </w:rPr>
        <w:t>n society depends.</w:t>
      </w:r>
    </w:p>
  </w:footnote>
  <w:footnote w:id="41">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Bundesministerium für Land- und Forstwirtschaft, Umwelt und Wasserwirtschaft, 2014. </w:t>
      </w:r>
      <w:hyperlink r:id="rId29" w:history="1">
        <w:r>
          <w:rPr>
            <w:rStyle w:val="Hyperlink"/>
            <w:rFonts w:asciiTheme="minorHAnsi" w:hAnsiTheme="minorHAnsi"/>
            <w:sz w:val="16"/>
            <w:szCs w:val="16"/>
            <w:lang w:val="de-DE"/>
          </w:rPr>
          <w:t xml:space="preserve">Biodiversitäts-Strategie Österreich </w:t>
        </w:r>
        <w:r>
          <w:rPr>
            <w:rStyle w:val="Hyperlink"/>
            <w:rFonts w:asciiTheme="minorHAnsi" w:hAnsiTheme="minorHAnsi"/>
            <w:sz w:val="16"/>
            <w:szCs w:val="16"/>
            <w:lang w:val="de-DE"/>
          </w:rPr>
          <w:t>2020+</w:t>
        </w:r>
      </w:hyperlink>
    </w:p>
  </w:footnote>
  <w:footnote w:id="42">
    <w:p w:rsidR="00587940" w:rsidRDefault="00E43A41">
      <w:pPr>
        <w:pStyle w:val="FootnoteText"/>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w:t>
      </w:r>
      <w:hyperlink r:id="rId30" w:history="1">
        <w:r>
          <w:rPr>
            <w:rStyle w:val="Hyperlink"/>
            <w:rFonts w:asciiTheme="minorHAnsi" w:hAnsiTheme="minorHAnsi"/>
            <w:sz w:val="16"/>
            <w:szCs w:val="16"/>
            <w:lang w:val="de-DE"/>
          </w:rPr>
          <w:t>Bundesministerium für Land- und Forstwirtschaft, Wasser und Umweltwirtschaft, 2013. Zustand und Bedeutung der b</w:t>
        </w:r>
        <w:r>
          <w:rPr>
            <w:rStyle w:val="Hyperlink"/>
            <w:rFonts w:asciiTheme="minorHAnsi" w:hAnsiTheme="minorHAnsi"/>
            <w:sz w:val="16"/>
            <w:szCs w:val="16"/>
            <w:lang w:val="de-DE"/>
          </w:rPr>
          <w:t>iologischen Vielfalt in Österreich</w:t>
        </w:r>
      </w:hyperlink>
      <w:r>
        <w:rPr>
          <w:rFonts w:asciiTheme="minorHAnsi" w:hAnsiTheme="minorHAnsi"/>
          <w:sz w:val="16"/>
          <w:szCs w:val="16"/>
          <w:lang w:val="de-DE"/>
        </w:rPr>
        <w:t>.</w:t>
      </w:r>
    </w:p>
  </w:footnote>
  <w:footnote w:id="43">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w:t>
      </w:r>
      <w:r>
        <w:rPr>
          <w:rStyle w:val="Emphasis"/>
          <w:rFonts w:asciiTheme="minorHAnsi" w:hAnsiTheme="minorHAnsi"/>
          <w:color w:val="auto"/>
          <w:sz w:val="16"/>
          <w:szCs w:val="16"/>
          <w:lang w:val="de-DE"/>
        </w:rPr>
        <w:t>Austria:  5</w:t>
      </w:r>
      <w:r>
        <w:rPr>
          <w:rStyle w:val="Emphasis"/>
          <w:rFonts w:asciiTheme="minorHAnsi" w:hAnsiTheme="minorHAnsi"/>
          <w:color w:val="auto"/>
          <w:sz w:val="16"/>
          <w:szCs w:val="16"/>
          <w:vertAlign w:val="superscript"/>
          <w:lang w:val="de-DE"/>
        </w:rPr>
        <w:t>th</w:t>
      </w:r>
      <w:r>
        <w:rPr>
          <w:rStyle w:val="Emphasis"/>
          <w:rFonts w:asciiTheme="minorHAnsi" w:hAnsiTheme="minorHAnsi"/>
          <w:color w:val="auto"/>
          <w:sz w:val="16"/>
          <w:szCs w:val="16"/>
          <w:lang w:val="de-DE"/>
        </w:rPr>
        <w:t xml:space="preserve"> National </w:t>
      </w:r>
      <w:hyperlink r:id="rId31" w:history="1">
        <w:r>
          <w:rPr>
            <w:rStyle w:val="Hyperlink"/>
            <w:rFonts w:asciiTheme="minorHAnsi" w:hAnsiTheme="minorHAnsi"/>
            <w:sz w:val="16"/>
            <w:szCs w:val="16"/>
            <w:lang w:val="de-DE"/>
          </w:rPr>
          <w:t xml:space="preserve">Report </w:t>
        </w:r>
        <w:proofErr w:type="spellStart"/>
        <w:r>
          <w:rPr>
            <w:rStyle w:val="Hyperlink"/>
            <w:rFonts w:asciiTheme="minorHAnsi" w:hAnsiTheme="minorHAnsi"/>
            <w:sz w:val="16"/>
            <w:szCs w:val="16"/>
            <w:lang w:val="de-DE"/>
          </w:rPr>
          <w:t>to</w:t>
        </w:r>
        <w:proofErr w:type="spellEnd"/>
        <w:r>
          <w:rPr>
            <w:rStyle w:val="Hyperlink"/>
            <w:rFonts w:asciiTheme="minorHAnsi" w:hAnsiTheme="minorHAnsi"/>
            <w:sz w:val="16"/>
            <w:szCs w:val="16"/>
            <w:lang w:val="de-DE"/>
          </w:rPr>
          <w:t xml:space="preserve"> </w:t>
        </w:r>
        <w:proofErr w:type="spellStart"/>
        <w:r>
          <w:rPr>
            <w:rStyle w:val="Hyperlink"/>
            <w:rFonts w:asciiTheme="minorHAnsi" w:hAnsiTheme="minorHAnsi"/>
            <w:sz w:val="16"/>
            <w:szCs w:val="16"/>
            <w:lang w:val="de-DE"/>
          </w:rPr>
          <w:t>the</w:t>
        </w:r>
        <w:proofErr w:type="spellEnd"/>
        <w:r>
          <w:rPr>
            <w:rStyle w:val="Hyperlink"/>
            <w:rFonts w:asciiTheme="minorHAnsi" w:hAnsiTheme="minorHAnsi"/>
            <w:sz w:val="16"/>
            <w:szCs w:val="16"/>
            <w:lang w:val="de-DE"/>
          </w:rPr>
          <w:t xml:space="preserve"> </w:t>
        </w:r>
        <w:proofErr w:type="spellStart"/>
        <w:r>
          <w:rPr>
            <w:rStyle w:val="Hyperlink"/>
            <w:rFonts w:asciiTheme="minorHAnsi" w:hAnsiTheme="minorHAnsi"/>
            <w:sz w:val="16"/>
            <w:szCs w:val="16"/>
            <w:lang w:val="de-DE"/>
          </w:rPr>
          <w:t>Convention</w:t>
        </w:r>
        <w:proofErr w:type="spellEnd"/>
        <w:r>
          <w:rPr>
            <w:rStyle w:val="Hyperlink"/>
            <w:rFonts w:asciiTheme="minorHAnsi" w:hAnsiTheme="minorHAnsi"/>
            <w:sz w:val="16"/>
            <w:szCs w:val="16"/>
            <w:lang w:val="de-DE"/>
          </w:rPr>
          <w:t xml:space="preserve"> on Biological </w:t>
        </w:r>
        <w:proofErr w:type="spellStart"/>
        <w:r>
          <w:rPr>
            <w:rStyle w:val="Hyperlink"/>
            <w:rFonts w:asciiTheme="minorHAnsi" w:hAnsiTheme="minorHAnsi"/>
            <w:sz w:val="16"/>
            <w:szCs w:val="16"/>
            <w:lang w:val="de-DE"/>
          </w:rPr>
          <w:t>Diversity</w:t>
        </w:r>
        <w:proofErr w:type="spellEnd"/>
      </w:hyperlink>
      <w:r>
        <w:rPr>
          <w:rFonts w:asciiTheme="minorHAnsi" w:hAnsiTheme="minorHAnsi"/>
          <w:sz w:val="16"/>
          <w:szCs w:val="16"/>
          <w:lang w:val="de-DE"/>
        </w:rPr>
        <w:t>:</w:t>
      </w:r>
    </w:p>
  </w:footnote>
  <w:footnote w:id="44">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Peterseil, 2014. Karte der </w:t>
      </w:r>
      <w:proofErr w:type="spellStart"/>
      <w:r>
        <w:rPr>
          <w:rFonts w:asciiTheme="minorHAnsi" w:hAnsiTheme="minorHAnsi"/>
          <w:sz w:val="16"/>
          <w:szCs w:val="16"/>
          <w:lang w:val="de-DE"/>
        </w:rPr>
        <w:t>Habitattypen</w:t>
      </w:r>
      <w:proofErr w:type="spellEnd"/>
      <w:r>
        <w:rPr>
          <w:rFonts w:asciiTheme="minorHAnsi" w:hAnsiTheme="minorHAnsi"/>
          <w:sz w:val="16"/>
          <w:szCs w:val="16"/>
          <w:lang w:val="de-DE"/>
        </w:rPr>
        <w:t xml:space="preserve"> in Österreich</w:t>
      </w:r>
    </w:p>
  </w:footnote>
  <w:footnote w:id="45">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Götzl, M. et al., 2011</w:t>
      </w:r>
      <w:r>
        <w:rPr>
          <w:rFonts w:asciiTheme="minorHAnsi" w:hAnsiTheme="minorHAnsi"/>
          <w:sz w:val="16"/>
          <w:szCs w:val="16"/>
          <w:lang w:val="de-DE"/>
        </w:rPr>
        <w:t>. Ökosystemleistungen und Landwirtschaft. Erstellung eines Inventars für Österreich.</w:t>
      </w:r>
    </w:p>
  </w:footnote>
  <w:footnote w:id="46">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Götzl, M. et al, 2015. Ökosystemleistungen des Waldes. Erstellung eines Inventars für Österreich</w:t>
      </w:r>
    </w:p>
  </w:footnote>
  <w:footnote w:id="47">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w:t>
      </w:r>
      <w:proofErr w:type="spellStart"/>
      <w:r>
        <w:rPr>
          <w:rFonts w:asciiTheme="minorHAnsi" w:hAnsiTheme="minorHAnsi"/>
          <w:sz w:val="16"/>
          <w:szCs w:val="16"/>
          <w:lang w:val="de-DE"/>
        </w:rPr>
        <w:t>Getzner</w:t>
      </w:r>
      <w:proofErr w:type="spellEnd"/>
      <w:r>
        <w:rPr>
          <w:rFonts w:asciiTheme="minorHAnsi" w:hAnsiTheme="minorHAnsi"/>
          <w:sz w:val="16"/>
          <w:szCs w:val="16"/>
          <w:lang w:val="de-DE"/>
        </w:rPr>
        <w:t xml:space="preserve"> et al., 2011.: Fließstrecken der Mur – Ermittlung der Ökosyste</w:t>
      </w:r>
      <w:r>
        <w:rPr>
          <w:rFonts w:asciiTheme="minorHAnsi" w:hAnsiTheme="minorHAnsi"/>
          <w:sz w:val="16"/>
          <w:szCs w:val="16"/>
          <w:lang w:val="de-DE"/>
        </w:rPr>
        <w:t>mleistungen – Endbericht.</w:t>
      </w:r>
    </w:p>
  </w:footnote>
  <w:footnote w:id="48">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Schwaiger, E. Berthold et al, 2015. Wirtschaftliche Bedeutung von Ökosystemleistungen. Monetäre Bewertung: Risiken und Potenziale. Umweltbundesamt Report</w:t>
      </w:r>
    </w:p>
  </w:footnote>
  <w:footnote w:id="49">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Style w:val="FootnoteReference"/>
          <w:rFonts w:asciiTheme="minorHAnsi" w:hAnsiTheme="minorHAnsi"/>
          <w:sz w:val="16"/>
          <w:szCs w:val="16"/>
          <w:lang w:val="de-DE"/>
        </w:rPr>
        <w:t xml:space="preserve"> </w:t>
      </w:r>
      <w:r>
        <w:rPr>
          <w:rFonts w:asciiTheme="minorHAnsi" w:hAnsiTheme="minorHAnsi"/>
          <w:sz w:val="16"/>
          <w:szCs w:val="16"/>
          <w:lang w:val="de-DE"/>
        </w:rPr>
        <w:t xml:space="preserve">Österreichische Bundesforste, 2016: Werte der Natur – Ermittlung, </w:t>
      </w:r>
      <w:r>
        <w:rPr>
          <w:rFonts w:asciiTheme="minorHAnsi" w:hAnsiTheme="minorHAnsi"/>
          <w:sz w:val="16"/>
          <w:szCs w:val="16"/>
          <w:lang w:val="de-DE"/>
        </w:rPr>
        <w:t xml:space="preserve">Bewertung, Ausblick. Fachjournal der </w:t>
      </w:r>
      <w:proofErr w:type="spellStart"/>
      <w:r>
        <w:rPr>
          <w:rFonts w:asciiTheme="minorHAnsi" w:hAnsiTheme="minorHAnsi"/>
          <w:sz w:val="16"/>
          <w:szCs w:val="16"/>
          <w:lang w:val="de-DE"/>
        </w:rPr>
        <w:t>NaturraummanagerInnen</w:t>
      </w:r>
      <w:proofErr w:type="spellEnd"/>
      <w:r>
        <w:rPr>
          <w:rFonts w:asciiTheme="minorHAnsi" w:hAnsiTheme="minorHAnsi"/>
          <w:sz w:val="16"/>
          <w:szCs w:val="16"/>
          <w:lang w:val="de-DE"/>
        </w:rPr>
        <w:t>, Natur. Raum .Management, Nr. 28.</w:t>
      </w:r>
    </w:p>
  </w:footnote>
  <w:footnote w:id="50">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European Union, Green Infrastructure — </w:t>
      </w:r>
      <w:proofErr w:type="spellStart"/>
      <w:r>
        <w:rPr>
          <w:rFonts w:asciiTheme="minorHAnsi" w:hAnsiTheme="minorHAnsi"/>
          <w:sz w:val="16"/>
          <w:szCs w:val="16"/>
          <w:lang w:val="de-DE"/>
        </w:rPr>
        <w:t>Enhancing</w:t>
      </w:r>
      <w:proofErr w:type="spellEnd"/>
      <w:r>
        <w:rPr>
          <w:rFonts w:asciiTheme="minorHAnsi" w:hAnsiTheme="minorHAnsi"/>
          <w:sz w:val="16"/>
          <w:szCs w:val="16"/>
          <w:lang w:val="de-DE"/>
        </w:rPr>
        <w:t xml:space="preserve"> </w:t>
      </w:r>
      <w:proofErr w:type="spellStart"/>
      <w:r>
        <w:rPr>
          <w:rFonts w:asciiTheme="minorHAnsi" w:hAnsiTheme="minorHAnsi"/>
          <w:sz w:val="16"/>
          <w:szCs w:val="16"/>
          <w:lang w:val="de-DE"/>
        </w:rPr>
        <w:t>Europe’s</w:t>
      </w:r>
      <w:proofErr w:type="spellEnd"/>
      <w:r>
        <w:rPr>
          <w:rFonts w:asciiTheme="minorHAnsi" w:hAnsiTheme="minorHAnsi"/>
          <w:sz w:val="16"/>
          <w:szCs w:val="16"/>
          <w:lang w:val="de-DE"/>
        </w:rPr>
        <w:t xml:space="preserve"> Natural Capital, </w:t>
      </w:r>
      <w:hyperlink r:id="rId32" w:history="1">
        <w:r>
          <w:rPr>
            <w:rStyle w:val="Hyperlink"/>
            <w:rFonts w:asciiTheme="minorHAnsi" w:hAnsiTheme="minorHAnsi"/>
            <w:sz w:val="16"/>
            <w:szCs w:val="16"/>
            <w:lang w:val="de-DE"/>
          </w:rPr>
          <w:t>C</w:t>
        </w:r>
        <w:r>
          <w:rPr>
            <w:rStyle w:val="Hyperlink"/>
            <w:rFonts w:asciiTheme="minorHAnsi" w:hAnsiTheme="minorHAnsi"/>
            <w:sz w:val="16"/>
            <w:szCs w:val="16"/>
            <w:lang w:val="de-DE"/>
          </w:rPr>
          <w:t>OM/2013/0249</w:t>
        </w:r>
      </w:hyperlink>
    </w:p>
  </w:footnote>
  <w:footnote w:id="51">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de-DE"/>
        </w:rPr>
        <w:t xml:space="preserve"> Bundesministerium für Land- und Forstwirtschaft, Umwelt und Wasserwirtschaft, 2014. </w:t>
      </w:r>
      <w:hyperlink r:id="rId33" w:history="1">
        <w:proofErr w:type="spellStart"/>
        <w:r>
          <w:rPr>
            <w:rStyle w:val="Hyperlink"/>
            <w:rFonts w:asciiTheme="minorHAnsi" w:hAnsiTheme="minorHAnsi"/>
            <w:sz w:val="16"/>
            <w:szCs w:val="16"/>
          </w:rPr>
          <w:t>Biodiversitäts-Strategie</w:t>
        </w:r>
        <w:proofErr w:type="spellEnd"/>
        <w:r>
          <w:rPr>
            <w:rStyle w:val="Hyperlink"/>
            <w:rFonts w:asciiTheme="minorHAnsi" w:hAnsiTheme="minorHAnsi"/>
            <w:sz w:val="16"/>
            <w:szCs w:val="16"/>
          </w:rPr>
          <w:t xml:space="preserve"> </w:t>
        </w:r>
        <w:proofErr w:type="spellStart"/>
        <w:r>
          <w:rPr>
            <w:rStyle w:val="Hyperlink"/>
            <w:rFonts w:asciiTheme="minorHAnsi" w:hAnsiTheme="minorHAnsi"/>
            <w:sz w:val="16"/>
            <w:szCs w:val="16"/>
          </w:rPr>
          <w:t>Österreich</w:t>
        </w:r>
        <w:proofErr w:type="spellEnd"/>
        <w:r>
          <w:rPr>
            <w:rStyle w:val="Hyperlink"/>
            <w:rFonts w:asciiTheme="minorHAnsi" w:hAnsiTheme="minorHAnsi"/>
            <w:sz w:val="16"/>
            <w:szCs w:val="16"/>
          </w:rPr>
          <w:t xml:space="preserve"> 2020+</w:t>
        </w:r>
      </w:hyperlink>
    </w:p>
  </w:footnote>
  <w:footnote w:id="52">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34" w:history="1">
        <w:r>
          <w:rPr>
            <w:rStyle w:val="Hyperlink"/>
            <w:rFonts w:asciiTheme="minorHAnsi" w:hAnsiTheme="minorHAnsi"/>
            <w:sz w:val="16"/>
            <w:szCs w:val="16"/>
          </w:rPr>
          <w:t>5th National Report to the CBD</w:t>
        </w:r>
      </w:hyperlink>
    </w:p>
  </w:footnote>
  <w:footnote w:id="53">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The </w:t>
      </w:r>
      <w:hyperlink r:id="rId35" w:history="1">
        <w:r>
          <w:rPr>
            <w:rStyle w:val="Hyperlink"/>
            <w:rFonts w:asciiTheme="minorHAnsi" w:hAnsiTheme="minorHAnsi"/>
            <w:sz w:val="16"/>
            <w:szCs w:val="16"/>
          </w:rPr>
          <w:t>European Green Belt</w:t>
        </w:r>
      </w:hyperlink>
      <w:r>
        <w:rPr>
          <w:rFonts w:asciiTheme="minorHAnsi" w:hAnsiTheme="minorHAnsi"/>
          <w:sz w:val="16"/>
          <w:szCs w:val="16"/>
        </w:rPr>
        <w:t xml:space="preserve"> is a cross-border initiative to</w:t>
      </w:r>
      <w:r>
        <w:rPr>
          <w:rFonts w:asciiTheme="minorHAnsi" w:hAnsiTheme="minorHAnsi"/>
          <w:sz w:val="16"/>
          <w:szCs w:val="16"/>
        </w:rPr>
        <w:t xml:space="preserve"> protect, restore and connect high-value natural and cultural landscapes along the line of the former Iron Curtain in Europe.</w:t>
      </w:r>
    </w:p>
  </w:footnote>
  <w:footnote w:id="54">
    <w:p w:rsidR="00587940" w:rsidRDefault="00E43A41">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Environment Agency Austria,</w:t>
      </w:r>
      <w:hyperlink r:id="rId36" w:history="1">
        <w:r>
          <w:rPr>
            <w:rStyle w:val="Hyperlink"/>
            <w:rFonts w:asciiTheme="minorHAnsi" w:hAnsiTheme="minorHAnsi"/>
            <w:sz w:val="16"/>
            <w:szCs w:val="16"/>
          </w:rPr>
          <w:t xml:space="preserve"> </w:t>
        </w:r>
        <w:proofErr w:type="spellStart"/>
        <w:r>
          <w:rPr>
            <w:rStyle w:val="Hyperlink"/>
            <w:rFonts w:asciiTheme="minorHAnsi" w:hAnsiTheme="minorHAnsi"/>
            <w:sz w:val="16"/>
            <w:szCs w:val="16"/>
          </w:rPr>
          <w:t>Flächeninanspruchnahme</w:t>
        </w:r>
        <w:proofErr w:type="spellEnd"/>
      </w:hyperlink>
      <w:r>
        <w:rPr>
          <w:rFonts w:asciiTheme="minorHAnsi" w:hAnsiTheme="minorHAnsi"/>
          <w:sz w:val="16"/>
          <w:szCs w:val="16"/>
        </w:rPr>
        <w:t xml:space="preserve"> </w:t>
      </w:r>
    </w:p>
  </w:footnote>
  <w:footnote w:id="55">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37"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u w:val="none"/>
        </w:rPr>
        <w:t xml:space="preserve">; </w:t>
      </w:r>
      <w:r>
        <w:rPr>
          <w:rFonts w:asciiTheme="minorHAnsi" w:hAnsiTheme="minorHAnsi"/>
          <w:sz w:val="16"/>
          <w:szCs w:val="16"/>
        </w:rPr>
        <w:t>mean annual land take 2006-12 as a % of 2006 artifi</w:t>
      </w:r>
      <w:r>
        <w:rPr>
          <w:rFonts w:asciiTheme="minorHAnsi" w:hAnsiTheme="minorHAnsi"/>
          <w:sz w:val="16"/>
          <w:szCs w:val="16"/>
        </w:rPr>
        <w:t>cial land.</w:t>
      </w:r>
    </w:p>
  </w:footnote>
  <w:footnote w:id="56">
    <w:p w:rsidR="00587940" w:rsidRDefault="00E43A41">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w:t>
      </w:r>
      <w:hyperlink r:id="rId38" w:history="1">
        <w:r>
          <w:rPr>
            <w:rStyle w:val="Hyperlink"/>
            <w:rFonts w:asciiTheme="minorHAnsi" w:hAnsiTheme="minorHAnsi"/>
            <w:sz w:val="16"/>
            <w:szCs w:val="16"/>
          </w:rPr>
          <w:t xml:space="preserve"> Soil water erosion rate</w:t>
        </w:r>
      </w:hyperlink>
      <w:r>
        <w:rPr>
          <w:rFonts w:asciiTheme="minorHAnsi" w:hAnsiTheme="minorHAnsi"/>
          <w:sz w:val="16"/>
          <w:szCs w:val="16"/>
        </w:rPr>
        <w:t>, Figure 2, accessed November 2016</w:t>
      </w:r>
    </w:p>
  </w:footnote>
  <w:footnote w:id="57">
    <w:p w:rsidR="00587940" w:rsidRDefault="00E43A41">
      <w:pPr>
        <w:pStyle w:val="FootnoteText"/>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w:t>
      </w:r>
      <w:proofErr w:type="spellStart"/>
      <w:r>
        <w:rPr>
          <w:rFonts w:asciiTheme="minorHAnsi" w:hAnsiTheme="minorHAnsi"/>
          <w:sz w:val="16"/>
          <w:szCs w:val="16"/>
          <w:lang w:val="de-DE"/>
        </w:rPr>
        <w:t>wpa</w:t>
      </w:r>
      <w:proofErr w:type="spellEnd"/>
      <w:r>
        <w:rPr>
          <w:rFonts w:asciiTheme="minorHAnsi" w:hAnsiTheme="minorHAnsi"/>
          <w:sz w:val="16"/>
          <w:szCs w:val="16"/>
          <w:lang w:val="de-DE"/>
        </w:rPr>
        <w:t xml:space="preserve">, 2009: Abschätzung des Bodenabtrags in Österreich und Integration der Daten in die INVEKOS-Datenbank. Beschreibung der Berechnungsmethode und Ergebnisse für die Jahre 2007 und 2008. </w:t>
      </w:r>
      <w:proofErr w:type="spellStart"/>
      <w:r>
        <w:rPr>
          <w:rFonts w:asciiTheme="minorHAnsi" w:hAnsiTheme="minorHAnsi"/>
          <w:sz w:val="16"/>
          <w:szCs w:val="16"/>
          <w:lang w:val="de-DE"/>
        </w:rPr>
        <w:t>wpa</w:t>
      </w:r>
      <w:proofErr w:type="spellEnd"/>
      <w:r>
        <w:rPr>
          <w:rFonts w:asciiTheme="minorHAnsi" w:hAnsiTheme="minorHAnsi"/>
          <w:sz w:val="16"/>
          <w:szCs w:val="16"/>
          <w:lang w:val="de-DE"/>
        </w:rPr>
        <w:t xml:space="preserve"> Beratende Ingenieure GmbH, Wien; </w:t>
      </w:r>
      <w:proofErr w:type="spellStart"/>
      <w:r>
        <w:rPr>
          <w:rFonts w:asciiTheme="minorHAnsi" w:hAnsiTheme="minorHAnsi"/>
          <w:sz w:val="16"/>
          <w:szCs w:val="16"/>
          <w:lang w:val="de-DE"/>
        </w:rPr>
        <w:t>and</w:t>
      </w:r>
      <w:proofErr w:type="spellEnd"/>
      <w:r>
        <w:rPr>
          <w:rFonts w:asciiTheme="minorHAnsi" w:hAnsiTheme="minorHAnsi"/>
          <w:sz w:val="16"/>
          <w:szCs w:val="16"/>
          <w:lang w:val="de-DE"/>
        </w:rPr>
        <w:t xml:space="preserve">: </w:t>
      </w:r>
      <w:proofErr w:type="spellStart"/>
      <w:r>
        <w:rPr>
          <w:rFonts w:asciiTheme="minorHAnsi" w:hAnsiTheme="minorHAnsi"/>
          <w:sz w:val="16"/>
          <w:szCs w:val="16"/>
          <w:lang w:val="de-DE"/>
        </w:rPr>
        <w:t>wpa</w:t>
      </w:r>
      <w:proofErr w:type="spellEnd"/>
      <w:r>
        <w:rPr>
          <w:rFonts w:asciiTheme="minorHAnsi" w:hAnsiTheme="minorHAnsi"/>
          <w:sz w:val="16"/>
          <w:szCs w:val="16"/>
          <w:lang w:val="de-DE"/>
        </w:rPr>
        <w:t xml:space="preserve">, 2010: Abschätzung des </w:t>
      </w:r>
      <w:r>
        <w:rPr>
          <w:rFonts w:asciiTheme="minorHAnsi" w:hAnsiTheme="minorHAnsi"/>
          <w:sz w:val="16"/>
          <w:szCs w:val="16"/>
          <w:lang w:val="de-DE"/>
        </w:rPr>
        <w:t xml:space="preserve">Bodenabtrags in Österreich. Ergänzende Berechnungen für das Jahr 2009. </w:t>
      </w:r>
      <w:proofErr w:type="spellStart"/>
      <w:r>
        <w:rPr>
          <w:rFonts w:asciiTheme="minorHAnsi" w:hAnsiTheme="minorHAnsi"/>
          <w:sz w:val="16"/>
          <w:szCs w:val="16"/>
          <w:lang w:val="de-DE"/>
        </w:rPr>
        <w:t>wpa</w:t>
      </w:r>
      <w:proofErr w:type="spellEnd"/>
      <w:r>
        <w:rPr>
          <w:rFonts w:asciiTheme="minorHAnsi" w:hAnsiTheme="minorHAnsi"/>
          <w:sz w:val="16"/>
          <w:szCs w:val="16"/>
          <w:lang w:val="de-DE"/>
        </w:rPr>
        <w:t xml:space="preserve"> Beratende Ingenieure GmbH, Wien</w:t>
      </w:r>
    </w:p>
  </w:footnote>
  <w:footnote w:id="58">
    <w:p w:rsidR="00587940" w:rsidRDefault="00E43A41">
      <w:pPr>
        <w:pStyle w:val="FootnoteText"/>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AGES, 2011: </w:t>
      </w:r>
      <w:hyperlink r:id="rId39" w:history="1">
        <w:r>
          <w:rPr>
            <w:rStyle w:val="Hyperlink"/>
            <w:rFonts w:asciiTheme="minorHAnsi" w:hAnsiTheme="minorHAnsi"/>
            <w:sz w:val="16"/>
            <w:szCs w:val="16"/>
            <w:lang w:val="de-DE"/>
          </w:rPr>
          <w:t>Bode</w:t>
        </w:r>
        <w:r>
          <w:rPr>
            <w:rStyle w:val="Hyperlink"/>
            <w:rFonts w:asciiTheme="minorHAnsi" w:hAnsiTheme="minorHAnsi"/>
            <w:sz w:val="16"/>
            <w:szCs w:val="16"/>
            <w:lang w:val="de-DE"/>
          </w:rPr>
          <w:t>nschutz durch umweltgerechte Landwirtschaft</w:t>
        </w:r>
      </w:hyperlink>
      <w:r>
        <w:rPr>
          <w:rFonts w:asciiTheme="minorHAnsi" w:hAnsiTheme="minorHAnsi"/>
          <w:sz w:val="16"/>
          <w:szCs w:val="16"/>
          <w:lang w:val="de-DE"/>
        </w:rPr>
        <w:t>, p. 9</w:t>
      </w:r>
    </w:p>
  </w:footnote>
  <w:footnote w:id="59">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w:t>
      </w:r>
      <w:proofErr w:type="gramEnd"/>
      <w:r>
        <w:rPr>
          <w:rFonts w:asciiTheme="minorHAnsi" w:hAnsiTheme="minorHAnsi"/>
          <w:sz w:val="16"/>
          <w:szCs w:val="16"/>
        </w:rPr>
        <w:t xml:space="preserve"> Land cover 2012 and changes country analysis [publication forthcoming]</w:t>
      </w:r>
    </w:p>
  </w:footnote>
  <w:footnote w:id="60">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40" w:history="1">
        <w:r>
          <w:rPr>
            <w:rStyle w:val="Hyperlink"/>
            <w:rFonts w:asciiTheme="minorHAnsi" w:hAnsiTheme="minorHAnsi"/>
            <w:sz w:val="16"/>
            <w:szCs w:val="16"/>
          </w:rPr>
          <w:t>A</w:t>
        </w:r>
        <w:r>
          <w:rPr>
            <w:rStyle w:val="Hyperlink"/>
            <w:rFonts w:asciiTheme="minorHAnsi" w:hAnsiTheme="minorHAnsi"/>
            <w:sz w:val="16"/>
            <w:szCs w:val="16"/>
          </w:rPr>
          <w:t>ir Quality Standards</w:t>
        </w:r>
      </w:hyperlink>
    </w:p>
  </w:footnote>
  <w:footnote w:id="61">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41"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42" w:history="1">
        <w:r>
          <w:rPr>
            <w:rStyle w:val="Hyperlink"/>
            <w:rFonts w:asciiTheme="minorHAnsi" w:hAnsiTheme="minorHAnsi"/>
            <w:sz w:val="16"/>
            <w:szCs w:val="16"/>
          </w:rPr>
          <w:t>Air pollutant emissions data viewer (NEC Dire</w:t>
        </w:r>
        <w:r>
          <w:rPr>
            <w:rStyle w:val="Hyperlink"/>
            <w:rFonts w:asciiTheme="minorHAnsi" w:hAnsiTheme="minorHAnsi"/>
            <w:sz w:val="16"/>
            <w:szCs w:val="16"/>
          </w:rPr>
          <w:t>ctive)</w:t>
        </w:r>
      </w:hyperlink>
    </w:p>
  </w:footnote>
  <w:footnote w:id="62">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43"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44"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w:t>
      </w:r>
      <w:r>
        <w:rPr>
          <w:rFonts w:asciiTheme="minorHAnsi" w:hAnsiTheme="minorHAnsi"/>
          <w:sz w:val="16"/>
          <w:szCs w:val="16"/>
        </w:rPr>
        <w:t>/EC.</w:t>
      </w:r>
    </w:p>
  </w:footnote>
  <w:footnote w:id="63">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 is a mixture of aerosol particles (solid and liquid) covering a wide range of sizes and chemical compositions. PM10 (PM2.5) refers to particles with a diameter of 10 (2.5) micrometres or less. PM is emitted from many human so</w:t>
      </w:r>
      <w:r>
        <w:rPr>
          <w:rFonts w:asciiTheme="minorHAnsi" w:hAnsiTheme="minorHAnsi"/>
          <w:sz w:val="16"/>
          <w:szCs w:val="16"/>
        </w:rPr>
        <w:t>urces, including both combustion and non-combustion sources.</w:t>
      </w:r>
    </w:p>
  </w:footnote>
  <w:footnote w:id="64">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photochemical action on pollution and it is also a greenhouse gas.</w:t>
      </w:r>
    </w:p>
  </w:footnote>
  <w:footnote w:id="65">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NOx</w:t>
      </w:r>
      <w:proofErr w:type="spellEnd"/>
      <w:r>
        <w:rPr>
          <w:rFonts w:asciiTheme="minorHAnsi" w:hAnsiTheme="minorHAnsi"/>
          <w:sz w:val="16"/>
          <w:szCs w:val="16"/>
        </w:rPr>
        <w:t xml:space="preserve"> is emitted during fuel combustion e.g. from industrial facilities and the road transport </w:t>
      </w:r>
      <w:r>
        <w:rPr>
          <w:rFonts w:asciiTheme="minorHAnsi" w:hAnsiTheme="minorHAnsi"/>
          <w:sz w:val="16"/>
          <w:szCs w:val="16"/>
        </w:rPr>
        <w:t xml:space="preserve">sector. </w:t>
      </w:r>
      <w:proofErr w:type="spellStart"/>
      <w:r>
        <w:rPr>
          <w:rFonts w:asciiTheme="minorHAnsi" w:hAnsiTheme="minorHAnsi"/>
          <w:sz w:val="16"/>
          <w:szCs w:val="16"/>
        </w:rPr>
        <w:t>NOx</w:t>
      </w:r>
      <w:proofErr w:type="spellEnd"/>
      <w:r>
        <w:rPr>
          <w:rFonts w:asciiTheme="minorHAnsi" w:hAnsiTheme="minorHAnsi"/>
          <w:sz w:val="16"/>
          <w:szCs w:val="16"/>
        </w:rPr>
        <w:t xml:space="preserve"> is a group of gases comprising nitrogen monoxide (NO) and nitrogen dioxide (NO2).</w:t>
      </w:r>
    </w:p>
  </w:footnote>
  <w:footnote w:id="66">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European Environment Agency, 2016.</w:t>
      </w:r>
      <w:proofErr w:type="gramEnd"/>
      <w:r>
        <w:rPr>
          <w:rFonts w:asciiTheme="minorHAnsi" w:hAnsiTheme="minorHAnsi" w:cstheme="minorHAnsi"/>
          <w:sz w:val="16"/>
          <w:szCs w:val="16"/>
        </w:rPr>
        <w:t xml:space="preserve"> </w:t>
      </w:r>
      <w:hyperlink r:id="rId45"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w:t>
      </w:r>
      <w:proofErr w:type="gramEnd"/>
      <w:r>
        <w:rPr>
          <w:rFonts w:asciiTheme="minorHAnsi" w:hAnsiTheme="minorHAnsi" w:cstheme="minorHAnsi"/>
          <w:sz w:val="16"/>
          <w:szCs w:val="16"/>
        </w:rPr>
        <w:t xml:space="preserve"> (Table </w:t>
      </w:r>
      <w:proofErr w:type="gramStart"/>
      <w:r>
        <w:rPr>
          <w:rFonts w:asciiTheme="minorHAnsi" w:hAnsiTheme="minorHAnsi" w:cstheme="minorHAnsi"/>
          <w:sz w:val="16"/>
          <w:szCs w:val="16"/>
        </w:rPr>
        <w:t>10.2,</w:t>
      </w:r>
      <w:proofErr w:type="gramEnd"/>
      <w:r>
        <w:rPr>
          <w:rFonts w:asciiTheme="minorHAnsi" w:hAnsiTheme="minorHAnsi" w:cstheme="minorHAnsi"/>
          <w:sz w:val="16"/>
          <w:szCs w:val="16"/>
        </w:rPr>
        <w:t xml:space="preserve"> please see details in this report as regards the underpinning   methodology).</w:t>
      </w:r>
    </w:p>
  </w:footnote>
  <w:footnote w:id="67">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Based on European Environment Agency, 2016</w:t>
      </w:r>
      <w:r>
        <w:rPr>
          <w:rFonts w:asciiTheme="minorHAnsi" w:hAnsiTheme="minorHAnsi"/>
          <w:sz w:val="16"/>
          <w:szCs w:val="16"/>
          <w:lang w:eastAsia="en-GB"/>
        </w:rPr>
        <w:t xml:space="preserve"> </w:t>
      </w:r>
      <w:hyperlink r:id="rId46" w:history="1">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w:t>
      </w:r>
      <w:proofErr w:type="gramEnd"/>
      <w:r>
        <w:rPr>
          <w:rFonts w:asciiTheme="minorHAnsi" w:hAnsiTheme="minorHAnsi" w:cstheme="minorHAnsi"/>
          <w:sz w:val="16"/>
          <w:szCs w:val="16"/>
        </w:rPr>
        <w:t xml:space="preserve"> (Figures </w:t>
      </w:r>
      <w:r>
        <w:rPr>
          <w:rFonts w:asciiTheme="minorHAnsi" w:hAnsiTheme="minorHAnsi" w:cstheme="minorHAnsi"/>
          <w:sz w:val="16"/>
          <w:szCs w:val="16"/>
        </w:rPr>
        <w:t>4.1, 5.1 and 6.1)</w:t>
      </w:r>
    </w:p>
  </w:footnote>
  <w:footnote w:id="68">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47" w:history="1">
        <w:r>
          <w:rPr>
            <w:rStyle w:val="Hyperlink"/>
            <w:rFonts w:asciiTheme="minorHAnsi" w:hAnsiTheme="minorHAnsi"/>
            <w:sz w:val="16"/>
            <w:szCs w:val="16"/>
          </w:rPr>
          <w:t>The EEA/</w:t>
        </w:r>
        <w:proofErr w:type="spellStart"/>
        <w:r>
          <w:rPr>
            <w:rStyle w:val="Hyperlink"/>
            <w:rFonts w:asciiTheme="minorHAnsi" w:hAnsiTheme="minorHAnsi"/>
            <w:sz w:val="16"/>
            <w:szCs w:val="16"/>
          </w:rPr>
          <w:t>Eionet</w:t>
        </w:r>
        <w:proofErr w:type="spellEnd"/>
        <w:r>
          <w:rPr>
            <w:rStyle w:val="Hyperlink"/>
            <w:rFonts w:asciiTheme="minorHAnsi" w:hAnsiTheme="minorHAnsi"/>
            <w:sz w:val="16"/>
            <w:szCs w:val="16"/>
          </w:rPr>
          <w:t xml:space="preserve"> Air Quality Portal</w:t>
        </w:r>
      </w:hyperlink>
      <w:r>
        <w:rPr>
          <w:rFonts w:asciiTheme="minorHAnsi" w:hAnsiTheme="minorHAnsi"/>
          <w:sz w:val="16"/>
          <w:szCs w:val="16"/>
        </w:rPr>
        <w:t xml:space="preserve"> and the related Central Data Repository</w:t>
      </w:r>
    </w:p>
  </w:footnote>
  <w:footnote w:id="69">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48"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70">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Under the provisions of the revised National Emission Ceilings Directive Member States now may apply for emission inventory adjustments. Pending evaluati</w:t>
      </w:r>
      <w:r>
        <w:rPr>
          <w:rFonts w:asciiTheme="minorHAnsi" w:hAnsiTheme="minorHAnsi"/>
          <w:sz w:val="16"/>
          <w:szCs w:val="16"/>
        </w:rPr>
        <w:t>on of any adjustment application, Member States should keep emissions under close control with a view to further reductions.</w:t>
      </w:r>
    </w:p>
  </w:footnote>
  <w:footnote w:id="71">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w:t>
      </w:r>
      <w:r>
        <w:rPr>
          <w:rFonts w:asciiTheme="minorHAnsi" w:hAnsiTheme="minorHAnsi"/>
          <w:sz w:val="16"/>
          <w:szCs w:val="16"/>
        </w:rPr>
        <w:t>s</w:t>
      </w:r>
      <w:proofErr w:type="spellEnd"/>
      <w:r>
        <w:rPr>
          <w:rFonts w:asciiTheme="minorHAnsi" w:hAnsiTheme="minorHAnsi"/>
          <w:sz w:val="16"/>
          <w:szCs w:val="16"/>
        </w:rPr>
        <w:t xml:space="preserve">), </w:t>
      </w:r>
      <w:hyperlink r:id="rId49"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xml:space="preserve">, Copenhagen, Denmark </w:t>
      </w:r>
    </w:p>
  </w:footnote>
  <w:footnote w:id="72">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w:t>
      </w:r>
      <w:r>
        <w:rPr>
          <w:rFonts w:asciiTheme="minorHAnsi" w:hAnsiTheme="minorHAnsi"/>
          <w:sz w:val="16"/>
          <w:szCs w:val="16"/>
        </w:rPr>
        <w:t xml:space="preserve">irective requires Member States to prepare and publish, every 5 years, noise maps and noise management action plans for agglomerations with more than 100,000 inhabitants, and for major roads, railways and airports. </w:t>
      </w:r>
    </w:p>
  </w:footnote>
  <w:footnote w:id="73">
    <w:p w:rsidR="00587940" w:rsidRDefault="00E43A41">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50"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51" w:history="1">
        <w:r>
          <w:rPr>
            <w:rStyle w:val="Hyperlink"/>
            <w:rFonts w:asciiTheme="minorHAnsi" w:hAnsiTheme="minorHAnsi"/>
            <w:sz w:val="16"/>
            <w:szCs w:val="16"/>
          </w:rPr>
          <w:t xml:space="preserve">Urban Waste Water Treatment Directive </w:t>
        </w:r>
        <w:r>
          <w:rPr>
            <w:rStyle w:val="Hyperlink"/>
            <w:rFonts w:asciiTheme="minorHAnsi" w:hAnsiTheme="minorHAnsi"/>
            <w:sz w:val="16"/>
            <w:szCs w:val="16"/>
          </w:rPr>
          <w:t>(91/271/EEC)</w:t>
        </w:r>
      </w:hyperlink>
      <w:r>
        <w:rPr>
          <w:rFonts w:asciiTheme="minorHAnsi" w:hAnsiTheme="minorHAnsi"/>
          <w:sz w:val="16"/>
          <w:szCs w:val="16"/>
        </w:rPr>
        <w:t xml:space="preserve"> concerning discharges of municipal and some industrial waste waters; the </w:t>
      </w:r>
      <w:hyperlink r:id="rId52"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53"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54"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55" w:history="1">
        <w:r>
          <w:rPr>
            <w:rStyle w:val="Hyperlink"/>
            <w:rFonts w:asciiTheme="minorHAnsi" w:hAnsiTheme="minorHAnsi"/>
            <w:sz w:val="16"/>
            <w:szCs w:val="16"/>
          </w:rPr>
          <w:t>Floods Directive (2007/60/EC)</w:t>
        </w:r>
      </w:hyperlink>
    </w:p>
  </w:footnote>
  <w:footnote w:id="74">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referring to the quality of t</w:t>
      </w:r>
      <w:r>
        <w:rPr>
          <w:rFonts w:asciiTheme="minorHAnsi" w:hAnsiTheme="minorHAnsi"/>
          <w:sz w:val="16"/>
          <w:szCs w:val="16"/>
        </w:rPr>
        <w:t>he biological community, the hydrological characteristics and the chemical characteristics.</w:t>
      </w:r>
    </w:p>
  </w:footnote>
  <w:footnote w:id="75">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dredging, flood protection, water abstraction and inter-basin </w:t>
      </w:r>
      <w:r>
        <w:rPr>
          <w:rFonts w:asciiTheme="minorHAnsi" w:hAnsiTheme="minorHAnsi"/>
          <w:sz w:val="16"/>
          <w:szCs w:val="16"/>
        </w:rPr>
        <w:t>water transfer, building of dams to create reservoirs and the digging of new canals for navigation purposes.</w:t>
      </w:r>
    </w:p>
  </w:footnote>
  <w:footnote w:id="76">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 and a requirement to m</w:t>
      </w:r>
      <w:r>
        <w:rPr>
          <w:rFonts w:asciiTheme="minorHAnsi" w:hAnsiTheme="minorHAnsi"/>
          <w:sz w:val="16"/>
          <w:szCs w:val="16"/>
        </w:rPr>
        <w:t>onitor groundwater bodies.</w:t>
      </w:r>
    </w:p>
  </w:footnote>
  <w:footnote w:id="77">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Water Framework Directive referring to compliance with all the quality standards established for chemical substances at European level.</w:t>
      </w:r>
    </w:p>
  </w:footnote>
  <w:footnote w:id="78">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According to the AT authorities the quality has im</w:t>
      </w:r>
      <w:r>
        <w:rPr>
          <w:rFonts w:asciiTheme="minorHAnsi" w:hAnsiTheme="minorHAnsi"/>
          <w:sz w:val="16"/>
          <w:szCs w:val="16"/>
        </w:rPr>
        <w:t>proved.</w:t>
      </w:r>
    </w:p>
  </w:footnote>
  <w:footnote w:id="79">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More information on the implementation status and more specific recommendations can be found at European Commission, </w:t>
      </w:r>
      <w:hyperlink r:id="rId56" w:history="1">
        <w:r>
          <w:rPr>
            <w:rStyle w:val="Hyperlink"/>
            <w:rFonts w:asciiTheme="minorHAnsi" w:hAnsiTheme="minorHAnsi"/>
            <w:sz w:val="16"/>
            <w:szCs w:val="16"/>
          </w:rPr>
          <w:t>Water Framework Directive Implementation R</w:t>
        </w:r>
        <w:r>
          <w:rPr>
            <w:rStyle w:val="Hyperlink"/>
            <w:rFonts w:asciiTheme="minorHAnsi" w:hAnsiTheme="minorHAnsi"/>
            <w:sz w:val="16"/>
            <w:szCs w:val="16"/>
          </w:rPr>
          <w:t>eports</w:t>
        </w:r>
      </w:hyperlink>
    </w:p>
  </w:footnote>
  <w:footnote w:id="80">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one discrete source, e.g. acid rain, pesticides, urban run-off, etc.</w:t>
      </w:r>
    </w:p>
  </w:footnote>
  <w:footnote w:id="81">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on the implementation of Council Directive 91/676/EEC concerning t</w:t>
      </w:r>
      <w:r>
        <w:rPr>
          <w:rFonts w:asciiTheme="minorHAnsi" w:hAnsiTheme="minorHAnsi"/>
          <w:sz w:val="16"/>
          <w:szCs w:val="16"/>
        </w:rPr>
        <w:t xml:space="preserve">he protection of waters against pollution caused by nitrates from agricultural sources based on Member State reports for the period 2008-2011, </w:t>
      </w:r>
      <w:hyperlink r:id="rId57" w:history="1">
        <w:r>
          <w:rPr>
            <w:rStyle w:val="Hyperlink"/>
            <w:rFonts w:asciiTheme="minorHAnsi" w:hAnsiTheme="minorHAnsi"/>
            <w:sz w:val="16"/>
            <w:szCs w:val="16"/>
          </w:rPr>
          <w:t>SWD/2013/0405</w:t>
        </w:r>
      </w:hyperlink>
      <w:r>
        <w:rPr>
          <w:rFonts w:asciiTheme="minorHAnsi" w:hAnsiTheme="minorHAnsi"/>
          <w:sz w:val="16"/>
          <w:szCs w:val="16"/>
        </w:rPr>
        <w:t>.</w:t>
      </w:r>
    </w:p>
  </w:footnote>
  <w:footnote w:id="82">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8"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Directive 98/83/</w:t>
      </w:r>
      <w:r>
        <w:rPr>
          <w:rFonts w:asciiTheme="minorHAnsi" w:hAnsiTheme="minorHAnsi"/>
          <w:sz w:val="16"/>
          <w:szCs w:val="16"/>
        </w:rPr>
        <w:t>EC; COM(2016)666</w:t>
      </w:r>
    </w:p>
  </w:footnote>
  <w:footnote w:id="83">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59" w:history="1">
        <w:r>
          <w:rPr>
            <w:rStyle w:val="Hyperlink"/>
            <w:rFonts w:asciiTheme="minorHAnsi" w:hAnsiTheme="minorHAnsi"/>
            <w:sz w:val="16"/>
            <w:szCs w:val="16"/>
          </w:rPr>
          <w:t>European bathing water quality in 2015</w:t>
        </w:r>
      </w:hyperlink>
      <w:r>
        <w:rPr>
          <w:rFonts w:asciiTheme="minorHAnsi" w:hAnsiTheme="minorHAnsi"/>
          <w:sz w:val="16"/>
          <w:szCs w:val="16"/>
        </w:rPr>
        <w:t xml:space="preserve"> p. 26 </w:t>
      </w:r>
    </w:p>
  </w:footnote>
  <w:footnote w:id="84">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60"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85">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Eighth Report on the Implementation Status and the Programmes for Implementation of the Urban Waste Water Directive </w:t>
      </w:r>
      <w:hyperlink r:id="rId61"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62" w:history="1">
        <w:r>
          <w:rPr>
            <w:rStyle w:val="Hyperlink"/>
            <w:rFonts w:asciiTheme="minorHAnsi" w:hAnsiTheme="minorHAnsi"/>
            <w:sz w:val="16"/>
            <w:szCs w:val="16"/>
          </w:rPr>
          <w:t>(</w:t>
        </w:r>
        <w:proofErr w:type="gramStart"/>
        <w:r>
          <w:rPr>
            <w:rStyle w:val="Hyperlink"/>
            <w:rFonts w:asciiTheme="minorHAnsi" w:hAnsiTheme="minorHAnsi"/>
            <w:sz w:val="16"/>
            <w:szCs w:val="16"/>
          </w:rPr>
          <w:t>S</w:t>
        </w:r>
        <w:r>
          <w:rPr>
            <w:rStyle w:val="Hyperlink"/>
            <w:rFonts w:asciiTheme="minorHAnsi" w:hAnsiTheme="minorHAnsi"/>
            <w:sz w:val="16"/>
            <w:szCs w:val="16"/>
          </w:rPr>
          <w:t>WD(</w:t>
        </w:r>
        <w:proofErr w:type="gramEnd"/>
        <w:r>
          <w:rPr>
            <w:rStyle w:val="Hyperlink"/>
            <w:rFonts w:asciiTheme="minorHAnsi" w:hAnsiTheme="minorHAnsi"/>
            <w:sz w:val="16"/>
            <w:szCs w:val="16"/>
          </w:rPr>
          <w:t>2016)45 final</w:t>
        </w:r>
      </w:hyperlink>
      <w:r>
        <w:rPr>
          <w:rFonts w:asciiTheme="minorHAnsi" w:hAnsiTheme="minorHAnsi"/>
          <w:sz w:val="16"/>
          <w:szCs w:val="16"/>
        </w:rPr>
        <w:t>).</w:t>
      </w:r>
    </w:p>
  </w:footnote>
  <w:footnote w:id="86">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Commission Staff Working Document, 2015.</w:t>
      </w:r>
      <w:proofErr w:type="gramEnd"/>
      <w:r>
        <w:rPr>
          <w:rFonts w:asciiTheme="minorHAnsi" w:hAnsiTheme="minorHAnsi"/>
          <w:sz w:val="16"/>
          <w:szCs w:val="16"/>
        </w:rPr>
        <w:t xml:space="preserve"> </w:t>
      </w:r>
      <w:hyperlink r:id="rId63" w:history="1">
        <w:r>
          <w:rPr>
            <w:rStyle w:val="Hyperlink"/>
            <w:rFonts w:asciiTheme="minorHAnsi" w:hAnsiTheme="minorHAnsi"/>
            <w:sz w:val="16"/>
            <w:szCs w:val="16"/>
          </w:rPr>
          <w:t>Report on the progress in implementation of the Floods Directive</w:t>
        </w:r>
      </w:hyperlink>
      <w:r>
        <w:rPr>
          <w:rFonts w:asciiTheme="minorHAnsi" w:hAnsiTheme="minorHAnsi"/>
          <w:sz w:val="16"/>
          <w:szCs w:val="16"/>
        </w:rPr>
        <w:t>, page 2</w:t>
      </w:r>
      <w:r>
        <w:rPr>
          <w:rFonts w:asciiTheme="minorHAnsi" w:hAnsiTheme="minorHAnsi"/>
          <w:sz w:val="16"/>
          <w:szCs w:val="16"/>
        </w:rPr>
        <w:t>7</w:t>
      </w:r>
    </w:p>
  </w:footnote>
  <w:footnote w:id="87">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RPA, 2014.</w:t>
      </w:r>
      <w:proofErr w:type="gramEnd"/>
      <w:r>
        <w:rPr>
          <w:rFonts w:asciiTheme="minorHAnsi" w:hAnsiTheme="minorHAnsi"/>
          <w:sz w:val="16"/>
          <w:szCs w:val="16"/>
        </w:rPr>
        <w:t xml:space="preserve"> </w:t>
      </w:r>
      <w:hyperlink r:id="rId64" w:history="1">
        <w:r>
          <w:rPr>
            <w:rStyle w:val="Hyperlink"/>
            <w:rFonts w:asciiTheme="minorHAnsi" w:hAnsiTheme="minorHAnsi"/>
            <w:sz w:val="16"/>
            <w:szCs w:val="16"/>
          </w:rPr>
          <w:t>Study on Economic and Social Benefits of Environmental Protection and Resource Efficiency Related to the European Semester</w:t>
        </w:r>
      </w:hyperlink>
      <w:r>
        <w:rPr>
          <w:rFonts w:asciiTheme="minorHAnsi" w:hAnsiTheme="minorHAnsi"/>
          <w:sz w:val="16"/>
          <w:szCs w:val="16"/>
        </w:rPr>
        <w:t>, study</w:t>
      </w:r>
      <w:r>
        <w:rPr>
          <w:rFonts w:asciiTheme="minorHAnsi" w:hAnsiTheme="minorHAnsi"/>
          <w:sz w:val="16"/>
          <w:szCs w:val="16"/>
        </w:rPr>
        <w:t xml:space="preserve"> for the European Commission.</w:t>
      </w:r>
    </w:p>
  </w:footnote>
  <w:footnote w:id="88">
    <w:p w:rsidR="00587940" w:rsidRDefault="00E43A41">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Environment</w:t>
      </w:r>
      <w:proofErr w:type="spellEnd"/>
      <w:r>
        <w:rPr>
          <w:rFonts w:asciiTheme="minorHAnsi" w:hAnsiTheme="minorHAnsi"/>
          <w:sz w:val="16"/>
          <w:szCs w:val="16"/>
          <w:lang w:val="fr-BE"/>
        </w:rPr>
        <w:t xml:space="preserve"> Agency, </w:t>
      </w:r>
      <w:hyperlink r:id="rId65" w:history="1">
        <w:proofErr w:type="spellStart"/>
        <w:r>
          <w:rPr>
            <w:rStyle w:val="Hyperlink"/>
            <w:rFonts w:asciiTheme="minorHAnsi" w:hAnsiTheme="minorHAnsi"/>
            <w:sz w:val="16"/>
            <w:szCs w:val="16"/>
            <w:lang w:val="fr-BE"/>
          </w:rPr>
          <w:t>Urban</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environment</w:t>
        </w:r>
        <w:proofErr w:type="spellEnd"/>
      </w:hyperlink>
    </w:p>
  </w:footnote>
  <w:footnote w:id="89">
    <w:p w:rsidR="00587940" w:rsidRDefault="00E43A41">
      <w:pPr>
        <w:pStyle w:val="FootnoteText"/>
        <w:ind w:left="170" w:hanging="170"/>
        <w:rPr>
          <w:rFonts w:asciiTheme="minorHAnsi" w:hAnsiTheme="minorHAnsi"/>
          <w:sz w:val="16"/>
          <w:szCs w:val="16"/>
          <w:vertAlign w:val="superscript"/>
          <w:lang w:val="fr-BE"/>
        </w:rPr>
      </w:pPr>
      <w:r>
        <w:rPr>
          <w:rStyle w:val="FootnoteReference"/>
          <w:rFonts w:asciiTheme="minorHAnsi" w:hAnsiTheme="minorHAnsi"/>
          <w:sz w:val="16"/>
          <w:szCs w:val="16"/>
        </w:rPr>
        <w:footnoteRef/>
      </w:r>
      <w:r>
        <w:rPr>
          <w:rFonts w:asciiTheme="minorHAnsi" w:hAnsiTheme="minorHAnsi"/>
          <w:sz w:val="16"/>
          <w:szCs w:val="16"/>
          <w:vertAlign w:val="superscript"/>
          <w:lang w:val="fr-BE"/>
        </w:rPr>
        <w:t xml:space="preserve"> </w:t>
      </w:r>
      <w:hyperlink r:id="rId66" w:history="1">
        <w:r>
          <w:rPr>
            <w:rStyle w:val="Hyperlink"/>
            <w:rFonts w:asciiTheme="minorHAnsi" w:hAnsiTheme="minorHAnsi"/>
            <w:sz w:val="16"/>
            <w:szCs w:val="16"/>
            <w:lang w:val="fr-BE"/>
          </w:rPr>
          <w:t>http://urbanagendaforthe.eu/</w:t>
        </w:r>
      </w:hyperlink>
    </w:p>
  </w:footnote>
  <w:footnote w:id="90">
    <w:p w:rsidR="00587940" w:rsidRDefault="00E43A41">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67" w:history="1">
        <w:r>
          <w:rPr>
            <w:rStyle w:val="Hyperlink"/>
            <w:rFonts w:asciiTheme="minorHAnsi" w:hAnsiTheme="minorHAnsi"/>
            <w:sz w:val="16"/>
            <w:szCs w:val="16"/>
          </w:rPr>
          <w:t>Urban Benchmarking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w:t>
      </w:r>
      <w:r>
        <w:rPr>
          <w:rFonts w:asciiTheme="minorHAnsi" w:hAnsiTheme="minorHAnsi"/>
          <w:sz w:val="16"/>
          <w:szCs w:val="16"/>
        </w:rPr>
        <w:t>EUROCITIES, ICLEI, CEMR, Committee of the Regions, Covenant of Mayors and others.</w:t>
      </w:r>
    </w:p>
  </w:footnote>
  <w:footnote w:id="91">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Protocol on Access to Genetic Resources and the Fair and Equitable Sharing of Benefits Arising from their Utilization to the Convention on Biological Diversity.</w:t>
      </w:r>
      <w:proofErr w:type="gramEnd"/>
    </w:p>
  </w:footnote>
  <w:footnote w:id="92">
    <w:p w:rsidR="00587940" w:rsidRDefault="00E43A41">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w:t>
      </w:r>
      <w:r>
        <w:rPr>
          <w:rFonts w:asciiTheme="minorHAnsi" w:hAnsiTheme="minorHAnsi"/>
          <w:sz w:val="16"/>
          <w:szCs w:val="16"/>
          <w:lang w:val="fr-BE"/>
        </w:rPr>
        <w:t xml:space="preserve"> </w:t>
      </w:r>
      <w:hyperlink r:id="rId68"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June</w:t>
      </w:r>
      <w:proofErr w:type="spellEnd"/>
      <w:r>
        <w:rPr>
          <w:rFonts w:asciiTheme="minorHAnsi" w:hAnsiTheme="minorHAnsi"/>
          <w:sz w:val="16"/>
          <w:szCs w:val="16"/>
          <w:lang w:val="fr-BE"/>
        </w:rPr>
        <w:t xml:space="preserve"> 2016</w:t>
      </w:r>
    </w:p>
  </w:footnote>
  <w:footnote w:id="93">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excluding imputed social contributions</w:t>
      </w:r>
    </w:p>
  </w:footnote>
  <w:footnote w:id="94">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Eunomia Research and Consulting, IEEP, Aarhus University, ENT, 2016.</w:t>
      </w:r>
      <w:proofErr w:type="gramEnd"/>
      <w:r>
        <w:rPr>
          <w:rFonts w:asciiTheme="minorHAnsi" w:hAnsiTheme="minorHAnsi"/>
          <w:sz w:val="16"/>
          <w:szCs w:val="16"/>
        </w:rPr>
        <w:t xml:space="preserve"> </w:t>
      </w:r>
      <w:hyperlink r:id="rId69" w:history="1">
        <w:r>
          <w:rPr>
            <w:rStyle w:val="Hyperlink"/>
            <w:rFonts w:asciiTheme="minorHAnsi" w:hAnsiTheme="minorHAnsi"/>
            <w:sz w:val="16"/>
            <w:szCs w:val="16"/>
          </w:rPr>
          <w:t>Study on Assessing the Environmental Fiscal Reform Potential for the EU28</w:t>
        </w:r>
      </w:hyperlink>
      <w:r>
        <w:rPr>
          <w:rStyle w:val="Hyperlink"/>
          <w:rFonts w:asciiTheme="minorHAnsi" w:hAnsiTheme="minorHAnsi"/>
          <w:sz w:val="16"/>
          <w:szCs w:val="16"/>
        </w:rPr>
        <w:t xml:space="preserve">. </w:t>
      </w:r>
      <w:r>
        <w:rPr>
          <w:rStyle w:val="Hyperlink"/>
          <w:rFonts w:asciiTheme="minorHAnsi" w:hAnsiTheme="minorHAnsi" w:cstheme="minorHAnsi"/>
          <w:color w:val="auto"/>
          <w:sz w:val="16"/>
          <w:szCs w:val="16"/>
          <w:u w:val="none"/>
        </w:rPr>
        <w:t>N.B. National governments are responsible for setting</w:t>
      </w:r>
      <w:r>
        <w:rPr>
          <w:rStyle w:val="Hyperlink"/>
          <w:rFonts w:asciiTheme="minorHAnsi" w:hAnsiTheme="minorHAnsi" w:cstheme="minorHAnsi"/>
          <w:color w:val="auto"/>
          <w:sz w:val="16"/>
          <w:szCs w:val="16"/>
          <w:u w:val="none"/>
        </w:rPr>
        <w:t xml:space="preserve"> tax rates within the EU Single Market rules and this report is not suggesting concrete changes as to the level of environmental taxation. It merely presents the findings of the 2016 study by Eunomia </w:t>
      </w:r>
      <w:r>
        <w:rPr>
          <w:rStyle w:val="Hyperlink"/>
          <w:rFonts w:asciiTheme="minorHAnsi" w:hAnsiTheme="minorHAnsi" w:cstheme="minorHAnsi"/>
          <w:i/>
          <w:color w:val="auto"/>
          <w:sz w:val="16"/>
          <w:szCs w:val="16"/>
          <w:u w:val="none"/>
        </w:rPr>
        <w:t>et al</w:t>
      </w:r>
      <w:r>
        <w:rPr>
          <w:rStyle w:val="Hyperlink"/>
          <w:rFonts w:asciiTheme="minorHAnsi" w:hAnsiTheme="minorHAnsi" w:cstheme="minorHAnsi"/>
          <w:color w:val="auto"/>
          <w:sz w:val="16"/>
          <w:szCs w:val="16"/>
          <w:u w:val="none"/>
        </w:rPr>
        <w:t xml:space="preserve"> on the potential benefits various environmental ta</w:t>
      </w:r>
      <w:r>
        <w:rPr>
          <w:rStyle w:val="Hyperlink"/>
          <w:rFonts w:asciiTheme="minorHAnsi" w:hAnsiTheme="minorHAnsi" w:cstheme="minorHAnsi"/>
          <w:color w:val="auto"/>
          <w:sz w:val="16"/>
          <w:szCs w:val="16"/>
          <w:u w:val="none"/>
        </w:rPr>
        <w:t>xes could bring. It is then for the national authorities to assess this study and their concrete impacts in the national context. A first step in this respect, already done by a number of Member States, is to set up expert groups to assess these and make s</w:t>
      </w:r>
      <w:r>
        <w:rPr>
          <w:rStyle w:val="Hyperlink"/>
          <w:rFonts w:asciiTheme="minorHAnsi" w:hAnsiTheme="minorHAnsi" w:cstheme="minorHAnsi"/>
          <w:color w:val="auto"/>
          <w:sz w:val="16"/>
          <w:szCs w:val="16"/>
          <w:u w:val="none"/>
        </w:rPr>
        <w:t>pecific proposals.</w:t>
      </w:r>
    </w:p>
  </w:footnote>
  <w:footnote w:id="95">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good practice scenario means benchmarking to a successful taxation practice in another Member State.</w:t>
      </w:r>
    </w:p>
  </w:footnote>
  <w:footnote w:id="96">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proofErr w:type="gramStart"/>
      <w:r>
        <w:rPr>
          <w:rFonts w:asciiTheme="minorHAnsi" w:hAnsiTheme="minorHAnsi"/>
          <w:sz w:val="16"/>
          <w:szCs w:val="16"/>
        </w:rPr>
        <w:t>Eunomia Research and Consulting, IIEP, Aarhus University, ENT, 2016.</w:t>
      </w:r>
      <w:proofErr w:type="gramEnd"/>
      <w:r>
        <w:rPr>
          <w:rFonts w:asciiTheme="minorHAnsi" w:hAnsiTheme="minorHAnsi"/>
          <w:sz w:val="16"/>
          <w:szCs w:val="16"/>
        </w:rPr>
        <w:t xml:space="preserve"> </w:t>
      </w:r>
      <w:hyperlink r:id="rId70" w:history="1">
        <w:r>
          <w:rPr>
            <w:rStyle w:val="Hyperlink"/>
            <w:rFonts w:asciiTheme="minorHAnsi" w:hAnsiTheme="minorHAnsi"/>
            <w:sz w:val="16"/>
            <w:szCs w:val="16"/>
          </w:rPr>
          <w:t>Study on Assessing the Environmental Fiscal Reform Potential for the EU28</w:t>
        </w:r>
      </w:hyperlink>
    </w:p>
  </w:footnote>
  <w:footnote w:id="97">
    <w:p w:rsidR="00587940" w:rsidRDefault="00E43A41">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71"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October</w:t>
      </w:r>
      <w:proofErr w:type="spellEnd"/>
      <w:r>
        <w:rPr>
          <w:rFonts w:asciiTheme="minorHAnsi" w:hAnsiTheme="minorHAnsi"/>
          <w:sz w:val="16"/>
          <w:szCs w:val="16"/>
          <w:lang w:val="fr-BE"/>
        </w:rPr>
        <w:t xml:space="preserve"> 2016</w:t>
      </w:r>
    </w:p>
  </w:footnote>
  <w:footnote w:id="98">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72" w:history="1">
        <w:r>
          <w:rPr>
            <w:rFonts w:asciiTheme="minorHAnsi" w:hAnsiTheme="minorHAnsi"/>
            <w:color w:val="0000FF"/>
            <w:sz w:val="16"/>
            <w:szCs w:val="16"/>
            <w:u w:val="single"/>
          </w:rPr>
          <w:t xml:space="preserve">Tax </w:t>
        </w:r>
        <w:r>
          <w:rPr>
            <w:rFonts w:asciiTheme="minorHAnsi" w:hAnsiTheme="minorHAnsi"/>
            <w:color w:val="0000FF"/>
            <w:sz w:val="16"/>
            <w:szCs w:val="16"/>
            <w:u w:val="single"/>
          </w:rPr>
          <w:t>Reforms in EU Member States 2015</w:t>
        </w:r>
      </w:hyperlink>
      <w:r>
        <w:rPr>
          <w:rFonts w:asciiTheme="minorHAnsi" w:hAnsiTheme="minorHAnsi"/>
          <w:sz w:val="16"/>
          <w:szCs w:val="16"/>
        </w:rPr>
        <w:t>, Institutional Paper 008 Sept. 2015, page 68</w:t>
      </w:r>
    </w:p>
  </w:footnote>
  <w:footnote w:id="99">
    <w:p w:rsidR="00587940" w:rsidRDefault="00587940">
      <w:pPr>
        <w:pStyle w:val="FootnoteText"/>
        <w:widowControl w:val="0"/>
        <w:rPr>
          <w:rFonts w:asciiTheme="minorHAnsi" w:hAnsiTheme="minorHAnsi"/>
          <w:sz w:val="16"/>
          <w:szCs w:val="16"/>
        </w:rPr>
      </w:pPr>
    </w:p>
  </w:footnote>
  <w:footnote w:id="100">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Update by European Commission, 2015 based on Harding M., 2014. </w:t>
      </w:r>
      <w:hyperlink r:id="rId73" w:history="1">
        <w:r>
          <w:rPr>
            <w:rStyle w:val="Hyperlink"/>
            <w:rFonts w:asciiTheme="minorHAnsi" w:hAnsiTheme="minorHAnsi"/>
            <w:sz w:val="16"/>
            <w:szCs w:val="16"/>
          </w:rPr>
          <w:t>The Diesel Differential: Differences in the Tax Treatment of Gasoline and Diesel for Road Use</w:t>
        </w:r>
      </w:hyperlink>
      <w:r>
        <w:rPr>
          <w:rFonts w:asciiTheme="minorHAnsi" w:hAnsiTheme="minorHAnsi"/>
          <w:sz w:val="16"/>
          <w:szCs w:val="16"/>
        </w:rPr>
        <w:t>. OECD Taxation Working Papers, No. 21</w:t>
      </w:r>
    </w:p>
  </w:footnote>
  <w:footnote w:id="101">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4" w:history="1">
        <w:proofErr w:type="gramStart"/>
        <w:r>
          <w:rPr>
            <w:rStyle w:val="Hyperlink"/>
            <w:rFonts w:asciiTheme="minorHAnsi" w:hAnsiTheme="minorHAnsi"/>
            <w:sz w:val="16"/>
            <w:szCs w:val="16"/>
          </w:rPr>
          <w:t>Harding M. 2014.</w:t>
        </w:r>
        <w:proofErr w:type="gramEnd"/>
        <w:r>
          <w:rPr>
            <w:rStyle w:val="Hyperlink"/>
            <w:rFonts w:asciiTheme="minorHAnsi" w:hAnsiTheme="minorHAnsi"/>
            <w:sz w:val="16"/>
            <w:szCs w:val="16"/>
          </w:rPr>
          <w:t xml:space="preserve"> </w:t>
        </w:r>
        <w:proofErr w:type="gramStart"/>
        <w:r>
          <w:rPr>
            <w:rStyle w:val="Hyperlink"/>
            <w:rFonts w:asciiTheme="minorHAnsi" w:hAnsiTheme="minorHAnsi"/>
            <w:sz w:val="16"/>
            <w:szCs w:val="16"/>
          </w:rPr>
          <w:t>Personal Tax Treatment of Company Cars and Commuting Expenses – Estimating the Fiscal and Environmental Costs.</w:t>
        </w:r>
        <w:proofErr w:type="gramEnd"/>
      </w:hyperlink>
      <w:r>
        <w:rPr>
          <w:rFonts w:asciiTheme="minorHAnsi" w:hAnsiTheme="minorHAnsi"/>
          <w:sz w:val="16"/>
          <w:szCs w:val="16"/>
        </w:rPr>
        <w:t xml:space="preserve"> OECD Taxation Working Papers, No. 20, p.28</w:t>
      </w:r>
    </w:p>
  </w:footnote>
  <w:footnote w:id="102">
    <w:p w:rsidR="00587940" w:rsidRDefault="00E43A41">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w:t>
      </w:r>
      <w:r>
        <w:rPr>
          <w:rFonts w:asciiTheme="minorHAnsi" w:hAnsiTheme="minorHAnsi"/>
          <w:sz w:val="16"/>
          <w:szCs w:val="16"/>
        </w:rPr>
        <w:t>15.</w:t>
      </w:r>
      <w:proofErr w:type="gramEnd"/>
      <w:r>
        <w:rPr>
          <w:rFonts w:asciiTheme="minorHAnsi" w:hAnsiTheme="minorHAnsi"/>
          <w:sz w:val="16"/>
          <w:szCs w:val="16"/>
        </w:rPr>
        <w:t xml:space="preserve"> </w:t>
      </w:r>
      <w:hyperlink r:id="rId75" w:history="1">
        <w:r>
          <w:rPr>
            <w:rStyle w:val="Hyperlink"/>
            <w:rFonts w:asciiTheme="minorHAnsi" w:hAnsiTheme="minorHAnsi"/>
            <w:sz w:val="16"/>
            <w:szCs w:val="16"/>
          </w:rPr>
          <w:t>Public procurement</w:t>
        </w:r>
      </w:hyperlink>
    </w:p>
  </w:footnote>
  <w:footnote w:id="103">
    <w:p w:rsidR="00587940" w:rsidRDefault="00E43A41">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76"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w:t>
      </w:r>
      <w:r>
        <w:rPr>
          <w:sz w:val="16"/>
          <w:szCs w:val="16"/>
          <w:lang w:val="en"/>
        </w:rPr>
        <w:t>clear, verifiable, justifiable and ambitious environmental criteria for products and services, based on a life-cycle approach and scientific evidence base.</w:t>
      </w:r>
    </w:p>
  </w:footnote>
  <w:footnote w:id="104">
    <w:p w:rsidR="00587940" w:rsidRDefault="00E43A41">
      <w:pPr>
        <w:pStyle w:val="FootnoteText"/>
        <w:widowControl w:val="0"/>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Bundesregierung Österreich, 2010. </w:t>
      </w:r>
      <w:hyperlink r:id="rId77" w:history="1">
        <w:r>
          <w:rPr>
            <w:rStyle w:val="Hyperlink"/>
            <w:rFonts w:asciiTheme="minorHAnsi" w:hAnsiTheme="minorHAnsi"/>
            <w:sz w:val="16"/>
            <w:szCs w:val="16"/>
            <w:lang w:val="de-DE"/>
          </w:rPr>
          <w:t>Aktionsplan zur nachhaltigen öffentlichen Beschaffung</w:t>
        </w:r>
      </w:hyperlink>
      <w:r>
        <w:rPr>
          <w:rFonts w:asciiTheme="minorHAnsi" w:hAnsiTheme="minorHAnsi"/>
          <w:sz w:val="16"/>
          <w:szCs w:val="16"/>
          <w:lang w:val="de-DE"/>
        </w:rPr>
        <w:t xml:space="preserve">. </w:t>
      </w:r>
    </w:p>
  </w:footnote>
  <w:footnote w:id="105">
    <w:p w:rsidR="00587940" w:rsidRDefault="00E43A41">
      <w:pPr>
        <w:pStyle w:val="FootnoteText"/>
        <w:ind w:left="170" w:hanging="170"/>
        <w:rPr>
          <w:rFonts w:asciiTheme="minorHAnsi" w:hAnsiTheme="minorHAnsi"/>
          <w:sz w:val="16"/>
          <w:szCs w:val="16"/>
          <w:lang w:val="de-DE"/>
        </w:rPr>
      </w:pPr>
      <w:r>
        <w:rPr>
          <w:rStyle w:val="FootnoteReference"/>
          <w:rFonts w:asciiTheme="minorHAnsi" w:hAnsiTheme="minorHAnsi"/>
          <w:sz w:val="16"/>
          <w:szCs w:val="16"/>
        </w:rPr>
        <w:footnoteRef/>
      </w:r>
      <w:r>
        <w:rPr>
          <w:rFonts w:asciiTheme="minorHAnsi" w:hAnsiTheme="minorHAnsi"/>
          <w:sz w:val="16"/>
          <w:szCs w:val="16"/>
          <w:lang w:val="de-DE"/>
        </w:rPr>
        <w:t xml:space="preserve"> Aktionsplan zur nachhaltigen öffentlichen Beschaffung, </w:t>
      </w:r>
      <w:hyperlink r:id="rId78" w:history="1">
        <w:proofErr w:type="spellStart"/>
        <w:r>
          <w:rPr>
            <w:rStyle w:val="Hyperlink"/>
            <w:rFonts w:asciiTheme="minorHAnsi" w:hAnsiTheme="minorHAnsi"/>
            <w:sz w:val="16"/>
            <w:szCs w:val="16"/>
            <w:lang w:val="de-DE"/>
          </w:rPr>
          <w:t>Criteria</w:t>
        </w:r>
        <w:proofErr w:type="spellEnd"/>
        <w:r>
          <w:rPr>
            <w:rStyle w:val="Hyperlink"/>
            <w:rFonts w:asciiTheme="minorHAnsi" w:hAnsiTheme="minorHAnsi"/>
            <w:sz w:val="16"/>
            <w:szCs w:val="16"/>
            <w:lang w:val="de-DE"/>
          </w:rPr>
          <w:t xml:space="preserve"> </w:t>
        </w:r>
        <w:proofErr w:type="spellStart"/>
        <w:r>
          <w:rPr>
            <w:rStyle w:val="Hyperlink"/>
            <w:rFonts w:asciiTheme="minorHAnsi" w:hAnsiTheme="minorHAnsi"/>
            <w:sz w:val="16"/>
            <w:szCs w:val="16"/>
            <w:lang w:val="de-DE"/>
          </w:rPr>
          <w:t>for</w:t>
        </w:r>
        <w:proofErr w:type="spellEnd"/>
        <w:r>
          <w:rPr>
            <w:rStyle w:val="Hyperlink"/>
            <w:rFonts w:asciiTheme="minorHAnsi" w:hAnsiTheme="minorHAnsi"/>
            <w:sz w:val="16"/>
            <w:szCs w:val="16"/>
            <w:lang w:val="de-DE"/>
          </w:rPr>
          <w:t xml:space="preserve"> different </w:t>
        </w:r>
        <w:proofErr w:type="spellStart"/>
        <w:r>
          <w:rPr>
            <w:rStyle w:val="Hyperlink"/>
            <w:rFonts w:asciiTheme="minorHAnsi" w:hAnsiTheme="minorHAnsi"/>
            <w:sz w:val="16"/>
            <w:szCs w:val="16"/>
            <w:lang w:val="de-DE"/>
          </w:rPr>
          <w:t>products</w:t>
        </w:r>
        <w:proofErr w:type="spellEnd"/>
      </w:hyperlink>
    </w:p>
  </w:footnote>
  <w:footnote w:id="106">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9" w:history="1">
        <w:r>
          <w:rPr>
            <w:rStyle w:val="Hyperlink"/>
            <w:rFonts w:asciiTheme="minorHAnsi" w:hAnsiTheme="minorHAnsi"/>
            <w:sz w:val="16"/>
            <w:szCs w:val="16"/>
          </w:rPr>
          <w:t>National help desk green public procurement</w:t>
        </w:r>
      </w:hyperlink>
    </w:p>
  </w:footnote>
  <w:footnote w:id="107">
    <w:p w:rsidR="00587940" w:rsidRDefault="00E43A41">
      <w:pPr>
        <w:pStyle w:val="FootnoteText"/>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Adelphi et al. (2011), “Strategic Use of Public Procurement in Europe”</w:t>
      </w:r>
    </w:p>
  </w:footnote>
  <w:footnote w:id="108">
    <w:p w:rsidR="00587940" w:rsidRDefault="00E43A41">
      <w:pPr>
        <w:pStyle w:val="FootnoteText"/>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CEPS (2012), “Monitoring the Uptake of GPP in the EU”</w:t>
      </w:r>
    </w:p>
  </w:footnote>
  <w:footnote w:id="109">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w:t>
      </w:r>
      <w:r>
        <w:rPr>
          <w:rFonts w:asciiTheme="minorHAnsi" w:hAnsiTheme="minorHAnsi"/>
          <w:sz w:val="16"/>
          <w:szCs w:val="16"/>
        </w:rPr>
        <w:t xml:space="preserve">al Development Funds (ERDF), the Cohesion Fund (CF), the European Social Fund (ESF), the European Agricultural Fund for Rural Development (EAFRD), and the European Maritime and Fisheries Fund (EMFF). The ERDF, the CF and the ESF together form the Cohesion </w:t>
      </w:r>
      <w:r>
        <w:rPr>
          <w:rFonts w:asciiTheme="minorHAnsi" w:hAnsiTheme="minorHAnsi"/>
          <w:sz w:val="16"/>
          <w:szCs w:val="16"/>
        </w:rPr>
        <w:t>Policy funds.</w:t>
      </w:r>
    </w:p>
  </w:footnote>
  <w:footnote w:id="110">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80" w:history="1">
        <w:r>
          <w:rPr>
            <w:rStyle w:val="Hyperlink"/>
            <w:rFonts w:asciiTheme="minorHAnsi" w:hAnsiTheme="minorHAnsi"/>
            <w:sz w:val="16"/>
            <w:szCs w:val="16"/>
            <w:lang w:val="en"/>
          </w:rPr>
          <w:t>European Fund for Strategic Investments</w:t>
        </w:r>
      </w:hyperlink>
    </w:p>
  </w:footnote>
  <w:footnote w:id="111">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European Structural and Investment Funds Country Data for </w:t>
      </w:r>
      <w:hyperlink r:id="rId81" w:history="1">
        <w:r>
          <w:rPr>
            <w:rStyle w:val="Hyperlink"/>
            <w:rFonts w:asciiTheme="minorHAnsi" w:hAnsiTheme="minorHAnsi"/>
            <w:sz w:val="16"/>
            <w:szCs w:val="16"/>
          </w:rPr>
          <w:t>Austria</w:t>
        </w:r>
      </w:hyperlink>
      <w:r>
        <w:rPr>
          <w:rFonts w:asciiTheme="minorHAnsi" w:hAnsiTheme="minorHAnsi"/>
          <w:sz w:val="16"/>
          <w:szCs w:val="16"/>
        </w:rPr>
        <w:t>.</w:t>
      </w:r>
    </w:p>
  </w:footnote>
  <w:footnote w:id="112">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2" w:history="1">
        <w:r>
          <w:rPr>
            <w:rStyle w:val="Hyperlink"/>
            <w:rFonts w:asciiTheme="minorHAnsi" w:hAnsiTheme="minorHAnsi"/>
            <w:sz w:val="16"/>
            <w:szCs w:val="16"/>
          </w:rPr>
          <w:t>European Structural and Investment Funds Data By Country</w:t>
        </w:r>
      </w:hyperlink>
    </w:p>
  </w:footnote>
  <w:footnote w:id="113">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June 2016.The Investment Plan for Europe, </w:t>
      </w:r>
      <w:hyperlink r:id="rId83" w:history="1">
        <w:r>
          <w:rPr>
            <w:rStyle w:val="Hyperlink"/>
            <w:rFonts w:asciiTheme="minorHAnsi" w:hAnsiTheme="minorHAnsi"/>
            <w:sz w:val="16"/>
            <w:szCs w:val="16"/>
          </w:rPr>
          <w:t>Factsheet Energy</w:t>
        </w:r>
      </w:hyperlink>
      <w:r>
        <w:rPr>
          <w:rFonts w:asciiTheme="minorHAnsi" w:hAnsiTheme="minorHAnsi"/>
          <w:sz w:val="16"/>
          <w:szCs w:val="16"/>
        </w:rPr>
        <w:t xml:space="preserve"> </w:t>
      </w:r>
      <w:hyperlink r:id="rId84" w:history="1"/>
    </w:p>
  </w:footnote>
  <w:footnote w:id="114">
    <w:p w:rsidR="00587940" w:rsidRDefault="00E43A41">
      <w:pPr>
        <w:widowControl w:val="0"/>
        <w:spacing w:after="0" w:line="240" w:lineRule="auto"/>
        <w:ind w:left="170" w:hanging="170"/>
        <w:rPr>
          <w:b/>
          <w:sz w:val="16"/>
          <w:szCs w:val="16"/>
          <w:vertAlign w:val="superscript"/>
        </w:rPr>
      </w:pPr>
      <w:r>
        <w:rPr>
          <w:rStyle w:val="FootnoteReference"/>
          <w:sz w:val="16"/>
          <w:szCs w:val="16"/>
        </w:rPr>
        <w:footnoteRef/>
      </w:r>
      <w:r>
        <w:rPr>
          <w:sz w:val="16"/>
          <w:szCs w:val="16"/>
          <w:vertAlign w:val="superscript"/>
        </w:rPr>
        <w:t xml:space="preserve"> </w:t>
      </w:r>
      <w:r>
        <w:rPr>
          <w:sz w:val="16"/>
          <w:szCs w:val="16"/>
        </w:rPr>
        <w:t>The Commissi</w:t>
      </w:r>
      <w:r>
        <w:rPr>
          <w:sz w:val="16"/>
          <w:szCs w:val="16"/>
        </w:rPr>
        <w:t>on has work ongoing to improve the country-specific knowledge about quality and functioning of the administrative systems of Member States.</w:t>
      </w:r>
    </w:p>
  </w:footnote>
  <w:footnote w:id="115">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hyperlink r:id="rId85" w:history="1">
        <w:r>
          <w:rPr>
            <w:rStyle w:val="Hyperlink"/>
            <w:rFonts w:asciiTheme="minorHAnsi" w:hAnsiTheme="minorHAnsi"/>
            <w:sz w:val="16"/>
            <w:szCs w:val="16"/>
          </w:rPr>
          <w:t>http://ec.europa.e</w:t>
        </w:r>
        <w:r>
          <w:rPr>
            <w:rStyle w:val="Hyperlink"/>
            <w:rFonts w:asciiTheme="minorHAnsi" w:hAnsiTheme="minorHAnsi"/>
            <w:sz w:val="16"/>
            <w:szCs w:val="16"/>
          </w:rPr>
          <w:t>u/regional_policy/sources/docgener/work/2012_02_governance.pdf</w:t>
        </w:r>
      </w:hyperlink>
    </w:p>
  </w:footnote>
  <w:footnote w:id="116">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hyperlink r:id="rId86" w:history="1">
        <w:r>
          <w:rPr>
            <w:rStyle w:val="Hyperlink"/>
            <w:rFonts w:asciiTheme="minorHAnsi" w:hAnsiTheme="minorHAnsi"/>
            <w:sz w:val="16"/>
            <w:szCs w:val="16"/>
          </w:rPr>
          <w:t>https://www.nachhaltigkeit.at/assets/customer/Downloads/Strategie/strategie020709_en.pdf</w:t>
        </w:r>
      </w:hyperlink>
    </w:p>
  </w:footnote>
  <w:footnote w:id="117">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Information on the </w:t>
      </w:r>
      <w:hyperlink r:id="rId87" w:history="1">
        <w:r>
          <w:rPr>
            <w:rStyle w:val="Hyperlink"/>
            <w:rFonts w:asciiTheme="minorHAnsi" w:hAnsiTheme="minorHAnsi"/>
            <w:sz w:val="16"/>
            <w:szCs w:val="16"/>
          </w:rPr>
          <w:t>ÖSTRAT</w:t>
        </w:r>
      </w:hyperlink>
    </w:p>
  </w:footnote>
  <w:footnote w:id="118">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w:t>
      </w:r>
      <w:r>
        <w:rPr>
          <w:rFonts w:asciiTheme="minorHAnsi" w:hAnsiTheme="minorHAnsi"/>
          <w:sz w:val="16"/>
          <w:szCs w:val="16"/>
        </w:rPr>
        <w:t xml:space="preserve"> of the TFEU provides that "Environmental protection requirements must be integrated into the definition and implementation of the Union's policies and activities, in particular with a view to promoting sustainable development."</w:t>
      </w:r>
    </w:p>
  </w:footnote>
  <w:footnote w:id="119">
    <w:p w:rsidR="00587940" w:rsidRDefault="00E43A41">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proofErr w:type="gramStart"/>
      <w:r>
        <w:rPr>
          <w:rFonts w:asciiTheme="minorHAnsi" w:hAnsiTheme="minorHAnsi"/>
          <w:sz w:val="16"/>
          <w:szCs w:val="16"/>
        </w:rPr>
        <w:t>European Commission, 2016</w:t>
      </w:r>
      <w:r>
        <w:rPr>
          <w:rFonts w:asciiTheme="minorHAnsi" w:hAnsiTheme="minorHAnsi"/>
          <w:sz w:val="16"/>
          <w:szCs w:val="16"/>
        </w:rPr>
        <w:t>.</w:t>
      </w:r>
      <w:proofErr w:type="gramEnd"/>
      <w:r>
        <w:rPr>
          <w:rFonts w:asciiTheme="minorHAnsi" w:hAnsiTheme="minorHAnsi"/>
          <w:sz w:val="16"/>
          <w:szCs w:val="16"/>
        </w:rPr>
        <w:t xml:space="preserve"> Commission notice — </w:t>
      </w:r>
      <w:hyperlink r:id="rId88"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w:t>
      </w:r>
      <w:r>
        <w:rPr>
          <w:rStyle w:val="Hyperlink"/>
          <w:rFonts w:asciiTheme="minorHAnsi" w:hAnsiTheme="minorHAnsi"/>
          <w:sz w:val="16"/>
          <w:szCs w:val="16"/>
        </w:rPr>
        <w:t>(D</w:t>
      </w:r>
      <w:r>
        <w:rPr>
          <w:rFonts w:asciiTheme="minorHAnsi" w:hAnsiTheme="minorHAnsi"/>
          <w:sz w:val="16"/>
          <w:szCs w:val="16"/>
        </w:rPr>
        <w:t>irective 2011/92/EU of the European Parliament and of the Council, as amended by Directive 2014/52/EU).</w:t>
      </w:r>
    </w:p>
  </w:footnote>
  <w:footnote w:id="120">
    <w:p w:rsidR="00587940" w:rsidRDefault="00E43A41">
      <w:pPr>
        <w:pStyle w:val="FootnoteText"/>
        <w:widowControl w:val="0"/>
        <w:ind w:left="227" w:hanging="227"/>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European Union, </w:t>
      </w:r>
      <w:hyperlink r:id="rId89" w:history="1">
        <w:r>
          <w:rPr>
            <w:rStyle w:val="Hyperlink"/>
            <w:rFonts w:asciiTheme="minorHAnsi" w:hAnsiTheme="minorHAnsi"/>
            <w:sz w:val="16"/>
            <w:szCs w:val="16"/>
          </w:rPr>
          <w:t>Environmental Crime Directive 2008/99/EC</w:t>
        </w:r>
      </w:hyperlink>
    </w:p>
  </w:footnote>
  <w:footnote w:id="121">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0" w:history="1">
        <w:r>
          <w:rPr>
            <w:rStyle w:val="Hyperlink"/>
            <w:rFonts w:asciiTheme="minorHAnsi" w:hAnsiTheme="minorHAnsi"/>
            <w:sz w:val="16"/>
            <w:szCs w:val="16"/>
          </w:rPr>
          <w:t>European Union Network for the Implementation and Enforcement of Environmental Law</w:t>
        </w:r>
      </w:hyperlink>
      <w:r>
        <w:rPr>
          <w:rFonts w:asciiTheme="minorHAnsi" w:hAnsiTheme="minorHAnsi"/>
          <w:sz w:val="16"/>
          <w:szCs w:val="16"/>
        </w:rPr>
        <w:t xml:space="preserve"> </w:t>
      </w:r>
    </w:p>
  </w:footnote>
  <w:footnote w:id="122">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1" w:history="1">
        <w:r>
          <w:rPr>
            <w:rStyle w:val="Hyperlink"/>
            <w:rFonts w:asciiTheme="minorHAnsi" w:hAnsiTheme="minorHAnsi"/>
            <w:sz w:val="16"/>
            <w:szCs w:val="16"/>
          </w:rPr>
          <w:t>European Union Forum of judges for the environment</w:t>
        </w:r>
      </w:hyperlink>
    </w:p>
  </w:footnote>
  <w:footnote w:id="123">
    <w:p w:rsidR="00587940" w:rsidRDefault="00E43A41">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2" w:history="1">
        <w:r>
          <w:rPr>
            <w:rStyle w:val="Hyperlink"/>
            <w:rFonts w:asciiTheme="minorHAnsi" w:hAnsiTheme="minorHAnsi"/>
            <w:sz w:val="16"/>
            <w:szCs w:val="16"/>
          </w:rPr>
          <w:t>The European Network of Prosecutors for the Environment</w:t>
        </w:r>
      </w:hyperlink>
      <w:r>
        <w:rPr>
          <w:rFonts w:asciiTheme="minorHAnsi" w:hAnsiTheme="minorHAnsi"/>
          <w:sz w:val="16"/>
          <w:szCs w:val="16"/>
        </w:rPr>
        <w:t xml:space="preserve"> </w:t>
      </w:r>
    </w:p>
  </w:footnote>
  <w:footnote w:id="124">
    <w:p w:rsidR="00587940" w:rsidRDefault="00E43A41">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93" w:history="1">
        <w:proofErr w:type="spellStart"/>
        <w:r>
          <w:rPr>
            <w:rStyle w:val="Hyperlink"/>
            <w:rFonts w:asciiTheme="minorHAnsi" w:hAnsiTheme="minorHAnsi"/>
            <w:sz w:val="16"/>
            <w:szCs w:val="16"/>
            <w:lang w:val="fr-BE"/>
          </w:rPr>
          <w:t>EnviCrimeNet</w:t>
        </w:r>
        <w:proofErr w:type="spellEnd"/>
      </w:hyperlink>
    </w:p>
  </w:footnote>
  <w:footnote w:id="125">
    <w:p w:rsidR="00587940" w:rsidRDefault="00E43A41">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Union, </w:t>
      </w:r>
      <w:hyperlink r:id="rId94"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Liability</w:t>
        </w:r>
        <w:proofErr w:type="spellEnd"/>
        <w:r>
          <w:rPr>
            <w:rStyle w:val="Hyperlink"/>
            <w:rFonts w:asciiTheme="minorHAnsi" w:hAnsiTheme="minorHAnsi"/>
            <w:sz w:val="16"/>
            <w:szCs w:val="16"/>
            <w:lang w:val="fr-BE"/>
          </w:rPr>
          <w:t xml:space="preserve"> Direct</w:t>
        </w:r>
        <w:r>
          <w:rPr>
            <w:rStyle w:val="Hyperlink"/>
            <w:rFonts w:asciiTheme="minorHAnsi" w:hAnsiTheme="minorHAnsi"/>
            <w:sz w:val="16"/>
            <w:szCs w:val="16"/>
            <w:lang w:val="fr-BE"/>
          </w:rPr>
          <w:t>ive 2004/35/CE</w:t>
        </w:r>
      </w:hyperlink>
      <w:r>
        <w:rPr>
          <w:rFonts w:asciiTheme="minorHAnsi" w:hAnsiTheme="minorHAnsi"/>
          <w:sz w:val="16"/>
          <w:szCs w:val="16"/>
          <w:lang w:val="fr-BE"/>
        </w:rPr>
        <w:t>, p.56</w:t>
      </w:r>
    </w:p>
  </w:footnote>
  <w:footnote w:id="126">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5" w:history="1">
        <w:proofErr w:type="gramStart"/>
        <w:r>
          <w:rPr>
            <w:rStyle w:val="Hyperlink"/>
            <w:rFonts w:asciiTheme="minorHAnsi" w:hAnsiTheme="minorHAnsi"/>
            <w:sz w:val="16"/>
            <w:szCs w:val="16"/>
          </w:rPr>
          <w:t>COM(</w:t>
        </w:r>
        <w:proofErr w:type="gramEnd"/>
        <w:r>
          <w:rPr>
            <w:rStyle w:val="Hyperlink"/>
            <w:rFonts w:asciiTheme="minorHAnsi" w:hAnsiTheme="minorHAnsi"/>
            <w:sz w:val="16"/>
            <w:szCs w:val="16"/>
          </w:rPr>
          <w:t>2016)204 final</w:t>
        </w:r>
      </w:hyperlink>
      <w:r>
        <w:rPr>
          <w:rFonts w:asciiTheme="minorHAnsi" w:hAnsiTheme="minorHAnsi"/>
          <w:sz w:val="16"/>
          <w:szCs w:val="16"/>
        </w:rPr>
        <w:t xml:space="preserve"> and </w:t>
      </w:r>
      <w:hyperlink r:id="rId96" w:history="1">
        <w:r>
          <w:rPr>
            <w:rStyle w:val="Hyperlink"/>
            <w:rFonts w:asciiTheme="minorHAnsi" w:hAnsiTheme="minorHAnsi"/>
            <w:sz w:val="16"/>
            <w:szCs w:val="16"/>
          </w:rPr>
          <w:t>COM(2016)121 final</w:t>
        </w:r>
      </w:hyperlink>
      <w:r>
        <w:rPr>
          <w:rFonts w:asciiTheme="minorHAnsi" w:hAnsiTheme="minorHAnsi"/>
          <w:sz w:val="16"/>
          <w:szCs w:val="16"/>
        </w:rPr>
        <w:t xml:space="preserve"> of 14.4.20</w:t>
      </w:r>
      <w:r>
        <w:rPr>
          <w:rFonts w:asciiTheme="minorHAnsi" w:hAnsiTheme="minorHAnsi"/>
          <w:sz w:val="16"/>
          <w:szCs w:val="16"/>
        </w:rPr>
        <w:t>16. This highlighted the need for better evidence on how the directive is used in practice; for tools to support its implementation, such as guidance, training and ELD registers; and for financial security to be available in case events or incidents genera</w:t>
      </w:r>
      <w:r>
        <w:rPr>
          <w:rFonts w:asciiTheme="minorHAnsi" w:hAnsiTheme="minorHAnsi"/>
          <w:sz w:val="16"/>
          <w:szCs w:val="16"/>
        </w:rPr>
        <w:t>te remediation costs.</w:t>
      </w:r>
    </w:p>
  </w:footnote>
  <w:footnote w:id="127">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plan is published </w:t>
      </w:r>
      <w:hyperlink r:id="rId97" w:history="1">
        <w:r>
          <w:rPr>
            <w:rStyle w:val="Hyperlink"/>
            <w:rFonts w:asciiTheme="minorHAnsi" w:hAnsiTheme="minorHAnsi"/>
            <w:sz w:val="16"/>
            <w:szCs w:val="16"/>
          </w:rPr>
          <w:t>on the website</w:t>
        </w:r>
      </w:hyperlink>
      <w:r>
        <w:rPr>
          <w:rFonts w:asciiTheme="minorHAnsi" w:hAnsiTheme="minorHAnsi"/>
          <w:sz w:val="16"/>
          <w:szCs w:val="16"/>
        </w:rPr>
        <w:t xml:space="preserve"> of the ministry: </w:t>
      </w:r>
    </w:p>
  </w:footnote>
  <w:footnote w:id="128">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inspection programs are</w:t>
      </w:r>
      <w:r>
        <w:rPr>
          <w:rFonts w:asciiTheme="minorHAnsi" w:hAnsiTheme="minorHAnsi"/>
          <w:sz w:val="16"/>
          <w:szCs w:val="16"/>
        </w:rPr>
        <w:t xml:space="preserve"> also published </w:t>
      </w:r>
      <w:hyperlink r:id="rId98" w:history="1">
        <w:r>
          <w:rPr>
            <w:rStyle w:val="Hyperlink"/>
            <w:rFonts w:asciiTheme="minorHAnsi" w:hAnsiTheme="minorHAnsi"/>
            <w:sz w:val="16"/>
            <w:szCs w:val="16"/>
          </w:rPr>
          <w:t>online:</w:t>
        </w:r>
      </w:hyperlink>
      <w:r>
        <w:rPr>
          <w:rFonts w:asciiTheme="minorHAnsi" w:hAnsiTheme="minorHAnsi"/>
          <w:sz w:val="16"/>
          <w:szCs w:val="16"/>
        </w:rPr>
        <w:t xml:space="preserve"> </w:t>
      </w:r>
    </w:p>
  </w:footnote>
  <w:footnote w:id="129">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 has observed that information on inspections, compliance levels, fines, effectiveness and costs of enforcement is incomplete and </w:t>
      </w:r>
      <w:proofErr w:type="gramStart"/>
      <w:r>
        <w:rPr>
          <w:rFonts w:asciiTheme="minorHAnsi" w:hAnsiTheme="minorHAnsi"/>
          <w:sz w:val="16"/>
          <w:szCs w:val="16"/>
        </w:rPr>
        <w:t>fragmented,</w:t>
      </w:r>
      <w:proofErr w:type="gramEnd"/>
      <w:r>
        <w:rPr>
          <w:rFonts w:asciiTheme="minorHAnsi" w:hAnsiTheme="minorHAnsi"/>
          <w:sz w:val="16"/>
          <w:szCs w:val="16"/>
        </w:rPr>
        <w:t xml:space="preserve"> see OECD Environmental Performance Review Austria 2013, p. 59. See also Comparative study of pressures and me</w:t>
      </w:r>
      <w:r>
        <w:rPr>
          <w:rFonts w:asciiTheme="minorHAnsi" w:hAnsiTheme="minorHAnsi"/>
          <w:sz w:val="16"/>
          <w:szCs w:val="16"/>
        </w:rPr>
        <w:t xml:space="preserve">asures in the major River Basin Management </w:t>
      </w:r>
      <w:proofErr w:type="gramStart"/>
      <w:r>
        <w:rPr>
          <w:rFonts w:asciiTheme="minorHAnsi" w:hAnsiTheme="minorHAnsi"/>
          <w:sz w:val="16"/>
          <w:szCs w:val="16"/>
        </w:rPr>
        <w:t>Plans,</w:t>
      </w:r>
      <w:proofErr w:type="gramEnd"/>
      <w:r>
        <w:rPr>
          <w:rFonts w:asciiTheme="minorHAnsi" w:hAnsiTheme="minorHAnsi"/>
          <w:sz w:val="16"/>
          <w:szCs w:val="16"/>
        </w:rPr>
        <w:t xml:space="preserve"> section Governance, 2012, p. 130, 133 and 159. </w:t>
      </w:r>
    </w:p>
  </w:footnote>
  <w:footnote w:id="130">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 provides examples of some cooperation agreements in Austria but indicates also the need for more extensive use of such </w:t>
      </w:r>
      <w:proofErr w:type="gramStart"/>
      <w:r>
        <w:rPr>
          <w:rFonts w:asciiTheme="minorHAnsi" w:hAnsiTheme="minorHAnsi"/>
          <w:sz w:val="16"/>
          <w:szCs w:val="16"/>
        </w:rPr>
        <w:t>instruments,</w:t>
      </w:r>
      <w:proofErr w:type="gramEnd"/>
      <w:r>
        <w:rPr>
          <w:rFonts w:asciiTheme="minorHAnsi" w:hAnsiTheme="minorHAnsi"/>
          <w:sz w:val="16"/>
          <w:szCs w:val="16"/>
        </w:rPr>
        <w:t xml:space="preserve"> see OECD Environmen</w:t>
      </w:r>
      <w:r>
        <w:rPr>
          <w:rFonts w:asciiTheme="minorHAnsi" w:hAnsiTheme="minorHAnsi"/>
          <w:sz w:val="16"/>
          <w:szCs w:val="16"/>
        </w:rPr>
        <w:t xml:space="preserve">tal Performance Review Austria 2013, p. 58. </w:t>
      </w:r>
    </w:p>
  </w:footnote>
  <w:footnote w:id="131">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99" w:history="1">
        <w:r>
          <w:rPr>
            <w:rStyle w:val="Hyperlink"/>
            <w:rFonts w:asciiTheme="minorHAnsi" w:hAnsiTheme="minorHAnsi"/>
            <w:sz w:val="16"/>
            <w:szCs w:val="16"/>
          </w:rPr>
          <w:t>study on access to justice in environmental matters in Austria</w:t>
        </w:r>
      </w:hyperlink>
      <w:r>
        <w:rPr>
          <w:rFonts w:asciiTheme="minorHAnsi" w:hAnsiTheme="minorHAnsi"/>
          <w:sz w:val="16"/>
          <w:szCs w:val="16"/>
        </w:rPr>
        <w:t xml:space="preserve"> </w:t>
      </w:r>
    </w:p>
  </w:footnote>
  <w:footnote w:id="132">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UNECE, 1998.</w:t>
      </w:r>
      <w:proofErr w:type="gramEnd"/>
      <w:r>
        <w:rPr>
          <w:rFonts w:asciiTheme="minorHAnsi" w:hAnsiTheme="minorHAnsi"/>
          <w:sz w:val="16"/>
          <w:szCs w:val="16"/>
        </w:rPr>
        <w:t xml:space="preserve"> </w:t>
      </w:r>
      <w:hyperlink r:id="rId100" w:history="1">
        <w:r>
          <w:rPr>
            <w:rStyle w:val="Hyperlink"/>
            <w:rFonts w:asciiTheme="minorHAnsi" w:hAnsiTheme="minorHAnsi"/>
            <w:sz w:val="16"/>
            <w:szCs w:val="16"/>
          </w:rPr>
          <w:t>Convention on Access to Information, Public Participation in Decision-Making and Access to Justice in Environmental Matters</w:t>
        </w:r>
      </w:hyperlink>
      <w:r>
        <w:rPr>
          <w:rFonts w:asciiTheme="minorHAnsi" w:hAnsiTheme="minorHAnsi"/>
          <w:sz w:val="16"/>
          <w:szCs w:val="16"/>
        </w:rPr>
        <w:t xml:space="preserve"> </w:t>
      </w:r>
    </w:p>
  </w:footnote>
  <w:footnote w:id="133">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101" w:history="1">
        <w:r>
          <w:rPr>
            <w:rStyle w:val="Hyperlink"/>
            <w:rFonts w:asciiTheme="minorHAnsi" w:hAnsiTheme="minorHAnsi"/>
            <w:sz w:val="16"/>
            <w:szCs w:val="16"/>
          </w:rPr>
          <w:t>Di</w:t>
        </w:r>
        <w:r>
          <w:rPr>
            <w:rStyle w:val="Hyperlink"/>
            <w:rFonts w:asciiTheme="minorHAnsi" w:hAnsiTheme="minorHAnsi"/>
            <w:sz w:val="16"/>
            <w:szCs w:val="16"/>
          </w:rPr>
          <w:t>rective 2003/4/EC on public access to environmental information</w:t>
        </w:r>
      </w:hyperlink>
    </w:p>
  </w:footnote>
  <w:footnote w:id="134">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102"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r>
        <w:rPr>
          <w:rFonts w:asciiTheme="minorHAnsi" w:hAnsiTheme="minorHAnsi"/>
          <w:sz w:val="16"/>
          <w:szCs w:val="16"/>
        </w:rPr>
        <w:t xml:space="preserve"> </w:t>
      </w:r>
    </w:p>
  </w:footnote>
  <w:footnote w:id="135">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w:t>
      </w:r>
      <w:r>
        <w:rPr>
          <w:rFonts w:asciiTheme="minorHAnsi" w:hAnsiTheme="minorHAnsi"/>
          <w:sz w:val="16"/>
          <w:szCs w:val="16"/>
        </w:rPr>
        <w:t xml:space="preserve">020 - Accelerating the digital transformation of government </w:t>
      </w:r>
      <w:hyperlink r:id="rId103" w:history="1">
        <w:r>
          <w:rPr>
            <w:rStyle w:val="Hyperlink"/>
            <w:rFonts w:asciiTheme="minorHAnsi" w:hAnsiTheme="minorHAnsi"/>
            <w:sz w:val="16"/>
            <w:szCs w:val="16"/>
          </w:rPr>
          <w:t>COM(2016) 179</w:t>
        </w:r>
      </w:hyperlink>
      <w:r>
        <w:rPr>
          <w:rFonts w:asciiTheme="minorHAnsi" w:hAnsiTheme="minorHAnsi"/>
          <w:sz w:val="16"/>
          <w:szCs w:val="16"/>
        </w:rPr>
        <w:t xml:space="preserve"> final </w:t>
      </w:r>
    </w:p>
  </w:footnote>
  <w:footnote w:id="136">
    <w:p w:rsidR="00587940" w:rsidRDefault="00E43A41">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Upon request by the</w:t>
      </w:r>
      <w:r>
        <w:rPr>
          <w:rFonts w:asciiTheme="minorHAnsi" w:hAnsiTheme="minorHAnsi"/>
          <w:sz w:val="16"/>
          <w:szCs w:val="16"/>
        </w:rPr>
        <w:t xml:space="preserve"> Commission, most Member States provided an INSPIRE Action Plan addressing implementation issues. These plans are currently being assessed by the Commission.</w:t>
      </w:r>
    </w:p>
  </w:footnote>
  <w:footnote w:id="137">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104" w:history="1">
        <w:r>
          <w:rPr>
            <w:rStyle w:val="Hyperlink"/>
            <w:rFonts w:asciiTheme="minorHAnsi" w:hAnsiTheme="minorHAnsi"/>
            <w:sz w:val="16"/>
            <w:szCs w:val="16"/>
          </w:rPr>
          <w:t>INSPIRE re</w:t>
        </w:r>
        <w:r>
          <w:rPr>
            <w:rStyle w:val="Hyperlink"/>
            <w:rFonts w:asciiTheme="minorHAnsi" w:hAnsiTheme="minorHAnsi"/>
            <w:sz w:val="16"/>
            <w:szCs w:val="16"/>
          </w:rPr>
          <w:t>ports</w:t>
        </w:r>
      </w:hyperlink>
    </w:p>
  </w:footnote>
  <w:footnote w:id="138">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hyperlink r:id="rId105" w:history="1">
        <w:r>
          <w:rPr>
            <w:rStyle w:val="Hyperlink"/>
            <w:rFonts w:asciiTheme="minorHAnsi" w:hAnsiTheme="minorHAnsi"/>
            <w:sz w:val="16"/>
            <w:szCs w:val="16"/>
          </w:rPr>
          <w:t xml:space="preserve"> </w:t>
        </w:r>
        <w:hyperlink r:id="rId106" w:anchor="/" w:history="1">
          <w:r>
            <w:rPr>
              <w:rStyle w:val="Hyperlink"/>
              <w:rFonts w:asciiTheme="minorHAnsi" w:hAnsiTheme="minorHAnsi"/>
              <w:sz w:val="16"/>
              <w:szCs w:val="16"/>
            </w:rPr>
            <w:t>Inspire indicator trends</w:t>
          </w:r>
        </w:hyperlink>
        <w:r>
          <w:rPr>
            <w:rFonts w:asciiTheme="minorHAnsi" w:hAnsiTheme="minorHAnsi"/>
            <w:sz w:val="16"/>
            <w:szCs w:val="16"/>
            <w:vertAlign w:val="superscript"/>
          </w:rPr>
          <w:t xml:space="preserve"> </w:t>
        </w:r>
      </w:hyperlink>
    </w:p>
  </w:footnote>
  <w:footnote w:id="139">
    <w:p w:rsidR="00587940" w:rsidRDefault="00E43A41">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07"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A41" w:rsidRPr="00E43A41" w:rsidRDefault="00E43A41" w:rsidP="00E43A4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40.95pt;margin-top:252.2pt;width:429.4pt;height:257.6pt;rotation:315;z-index:-251625984;mso-position-horizontal-relative:margin;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sdt>
            <w:sdtPr>
              <w:rPr>
                <w:rFonts w:cstheme="minorHAnsi"/>
                <w:b/>
                <w:bCs/>
                <w:color w:val="1F497D" w:themeColor="text2"/>
              </w:rPr>
              <w:id w:val="1862933743"/>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left:0;text-align:left;margin-left:0;margin-top:0;width:429.4pt;height:257.6pt;rotation:315;z-index:-2516198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40.95pt;margin-top:252.2pt;width:429.4pt;height:257.6pt;rotation:315;z-index:-251621888;mso-position-horizontal-relative:margin;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40.95pt;margin-top:252.2pt;width:429.4pt;height:257.6pt;rotation:315;z-index:-251617792;mso-position-horizontal-relative:margin;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A41" w:rsidRPr="00E43A41" w:rsidRDefault="00E43A41" w:rsidP="00E43A41">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8</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40.95pt;margin-top:252.2pt;width:429.4pt;height:257.6pt;rotation:315;z-index:-251613696;mso-position-horizontal-relative:margin;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margin-left:40.95pt;margin-top:252.2pt;width:429.4pt;height:257.6pt;rotation:315;z-index:-251609600;mso-position-horizontal-relative:margin;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13</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1" type="#_x0000_t136" style="position:absolute;margin-left:40.95pt;margin-top:252.2pt;width:429.4pt;height:257.6pt;rotation:315;z-index:-251605504;mso-position-horizontal-relative:margin;mso-position-vertical-relative:margin" o:allowincell="f" fillcolor="silver" stroked="f">
          <v:fill opacity=".5"/>
          <v:textpath style="font-family:&quot;Calibri&quot;;font-size:1pt" string="DRAFT"/>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tabs>
              <w:tab w:val="left" w:pos="1942"/>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A41" w:rsidRPr="00E43A41" w:rsidRDefault="00E43A41" w:rsidP="00E43A41">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40.95pt;margin-top:252.2pt;width:429.4pt;height:257.6pt;rotation:315;z-index:-251601408;mso-position-horizontal-relative:margin;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tabs>
              <w:tab w:val="left" w:pos="2219"/>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18</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5" type="#_x0000_t136" style="position:absolute;margin-left:40.95pt;margin-top:252.2pt;width:429.4pt;height:257.6pt;rotation:315;z-index:-251597312;mso-position-horizontal-relative:margin;mso-position-vertical-relative:margin" o:allowincell="f" fillcolor="silver" stroked="f">
          <v:fill opacity=".5"/>
          <v:textpath style="font-family:&quot;Calibri&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tabs>
              <w:tab w:val="left" w:pos="1700"/>
              <w:tab w:val="right" w:pos="8594"/>
            </w:tabs>
            <w:spacing w:line="276" w:lineRule="auto"/>
            <w:rPr>
              <w:rFonts w:cstheme="minorHAnsi"/>
              <w:b/>
              <w:bCs/>
              <w:color w:val="1F497D" w:themeColor="text2"/>
            </w:rPr>
          </w:pPr>
          <w:r>
            <w:rPr>
              <w:rFonts w:cstheme="minorHAnsi"/>
              <w:b/>
              <w:bCs/>
              <w:color w:val="1F497D" w:themeColor="text2"/>
            </w:rPr>
            <w:tab/>
          </w:r>
          <w:r>
            <w:rPr>
              <w:rFonts w:cstheme="minorHAnsi"/>
              <w:b/>
              <w:bCs/>
              <w:color w:val="1F497D" w:themeColor="text2"/>
            </w:rPr>
            <w:tab/>
          </w:r>
          <w:r>
            <w:rPr>
              <w:rFonts w:cstheme="minorHAnsi"/>
              <w:b/>
              <w:bCs/>
              <w:color w:val="1F497D" w:themeColor="text2"/>
            </w:rPr>
            <w:tab/>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7" type="#_x0000_t136" style="position:absolute;margin-left:40.95pt;margin-top:252.2pt;width:429.4pt;height:257.6pt;rotation:315;z-index:-251593216;mso-position-horizontal-relative:margin;mso-position-vertical-relative:margin" o:allowincell="f" fillcolor="silver" stroked="f">
          <v:fill opacity=".5"/>
          <v:textpath style="font-family:&quot;Calibri&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sdt>
            <w:sdtPr>
              <w:rPr>
                <w:rFonts w:cstheme="minorHAnsi"/>
                <w:b/>
                <w:bCs/>
                <w:color w:val="1F497D" w:themeColor="text2"/>
              </w:rPr>
              <w:id w:val="1923764278"/>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left:0;text-align:left;margin-left:0;margin-top:0;width:429.4pt;height:257.6pt;rotation:315;z-index:-251587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9" type="#_x0000_t136" style="position:absolute;margin-left:40.95pt;margin-top:252.2pt;width:429.4pt;height:257.6pt;rotation:315;z-index:-251589120;mso-position-horizontal-relative:margin;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sdt>
            <w:sdtPr>
              <w:rPr>
                <w:rFonts w:cstheme="minorHAnsi"/>
                <w:b/>
                <w:bCs/>
                <w:color w:val="1F497D" w:themeColor="text2"/>
              </w:rPr>
              <w:id w:val="-1909918794"/>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2" type="#_x0000_t136" style="position:absolute;left:0;text-align:left;margin-left:0;margin-top:0;width:429.4pt;height:257.6pt;rotation:315;z-index:-251582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margin-left:40.95pt;margin-top:252.2pt;width:429.4pt;height:257.6pt;rotation:315;z-index:-251585024;mso-position-horizontal-relative:margin;mso-position-vertical-relative:margin" o:allowincell="f" fillcolor="silver" stroked="f">
          <v:fill opacity=".5"/>
          <v:textpath style="font-family:&quot;Calibri&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margin-left:40.95pt;margin-top:252.2pt;width:429.4pt;height:257.6pt;rotation:315;z-index:-251580928;mso-position-horizontal-relative:margin;mso-position-vertical-relative:margin" o:allowincell="f" fillcolor="silver" stroked="f">
          <v:fill opacity=".5"/>
          <v:textpath style="font-family:&quot;Calibri&quot;;font-size:1pt" string="DRAFT"/>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40.95pt;margin-top:252.2pt;width:429.4pt;height:257.6pt;rotation:315;z-index:-251576832;mso-position-horizontal-relative:margin;mso-position-vertical-relative:margin" o:allowincell="f" fillcolor="silver" stroked="f">
          <v:fill opacity=".5"/>
          <v:textpath style="font-family:&quot;Calibri&quot;;font-size:1pt" string="DRAFT"/>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26</w:t>
          </w:r>
          <w:r>
            <w:rPr>
              <w:rFonts w:cstheme="minorHAnsi"/>
              <w:b/>
              <w:bCs/>
              <w:color w:val="1F497D" w:themeColor="text2"/>
              <w:sz w:val="28"/>
            </w:rPr>
            <w:fldChar w:fldCharType="end"/>
          </w:r>
        </w:p>
      </w:tc>
    </w:tr>
  </w:tbl>
  <w:p w:rsidR="00587940" w:rsidRDefault="00E43A41">
    <w:pPr>
      <w:pStyle w:val="Header"/>
      <w:tabs>
        <w:tab w:val="clear" w:pos="4513"/>
        <w:tab w:val="clear" w:pos="9026"/>
        <w:tab w:val="left" w:pos="3315"/>
      </w:tabs>
      <w:rPr>
        <w:color w:val="1F497D" w:themeColor="text2"/>
      </w:rPr>
    </w:pPr>
    <w:r>
      <w:rPr>
        <w:color w:val="1F497D" w:themeColor="text2"/>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40.95pt;margin-top:252.2pt;width:429.4pt;height:257.6pt;rotation:315;z-index:-251572736;mso-position-horizontal-relative:margin;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587940" w:rsidRDefault="0058794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58794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587940">
      <w:tc>
        <w:tcPr>
          <w:tcW w:w="0" w:type="auto"/>
          <w:tcBorders>
            <w:top w:val="nil"/>
            <w:left w:val="nil"/>
            <w:bottom w:val="nil"/>
            <w:right w:val="single" w:sz="6" w:space="0" w:color="000000" w:themeColor="text1"/>
          </w:tcBorders>
          <w:hideMark/>
        </w:tcPr>
        <w:p w:rsidR="00587940" w:rsidRDefault="00E43A41">
          <w:pPr>
            <w:pStyle w:val="Header"/>
            <w:spacing w:line="276" w:lineRule="auto"/>
            <w:jc w:val="right"/>
            <w:rPr>
              <w:rFonts w:cstheme="minorHAnsi"/>
              <w:b/>
              <w:bCs/>
              <w:color w:val="1F497D" w:themeColor="text2"/>
            </w:rPr>
          </w:pPr>
          <w:r>
            <w:rPr>
              <w:rFonts w:cstheme="minorHAnsi"/>
              <w:b/>
              <w:bCs/>
              <w:color w:val="1F497D" w:themeColor="text2"/>
            </w:rPr>
            <w:t>Austria</w:t>
          </w:r>
        </w:p>
      </w:tc>
      <w:tc>
        <w:tcPr>
          <w:tcW w:w="1152" w:type="dxa"/>
          <w:tcBorders>
            <w:top w:val="nil"/>
            <w:left w:val="single" w:sz="6" w:space="0" w:color="000000" w:themeColor="text1"/>
            <w:bottom w:val="nil"/>
            <w:right w:val="nil"/>
          </w:tcBorders>
          <w:hideMark/>
        </w:tcPr>
        <w:p w:rsidR="00587940" w:rsidRDefault="00E43A41">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587940" w:rsidRDefault="00587940">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940" w:rsidRDefault="00E43A41">
    <w:pPr>
      <w:pStyle w:val="Header"/>
    </w:pPr>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40.95pt;margin-top:252.2pt;width:429.4pt;height:257.6pt;rotation:315;z-index:-251628032;mso-position-horizontal-relative:margin;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szCs w:val="20"/>
      </w:rPr>
    </w:lvl>
  </w:abstractNum>
  <w:abstractNum w:abstractNumId="1">
    <w:nsid w:val="00000006"/>
    <w:multiLevelType w:val="singleLevel"/>
    <w:tmpl w:val="00000006"/>
    <w:name w:val="WW8Num6"/>
    <w:lvl w:ilvl="0">
      <w:start w:val="1"/>
      <w:numFmt w:val="bullet"/>
      <w:lvlText w:val=""/>
      <w:lvlJc w:val="left"/>
      <w:pPr>
        <w:tabs>
          <w:tab w:val="num" w:pos="0"/>
        </w:tabs>
        <w:ind w:left="360" w:hanging="360"/>
      </w:pPr>
      <w:rPr>
        <w:rFonts w:ascii="Symbol" w:hAnsi="Symbol" w:cs="Times New Roman" w:hint="default"/>
        <w:color w:val="auto"/>
        <w:sz w:val="24"/>
      </w:rPr>
    </w:lvl>
  </w:abstractNum>
  <w:abstractNum w:abstractNumId="2">
    <w:nsid w:val="00000007"/>
    <w:multiLevelType w:val="singleLevel"/>
    <w:tmpl w:val="00000007"/>
    <w:name w:val="WW8Num7"/>
    <w:lvl w:ilvl="0">
      <w:numFmt w:val="bullet"/>
      <w:lvlText w:val="-"/>
      <w:lvlJc w:val="left"/>
      <w:pPr>
        <w:tabs>
          <w:tab w:val="num" w:pos="0"/>
        </w:tabs>
        <w:ind w:left="720" w:hanging="360"/>
      </w:pPr>
      <w:rPr>
        <w:rFonts w:ascii="Calibri" w:hAnsi="Calibri" w:cs="Symbol" w:hint="default"/>
        <w:color w:val="auto"/>
        <w:sz w:val="24"/>
      </w:rPr>
    </w:lvl>
  </w:abstractNum>
  <w:abstractNum w:abstractNumId="3">
    <w:nsid w:val="00000008"/>
    <w:multiLevelType w:val="singleLevel"/>
    <w:tmpl w:val="00000008"/>
    <w:name w:val="WW8Num8"/>
    <w:lvl w:ilvl="0">
      <w:start w:val="1"/>
      <w:numFmt w:val="bullet"/>
      <w:lvlText w:val=""/>
      <w:lvlJc w:val="left"/>
      <w:pPr>
        <w:tabs>
          <w:tab w:val="num" w:pos="0"/>
        </w:tabs>
        <w:ind w:left="360" w:hanging="360"/>
      </w:pPr>
      <w:rPr>
        <w:rFonts w:ascii="Symbol" w:hAnsi="Symbol" w:cs="Symbol" w:hint="default"/>
        <w:color w:val="auto"/>
      </w:rPr>
    </w:lvl>
  </w:abstractNum>
  <w:abstractNum w:abstractNumId="4">
    <w:nsid w:val="00000009"/>
    <w:multiLevelType w:val="singleLevel"/>
    <w:tmpl w:val="00000009"/>
    <w:name w:val="WW8Num9"/>
    <w:lvl w:ilvl="0">
      <w:start w:val="1"/>
      <w:numFmt w:val="bullet"/>
      <w:lvlText w:val=""/>
      <w:lvlJc w:val="left"/>
      <w:pPr>
        <w:tabs>
          <w:tab w:val="num" w:pos="0"/>
        </w:tabs>
        <w:ind w:left="360" w:hanging="360"/>
      </w:pPr>
      <w:rPr>
        <w:rFonts w:ascii="Symbol" w:hAnsi="Symbol" w:cs="Times New Roman"/>
        <w:color w:val="auto"/>
      </w:rPr>
    </w:lvl>
  </w:abstractNum>
  <w:abstractNum w:abstractNumId="5">
    <w:nsid w:val="00000011"/>
    <w:multiLevelType w:val="singleLevel"/>
    <w:tmpl w:val="00000011"/>
    <w:name w:val="WW8Num17"/>
    <w:lvl w:ilvl="0">
      <w:start w:val="1"/>
      <w:numFmt w:val="decimal"/>
      <w:lvlText w:val="%1."/>
      <w:lvlJc w:val="left"/>
      <w:pPr>
        <w:tabs>
          <w:tab w:val="num" w:pos="0"/>
        </w:tabs>
        <w:ind w:left="720" w:hanging="360"/>
      </w:pPr>
      <w:rPr>
        <w:rFonts w:ascii="Wingdings" w:eastAsia="Calibri" w:hAnsi="Wingdings" w:cs="AdvOTbc475f09" w:hint="default"/>
        <w:b/>
        <w:bCs/>
        <w:color w:val="auto"/>
      </w:rPr>
    </w:lvl>
  </w:abstractNum>
  <w:abstractNum w:abstractNumId="6">
    <w:nsid w:val="00000013"/>
    <w:multiLevelType w:val="singleLevel"/>
    <w:tmpl w:val="00000013"/>
    <w:name w:val="WW8Num19"/>
    <w:lvl w:ilvl="0">
      <w:start w:val="1"/>
      <w:numFmt w:val="bullet"/>
      <w:lvlText w:val=""/>
      <w:lvlJc w:val="left"/>
      <w:pPr>
        <w:tabs>
          <w:tab w:val="num" w:pos="0"/>
        </w:tabs>
        <w:ind w:left="360" w:hanging="360"/>
      </w:pPr>
      <w:rPr>
        <w:rFonts w:ascii="Symbol" w:hAnsi="Symbol" w:cs="Symbol" w:hint="default"/>
        <w:color w:val="000000"/>
        <w:szCs w:val="20"/>
        <w:lang w:val="en-US"/>
      </w:rPr>
    </w:lvl>
  </w:abstractNum>
  <w:abstractNum w:abstractNumId="7">
    <w:nsid w:val="00000014"/>
    <w:multiLevelType w:val="singleLevel"/>
    <w:tmpl w:val="00000014"/>
    <w:name w:val="WW8Num20"/>
    <w:lvl w:ilvl="0">
      <w:start w:val="1"/>
      <w:numFmt w:val="bullet"/>
      <w:lvlText w:val=""/>
      <w:lvlJc w:val="left"/>
      <w:pPr>
        <w:tabs>
          <w:tab w:val="num" w:pos="0"/>
        </w:tabs>
        <w:ind w:left="360" w:hanging="360"/>
      </w:pPr>
      <w:rPr>
        <w:rFonts w:ascii="Symbol" w:hAnsi="Symbol" w:cs="Symbol" w:hint="default"/>
      </w:rPr>
    </w:lvl>
  </w:abstractNum>
  <w:abstractNum w:abstractNumId="8">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1B03586"/>
    <w:multiLevelType w:val="hybridMultilevel"/>
    <w:tmpl w:val="744E7330"/>
    <w:lvl w:ilvl="0" w:tplc="62CC8BCA">
      <w:start w:val="1"/>
      <w:numFmt w:val="bullet"/>
      <w:pStyle w:val="SuggAction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11">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2">
    <w:nsid w:val="153C4E06"/>
    <w:multiLevelType w:val="hybridMultilevel"/>
    <w:tmpl w:val="0AB41FE4"/>
    <w:lvl w:ilvl="0" w:tplc="08090009">
      <w:start w:val="1"/>
      <w:numFmt w:val="bullet"/>
      <w:lvlText w:val=""/>
      <w:lvlJc w:val="left"/>
      <w:pPr>
        <w:ind w:left="360" w:hanging="360"/>
      </w:pPr>
      <w:rPr>
        <w:rFonts w:ascii="Wingdings" w:hAnsi="Wingdings" w:hint="default"/>
        <w:color w:val="000000" w:themeColor="text1"/>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72C189D"/>
    <w:multiLevelType w:val="hybridMultilevel"/>
    <w:tmpl w:val="02467F9A"/>
    <w:lvl w:ilvl="0" w:tplc="08090009">
      <w:start w:val="1"/>
      <w:numFmt w:val="bullet"/>
      <w:lvlText w:val=""/>
      <w:lvlJc w:val="left"/>
      <w:pPr>
        <w:ind w:left="360" w:hanging="360"/>
      </w:pPr>
      <w:rPr>
        <w:rFonts w:ascii="Wingdings" w:hAnsi="Wingdings" w:hint="default"/>
        <w:color w:val="auto"/>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5">
    <w:nsid w:val="29A55C9C"/>
    <w:multiLevelType w:val="hybridMultilevel"/>
    <w:tmpl w:val="319C8AD4"/>
    <w:lvl w:ilvl="0" w:tplc="08090009">
      <w:start w:val="1"/>
      <w:numFmt w:val="bullet"/>
      <w:lvlText w:val=""/>
      <w:lvlJc w:val="left"/>
      <w:pPr>
        <w:ind w:left="360" w:hanging="360"/>
      </w:pPr>
      <w:rPr>
        <w:rFonts w:ascii="Wingdings" w:hAnsi="Wingdings" w:hint="default"/>
        <w:color w:val="000000" w:themeColor="text1"/>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7">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9EF108E"/>
    <w:multiLevelType w:val="hybridMultilevel"/>
    <w:tmpl w:val="F48C5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668244A6"/>
    <w:multiLevelType w:val="hybridMultilevel"/>
    <w:tmpl w:val="BD4225D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7">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91B7CAA"/>
    <w:multiLevelType w:val="hybridMultilevel"/>
    <w:tmpl w:val="C44E810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0">
    <w:nsid w:val="73D27E57"/>
    <w:multiLevelType w:val="hybridMultilevel"/>
    <w:tmpl w:val="02500590"/>
    <w:lvl w:ilvl="0" w:tplc="DEB4352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32"/>
  </w:num>
  <w:num w:numId="3">
    <w:abstractNumId w:val="23"/>
  </w:num>
  <w:num w:numId="4">
    <w:abstractNumId w:val="17"/>
  </w:num>
  <w:num w:numId="5">
    <w:abstractNumId w:val="16"/>
  </w:num>
  <w:num w:numId="6">
    <w:abstractNumId w:val="11"/>
  </w:num>
  <w:num w:numId="7">
    <w:abstractNumId w:val="10"/>
  </w:num>
  <w:num w:numId="8">
    <w:abstractNumId w:val="24"/>
  </w:num>
  <w:num w:numId="9">
    <w:abstractNumId w:val="27"/>
  </w:num>
  <w:num w:numId="10">
    <w:abstractNumId w:val="26"/>
  </w:num>
  <w:num w:numId="11">
    <w:abstractNumId w:val="29"/>
  </w:num>
  <w:num w:numId="12">
    <w:abstractNumId w:val="14"/>
  </w:num>
  <w:num w:numId="13">
    <w:abstractNumId w:val="18"/>
  </w:num>
  <w:num w:numId="14">
    <w:abstractNumId w:val="20"/>
  </w:num>
  <w:num w:numId="15">
    <w:abstractNumId w:val="19"/>
  </w:num>
  <w:num w:numId="16">
    <w:abstractNumId w:val="8"/>
  </w:num>
  <w:num w:numId="17">
    <w:abstractNumId w:val="21"/>
  </w:num>
  <w:num w:numId="18">
    <w:abstractNumId w:val="22"/>
  </w:num>
  <w:num w:numId="19">
    <w:abstractNumId w:val="30"/>
  </w:num>
  <w:num w:numId="20">
    <w:abstractNumId w:val="25"/>
  </w:num>
  <w:num w:numId="21">
    <w:abstractNumId w:val="28"/>
  </w:num>
  <w:num w:numId="22">
    <w:abstractNumId w:val="9"/>
  </w:num>
  <w:num w:numId="23">
    <w:abstractNumId w:val="13"/>
  </w:num>
  <w:num w:numId="24">
    <w:abstractNumId w:val="12"/>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BB59B4E44C084A2EB11A91452CBD991D"/>
    <w:docVar w:name="LW_CROSSREFERENCE" w:val="{COM(2017) 63 final}_x000a_{SWD(2017) 34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33"/>
    <w:docVar w:name="LW_REF.INTERNE" w:val="&lt;UNUSED&gt;"/>
    <w:docVar w:name="LW_SUPERTITRE" w:val="&lt;UNUSED&gt;"/>
    <w:docVar w:name="LW_TITRE.OBJ.CP" w:val="The EU Environmental Implementation Review_x000b_Country Report - AUSTRIA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587940"/>
    <w:rsid w:val="00587940"/>
    <w:rsid w:val="00E43A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footnote reference" w:qFormat="1"/>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19"/>
      </w:numPr>
      <w:spacing w:after="240" w:line="240" w:lineRule="auto"/>
      <w:ind w:left="714" w:hanging="357"/>
      <w:jc w:val="center"/>
      <w:outlineLvl w:val="0"/>
    </w:pPr>
    <w:rPr>
      <w:rFonts w:ascii="Calibri" w:eastAsia="MS Gothic" w:hAnsi="Calibri" w:cs="Times New Roman"/>
      <w:b/>
      <w:bCs/>
      <w:color w:val="1F497D"/>
      <w:sz w:val="32"/>
      <w:szCs w:val="28"/>
      <w:lang w:eastAsia="ar-SA"/>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MS Gothic" w:hAnsi="Calibri" w:cs="Times New Roman"/>
      <w:b/>
      <w:bCs/>
      <w:color w:val="1F497D"/>
      <w:sz w:val="32"/>
      <w:szCs w:val="28"/>
      <w:lang w:eastAsia="ar-SA"/>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Pr>
      <w:rFonts w:ascii="Cambria" w:eastAsia="Times New Roman" w:hAnsi="Cambria" w:cs="Times New Roman"/>
      <w:i/>
      <w:iCs/>
      <w:color w:val="404040"/>
      <w:sz w:val="20"/>
      <w:szCs w:val="20"/>
    </w:rPr>
  </w:style>
  <w:style w:type="paragraph" w:styleId="BalloonText">
    <w:name w:val="Balloon Text"/>
    <w:basedOn w:val="Normal"/>
    <w:link w:val="BalloonTextChar"/>
    <w:uiPriority w:val="99"/>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unhideWhenUsed/>
    <w:rPr>
      <w:color w:val="800080"/>
      <w:u w:val="single"/>
    </w:rPr>
  </w:style>
  <w:style w:type="paragraph" w:styleId="Revision">
    <w:name w:val="Revision"/>
    <w:hidden/>
    <w:uiPriority w:val="99"/>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after="0" w:line="240" w:lineRule="auto"/>
      <w:ind w:left="482" w:right="720" w:hanging="482"/>
      <w:jc w:val="center"/>
    </w:pPr>
    <w:rPr>
      <w:rFonts w:ascii="Calibri" w:eastAsia="Times New Roman" w:hAnsi="Calibri" w:cs="Times New Roman"/>
      <w:b/>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4"/>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5"/>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6"/>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2"/>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4"/>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7"/>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Cs w:val="2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Cs w:val="20"/>
    </w:rPr>
  </w:style>
  <w:style w:type="character" w:customStyle="1" w:styleId="WW8Num4z0">
    <w:name w:val="WW8Num4z0"/>
    <w:rPr>
      <w:rFonts w:ascii="Symbol" w:hAnsi="Symbol" w:cs="Symbol"/>
    </w:rPr>
  </w:style>
  <w:style w:type="character" w:customStyle="1" w:styleId="WW8Num5z0">
    <w:name w:val="WW8Num5z0"/>
    <w:rPr>
      <w:rFonts w:ascii="Symbol" w:hAnsi="Symbol" w:cs="Symbol" w:hint="default"/>
      <w:color w:val="auto"/>
    </w:rPr>
  </w:style>
  <w:style w:type="character" w:customStyle="1" w:styleId="WW8Num6z0">
    <w:name w:val="WW8Num6z0"/>
    <w:rPr>
      <w:rFonts w:ascii="Calibri" w:eastAsia="Calibri" w:hAnsi="Calibri" w:cs="Times New Roman" w:hint="default"/>
      <w:color w:val="auto"/>
      <w:sz w:val="24"/>
    </w:rPr>
  </w:style>
  <w:style w:type="character" w:customStyle="1" w:styleId="WW8Num7z0">
    <w:name w:val="WW8Num7z0"/>
    <w:rPr>
      <w:rFonts w:ascii="Symbol" w:hAnsi="Symbol" w:cs="Symbol" w:hint="default"/>
      <w:color w:val="auto"/>
      <w:sz w:val="24"/>
    </w:rPr>
  </w:style>
  <w:style w:type="character" w:customStyle="1" w:styleId="WW8Num8z0">
    <w:name w:val="WW8Num8z0"/>
    <w:rPr>
      <w:rFonts w:ascii="Symbol" w:hAnsi="Symbol" w:cs="Symbol" w:hint="default"/>
      <w:color w:val="auto"/>
    </w:rPr>
  </w:style>
  <w:style w:type="character" w:customStyle="1" w:styleId="WW8Num9z0">
    <w:name w:val="WW8Num9z0"/>
    <w:rPr>
      <w:rFonts w:ascii="Times New Roman" w:hAnsi="Times New Roman" w:cs="Times New Roman"/>
      <w:color w:val="auto"/>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style>
  <w:style w:type="character" w:customStyle="1" w:styleId="WW8Num13z0">
    <w:name w:val="WW8Num13z0"/>
  </w:style>
  <w:style w:type="character" w:customStyle="1" w:styleId="WW8Num13z1">
    <w:name w:val="WW8Num13z1"/>
  </w:style>
  <w:style w:type="character" w:customStyle="1" w:styleId="WW8Num13z2">
    <w:name w:val="WW8Num13z2"/>
    <w:rPr>
      <w:rFonts w:ascii="Times New Roman" w:hAnsi="Times New Roman" w:cs="Times New Roman"/>
    </w:rPr>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rPr>
      <w:rFonts w:ascii="Times New Roman" w:hAnsi="Times New Roman" w:cs="Times New Roman"/>
    </w:rPr>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rPr>
      <w:rFonts w:ascii="Times New Roman" w:hAnsi="Times New Roman" w:cs="Times New Roman"/>
    </w:rPr>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Calibri" w:hint="default"/>
      <w:b/>
      <w:bCs/>
      <w:color w:val="auto"/>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eastAsia="Calibri" w:hAnsi="Wingdings" w:cs="AdvOTbc475f09" w:hint="default"/>
      <w:b/>
      <w:bCs/>
      <w:color w:val="auto"/>
    </w:rPr>
  </w:style>
  <w:style w:type="character" w:customStyle="1" w:styleId="WW8Num18z0">
    <w:name w:val="WW8Num18z0"/>
    <w:rPr>
      <w:rFonts w:ascii="Symbol" w:hAnsi="Symbol" w:cs="Symbol"/>
    </w:rPr>
  </w:style>
  <w:style w:type="character" w:customStyle="1" w:styleId="WW8Num19z0">
    <w:name w:val="WW8Num19z0"/>
    <w:rPr>
      <w:rFonts w:ascii="Symbol" w:hAnsi="Symbol" w:cs="Symbol" w:hint="default"/>
      <w:color w:val="000000"/>
      <w:szCs w:val="20"/>
      <w:lang w:val="en-US"/>
    </w:rPr>
  </w:style>
  <w:style w:type="character" w:customStyle="1" w:styleId="WW8Num20z0">
    <w:name w:val="WW8Num20z0"/>
    <w:rPr>
      <w:rFonts w:ascii="Symbol" w:hAnsi="Symbol" w:cs="Symbol" w:hint="default"/>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Times New Roman" w:eastAsia="Calibri" w:hAnsi="Times New Roman" w:cs="Times New Roman" w:hint="default"/>
    </w:rPr>
  </w:style>
  <w:style w:type="character" w:customStyle="1" w:styleId="WW8Num8z2">
    <w:name w:val="WW8Num8z2"/>
    <w:rPr>
      <w:rFonts w:ascii="Wingdings" w:hAnsi="Wingdings" w:cs="Wingdings" w:hint="default"/>
    </w:rPr>
  </w:style>
  <w:style w:type="character" w:customStyle="1" w:styleId="WW8Num8z4">
    <w:name w:val="WW8Num8z4"/>
    <w:rPr>
      <w:rFonts w:ascii="Courier New" w:hAnsi="Courier New" w:cs="Courier New" w:hint="default"/>
    </w:rPr>
  </w:style>
  <w:style w:type="character" w:customStyle="1" w:styleId="WW8Num12z1">
    <w:name w:val="WW8Num12z1"/>
  </w:style>
  <w:style w:type="character" w:customStyle="1" w:styleId="WW8Num12z2">
    <w:name w:val="WW8Num12z2"/>
    <w:rPr>
      <w:rFonts w:ascii="Times New Roman" w:hAnsi="Times New Roman" w:cs="Times New Roman"/>
    </w:rPr>
  </w:style>
  <w:style w:type="character" w:customStyle="1" w:styleId="WW8Num12z3">
    <w:name w:val="WW8Num12z3"/>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FootnoteCharacters">
    <w:name w:val="WW-Footnote Characters"/>
  </w:style>
  <w:style w:type="character" w:customStyle="1" w:styleId="SubtitleChar">
    <w:name w:val="Subtitle Char"/>
    <w:rPr>
      <w:rFonts w:cs="Calibri"/>
      <w:color w:val="1F497D"/>
      <w:sz w:val="22"/>
      <w:szCs w:val="26"/>
    </w:rPr>
  </w:style>
  <w:style w:type="character" w:customStyle="1" w:styleId="EndnoteTextChar">
    <w:name w:val="Endnote Text Char"/>
  </w:style>
  <w:style w:type="character" w:customStyle="1" w:styleId="EndnoteCharacters">
    <w:name w:val="Endnote Characters"/>
    <w:rPr>
      <w:vertAlign w:val="superscript"/>
    </w:rPr>
  </w:style>
  <w:style w:type="character" w:customStyle="1" w:styleId="VoetnoottekstChar">
    <w:name w:val="Voetnoottekst Char"/>
    <w:rPr>
      <w:rFonts w:eastAsia="Calibri"/>
      <w:sz w:val="18"/>
      <w:szCs w:val="18"/>
    </w:rPr>
  </w:style>
  <w:style w:type="character" w:customStyle="1" w:styleId="IndexLink">
    <w:name w:val="Index Link"/>
  </w:style>
  <w:style w:type="character" w:styleId="EndnoteReference">
    <w:name w:val="endnote reference"/>
    <w:rPr>
      <w:vertAlign w:val="superscript"/>
    </w:rPr>
  </w:style>
  <w:style w:type="paragraph" w:customStyle="1" w:styleId="Heading">
    <w:name w:val="Heading"/>
    <w:basedOn w:val="Normal"/>
    <w:next w:val="BodyText"/>
    <w:pPr>
      <w:keepNext/>
      <w:suppressAutoHyphens/>
      <w:spacing w:before="240" w:after="120" w:line="240" w:lineRule="auto"/>
      <w:jc w:val="both"/>
    </w:pPr>
    <w:rPr>
      <w:rFonts w:ascii="Arial" w:eastAsia="Microsoft YaHei" w:hAnsi="Arial" w:cs="Arial"/>
      <w:sz w:val="28"/>
      <w:szCs w:val="28"/>
      <w:lang w:eastAsia="ar-SA"/>
    </w:rPr>
  </w:style>
  <w:style w:type="paragraph" w:styleId="BodyText">
    <w:name w:val="Body Text"/>
    <w:basedOn w:val="Normal"/>
    <w:link w:val="BodyTextChar"/>
    <w:pPr>
      <w:suppressAutoHyphens/>
      <w:spacing w:after="120" w:line="240" w:lineRule="auto"/>
      <w:jc w:val="both"/>
    </w:pPr>
    <w:rPr>
      <w:rFonts w:ascii="Calibri" w:eastAsia="Calibri" w:hAnsi="Calibri" w:cs="Times New Roman"/>
      <w:sz w:val="20"/>
      <w:lang w:eastAsia="ar-SA"/>
    </w:rPr>
  </w:style>
  <w:style w:type="character" w:customStyle="1" w:styleId="BodyTextChar">
    <w:name w:val="Body Text Char"/>
    <w:basedOn w:val="DefaultParagraphFont"/>
    <w:link w:val="BodyText"/>
    <w:rPr>
      <w:rFonts w:ascii="Calibri" w:eastAsia="Calibri" w:hAnsi="Calibri" w:cs="Times New Roman"/>
      <w:sz w:val="20"/>
      <w:lang w:eastAsia="ar-SA"/>
    </w:rPr>
  </w:style>
  <w:style w:type="paragraph" w:styleId="List">
    <w:name w:val="List"/>
    <w:basedOn w:val="BodyText"/>
    <w:rPr>
      <w:rFonts w:cs="Arial"/>
    </w:rPr>
  </w:style>
  <w:style w:type="paragraph" w:customStyle="1" w:styleId="Index">
    <w:name w:val="Index"/>
    <w:basedOn w:val="Normal"/>
    <w:pPr>
      <w:suppressLineNumbers/>
      <w:suppressAutoHyphens/>
      <w:spacing w:after="120" w:line="240" w:lineRule="auto"/>
      <w:jc w:val="both"/>
    </w:pPr>
    <w:rPr>
      <w:rFonts w:ascii="Calibri" w:eastAsia="Calibri" w:hAnsi="Calibri" w:cs="Arial"/>
      <w:sz w:val="20"/>
      <w:lang w:eastAsia="ar-SA"/>
    </w:rPr>
  </w:style>
  <w:style w:type="character" w:customStyle="1" w:styleId="HeaderChar1">
    <w:name w:val="Header Char1"/>
    <w:basedOn w:val="DefaultParagraphFont"/>
    <w:rPr>
      <w:rFonts w:ascii="Calibri" w:eastAsia="Calibri" w:hAnsi="Calibri" w:cs="Times New Roman"/>
      <w:sz w:val="20"/>
      <w:lang w:eastAsia="ar-SA"/>
    </w:rPr>
  </w:style>
  <w:style w:type="character" w:customStyle="1" w:styleId="FooterChar1">
    <w:name w:val="Footer Char1"/>
    <w:basedOn w:val="DefaultParagraphFont"/>
    <w:rPr>
      <w:rFonts w:ascii="Calibri" w:eastAsia="Calibri" w:hAnsi="Calibri" w:cs="Times New Roman"/>
      <w:sz w:val="20"/>
      <w:lang w:eastAsia="ar-SA"/>
    </w:rPr>
  </w:style>
  <w:style w:type="character" w:customStyle="1" w:styleId="BalloonTextChar1">
    <w:name w:val="Balloon Text Char1"/>
    <w:basedOn w:val="DefaultParagraphFont"/>
    <w:rPr>
      <w:rFonts w:ascii="Tahoma" w:eastAsia="Calibri" w:hAnsi="Tahoma" w:cs="Tahoma"/>
      <w:sz w:val="16"/>
      <w:szCs w:val="16"/>
      <w:lang w:eastAsia="ar-SA"/>
    </w:rPr>
  </w:style>
  <w:style w:type="character" w:customStyle="1" w:styleId="CommentTextChar1">
    <w:name w:val="Comment Text Char1"/>
    <w:basedOn w:val="DefaultParagraphFont"/>
    <w:rPr>
      <w:rFonts w:ascii="Calibri" w:eastAsia="Calibri" w:hAnsi="Calibri" w:cs="Times New Roman"/>
      <w:sz w:val="20"/>
      <w:szCs w:val="20"/>
      <w:lang w:eastAsia="ar-SA"/>
    </w:rPr>
  </w:style>
  <w:style w:type="character" w:customStyle="1" w:styleId="CommentSubjectChar1">
    <w:name w:val="Comment Subject Char1"/>
    <w:basedOn w:val="CommentTextChar1"/>
    <w:rPr>
      <w:rFonts w:ascii="Calibri" w:eastAsia="Calibri" w:hAnsi="Calibri" w:cs="Times New Roman"/>
      <w:b/>
      <w:bCs/>
      <w:sz w:val="20"/>
      <w:szCs w:val="20"/>
      <w:lang w:eastAsia="ar-SA"/>
    </w:rPr>
  </w:style>
  <w:style w:type="paragraph" w:customStyle="1" w:styleId="WW-Default">
    <w:name w:val="WW-Default"/>
    <w:pPr>
      <w:suppressAutoHyphens/>
      <w:autoSpaceDE w:val="0"/>
      <w:spacing w:after="0" w:line="240" w:lineRule="auto"/>
    </w:pPr>
    <w:rPr>
      <w:rFonts w:ascii="Verdana" w:eastAsia="Calibri" w:hAnsi="Verdana" w:cs="Verdana"/>
      <w:color w:val="000000"/>
      <w:sz w:val="24"/>
      <w:szCs w:val="24"/>
      <w:lang w:eastAsia="ar-SA"/>
    </w:rPr>
  </w:style>
  <w:style w:type="paragraph" w:customStyle="1" w:styleId="centerleadin">
    <w:name w:val="center_leadin"/>
    <w:basedOn w:val="Normal"/>
    <w:pPr>
      <w:suppressAutoHyphens/>
      <w:spacing w:after="0" w:line="240" w:lineRule="auto"/>
    </w:pPr>
    <w:rPr>
      <w:rFonts w:ascii="Calibri" w:eastAsia="Calibri" w:hAnsi="Calibri" w:cs="Times New Roman"/>
      <w:sz w:val="17"/>
      <w:szCs w:val="17"/>
      <w:lang w:eastAsia="ar-SA"/>
    </w:rPr>
  </w:style>
  <w:style w:type="character" w:customStyle="1" w:styleId="QuoteChar1">
    <w:name w:val="Quote Char1"/>
    <w:basedOn w:val="DefaultParagraphFont"/>
    <w:uiPriority w:val="29"/>
    <w:rPr>
      <w:rFonts w:ascii="Calibri" w:eastAsia="Calibri" w:hAnsi="Calibri" w:cs="Times New Roman"/>
      <w:color w:val="FFFFFF"/>
      <w:sz w:val="20"/>
      <w:shd w:val="clear" w:color="auto" w:fill="4F81BD"/>
      <w:lang w:eastAsia="ar-SA"/>
    </w:rPr>
  </w:style>
  <w:style w:type="paragraph" w:styleId="Subtitle">
    <w:name w:val="Subtitle"/>
    <w:basedOn w:val="Heading4"/>
    <w:next w:val="Normal"/>
    <w:link w:val="SubtitleChar1"/>
    <w:qFormat/>
    <w:pPr>
      <w:keepNext w:val="0"/>
      <w:keepLines w:val="0"/>
      <w:numPr>
        <w:ilvl w:val="0"/>
        <w:numId w:val="0"/>
      </w:numPr>
      <w:suppressAutoHyphens/>
      <w:spacing w:before="0" w:after="120"/>
    </w:pPr>
    <w:rPr>
      <w:rFonts w:ascii="Calibri" w:eastAsia="Calibri" w:hAnsi="Calibri" w:cs="Calibri"/>
      <w:b w:val="0"/>
      <w:bCs w:val="0"/>
      <w:i w:val="0"/>
      <w:iCs w:val="0"/>
      <w:color w:val="1F497D"/>
      <w:sz w:val="22"/>
      <w:szCs w:val="26"/>
      <w:lang w:eastAsia="ar-SA"/>
    </w:rPr>
  </w:style>
  <w:style w:type="character" w:customStyle="1" w:styleId="SubtitleChar1">
    <w:name w:val="Subtitle Char1"/>
    <w:basedOn w:val="DefaultParagraphFont"/>
    <w:link w:val="Subtitle"/>
    <w:rPr>
      <w:rFonts w:ascii="Calibri" w:eastAsia="Calibri" w:hAnsi="Calibri" w:cs="Calibri"/>
      <w:color w:val="1F497D"/>
      <w:szCs w:val="26"/>
      <w:lang w:eastAsia="ar-SA"/>
    </w:rPr>
  </w:style>
  <w:style w:type="paragraph" w:styleId="EndnoteText">
    <w:name w:val="endnote text"/>
    <w:basedOn w:val="Normal"/>
    <w:link w:val="EndnoteTextChar1"/>
    <w:pPr>
      <w:suppressAutoHyphens/>
      <w:spacing w:after="0" w:line="240" w:lineRule="auto"/>
      <w:jc w:val="both"/>
    </w:pPr>
    <w:rPr>
      <w:rFonts w:ascii="Calibri" w:eastAsia="Calibri" w:hAnsi="Calibri" w:cs="Times New Roman"/>
      <w:sz w:val="20"/>
      <w:szCs w:val="20"/>
      <w:lang w:eastAsia="ar-SA"/>
    </w:rPr>
  </w:style>
  <w:style w:type="character" w:customStyle="1" w:styleId="EndnoteTextChar1">
    <w:name w:val="Endnote Text Char1"/>
    <w:basedOn w:val="DefaultParagraphFont"/>
    <w:link w:val="EndnoteText"/>
    <w:rPr>
      <w:rFonts w:ascii="Calibri" w:eastAsia="Calibri" w:hAnsi="Calibri" w:cs="Times New Roman"/>
      <w:sz w:val="20"/>
      <w:szCs w:val="20"/>
      <w:lang w:eastAsia="ar-SA"/>
    </w:r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suppressAutoHyphens/>
      <w:spacing w:after="120" w:line="240" w:lineRule="auto"/>
      <w:jc w:val="both"/>
    </w:pPr>
    <w:rPr>
      <w:rFonts w:ascii="Calibri" w:eastAsia="Calibri" w:hAnsi="Calibri" w:cs="Times New Roman"/>
      <w:sz w:val="20"/>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nchor-link">
    <w:name w:val="anchor-link"/>
    <w:basedOn w:val="DefaultParagraphFont"/>
  </w:style>
  <w:style w:type="character" w:customStyle="1" w:styleId="leftside">
    <w:name w:val="left_side"/>
    <w:basedOn w:val="DefaultParagraphFont"/>
  </w:style>
  <w:style w:type="numbering" w:customStyle="1" w:styleId="NoList2">
    <w:name w:val="No List2"/>
    <w:next w:val="NoList"/>
    <w:uiPriority w:val="99"/>
    <w:semiHidden/>
    <w:unhideWhenUsed/>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uggActions">
    <w:name w:val="SuggActions"/>
    <w:basedOn w:val="ListParagraph"/>
    <w:link w:val="SuggActionsChar"/>
    <w:qFormat/>
    <w:pPr>
      <w:widowControl w:val="0"/>
      <w:numPr>
        <w:numId w:val="22"/>
      </w:numPr>
      <w:ind w:left="170" w:hanging="170"/>
    </w:pPr>
  </w:style>
  <w:style w:type="character" w:customStyle="1" w:styleId="SuggActionsChar">
    <w:name w:val="SuggActions Char"/>
    <w:basedOn w:val="ListParagraphChar"/>
    <w:link w:val="SuggActions"/>
    <w:rPr>
      <w:rFonts w:ascii="Calibri" w:eastAsia="Calibri" w:hAnsi="Calibri"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footnote reference" w:qFormat="1"/>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19"/>
      </w:numPr>
      <w:spacing w:after="240" w:line="240" w:lineRule="auto"/>
      <w:ind w:left="714" w:hanging="357"/>
      <w:jc w:val="center"/>
      <w:outlineLvl w:val="0"/>
    </w:pPr>
    <w:rPr>
      <w:rFonts w:ascii="Calibri" w:eastAsia="MS Gothic" w:hAnsi="Calibri" w:cs="Times New Roman"/>
      <w:b/>
      <w:bCs/>
      <w:color w:val="1F497D"/>
      <w:sz w:val="32"/>
      <w:szCs w:val="28"/>
      <w:lang w:eastAsia="ar-SA"/>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MS Gothic" w:hAnsi="Calibri" w:cs="Times New Roman"/>
      <w:b/>
      <w:bCs/>
      <w:color w:val="1F497D"/>
      <w:sz w:val="32"/>
      <w:szCs w:val="28"/>
      <w:lang w:eastAsia="ar-SA"/>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Pr>
      <w:rFonts w:ascii="Cambria" w:eastAsia="Times New Roman" w:hAnsi="Cambria" w:cs="Times New Roman"/>
      <w:i/>
      <w:iCs/>
      <w:color w:val="404040"/>
      <w:sz w:val="20"/>
      <w:szCs w:val="20"/>
    </w:rPr>
  </w:style>
  <w:style w:type="paragraph" w:styleId="BalloonText">
    <w:name w:val="Balloon Text"/>
    <w:basedOn w:val="Normal"/>
    <w:link w:val="BalloonTextChar"/>
    <w:uiPriority w:val="99"/>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unhideWhenUsed/>
    <w:rPr>
      <w:color w:val="800080"/>
      <w:u w:val="single"/>
    </w:rPr>
  </w:style>
  <w:style w:type="paragraph" w:styleId="Revision">
    <w:name w:val="Revision"/>
    <w:hidden/>
    <w:uiPriority w:val="99"/>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after="0" w:line="240" w:lineRule="auto"/>
      <w:ind w:left="482" w:right="720" w:hanging="482"/>
      <w:jc w:val="center"/>
    </w:pPr>
    <w:rPr>
      <w:rFonts w:ascii="Calibri" w:eastAsia="Times New Roman" w:hAnsi="Calibri" w:cs="Times New Roman"/>
      <w:b/>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3"/>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4"/>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5"/>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6"/>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7"/>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0"/>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1"/>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2"/>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4"/>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15"/>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16"/>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1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7"/>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spacing w:after="0" w:line="240" w:lineRule="auto"/>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Cs w:val="2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Cs w:val="20"/>
    </w:rPr>
  </w:style>
  <w:style w:type="character" w:customStyle="1" w:styleId="WW8Num4z0">
    <w:name w:val="WW8Num4z0"/>
    <w:rPr>
      <w:rFonts w:ascii="Symbol" w:hAnsi="Symbol" w:cs="Symbol"/>
    </w:rPr>
  </w:style>
  <w:style w:type="character" w:customStyle="1" w:styleId="WW8Num5z0">
    <w:name w:val="WW8Num5z0"/>
    <w:rPr>
      <w:rFonts w:ascii="Symbol" w:hAnsi="Symbol" w:cs="Symbol" w:hint="default"/>
      <w:color w:val="auto"/>
    </w:rPr>
  </w:style>
  <w:style w:type="character" w:customStyle="1" w:styleId="WW8Num6z0">
    <w:name w:val="WW8Num6z0"/>
    <w:rPr>
      <w:rFonts w:ascii="Calibri" w:eastAsia="Calibri" w:hAnsi="Calibri" w:cs="Times New Roman" w:hint="default"/>
      <w:color w:val="auto"/>
      <w:sz w:val="24"/>
    </w:rPr>
  </w:style>
  <w:style w:type="character" w:customStyle="1" w:styleId="WW8Num7z0">
    <w:name w:val="WW8Num7z0"/>
    <w:rPr>
      <w:rFonts w:ascii="Symbol" w:hAnsi="Symbol" w:cs="Symbol" w:hint="default"/>
      <w:color w:val="auto"/>
      <w:sz w:val="24"/>
    </w:rPr>
  </w:style>
  <w:style w:type="character" w:customStyle="1" w:styleId="WW8Num8z0">
    <w:name w:val="WW8Num8z0"/>
    <w:rPr>
      <w:rFonts w:ascii="Symbol" w:hAnsi="Symbol" w:cs="Symbol" w:hint="default"/>
      <w:color w:val="auto"/>
    </w:rPr>
  </w:style>
  <w:style w:type="character" w:customStyle="1" w:styleId="WW8Num9z0">
    <w:name w:val="WW8Num9z0"/>
    <w:rPr>
      <w:rFonts w:ascii="Times New Roman" w:hAnsi="Times New Roman" w:cs="Times New Roman"/>
      <w:color w:val="auto"/>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style>
  <w:style w:type="character" w:customStyle="1" w:styleId="WW8Num13z0">
    <w:name w:val="WW8Num13z0"/>
  </w:style>
  <w:style w:type="character" w:customStyle="1" w:styleId="WW8Num13z1">
    <w:name w:val="WW8Num13z1"/>
  </w:style>
  <w:style w:type="character" w:customStyle="1" w:styleId="WW8Num13z2">
    <w:name w:val="WW8Num13z2"/>
    <w:rPr>
      <w:rFonts w:ascii="Times New Roman" w:hAnsi="Times New Roman" w:cs="Times New Roman"/>
    </w:rPr>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rPr>
      <w:rFonts w:ascii="Times New Roman" w:hAnsi="Times New Roman" w:cs="Times New Roman"/>
    </w:rPr>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rPr>
      <w:rFonts w:ascii="Times New Roman" w:hAnsi="Times New Roman" w:cs="Times New Roman"/>
    </w:rPr>
  </w:style>
  <w:style w:type="character" w:customStyle="1" w:styleId="WW8Num15z3">
    <w:name w:val="WW8Num15z3"/>
    <w:rPr>
      <w:rFonts w:ascii="Symbol" w:hAnsi="Symbol" w:cs="Symbo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eastAsia="Calibri" w:hint="default"/>
      <w:b/>
      <w:bCs/>
      <w:color w:val="auto"/>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Wingdings" w:eastAsia="Calibri" w:hAnsi="Wingdings" w:cs="AdvOTbc475f09" w:hint="default"/>
      <w:b/>
      <w:bCs/>
      <w:color w:val="auto"/>
    </w:rPr>
  </w:style>
  <w:style w:type="character" w:customStyle="1" w:styleId="WW8Num18z0">
    <w:name w:val="WW8Num18z0"/>
    <w:rPr>
      <w:rFonts w:ascii="Symbol" w:hAnsi="Symbol" w:cs="Symbol"/>
    </w:rPr>
  </w:style>
  <w:style w:type="character" w:customStyle="1" w:styleId="WW8Num19z0">
    <w:name w:val="WW8Num19z0"/>
    <w:rPr>
      <w:rFonts w:ascii="Symbol" w:hAnsi="Symbol" w:cs="Symbol" w:hint="default"/>
      <w:color w:val="000000"/>
      <w:szCs w:val="20"/>
      <w:lang w:val="en-US"/>
    </w:rPr>
  </w:style>
  <w:style w:type="character" w:customStyle="1" w:styleId="WW8Num20z0">
    <w:name w:val="WW8Num20z0"/>
    <w:rPr>
      <w:rFonts w:ascii="Symbol" w:hAnsi="Symbol" w:cs="Symbol" w:hint="default"/>
    </w:rPr>
  </w:style>
  <w:style w:type="character" w:customStyle="1" w:styleId="WW8Num21z0">
    <w:name w:val="WW8Num21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Times New Roman" w:eastAsia="Calibri" w:hAnsi="Times New Roman" w:cs="Times New Roman" w:hint="default"/>
    </w:rPr>
  </w:style>
  <w:style w:type="character" w:customStyle="1" w:styleId="WW8Num8z2">
    <w:name w:val="WW8Num8z2"/>
    <w:rPr>
      <w:rFonts w:ascii="Wingdings" w:hAnsi="Wingdings" w:cs="Wingdings" w:hint="default"/>
    </w:rPr>
  </w:style>
  <w:style w:type="character" w:customStyle="1" w:styleId="WW8Num8z4">
    <w:name w:val="WW8Num8z4"/>
    <w:rPr>
      <w:rFonts w:ascii="Courier New" w:hAnsi="Courier New" w:cs="Courier New" w:hint="default"/>
    </w:rPr>
  </w:style>
  <w:style w:type="character" w:customStyle="1" w:styleId="WW8Num12z1">
    <w:name w:val="WW8Num12z1"/>
  </w:style>
  <w:style w:type="character" w:customStyle="1" w:styleId="WW8Num12z2">
    <w:name w:val="WW8Num12z2"/>
    <w:rPr>
      <w:rFonts w:ascii="Times New Roman" w:hAnsi="Times New Roman" w:cs="Times New Roman"/>
    </w:rPr>
  </w:style>
  <w:style w:type="character" w:customStyle="1" w:styleId="WW8Num12z3">
    <w:name w:val="WW8Num12z3"/>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5z0">
    <w:name w:val="WW8Num25z0"/>
    <w:rPr>
      <w:rFonts w:ascii="Symbol" w:hAnsi="Symbol" w:cs="Symbol"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FootnoteCharacters">
    <w:name w:val="WW-Footnote Characters"/>
  </w:style>
  <w:style w:type="character" w:customStyle="1" w:styleId="SubtitleChar">
    <w:name w:val="Subtitle Char"/>
    <w:rPr>
      <w:rFonts w:cs="Calibri"/>
      <w:color w:val="1F497D"/>
      <w:sz w:val="22"/>
      <w:szCs w:val="26"/>
    </w:rPr>
  </w:style>
  <w:style w:type="character" w:customStyle="1" w:styleId="EndnoteTextChar">
    <w:name w:val="Endnote Text Char"/>
  </w:style>
  <w:style w:type="character" w:customStyle="1" w:styleId="EndnoteCharacters">
    <w:name w:val="Endnote Characters"/>
    <w:rPr>
      <w:vertAlign w:val="superscript"/>
    </w:rPr>
  </w:style>
  <w:style w:type="character" w:customStyle="1" w:styleId="VoetnoottekstChar">
    <w:name w:val="Voetnoottekst Char"/>
    <w:rPr>
      <w:rFonts w:eastAsia="Calibri"/>
      <w:sz w:val="18"/>
      <w:szCs w:val="18"/>
    </w:rPr>
  </w:style>
  <w:style w:type="character" w:customStyle="1" w:styleId="IndexLink">
    <w:name w:val="Index Link"/>
  </w:style>
  <w:style w:type="character" w:styleId="EndnoteReference">
    <w:name w:val="endnote reference"/>
    <w:rPr>
      <w:vertAlign w:val="superscript"/>
    </w:rPr>
  </w:style>
  <w:style w:type="paragraph" w:customStyle="1" w:styleId="Heading">
    <w:name w:val="Heading"/>
    <w:basedOn w:val="Normal"/>
    <w:next w:val="BodyText"/>
    <w:pPr>
      <w:keepNext/>
      <w:suppressAutoHyphens/>
      <w:spacing w:before="240" w:after="120" w:line="240" w:lineRule="auto"/>
      <w:jc w:val="both"/>
    </w:pPr>
    <w:rPr>
      <w:rFonts w:ascii="Arial" w:eastAsia="Microsoft YaHei" w:hAnsi="Arial" w:cs="Arial"/>
      <w:sz w:val="28"/>
      <w:szCs w:val="28"/>
      <w:lang w:eastAsia="ar-SA"/>
    </w:rPr>
  </w:style>
  <w:style w:type="paragraph" w:styleId="BodyText">
    <w:name w:val="Body Text"/>
    <w:basedOn w:val="Normal"/>
    <w:link w:val="BodyTextChar"/>
    <w:pPr>
      <w:suppressAutoHyphens/>
      <w:spacing w:after="120" w:line="240" w:lineRule="auto"/>
      <w:jc w:val="both"/>
    </w:pPr>
    <w:rPr>
      <w:rFonts w:ascii="Calibri" w:eastAsia="Calibri" w:hAnsi="Calibri" w:cs="Times New Roman"/>
      <w:sz w:val="20"/>
      <w:lang w:eastAsia="ar-SA"/>
    </w:rPr>
  </w:style>
  <w:style w:type="character" w:customStyle="1" w:styleId="BodyTextChar">
    <w:name w:val="Body Text Char"/>
    <w:basedOn w:val="DefaultParagraphFont"/>
    <w:link w:val="BodyText"/>
    <w:rPr>
      <w:rFonts w:ascii="Calibri" w:eastAsia="Calibri" w:hAnsi="Calibri" w:cs="Times New Roman"/>
      <w:sz w:val="20"/>
      <w:lang w:eastAsia="ar-SA"/>
    </w:rPr>
  </w:style>
  <w:style w:type="paragraph" w:styleId="List">
    <w:name w:val="List"/>
    <w:basedOn w:val="BodyText"/>
    <w:rPr>
      <w:rFonts w:cs="Arial"/>
    </w:rPr>
  </w:style>
  <w:style w:type="paragraph" w:customStyle="1" w:styleId="Index">
    <w:name w:val="Index"/>
    <w:basedOn w:val="Normal"/>
    <w:pPr>
      <w:suppressLineNumbers/>
      <w:suppressAutoHyphens/>
      <w:spacing w:after="120" w:line="240" w:lineRule="auto"/>
      <w:jc w:val="both"/>
    </w:pPr>
    <w:rPr>
      <w:rFonts w:ascii="Calibri" w:eastAsia="Calibri" w:hAnsi="Calibri" w:cs="Arial"/>
      <w:sz w:val="20"/>
      <w:lang w:eastAsia="ar-SA"/>
    </w:rPr>
  </w:style>
  <w:style w:type="character" w:customStyle="1" w:styleId="HeaderChar1">
    <w:name w:val="Header Char1"/>
    <w:basedOn w:val="DefaultParagraphFont"/>
    <w:rPr>
      <w:rFonts w:ascii="Calibri" w:eastAsia="Calibri" w:hAnsi="Calibri" w:cs="Times New Roman"/>
      <w:sz w:val="20"/>
      <w:lang w:eastAsia="ar-SA"/>
    </w:rPr>
  </w:style>
  <w:style w:type="character" w:customStyle="1" w:styleId="FooterChar1">
    <w:name w:val="Footer Char1"/>
    <w:basedOn w:val="DefaultParagraphFont"/>
    <w:rPr>
      <w:rFonts w:ascii="Calibri" w:eastAsia="Calibri" w:hAnsi="Calibri" w:cs="Times New Roman"/>
      <w:sz w:val="20"/>
      <w:lang w:eastAsia="ar-SA"/>
    </w:rPr>
  </w:style>
  <w:style w:type="character" w:customStyle="1" w:styleId="BalloonTextChar1">
    <w:name w:val="Balloon Text Char1"/>
    <w:basedOn w:val="DefaultParagraphFont"/>
    <w:rPr>
      <w:rFonts w:ascii="Tahoma" w:eastAsia="Calibri" w:hAnsi="Tahoma" w:cs="Tahoma"/>
      <w:sz w:val="16"/>
      <w:szCs w:val="16"/>
      <w:lang w:eastAsia="ar-SA"/>
    </w:rPr>
  </w:style>
  <w:style w:type="character" w:customStyle="1" w:styleId="CommentTextChar1">
    <w:name w:val="Comment Text Char1"/>
    <w:basedOn w:val="DefaultParagraphFont"/>
    <w:rPr>
      <w:rFonts w:ascii="Calibri" w:eastAsia="Calibri" w:hAnsi="Calibri" w:cs="Times New Roman"/>
      <w:sz w:val="20"/>
      <w:szCs w:val="20"/>
      <w:lang w:eastAsia="ar-SA"/>
    </w:rPr>
  </w:style>
  <w:style w:type="character" w:customStyle="1" w:styleId="CommentSubjectChar1">
    <w:name w:val="Comment Subject Char1"/>
    <w:basedOn w:val="CommentTextChar1"/>
    <w:rPr>
      <w:rFonts w:ascii="Calibri" w:eastAsia="Calibri" w:hAnsi="Calibri" w:cs="Times New Roman"/>
      <w:b/>
      <w:bCs/>
      <w:sz w:val="20"/>
      <w:szCs w:val="20"/>
      <w:lang w:eastAsia="ar-SA"/>
    </w:rPr>
  </w:style>
  <w:style w:type="paragraph" w:customStyle="1" w:styleId="WW-Default">
    <w:name w:val="WW-Default"/>
    <w:pPr>
      <w:suppressAutoHyphens/>
      <w:autoSpaceDE w:val="0"/>
      <w:spacing w:after="0" w:line="240" w:lineRule="auto"/>
    </w:pPr>
    <w:rPr>
      <w:rFonts w:ascii="Verdana" w:eastAsia="Calibri" w:hAnsi="Verdana" w:cs="Verdana"/>
      <w:color w:val="000000"/>
      <w:sz w:val="24"/>
      <w:szCs w:val="24"/>
      <w:lang w:eastAsia="ar-SA"/>
    </w:rPr>
  </w:style>
  <w:style w:type="paragraph" w:customStyle="1" w:styleId="centerleadin">
    <w:name w:val="center_leadin"/>
    <w:basedOn w:val="Normal"/>
    <w:pPr>
      <w:suppressAutoHyphens/>
      <w:spacing w:after="0" w:line="240" w:lineRule="auto"/>
    </w:pPr>
    <w:rPr>
      <w:rFonts w:ascii="Calibri" w:eastAsia="Calibri" w:hAnsi="Calibri" w:cs="Times New Roman"/>
      <w:sz w:val="17"/>
      <w:szCs w:val="17"/>
      <w:lang w:eastAsia="ar-SA"/>
    </w:rPr>
  </w:style>
  <w:style w:type="character" w:customStyle="1" w:styleId="QuoteChar1">
    <w:name w:val="Quote Char1"/>
    <w:basedOn w:val="DefaultParagraphFont"/>
    <w:uiPriority w:val="29"/>
    <w:rPr>
      <w:rFonts w:ascii="Calibri" w:eastAsia="Calibri" w:hAnsi="Calibri" w:cs="Times New Roman"/>
      <w:color w:val="FFFFFF"/>
      <w:sz w:val="20"/>
      <w:shd w:val="clear" w:color="auto" w:fill="4F81BD"/>
      <w:lang w:eastAsia="ar-SA"/>
    </w:rPr>
  </w:style>
  <w:style w:type="paragraph" w:styleId="Subtitle">
    <w:name w:val="Subtitle"/>
    <w:basedOn w:val="Heading4"/>
    <w:next w:val="Normal"/>
    <w:link w:val="SubtitleChar1"/>
    <w:qFormat/>
    <w:pPr>
      <w:keepNext w:val="0"/>
      <w:keepLines w:val="0"/>
      <w:numPr>
        <w:ilvl w:val="0"/>
        <w:numId w:val="0"/>
      </w:numPr>
      <w:suppressAutoHyphens/>
      <w:spacing w:before="0" w:after="120"/>
    </w:pPr>
    <w:rPr>
      <w:rFonts w:ascii="Calibri" w:eastAsia="Calibri" w:hAnsi="Calibri" w:cs="Calibri"/>
      <w:b w:val="0"/>
      <w:bCs w:val="0"/>
      <w:i w:val="0"/>
      <w:iCs w:val="0"/>
      <w:color w:val="1F497D"/>
      <w:sz w:val="22"/>
      <w:szCs w:val="26"/>
      <w:lang w:eastAsia="ar-SA"/>
    </w:rPr>
  </w:style>
  <w:style w:type="character" w:customStyle="1" w:styleId="SubtitleChar1">
    <w:name w:val="Subtitle Char1"/>
    <w:basedOn w:val="DefaultParagraphFont"/>
    <w:link w:val="Subtitle"/>
    <w:rPr>
      <w:rFonts w:ascii="Calibri" w:eastAsia="Calibri" w:hAnsi="Calibri" w:cs="Calibri"/>
      <w:color w:val="1F497D"/>
      <w:szCs w:val="26"/>
      <w:lang w:eastAsia="ar-SA"/>
    </w:rPr>
  </w:style>
  <w:style w:type="paragraph" w:styleId="EndnoteText">
    <w:name w:val="endnote text"/>
    <w:basedOn w:val="Normal"/>
    <w:link w:val="EndnoteTextChar1"/>
    <w:pPr>
      <w:suppressAutoHyphens/>
      <w:spacing w:after="0" w:line="240" w:lineRule="auto"/>
      <w:jc w:val="both"/>
    </w:pPr>
    <w:rPr>
      <w:rFonts w:ascii="Calibri" w:eastAsia="Calibri" w:hAnsi="Calibri" w:cs="Times New Roman"/>
      <w:sz w:val="20"/>
      <w:szCs w:val="20"/>
      <w:lang w:eastAsia="ar-SA"/>
    </w:rPr>
  </w:style>
  <w:style w:type="character" w:customStyle="1" w:styleId="EndnoteTextChar1">
    <w:name w:val="Endnote Text Char1"/>
    <w:basedOn w:val="DefaultParagraphFont"/>
    <w:link w:val="EndnoteText"/>
    <w:rPr>
      <w:rFonts w:ascii="Calibri" w:eastAsia="Calibri" w:hAnsi="Calibri" w:cs="Times New Roman"/>
      <w:sz w:val="20"/>
      <w:szCs w:val="20"/>
      <w:lang w:eastAsia="ar-SA"/>
    </w:r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suppressAutoHyphens/>
      <w:spacing w:after="120" w:line="240" w:lineRule="auto"/>
      <w:jc w:val="both"/>
    </w:pPr>
    <w:rPr>
      <w:rFonts w:ascii="Calibri" w:eastAsia="Calibri" w:hAnsi="Calibri" w:cs="Times New Roman"/>
      <w:sz w:val="20"/>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nchor-link">
    <w:name w:val="anchor-link"/>
    <w:basedOn w:val="DefaultParagraphFont"/>
  </w:style>
  <w:style w:type="character" w:customStyle="1" w:styleId="leftside">
    <w:name w:val="left_side"/>
    <w:basedOn w:val="DefaultParagraphFont"/>
  </w:style>
  <w:style w:type="numbering" w:customStyle="1" w:styleId="NoList2">
    <w:name w:val="No List2"/>
    <w:next w:val="NoList"/>
    <w:uiPriority w:val="99"/>
    <w:semiHidden/>
    <w:unhideWhenUsed/>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uggActions">
    <w:name w:val="SuggActions"/>
    <w:basedOn w:val="ListParagraph"/>
    <w:link w:val="SuggActionsChar"/>
    <w:qFormat/>
    <w:pPr>
      <w:widowControl w:val="0"/>
      <w:numPr>
        <w:numId w:val="22"/>
      </w:numPr>
      <w:ind w:left="170" w:hanging="170"/>
    </w:pPr>
  </w:style>
  <w:style w:type="character" w:customStyle="1" w:styleId="SuggActionsChar">
    <w:name w:val="SuggActions Char"/>
    <w:basedOn w:val="ListParagraphChar"/>
    <w:link w:val="SuggActions"/>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90895">
      <w:bodyDiv w:val="1"/>
      <w:marLeft w:val="0"/>
      <w:marRight w:val="0"/>
      <w:marTop w:val="0"/>
      <w:marBottom w:val="0"/>
      <w:divBdr>
        <w:top w:val="none" w:sz="0" w:space="0" w:color="auto"/>
        <w:left w:val="none" w:sz="0" w:space="0" w:color="auto"/>
        <w:bottom w:val="none" w:sz="0" w:space="0" w:color="auto"/>
        <w:right w:val="none" w:sz="0" w:space="0" w:color="auto"/>
      </w:divBdr>
    </w:div>
    <w:div w:id="186281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4.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hyperlink" Target="http://www.bmlfuw.gv.at/umwelt/natur-artenschutz/biologische_vielfalt/biodiversitaet.html" TargetMode="External"/><Relationship Id="rId84" Type="http://schemas.openxmlformats.org/officeDocument/2006/relationships/image" Target="media/image13.jpeg"/><Relationship Id="rId89" Type="http://schemas.openxmlformats.org/officeDocument/2006/relationships/footer" Target="footer31.xml"/><Relationship Id="rId112" Type="http://schemas.openxmlformats.org/officeDocument/2006/relationships/hyperlink" Target="http://www.nachhaltigebeschaffung.at/" TargetMode="External"/><Relationship Id="rId133" Type="http://schemas.openxmlformats.org/officeDocument/2006/relationships/footer" Target="footer51.xml"/><Relationship Id="rId16" Type="http://schemas.openxmlformats.org/officeDocument/2006/relationships/hyperlink" Target="mailto:ENV-EIR@ec.europa.eu" TargetMode="External"/><Relationship Id="rId107" Type="http://schemas.openxmlformats.org/officeDocument/2006/relationships/footer" Target="foot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footer" Target="footer38.xml"/><Relationship Id="rId123" Type="http://schemas.openxmlformats.org/officeDocument/2006/relationships/footer" Target="footer47.xml"/><Relationship Id="rId128" Type="http://schemas.openxmlformats.org/officeDocument/2006/relationships/header" Target="header49.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footer" Target="footer3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header" Target="header21.xml"/><Relationship Id="rId64" Type="http://schemas.openxmlformats.org/officeDocument/2006/relationships/image" Target="media/image6.png"/><Relationship Id="rId69" Type="http://schemas.openxmlformats.org/officeDocument/2006/relationships/image" Target="media/image10.jpeg"/><Relationship Id="rId77" Type="http://schemas.openxmlformats.org/officeDocument/2006/relationships/header" Target="header28.xml"/><Relationship Id="rId100" Type="http://schemas.openxmlformats.org/officeDocument/2006/relationships/header" Target="header38.xml"/><Relationship Id="rId105" Type="http://schemas.openxmlformats.org/officeDocument/2006/relationships/header" Target="header40.xml"/><Relationship Id="rId113" Type="http://schemas.openxmlformats.org/officeDocument/2006/relationships/image" Target="media/image17.png"/><Relationship Id="rId118" Type="http://schemas.openxmlformats.org/officeDocument/2006/relationships/header" Target="header45.xml"/><Relationship Id="rId126" Type="http://schemas.openxmlformats.org/officeDocument/2006/relationships/image" Target="media/image18.jpe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image" Target="media/image14.png"/><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header" Target="header4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jpeg"/><Relationship Id="rId103" Type="http://schemas.openxmlformats.org/officeDocument/2006/relationships/header" Target="header39.xml"/><Relationship Id="rId108" Type="http://schemas.openxmlformats.org/officeDocument/2006/relationships/footer" Target="footer41.xml"/><Relationship Id="rId116" Type="http://schemas.openxmlformats.org/officeDocument/2006/relationships/footer" Target="footer43.xml"/><Relationship Id="rId124" Type="http://schemas.openxmlformats.org/officeDocument/2006/relationships/header" Target="header48.xml"/><Relationship Id="rId129" Type="http://schemas.openxmlformats.org/officeDocument/2006/relationships/header" Target="header50.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image" Target="media/image11.jpeg"/><Relationship Id="rId75" Type="http://schemas.openxmlformats.org/officeDocument/2006/relationships/header" Target="header27.xml"/><Relationship Id="rId83" Type="http://schemas.openxmlformats.org/officeDocument/2006/relationships/image" Target="media/image12.png"/><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image" Target="media/image16.png"/><Relationship Id="rId132"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header" Target="header41.xml"/><Relationship Id="rId114" Type="http://schemas.openxmlformats.org/officeDocument/2006/relationships/header" Target="header43.xml"/><Relationship Id="rId119" Type="http://schemas.openxmlformats.org/officeDocument/2006/relationships/footer" Target="footer45.xml"/><Relationship Id="rId127" Type="http://schemas.openxmlformats.org/officeDocument/2006/relationships/image" Target="media/image19.jpeg"/><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png"/><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image" Target="media/image15.jpeg"/><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footer" Target="footer46.xml"/><Relationship Id="rId130" Type="http://schemas.openxmlformats.org/officeDocument/2006/relationships/footer" Target="footer49.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2.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footer" Target="footer27.xml"/><Relationship Id="rId97" Type="http://schemas.openxmlformats.org/officeDocument/2006/relationships/header" Target="header36.xml"/><Relationship Id="rId104" Type="http://schemas.openxmlformats.org/officeDocument/2006/relationships/footer" Target="footer39.xml"/><Relationship Id="rId120" Type="http://schemas.openxmlformats.org/officeDocument/2006/relationships/header" Target="header46.xml"/><Relationship Id="rId125" Type="http://schemas.openxmlformats.org/officeDocument/2006/relationships/footer" Target="footer48.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header" Target="header31.xml"/><Relationship Id="rId110" Type="http://schemas.openxmlformats.org/officeDocument/2006/relationships/footer" Target="footer42.xml"/><Relationship Id="rId115" Type="http://schemas.openxmlformats.org/officeDocument/2006/relationships/header" Target="header44.xml"/><Relationship Id="rId131" Type="http://schemas.openxmlformats.org/officeDocument/2006/relationships/footer" Target="footer50.xml"/><Relationship Id="rId61" Type="http://schemas.openxmlformats.org/officeDocument/2006/relationships/footer" Target="footer23.xml"/><Relationship Id="rId82" Type="http://schemas.openxmlformats.org/officeDocument/2006/relationships/footer" Target="footer30.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26" Type="http://schemas.openxmlformats.org/officeDocument/2006/relationships/hyperlink" Target="https://circabc.europa.eu/sd/a/a0a84532-6706-41ce-bec1-882ed30e1b63/AT_A12NatSum_20141031.pdf" TargetMode="External"/><Relationship Id="rId21" Type="http://schemas.openxmlformats.org/officeDocument/2006/relationships/hyperlink" Target="http://eur-lex.europa.eu/legal-content/EN/TXT/?uri=COM:2015:594:FIN" TargetMode="External"/><Relationship Id="rId42" Type="http://schemas.openxmlformats.org/officeDocument/2006/relationships/hyperlink" Target="http://www.eea.europa.eu/data-and-maps/data/data-viewers/emissions-nec-directive-viewer" TargetMode="External"/><Relationship Id="rId47" Type="http://schemas.openxmlformats.org/officeDocument/2006/relationships/hyperlink" Target="http://www.eionet.europa.eu/aqportal" TargetMode="External"/><Relationship Id="rId63" Type="http://schemas.openxmlformats.org/officeDocument/2006/relationships/hyperlink" Target="http://ec.europa.eu/environment/water/water-framework/pdf/4th_report/CSWD%20Report%20on%20the%20FD%20.pdf" TargetMode="External"/><Relationship Id="rId68" Type="http://schemas.openxmlformats.org/officeDocument/2006/relationships/hyperlink" Target="http://ec.europa.eu/eurostat/en/web/products-datasets/-/T2020_RT320" TargetMode="External"/><Relationship Id="rId84" Type="http://schemas.openxmlformats.org/officeDocument/2006/relationships/hyperlink" Target="http://ec.europa.eu/priorities/publications/investment-plan-state-play-january-2016-country-factsheets_en" TargetMode="External"/><Relationship Id="rId89" Type="http://schemas.openxmlformats.org/officeDocument/2006/relationships/hyperlink" Target="http://eur-lex.europa.eu/legal-content/EN/TXT/?uri=CELEX%3A32008L0099" TargetMode="External"/><Relationship Id="rId7" Type="http://schemas.openxmlformats.org/officeDocument/2006/relationships/hyperlink" Target="http://www.cep-rec.eu/project-partners/european-center-for-renewable-energy-guessing-ltd-a/" TargetMode="External"/><Relationship Id="rId71" Type="http://schemas.openxmlformats.org/officeDocument/2006/relationships/hyperlink" Target="http://ec.europa.eu/eurostat/tgm/table.do?tab=table&amp;init=1&amp;language=en&amp;pcode=t2020_rt320&amp;plugin=1http://ec.europa.eu/eurostat/en/web/products-datasets/-/T2020_RT320" TargetMode="External"/><Relationship Id="rId92" Type="http://schemas.openxmlformats.org/officeDocument/2006/relationships/hyperlink" Target="http://www.environmentalprosecutors.eu"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s://data.europa.eu/euodp/en/data/dataset/S2088_426_ENG" TargetMode="External"/><Relationship Id="rId29" Type="http://schemas.openxmlformats.org/officeDocument/2006/relationships/hyperlink" Target="https://www.bmlfuw.gv.at/umwelt/natur-artenschutz/biologische_vielfalt/biodivstrat_2020plus.html" TargetMode="External"/><Relationship Id="rId107" Type="http://schemas.openxmlformats.org/officeDocument/2006/relationships/hyperlink" Target="http://inspire-geoportal.ec.europa.eu/resources/INSPIREResourcesReports/resourcesReport_2016-05-09/" TargetMode="External"/><Relationship Id="rId11" Type="http://schemas.openxmlformats.org/officeDocument/2006/relationships/hyperlink" Target="https://www.bmlfuw.gv.at/greentec/green-jobs/masterplan/masterplan_greenjobs.html" TargetMode="External"/><Relationship Id="rId24" Type="http://schemas.openxmlformats.org/officeDocument/2006/relationships/hyperlink" Target="http://ec.europa.eu/environment/nature/info/pubs/docs/nat2000newsl/nat40_en.pdf" TargetMode="External"/><Relationship Id="rId32" Type="http://schemas.openxmlformats.org/officeDocument/2006/relationships/hyperlink" Target="http://eur-lex.europa.eu/legal-content/EN/TXT/?uri=CELEX:52013DC0249" TargetMode="External"/><Relationship Id="rId37" Type="http://schemas.openxmlformats.org/officeDocument/2006/relationships/hyperlink" Target="http://land.copernicus.eu/pan-european/corine-land-cover/lcc-2006-2012/view" TargetMode="External"/><Relationship Id="rId40" Type="http://schemas.openxmlformats.org/officeDocument/2006/relationships/hyperlink" Target="http://ec.europa.eu/environment/air/quality/standards.htm" TargetMode="External"/><Relationship Id="rId45" Type="http://schemas.openxmlformats.org/officeDocument/2006/relationships/hyperlink" Target="http://www.eea.europa.eu/publications/air-quality-in-europe-2016" TargetMode="External"/><Relationship Id="rId53" Type="http://schemas.openxmlformats.org/officeDocument/2006/relationships/hyperlink" Target="http://eur-lex.europa.eu/legal-content/EN/TXT/?qid=1481624135097&amp;uri=CELEX:32000L0060" TargetMode="External"/><Relationship Id="rId58" Type="http://schemas.openxmlformats.org/officeDocument/2006/relationships/hyperlink" Target="http://ec.europa.eu/environment/water/water-drink/reporting_en.html" TargetMode="External"/><Relationship Id="rId66" Type="http://schemas.openxmlformats.org/officeDocument/2006/relationships/hyperlink" Target="http://urbanagendaforthe.eu/" TargetMode="External"/><Relationship Id="rId74" Type="http://schemas.openxmlformats.org/officeDocument/2006/relationships/hyperlink" Target="http://www.oecd-ilibrary.org/taxation/personal-tax-treatment-of-company-cars-and-commuting-expenses_5jz14cg1s7vl-en" TargetMode="External"/><Relationship Id="rId79" Type="http://schemas.openxmlformats.org/officeDocument/2006/relationships/hyperlink" Target="http://www.nachhaltigebeschaffung.at/help-desk" TargetMode="External"/><Relationship Id="rId87" Type="http://schemas.openxmlformats.org/officeDocument/2006/relationships/hyperlink" Target="https://www.nachhaltigkeit.at/assets/customer/Downloads/Strategie/_STRAT_2010_07_20_Beschluss_20Ministerrat.pdf" TargetMode="External"/><Relationship Id="rId102" Type="http://schemas.openxmlformats.org/officeDocument/2006/relationships/hyperlink" Target="http://eur-lex.europa.eu/LexUriServ/LexUriServ.do?uri=CELEX:32007L0002:EN:NOT" TargetMode="External"/><Relationship Id="rId5" Type="http://schemas.openxmlformats.org/officeDocument/2006/relationships/hyperlink" Target="http://ec.europa.eu/eurostat/tgm/table.do?tab=table&amp;init=1&amp;language=en&amp;pcode=tsdpc100&amp;plugin=1" TargetMode="External"/><Relationship Id="rId61" Type="http://schemas.openxmlformats.org/officeDocument/2006/relationships/hyperlink" Target="http://eur-lex.europa.eu/legal-content/EN/TXT/?uri=CELEX%3A52016DC0105" TargetMode="External"/><Relationship Id="rId82" Type="http://schemas.openxmlformats.org/officeDocument/2006/relationships/hyperlink" Target="https://cohesiondata.ec.europa.eu/countries" TargetMode="External"/><Relationship Id="rId90" Type="http://schemas.openxmlformats.org/officeDocument/2006/relationships/hyperlink" Target="http://www.impel.eu" TargetMode="External"/><Relationship Id="rId95" Type="http://schemas.openxmlformats.org/officeDocument/2006/relationships/hyperlink" Target="https://ec.europa.eu/transparency/regdoc/rep/1/2016/EN/1-2016-204-EN-F1-1.PDF" TargetMode="External"/><Relationship Id="rId19" Type="http://schemas.openxmlformats.org/officeDocument/2006/relationships/hyperlink" Target="http://ec.europa.eu/eurostat/tgm/table.do?tab=table&amp;init=1&amp;plugin=1&amp;language=en&amp;pcode=tsdpc240" TargetMode="External"/><Relationship Id="rId14" Type="http://schemas.openxmlformats.org/officeDocument/2006/relationships/hyperlink" Target="http://ec.europa.eu/environment/enveco/resource_efficiency/pdf/business/RE_in_Business_Final_Report_111115.pdf" TargetMode="External"/><Relationship Id="rId22" Type="http://schemas.openxmlformats.org/officeDocument/2006/relationships/hyperlink" Target="http://eur-lex.europa.eu/legal-content/EN/TXT/?uri=CELEX:52015PC0595" TargetMode="External"/><Relationship Id="rId27" Type="http://schemas.openxmlformats.org/officeDocument/2006/relationships/hyperlink" Target="https://www.cbd.int/doc/world/at/at-nr-05-en.pdf" TargetMode="External"/><Relationship Id="rId30" Type="http://schemas.openxmlformats.org/officeDocument/2006/relationships/hyperlink" Target="https://www.bmlfuw.gv.at/land/laendl_entwicklung/Online-Fachzeitschrift-Laendlicher-Raum/archiv/2014/Biodiversitaet.html" TargetMode="External"/><Relationship Id="rId35" Type="http://schemas.openxmlformats.org/officeDocument/2006/relationships/hyperlink" Target="http://www.europeangreenbelt.org/" TargetMode="External"/><Relationship Id="rId43" Type="http://schemas.openxmlformats.org/officeDocument/2006/relationships/hyperlink" Target="http://eur-lex.europa.eu/legal-content/EN/TXT/?uri=celex:32001L0081" TargetMode="External"/><Relationship Id="rId48" Type="http://schemas.openxmlformats.org/officeDocument/2006/relationships/hyperlink" Target="http://ec.europa.eu/environment/archives/air/pdf/Impact_assessment_en.pdf" TargetMode="External"/><Relationship Id="rId56" Type="http://schemas.openxmlformats.org/officeDocument/2006/relationships/hyperlink" Target="http://ec.europa.eu/environment/water/water-framework/impl_reports.htm" TargetMode="External"/><Relationship Id="rId64" Type="http://schemas.openxmlformats.org/officeDocument/2006/relationships/hyperlink" Target="http://ec.europa.eu/environment/integration/green_semester/pdf/RPA%20Final%20Report-annexes.pdf" TargetMode="External"/><Relationship Id="rId69" Type="http://schemas.openxmlformats.org/officeDocument/2006/relationships/hyperlink" Target="http://ec.europa.eu/environment/integration/green_semester/pdf/Eunomia%20EFR%20Final%20Report%20MAIN%20REPORT.pdf" TargetMode="External"/><Relationship Id="rId77" Type="http://schemas.openxmlformats.org/officeDocument/2006/relationships/hyperlink" Target="http://www.nachhaltigebeschaffung.at/" TargetMode="External"/><Relationship Id="rId100" Type="http://schemas.openxmlformats.org/officeDocument/2006/relationships/hyperlink" Target="http://www.unece.org/fileadmin/DAM/env/pp/documents/cep43e.pdf" TargetMode="External"/><Relationship Id="rId105" Type="http://schemas.openxmlformats.org/officeDocument/2006/relationships/hyperlink" Target="http://inspire.ec.europa.eu/portfolio/inspire-dashboard" TargetMode="External"/><Relationship Id="rId8" Type="http://schemas.openxmlformats.org/officeDocument/2006/relationships/hyperlink" Target="http://www.bioregion-muehlviertel.at" TargetMode="External"/><Relationship Id="rId51" Type="http://schemas.openxmlformats.org/officeDocument/2006/relationships/hyperlink" Target="http://eur-lex.europa.eu/legal-content/EN/ALL/?uri=CELEX%3A31991L0271" TargetMode="External"/><Relationship Id="rId72" Type="http://schemas.openxmlformats.org/officeDocument/2006/relationships/hyperlink" Target="http://ec.europa.eu/economy_finance/publications/eeip/pdf/ip008_en.pdf" TargetMode="External"/><Relationship Id="rId80" Type="http://schemas.openxmlformats.org/officeDocument/2006/relationships/hyperlink" Target="http://www.eib.org/efsi/" TargetMode="External"/><Relationship Id="rId85" Type="http://schemas.openxmlformats.org/officeDocument/2006/relationships/hyperlink" Target="http://ec.europa.eu/regional_policy/sources/docgener/work/2012_02_governance.pdf" TargetMode="External"/><Relationship Id="rId93" Type="http://schemas.openxmlformats.org/officeDocument/2006/relationships/hyperlink" Target="http://envicrimenet.com/" TargetMode="External"/><Relationship Id="rId98" Type="http://schemas.openxmlformats.org/officeDocument/2006/relationships/hyperlink" Target="https://secure.umweltbundesamt.at/edm_portal/cms.do?get=/portal/informationen/ie-richtlinie-und-ippc-anlagen/Programme-L-nder.main"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www.green-jobs.at/" TargetMode="External"/><Relationship Id="rId17" Type="http://schemas.openxmlformats.org/officeDocument/2006/relationships/hyperlink" Target="https://ec.europa.eu/environment/ecoap/scoreboard_en" TargetMode="External"/><Relationship Id="rId25" Type="http://schemas.openxmlformats.org/officeDocument/2006/relationships/hyperlink" Target="https://circabc.europa.eu/sd/a/42724f22-9100-414c-819b-03b8742ad154/AT_20140528.pdf" TargetMode="External"/><Relationship Id="rId33" Type="http://schemas.openxmlformats.org/officeDocument/2006/relationships/hyperlink" Target="https://www.bmlfuw.gv.at/umwelt/natur-artenschutz/biologische_vielfalt/biodivstrat_2020plus.html" TargetMode="External"/><Relationship Id="rId38" Type="http://schemas.openxmlformats.org/officeDocument/2006/relationships/hyperlink" Target="http://ec.europa.eu/eurostat/statistics-explained/index.php/Agri-environmental_indicator_-_soil_erosion" TargetMode="External"/><Relationship Id="rId46" Type="http://schemas.openxmlformats.org/officeDocument/2006/relationships/hyperlink" Target="http://www.eea.europa.eu/publications/air-quality-in-europe-2016" TargetMode="External"/><Relationship Id="rId59" Type="http://schemas.openxmlformats.org/officeDocument/2006/relationships/hyperlink" Target="http://www.eea.europa.eu/publications/european-bathing-water-quality-2015" TargetMode="External"/><Relationship Id="rId67" Type="http://schemas.openxmlformats.org/officeDocument/2006/relationships/hyperlink" Target="http://ec.europa.eu/environment/urban/tool.htm" TargetMode="External"/><Relationship Id="rId103" Type="http://schemas.openxmlformats.org/officeDocument/2006/relationships/hyperlink" Target="https://ec.europa.eu/digital-single-market/en/news/communication-eu-egovernment-action-plan-2016-2020-accelerating-digital-transformation" TargetMode="External"/><Relationship Id="rId20" Type="http://schemas.openxmlformats.org/officeDocument/2006/relationships/hyperlink" Target="http://ec.europa.eu/eurostat/tgm/table.do?tab=table&amp;init=1&amp;language=en&amp;pcode=t2020_rt120&amp;plugin=1" TargetMode="External"/><Relationship Id="rId41" Type="http://schemas.openxmlformats.org/officeDocument/2006/relationships/hyperlink" Target="http://cdr.eionet.europa.eu/" TargetMode="External"/><Relationship Id="rId54" Type="http://schemas.openxmlformats.org/officeDocument/2006/relationships/hyperlink" Target="http://eur-lex.europa.eu/legal-content/EN/TXT/?uri=CELEX%3A31991L0676" TargetMode="External"/><Relationship Id="rId62" Type="http://schemas.openxmlformats.org/officeDocument/2006/relationships/hyperlink" Target="http://eur-lex.europa.eu/legal-content/EN/TXT/?uri=CELEX:52016SC0045" TargetMode="External"/><Relationship Id="rId70" Type="http://schemas.openxmlformats.org/officeDocument/2006/relationships/hyperlink" Target="http://ec.europa.eu/environment/integration/green_semester/pdf/Eunomia%20EFR%20Final%20Report%20MAIN%20REPORT.pdf" TargetMode="External"/><Relationship Id="rId75" Type="http://schemas.openxmlformats.org/officeDocument/2006/relationships/hyperlink" Target="http://ec.europa.eu/internal_market/scoreboard/performance_per_policy_area/public_procurement/index_en.htm" TargetMode="External"/><Relationship Id="rId83" Type="http://schemas.openxmlformats.org/officeDocument/2006/relationships/hyperlink" Target="http://ec.europa.eu/priorities/sites/beta-political/files/sector_energy_june2016_en.pdf" TargetMode="External"/><Relationship Id="rId88" Type="http://schemas.openxmlformats.org/officeDocument/2006/relationships/hyperlink" Target="http://eur-lex.europa.eu/legal-content/EN/TXT/?uri=OJ:C:2016:273:TOC" TargetMode="External"/><Relationship Id="rId91" Type="http://schemas.openxmlformats.org/officeDocument/2006/relationships/hyperlink" Target="http://www.eufje.org" TargetMode="External"/><Relationship Id="rId96" Type="http://schemas.openxmlformats.org/officeDocument/2006/relationships/hyperlink" Target="http://eur-lex.europa.eu/legal-content/EN/TXT/?uri=CELEX%3A52016SC0121"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s://data.europa.eu/euodp/en/data/dataset/S2088_426_ENG" TargetMode="External"/><Relationship Id="rId23" Type="http://schemas.openxmlformats.org/officeDocument/2006/relationships/hyperlink" Target="http://eur-lex.europa.eu/legal-content/EN/TXT/?uri=CELEX:52011DC0571" TargetMode="External"/><Relationship Id="rId28" Type="http://schemas.openxmlformats.org/officeDocument/2006/relationships/hyperlink" Target="http://www.fao.org/docrep/W3646E/w3646e0b.htm" TargetMode="External"/><Relationship Id="rId36" Type="http://schemas.openxmlformats.org/officeDocument/2006/relationships/hyperlink" Target="http://www.umweltbundesamt.at/umweltsituation/raumordnung/rp_flaecheninanspruchnahme/" TargetMode="External"/><Relationship Id="rId49" Type="http://schemas.openxmlformats.org/officeDocument/2006/relationships/hyperlink" Target="http://www.euro.who.int/en/media-centre/sections/press-releases/2011/03/new-evidence-from-who-on-health-effects-of-traffic-related-noise-in-europe" TargetMode="External"/><Relationship Id="rId57" Type="http://schemas.openxmlformats.org/officeDocument/2006/relationships/hyperlink" Target="http://eur-lex.europa.eu/legal-content/EN/TXT/?uri=CELEX:52013SC0405" TargetMode="External"/><Relationship Id="rId106" Type="http://schemas.openxmlformats.org/officeDocument/2006/relationships/hyperlink" Target="https://inspire-dashboard.eea.europa.eu/official/" TargetMode="External"/><Relationship Id="rId10" Type="http://schemas.openxmlformats.org/officeDocument/2006/relationships/hyperlink" Target="http://ec.europa.eu/eurostat/web/environment/environmental-goods-and-services-sector/database" TargetMode="External"/><Relationship Id="rId31" Type="http://schemas.openxmlformats.org/officeDocument/2006/relationships/hyperlink" Target="https://www.cbd.int/doc/world/at/at-nr-05-en.pdf" TargetMode="External"/><Relationship Id="rId44" Type="http://schemas.openxmlformats.org/officeDocument/2006/relationships/hyperlink" Target="http://eur-lex.europa.eu/legal-content/EN/TXT/?uri=uriserv:OJ.L_.2016.344.01.0001.01.ENG&amp;toc=OJ:L:2016:344:TOC" TargetMode="External"/><Relationship Id="rId52" Type="http://schemas.openxmlformats.org/officeDocument/2006/relationships/hyperlink" Target="http://eur-lex.europa.eu/legal-content/EN/TXT/?uri=CELEX%3A31998L0083" TargetMode="External"/><Relationship Id="rId60" Type="http://schemas.openxmlformats.org/officeDocument/2006/relationships/hyperlink" Target="http://www.eea.europa.eu/themes/water/status-and-monitoring/state-of-bathing-water" TargetMode="External"/><Relationship Id="rId65" Type="http://schemas.openxmlformats.org/officeDocument/2006/relationships/hyperlink" Target="http://www.eea.europa.eu/themes/urban" TargetMode="External"/><Relationship Id="rId73" Type="http://schemas.openxmlformats.org/officeDocument/2006/relationships/hyperlink" Target="http://www.oecd-ilibrary.org/docserver/download/5jz14cd7hk6b.pdf?expires=1467378122&amp;id=id&amp;accname=guest&amp;checksum=AFD304D4C89711ABEED530E1AA7CCD17" TargetMode="External"/><Relationship Id="rId78" Type="http://schemas.openxmlformats.org/officeDocument/2006/relationships/hyperlink" Target="http://www.nachhaltigebeschaffung.at/nabe-kriterien-hilfsmittel" TargetMode="External"/><Relationship Id="rId81" Type="http://schemas.openxmlformats.org/officeDocument/2006/relationships/hyperlink" Target="https://cohesiondata.ec.europa.eu/countries/AT" TargetMode="External"/><Relationship Id="rId86" Type="http://schemas.openxmlformats.org/officeDocument/2006/relationships/hyperlink" Target="https://www.nachhaltigkeit.at/assets/customer/Downloads/Strategie/strategie020709_en.pdf" TargetMode="External"/><Relationship Id="rId94" Type="http://schemas.openxmlformats.org/officeDocument/2006/relationships/hyperlink" Target="http://eur-lex.europa.eu/legal-content/EN/TXT/?uri=CELEX%3A32004L0035" TargetMode="External"/><Relationship Id="rId99" Type="http://schemas.openxmlformats.org/officeDocument/2006/relationships/hyperlink" Target="http://ec.europa.eu/environment/aarhus/access_studies.htm" TargetMode="External"/><Relationship Id="rId101" Type="http://schemas.openxmlformats.org/officeDocument/2006/relationships/hyperlink" Target="http://eur-lex.europa.eu/legal-content/GA/ALL/?uri=CELEX:32003L0004"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www.energievision.at" TargetMode="External"/><Relationship Id="rId13" Type="http://schemas.openxmlformats.org/officeDocument/2006/relationships/hyperlink" Target="http://www.klimaaktiv.at/bildung.html" TargetMode="External"/><Relationship Id="rId18" Type="http://schemas.openxmlformats.org/officeDocument/2006/relationships/hyperlink" Target="http://www.bmwfw.gv.at/Presse/AktuellePresseMeldungen/Documents/2014%2002%2010%20Projektbericht_%C3%96ko-Innovationen_IHSWien_FINAL.PDF" TargetMode="External"/><Relationship Id="rId39" Type="http://schemas.openxmlformats.org/officeDocument/2006/relationships/hyperlink" Target="http://www.ages.at/fileadmin/AGES2015/Service/Landwirtschaft/Boden_Datein/Broschueren/AGES_Bodenbroschuere_Web.pdf" TargetMode="External"/><Relationship Id="rId34" Type="http://schemas.openxmlformats.org/officeDocument/2006/relationships/hyperlink" Target="http://biodiversity.europa.eu/links/member-states-cbd-reports/austria-fifth-national-report-to-the-cbd" TargetMode="External"/><Relationship Id="rId50" Type="http://schemas.openxmlformats.org/officeDocument/2006/relationships/hyperlink" Target="http://eur-lex.europa.eu/legal-content/EN/TXT/?qid=1481623908600&amp;uri=CELEX:32006L0007" TargetMode="External"/><Relationship Id="rId55" Type="http://schemas.openxmlformats.org/officeDocument/2006/relationships/hyperlink" Target="http://eur-lex.europa.eu/legal-content/EN/TXT/?uri=CELEX:32007L0060" TargetMode="External"/><Relationship Id="rId76" Type="http://schemas.openxmlformats.org/officeDocument/2006/relationships/hyperlink" Target="http://eur-lex.europa.eu/legal-content/EN/TXT/?uri=CELEX:52008DC0400http://eur-lex.europa.eu/legal-content/EN/TXT/?uri=CELEX:52008DC0400" TargetMode="External"/><Relationship Id="rId97" Type="http://schemas.openxmlformats.org/officeDocument/2006/relationships/hyperlink" Target="https://secure.umweltbundesamt.at/edm_portal/cms.do?get=/portal/informationen/ie-richtlinie-und-ippc-anlagen/Inspektionsplan.main" TargetMode="External"/><Relationship Id="rId104" Type="http://schemas.openxmlformats.org/officeDocument/2006/relationships/hyperlink" Target="http://inspire.ec.europa.eu/index.cfm/pageid/1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CEC05-DFE7-4323-8ED3-978E8049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11450</Words>
  <Characters>65612</Characters>
  <Application>Microsoft Office Word</Application>
  <DocSecurity>0</DocSecurity>
  <Lines>1682</Lines>
  <Paragraphs>360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2016-12-09T15:25:00Z</cp:lastPrinted>
  <dcterms:created xsi:type="dcterms:W3CDTF">2017-01-24T09:21:00Z</dcterms:created>
  <dcterms:modified xsi:type="dcterms:W3CDTF">2017-02-02T17:35:00Z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