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00B" w:rsidRDefault="00390F61" w:rsidP="00390F61">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BCBFBC3863804B8D8A4FB28A10654C38" style="width:450.7pt;height:498.85pt">
            <v:imagedata r:id="rId9" o:title=""/>
          </v:shape>
        </w:pict>
      </w:r>
    </w:p>
    <w:bookmarkEnd w:id="0"/>
    <w:p w:rsidR="0017500B" w:rsidRDefault="0017500B">
      <w:pPr>
        <w:rPr>
          <w:noProof/>
        </w:rPr>
        <w:sectPr w:rsidR="0017500B" w:rsidSect="00390F61">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17500B" w:rsidRDefault="0017500B">
      <w:pPr>
        <w:rPr>
          <w:rFonts w:eastAsia="Times New Roman"/>
          <w:b/>
          <w:noProof/>
          <w:szCs w:val="24"/>
          <w:lang w:eastAsia="en-GB"/>
        </w:rPr>
      </w:pPr>
      <w:bookmarkStart w:id="1" w:name="_GoBack"/>
      <w:bookmarkEnd w:id="1"/>
    </w:p>
    <w:p w:rsidR="0017500B" w:rsidRDefault="0017500B">
      <w:pPr>
        <w:rPr>
          <w:rFonts w:eastAsia="Times New Roman"/>
          <w:b/>
          <w:noProof/>
          <w:szCs w:val="24"/>
          <w:lang w:eastAsia="en-GB"/>
        </w:rPr>
      </w:pPr>
    </w:p>
    <w:p w:rsidR="0017500B" w:rsidRDefault="0017500B">
      <w:pPr>
        <w:rPr>
          <w:rFonts w:eastAsia="Times New Roman"/>
          <w:b/>
          <w:noProof/>
          <w:szCs w:val="24"/>
          <w:lang w:eastAsia="en-GB"/>
        </w:rPr>
      </w:pPr>
    </w:p>
    <w:p w:rsidR="0017500B" w:rsidRDefault="0017500B">
      <w:pPr>
        <w:rPr>
          <w:rFonts w:eastAsia="Times New Roman"/>
          <w:b/>
          <w:noProof/>
          <w:szCs w:val="24"/>
          <w:lang w:eastAsia="en-GB"/>
        </w:rPr>
      </w:pPr>
    </w:p>
    <w:p w:rsidR="0017500B" w:rsidRDefault="0017500B">
      <w:pPr>
        <w:widowControl w:val="0"/>
        <w:tabs>
          <w:tab w:val="right" w:leader="dot" w:pos="8640"/>
        </w:tabs>
        <w:spacing w:before="120" w:after="120" w:line="240" w:lineRule="auto"/>
        <w:ind w:right="720"/>
        <w:rPr>
          <w:rFonts w:eastAsia="Times New Roman" w:cs="Times New Roman"/>
          <w:noProof/>
          <w:szCs w:val="20"/>
        </w:rPr>
      </w:pPr>
    </w:p>
    <w:p w:rsidR="0017500B" w:rsidRDefault="0017500B">
      <w:pPr>
        <w:widowControl w:val="0"/>
        <w:tabs>
          <w:tab w:val="right" w:leader="dot" w:pos="8640"/>
        </w:tabs>
        <w:spacing w:before="120" w:after="120" w:line="240" w:lineRule="auto"/>
        <w:jc w:val="both"/>
        <w:rPr>
          <w:rFonts w:eastAsia="Times New Roman" w:cs="Times New Roman"/>
          <w:noProof/>
          <w:szCs w:val="20"/>
        </w:rPr>
      </w:pPr>
    </w:p>
    <w:p w:rsidR="0017500B" w:rsidRDefault="0017500B">
      <w:pPr>
        <w:widowControl w:val="0"/>
        <w:tabs>
          <w:tab w:val="right" w:leader="dot" w:pos="8640"/>
        </w:tabs>
        <w:spacing w:before="120" w:after="120" w:line="240" w:lineRule="auto"/>
        <w:jc w:val="both"/>
        <w:rPr>
          <w:rFonts w:eastAsia="Times New Roman" w:cs="Times New Roman"/>
          <w:noProof/>
          <w:szCs w:val="20"/>
        </w:rPr>
      </w:pPr>
    </w:p>
    <w:p w:rsidR="0017500B" w:rsidRDefault="0017500B">
      <w:pPr>
        <w:widowControl w:val="0"/>
        <w:tabs>
          <w:tab w:val="right" w:leader="dot" w:pos="8640"/>
        </w:tabs>
        <w:spacing w:before="120" w:after="120" w:line="240" w:lineRule="auto"/>
        <w:jc w:val="both"/>
        <w:rPr>
          <w:rFonts w:eastAsia="Times New Roman" w:cs="Times New Roman"/>
          <w:noProof/>
          <w:szCs w:val="20"/>
        </w:rPr>
      </w:pPr>
    </w:p>
    <w:p w:rsidR="0017500B" w:rsidRDefault="0017500B">
      <w:pPr>
        <w:widowControl w:val="0"/>
        <w:tabs>
          <w:tab w:val="right" w:leader="dot" w:pos="8640"/>
        </w:tabs>
        <w:spacing w:before="120" w:after="120" w:line="240" w:lineRule="auto"/>
        <w:jc w:val="both"/>
        <w:rPr>
          <w:rFonts w:eastAsia="Times New Roman" w:cs="Times New Roman"/>
          <w:noProof/>
          <w:szCs w:val="20"/>
        </w:rPr>
      </w:pPr>
    </w:p>
    <w:p w:rsidR="0017500B" w:rsidRDefault="0017500B">
      <w:pPr>
        <w:widowControl w:val="0"/>
        <w:tabs>
          <w:tab w:val="right" w:leader="dot" w:pos="8640"/>
        </w:tabs>
        <w:spacing w:before="120" w:after="120" w:line="240" w:lineRule="auto"/>
        <w:jc w:val="both"/>
        <w:rPr>
          <w:rFonts w:eastAsia="Times New Roman" w:cs="Times New Roman"/>
          <w:noProof/>
          <w:szCs w:val="20"/>
        </w:rPr>
      </w:pPr>
    </w:p>
    <w:p w:rsidR="0017500B" w:rsidRDefault="0017500B">
      <w:pPr>
        <w:widowControl w:val="0"/>
        <w:tabs>
          <w:tab w:val="right" w:leader="dot" w:pos="8640"/>
        </w:tabs>
        <w:spacing w:before="120" w:after="120" w:line="240" w:lineRule="auto"/>
        <w:jc w:val="both"/>
        <w:rPr>
          <w:rFonts w:eastAsia="Times New Roman" w:cs="Times New Roman"/>
          <w:noProof/>
          <w:szCs w:val="20"/>
        </w:rPr>
      </w:pPr>
    </w:p>
    <w:p w:rsidR="0017500B" w:rsidRDefault="0017500B">
      <w:pPr>
        <w:widowControl w:val="0"/>
        <w:tabs>
          <w:tab w:val="right" w:leader="dot" w:pos="8640"/>
        </w:tabs>
        <w:spacing w:before="120" w:after="120" w:line="240" w:lineRule="auto"/>
        <w:jc w:val="both"/>
        <w:rPr>
          <w:rFonts w:eastAsia="Times New Roman" w:cs="Times New Roman"/>
          <w:noProof/>
          <w:szCs w:val="20"/>
        </w:rPr>
      </w:pPr>
    </w:p>
    <w:p w:rsidR="0017500B" w:rsidRDefault="0017500B">
      <w:pPr>
        <w:widowControl w:val="0"/>
        <w:tabs>
          <w:tab w:val="right" w:leader="dot" w:pos="8640"/>
        </w:tabs>
        <w:spacing w:before="120" w:after="120" w:line="240" w:lineRule="auto"/>
        <w:jc w:val="both"/>
        <w:rPr>
          <w:rFonts w:eastAsia="Times New Roman" w:cs="Times New Roman"/>
          <w:noProof/>
          <w:szCs w:val="20"/>
        </w:rPr>
      </w:pPr>
    </w:p>
    <w:p w:rsidR="0017500B" w:rsidRDefault="0017500B">
      <w:pPr>
        <w:widowControl w:val="0"/>
        <w:tabs>
          <w:tab w:val="right" w:leader="dot" w:pos="8640"/>
        </w:tabs>
        <w:spacing w:before="120" w:after="120" w:line="240" w:lineRule="auto"/>
        <w:jc w:val="both"/>
        <w:rPr>
          <w:rFonts w:eastAsia="Times New Roman" w:cs="Times New Roman"/>
          <w:noProof/>
          <w:szCs w:val="20"/>
        </w:rPr>
      </w:pPr>
    </w:p>
    <w:p w:rsidR="0017500B" w:rsidRDefault="0017500B">
      <w:pPr>
        <w:widowControl w:val="0"/>
        <w:tabs>
          <w:tab w:val="right" w:leader="dot" w:pos="8640"/>
        </w:tabs>
        <w:spacing w:before="120" w:after="120" w:line="240" w:lineRule="auto"/>
        <w:jc w:val="both"/>
        <w:rPr>
          <w:rFonts w:eastAsia="Times New Roman" w:cs="Times New Roman"/>
          <w:noProof/>
          <w:szCs w:val="20"/>
        </w:rPr>
      </w:pPr>
    </w:p>
    <w:p w:rsidR="0017500B" w:rsidRDefault="0017500B">
      <w:pPr>
        <w:widowControl w:val="0"/>
        <w:tabs>
          <w:tab w:val="right" w:leader="dot" w:pos="8640"/>
        </w:tabs>
        <w:spacing w:before="120" w:after="120" w:line="240" w:lineRule="auto"/>
        <w:jc w:val="both"/>
        <w:rPr>
          <w:rFonts w:eastAsia="Times New Roman" w:cs="Times New Roman"/>
          <w:noProof/>
          <w:szCs w:val="20"/>
        </w:rPr>
      </w:pPr>
    </w:p>
    <w:p w:rsidR="0017500B" w:rsidRDefault="0017500B">
      <w:pPr>
        <w:widowControl w:val="0"/>
        <w:tabs>
          <w:tab w:val="right" w:leader="dot" w:pos="8640"/>
        </w:tabs>
        <w:spacing w:before="120" w:after="120" w:line="240" w:lineRule="auto"/>
        <w:jc w:val="both"/>
        <w:rPr>
          <w:rFonts w:eastAsia="Times New Roman" w:cs="Times New Roman"/>
          <w:noProof/>
          <w:szCs w:val="20"/>
        </w:rPr>
      </w:pPr>
    </w:p>
    <w:p w:rsidR="0017500B" w:rsidRDefault="0017500B">
      <w:pPr>
        <w:widowControl w:val="0"/>
        <w:tabs>
          <w:tab w:val="right" w:leader="dot" w:pos="8640"/>
        </w:tabs>
        <w:spacing w:before="120" w:after="120" w:line="240" w:lineRule="auto"/>
        <w:jc w:val="both"/>
        <w:rPr>
          <w:rFonts w:eastAsia="Times New Roman" w:cs="Times New Roman"/>
          <w:noProof/>
          <w:szCs w:val="20"/>
        </w:rPr>
      </w:pPr>
    </w:p>
    <w:p w:rsidR="0017500B" w:rsidRDefault="0017500B">
      <w:pPr>
        <w:widowControl w:val="0"/>
        <w:tabs>
          <w:tab w:val="right" w:leader="dot" w:pos="8640"/>
        </w:tabs>
        <w:spacing w:before="120" w:after="120" w:line="240" w:lineRule="auto"/>
        <w:jc w:val="both"/>
        <w:rPr>
          <w:rFonts w:eastAsia="Times New Roman" w:cs="Times New Roman"/>
          <w:noProof/>
          <w:szCs w:val="20"/>
        </w:rPr>
      </w:pPr>
    </w:p>
    <w:p w:rsidR="0017500B" w:rsidRDefault="0017500B">
      <w:pPr>
        <w:widowControl w:val="0"/>
        <w:tabs>
          <w:tab w:val="right" w:leader="dot" w:pos="8640"/>
        </w:tabs>
        <w:spacing w:before="120" w:after="120" w:line="240" w:lineRule="auto"/>
        <w:jc w:val="both"/>
        <w:rPr>
          <w:rFonts w:eastAsia="Times New Roman" w:cs="Times New Roman"/>
          <w:noProof/>
          <w:szCs w:val="20"/>
        </w:rPr>
      </w:pPr>
    </w:p>
    <w:p w:rsidR="0017500B" w:rsidRDefault="0017500B">
      <w:pPr>
        <w:widowControl w:val="0"/>
        <w:tabs>
          <w:tab w:val="right" w:leader="dot" w:pos="8640"/>
        </w:tabs>
        <w:spacing w:before="120" w:after="120" w:line="240" w:lineRule="auto"/>
        <w:jc w:val="both"/>
        <w:rPr>
          <w:rFonts w:eastAsia="Times New Roman" w:cs="Times New Roman"/>
          <w:noProof/>
          <w:szCs w:val="20"/>
        </w:rPr>
      </w:pPr>
    </w:p>
    <w:p w:rsidR="0017500B" w:rsidRDefault="00390F61">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 xml:space="preserve">This report has been written by the staff of the Directorate-General for Environment, European Commission. Any comments are welcome to the following e-mail address: </w:t>
      </w:r>
      <w:hyperlink r:id="rId16" w:history="1">
        <w:r>
          <w:rPr>
            <w:rFonts w:eastAsia="Times New Roman" w:cs="Times New Roman"/>
            <w:noProof/>
            <w:color w:val="0000FF"/>
            <w:szCs w:val="20"/>
            <w:u w:val="single"/>
          </w:rPr>
          <w:t>ENV-EIR@ec.europa.eu</w:t>
        </w:r>
      </w:hyperlink>
      <w:r>
        <w:rPr>
          <w:rFonts w:eastAsia="Times New Roman" w:cs="Times New Roman"/>
          <w:noProof/>
          <w:szCs w:val="20"/>
        </w:rPr>
        <w:t xml:space="preserve"> </w:t>
      </w:r>
    </w:p>
    <w:p w:rsidR="0017500B" w:rsidRDefault="0017500B">
      <w:pPr>
        <w:widowControl w:val="0"/>
        <w:tabs>
          <w:tab w:val="right" w:leader="dot" w:pos="8640"/>
        </w:tabs>
        <w:spacing w:before="120" w:after="120" w:line="240" w:lineRule="auto"/>
        <w:ind w:left="482" w:right="720" w:hanging="482"/>
        <w:rPr>
          <w:rFonts w:eastAsia="Times New Roman" w:cs="Times New Roman"/>
          <w:noProof/>
          <w:szCs w:val="20"/>
        </w:rPr>
      </w:pPr>
    </w:p>
    <w:p w:rsidR="0017500B" w:rsidRDefault="00390F61">
      <w:pPr>
        <w:widowControl w:val="0"/>
        <w:tabs>
          <w:tab w:val="right" w:leader="dot" w:pos="8640"/>
        </w:tabs>
        <w:spacing w:before="120" w:after="120" w:line="240" w:lineRule="auto"/>
        <w:ind w:left="482" w:right="720" w:hanging="482"/>
        <w:rPr>
          <w:rFonts w:eastAsia="Times New Roman" w:cs="Times New Roman"/>
          <w:noProof/>
          <w:szCs w:val="20"/>
        </w:rPr>
      </w:pPr>
      <w:r>
        <w:rPr>
          <w:rFonts w:eastAsia="Times New Roman" w:cs="Times New Roman"/>
          <w:noProof/>
          <w:szCs w:val="20"/>
        </w:rPr>
        <w:t xml:space="preserve">More information on the </w:t>
      </w:r>
      <w:r>
        <w:rPr>
          <w:rFonts w:eastAsia="Times New Roman" w:cs="Times New Roman"/>
          <w:noProof/>
          <w:szCs w:val="20"/>
        </w:rPr>
        <w:t>European Union is available on the internet (</w:t>
      </w:r>
      <w:hyperlink r:id="rId17" w:history="1">
        <w:r>
          <w:rPr>
            <w:rFonts w:eastAsia="Times New Roman" w:cs="Times New Roman"/>
            <w:noProof/>
            <w:color w:val="0000FF"/>
            <w:szCs w:val="20"/>
            <w:u w:val="single"/>
          </w:rPr>
          <w:t>http://europa.eu</w:t>
        </w:r>
      </w:hyperlink>
      <w:r>
        <w:rPr>
          <w:rFonts w:eastAsia="Times New Roman" w:cs="Times New Roman"/>
          <w:noProof/>
          <w:szCs w:val="20"/>
        </w:rPr>
        <w:t>).</w:t>
      </w:r>
    </w:p>
    <w:p w:rsidR="0017500B" w:rsidRDefault="0017500B">
      <w:pPr>
        <w:widowControl w:val="0"/>
        <w:tabs>
          <w:tab w:val="right" w:leader="dot" w:pos="8640"/>
        </w:tabs>
        <w:spacing w:before="120" w:after="120" w:line="240" w:lineRule="auto"/>
        <w:ind w:left="482" w:right="720" w:hanging="482"/>
        <w:rPr>
          <w:rFonts w:eastAsia="Times New Roman" w:cs="Times New Roman"/>
          <w:noProof/>
          <w:szCs w:val="20"/>
        </w:rPr>
      </w:pPr>
    </w:p>
    <w:p w:rsidR="0017500B" w:rsidRDefault="00390F61">
      <w:pPr>
        <w:widowControl w:val="0"/>
        <w:tabs>
          <w:tab w:val="right" w:leader="dot" w:pos="8640"/>
        </w:tabs>
        <w:spacing w:before="120" w:after="120" w:line="240" w:lineRule="auto"/>
        <w:ind w:right="141"/>
        <w:rPr>
          <w:rFonts w:eastAsia="Times New Roman" w:cs="Times New Roman"/>
          <w:noProof/>
          <w:szCs w:val="20"/>
        </w:rPr>
      </w:pPr>
      <w:r>
        <w:rPr>
          <w:rFonts w:eastAsia="Times New Roman" w:cs="Times New Roman"/>
          <w:noProof/>
          <w:szCs w:val="20"/>
        </w:rPr>
        <w:t>Photographs: p.10 – ©Richard Semik/iStock; p.20 – ©LIFE08 ENV/B/000042; p.22 – ©Michael Luhrenberg/iStock; p.29 – ©kartouchken/iStock</w:t>
      </w:r>
    </w:p>
    <w:p w:rsidR="0017500B" w:rsidRDefault="0017500B">
      <w:pPr>
        <w:widowControl w:val="0"/>
        <w:tabs>
          <w:tab w:val="right" w:leader="dot" w:pos="8640"/>
        </w:tabs>
        <w:spacing w:before="120" w:after="120" w:line="240" w:lineRule="auto"/>
        <w:jc w:val="both"/>
        <w:rPr>
          <w:rFonts w:eastAsia="Times New Roman" w:cs="Times New Roman"/>
          <w:noProof/>
          <w:szCs w:val="20"/>
        </w:rPr>
      </w:pPr>
    </w:p>
    <w:p w:rsidR="0017500B" w:rsidRDefault="00390F61">
      <w:pPr>
        <w:widowControl w:val="0"/>
        <w:tabs>
          <w:tab w:val="right" w:leader="dot" w:pos="8640"/>
        </w:tabs>
        <w:spacing w:before="120" w:after="120" w:line="240" w:lineRule="auto"/>
        <w:rPr>
          <w:rFonts w:eastAsia="Times New Roman" w:cs="Times New Roman"/>
          <w:noProof/>
          <w:szCs w:val="20"/>
        </w:rPr>
      </w:pPr>
      <w:r>
        <w:rPr>
          <w:rFonts w:eastAsia="Times New Roman" w:cs="Times New Roman"/>
          <w:noProof/>
          <w:szCs w:val="20"/>
        </w:rPr>
        <w:t>For reproduction or use of these photos, permission must be sought directly from the copyright holder.</w:t>
      </w:r>
    </w:p>
    <w:p w:rsidR="0017500B" w:rsidRDefault="0017500B">
      <w:pPr>
        <w:widowControl w:val="0"/>
        <w:tabs>
          <w:tab w:val="right" w:leader="dot" w:pos="8640"/>
        </w:tabs>
        <w:spacing w:before="120" w:after="120" w:line="240" w:lineRule="auto"/>
        <w:jc w:val="both"/>
        <w:rPr>
          <w:rFonts w:eastAsia="Times New Roman" w:cs="Times New Roman"/>
          <w:noProof/>
          <w:szCs w:val="20"/>
        </w:rPr>
      </w:pPr>
    </w:p>
    <w:p w:rsidR="0017500B" w:rsidRDefault="00390F61">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©European Union, 2017</w:t>
      </w:r>
    </w:p>
    <w:p w:rsidR="0017500B" w:rsidRDefault="00390F61">
      <w:pPr>
        <w:widowControl w:val="0"/>
        <w:tabs>
          <w:tab w:val="right" w:leader="dot" w:pos="8640"/>
        </w:tabs>
        <w:spacing w:before="120" w:after="120" w:line="240" w:lineRule="auto"/>
        <w:rPr>
          <w:rFonts w:eastAsia="Times New Roman" w:cs="Times New Roman"/>
          <w:noProof/>
          <w:szCs w:val="20"/>
        </w:rPr>
        <w:sectPr w:rsidR="0017500B">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9" w:footer="709" w:gutter="0"/>
          <w:pgNumType w:start="2"/>
          <w:cols w:space="720"/>
          <w:titlePg/>
          <w:docGrid w:linePitch="360"/>
        </w:sectPr>
      </w:pPr>
      <w:r>
        <w:rPr>
          <w:rFonts w:eastAsia="Times New Roman" w:cs="Times New Roman"/>
          <w:noProof/>
          <w:szCs w:val="20"/>
        </w:rPr>
        <w:t>Reproduction is authorised provided the source is acknowledged.</w:t>
      </w:r>
    </w:p>
    <w:p w:rsidR="0017500B" w:rsidRDefault="00390F61">
      <w:pPr>
        <w:jc w:val="center"/>
        <w:rPr>
          <w:rFonts w:eastAsia="Times New Roman"/>
          <w:b/>
          <w:noProof/>
          <w:szCs w:val="24"/>
          <w:lang w:eastAsia="en-GB"/>
        </w:rPr>
      </w:pPr>
      <w:r>
        <w:rPr>
          <w:rFonts w:eastAsia="Times New Roman"/>
          <w:b/>
          <w:noProof/>
          <w:szCs w:val="24"/>
          <w:lang w:eastAsia="en-GB"/>
        </w:rPr>
        <w:lastRenderedPageBreak/>
        <w:t xml:space="preserve">Table </w:t>
      </w:r>
      <w:r>
        <w:rPr>
          <w:rFonts w:eastAsia="Times New Roman"/>
          <w:b/>
          <w:noProof/>
          <w:szCs w:val="24"/>
          <w:lang w:eastAsia="en-GB"/>
        </w:rPr>
        <w:t>of Content</w:t>
      </w:r>
    </w:p>
    <w:p w:rsidR="0017500B" w:rsidRDefault="00390F61">
      <w:pPr>
        <w:pStyle w:val="TOC1"/>
        <w:rPr>
          <w:rFonts w:asciiTheme="minorHAnsi" w:eastAsiaTheme="minorEastAsia" w:hAnsiTheme="minorHAnsi" w:cstheme="minorBidi"/>
          <w:caps w:val="0"/>
          <w:noProof/>
          <w:sz w:val="22"/>
          <w:szCs w:val="22"/>
          <w:lang w:eastAsia="en-GB"/>
        </w:rPr>
      </w:pPr>
      <w:r>
        <w:rPr>
          <w:caps w:val="0"/>
          <w:noProof/>
          <w:lang w:eastAsia="ar-SA"/>
        </w:rPr>
        <w:fldChar w:fldCharType="begin"/>
      </w:r>
      <w:r>
        <w:rPr>
          <w:noProof/>
          <w:lang w:eastAsia="ar-SA"/>
        </w:rPr>
        <w:instrText xml:space="preserve"> TOC \o "1-2" \h \z \u </w:instrText>
      </w:r>
      <w:r>
        <w:rPr>
          <w:caps w:val="0"/>
          <w:noProof/>
          <w:lang w:eastAsia="ar-SA"/>
        </w:rPr>
        <w:fldChar w:fldCharType="separate"/>
      </w:r>
      <w:hyperlink w:anchor="_Toc469477483" w:history="1">
        <w:r>
          <w:rPr>
            <w:rStyle w:val="Hyperlink"/>
            <w:rFonts w:eastAsia="MS Gothic"/>
            <w:bCs/>
            <w:noProof/>
            <w:lang w:eastAsia="ar-SA"/>
          </w:rPr>
          <w:t>Executive summary</w:t>
        </w:r>
        <w:r>
          <w:rPr>
            <w:noProof/>
            <w:webHidden/>
          </w:rPr>
          <w:tab/>
        </w:r>
        <w:r>
          <w:rPr>
            <w:noProof/>
            <w:webHidden/>
          </w:rPr>
          <w:fldChar w:fldCharType="begin"/>
        </w:r>
        <w:r>
          <w:rPr>
            <w:noProof/>
            <w:webHidden/>
          </w:rPr>
          <w:instrText xml:space="preserve"> PAGEREF _Toc469477483 \h </w:instrText>
        </w:r>
        <w:r>
          <w:rPr>
            <w:noProof/>
            <w:webHidden/>
          </w:rPr>
        </w:r>
        <w:r>
          <w:rPr>
            <w:noProof/>
            <w:webHidden/>
          </w:rPr>
          <w:fldChar w:fldCharType="separate"/>
        </w:r>
        <w:r>
          <w:rPr>
            <w:noProof/>
            <w:webHidden/>
          </w:rPr>
          <w:t>4</w:t>
        </w:r>
        <w:r>
          <w:rPr>
            <w:noProof/>
            <w:webHidden/>
          </w:rPr>
          <w:fldChar w:fldCharType="end"/>
        </w:r>
      </w:hyperlink>
    </w:p>
    <w:p w:rsidR="0017500B" w:rsidRDefault="00390F61">
      <w:pPr>
        <w:pStyle w:val="TOC1"/>
        <w:rPr>
          <w:rFonts w:asciiTheme="minorHAnsi" w:eastAsiaTheme="minorEastAsia" w:hAnsiTheme="minorHAnsi" w:cstheme="minorBidi"/>
          <w:caps w:val="0"/>
          <w:noProof/>
          <w:sz w:val="22"/>
          <w:szCs w:val="22"/>
          <w:lang w:eastAsia="en-GB"/>
        </w:rPr>
      </w:pPr>
      <w:hyperlink w:anchor="_Toc469477484" w:history="1">
        <w:r>
          <w:rPr>
            <w:rStyle w:val="Hyperlink"/>
            <w:rFonts w:eastAsia="MS Gothic"/>
            <w:bCs/>
            <w:noProof/>
            <w:lang w:eastAsia="ar-SA"/>
          </w:rPr>
          <w:t>Part I: Thematic Areas</w:t>
        </w:r>
        <w:r>
          <w:rPr>
            <w:noProof/>
            <w:webHidden/>
          </w:rPr>
          <w:tab/>
        </w:r>
        <w:r>
          <w:rPr>
            <w:noProof/>
            <w:webHidden/>
          </w:rPr>
          <w:fldChar w:fldCharType="begin"/>
        </w:r>
        <w:r>
          <w:rPr>
            <w:noProof/>
            <w:webHidden/>
          </w:rPr>
          <w:instrText xml:space="preserve"> PAGEREF _Toc469477</w:instrText>
        </w:r>
        <w:r>
          <w:rPr>
            <w:noProof/>
            <w:webHidden/>
          </w:rPr>
          <w:instrText xml:space="preserve">484 \h </w:instrText>
        </w:r>
        <w:r>
          <w:rPr>
            <w:noProof/>
            <w:webHidden/>
          </w:rPr>
        </w:r>
        <w:r>
          <w:rPr>
            <w:noProof/>
            <w:webHidden/>
          </w:rPr>
          <w:fldChar w:fldCharType="separate"/>
        </w:r>
        <w:r>
          <w:rPr>
            <w:noProof/>
            <w:webHidden/>
          </w:rPr>
          <w:t>5</w:t>
        </w:r>
        <w:r>
          <w:rPr>
            <w:noProof/>
            <w:webHidden/>
          </w:rPr>
          <w:fldChar w:fldCharType="end"/>
        </w:r>
      </w:hyperlink>
    </w:p>
    <w:p w:rsidR="0017500B" w:rsidRDefault="00390F61">
      <w:pPr>
        <w:pStyle w:val="TOC1"/>
        <w:rPr>
          <w:rFonts w:asciiTheme="minorHAnsi" w:eastAsiaTheme="minorEastAsia" w:hAnsiTheme="minorHAnsi" w:cstheme="minorBidi"/>
          <w:caps w:val="0"/>
          <w:noProof/>
          <w:sz w:val="22"/>
          <w:szCs w:val="22"/>
          <w:lang w:eastAsia="en-GB"/>
        </w:rPr>
      </w:pPr>
      <w:hyperlink w:anchor="_Toc469477485"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Turning the EU into a circular, resource-efficient, green and competitive economy</w:t>
        </w:r>
        <w:r>
          <w:rPr>
            <w:noProof/>
            <w:webHidden/>
          </w:rPr>
          <w:tab/>
        </w:r>
        <w:r>
          <w:rPr>
            <w:noProof/>
            <w:webHidden/>
          </w:rPr>
          <w:fldChar w:fldCharType="begin"/>
        </w:r>
        <w:r>
          <w:rPr>
            <w:noProof/>
            <w:webHidden/>
          </w:rPr>
          <w:instrText xml:space="preserve"> PAGEREF _Toc469477485 \h </w:instrText>
        </w:r>
        <w:r>
          <w:rPr>
            <w:noProof/>
            <w:webHidden/>
          </w:rPr>
        </w:r>
        <w:r>
          <w:rPr>
            <w:noProof/>
            <w:webHidden/>
          </w:rPr>
          <w:fldChar w:fldCharType="separate"/>
        </w:r>
        <w:r>
          <w:rPr>
            <w:noProof/>
            <w:webHidden/>
          </w:rPr>
          <w:t>5</w:t>
        </w:r>
        <w:r>
          <w:rPr>
            <w:noProof/>
            <w:webHidden/>
          </w:rPr>
          <w:fldChar w:fldCharType="end"/>
        </w:r>
      </w:hyperlink>
    </w:p>
    <w:p w:rsidR="0017500B" w:rsidRDefault="00390F61">
      <w:pPr>
        <w:pStyle w:val="TOC2"/>
        <w:rPr>
          <w:rFonts w:asciiTheme="minorHAnsi" w:eastAsiaTheme="minorEastAsia" w:hAnsiTheme="minorHAnsi" w:cstheme="minorBidi"/>
          <w:sz w:val="22"/>
          <w:szCs w:val="22"/>
          <w:lang w:eastAsia="en-GB"/>
        </w:rPr>
      </w:pPr>
      <w:hyperlink w:anchor="_Toc469477486" w:history="1">
        <w:r>
          <w:rPr>
            <w:rStyle w:val="Hyperlink"/>
            <w:rFonts w:eastAsia="Calibri"/>
            <w:lang w:eastAsia="ar-SA"/>
          </w:rPr>
          <w:t>Developing a circular economy and improving resource efficiency</w:t>
        </w:r>
        <w:r>
          <w:rPr>
            <w:webHidden/>
          </w:rPr>
          <w:tab/>
        </w:r>
        <w:r>
          <w:rPr>
            <w:webHidden/>
          </w:rPr>
          <w:fldChar w:fldCharType="begin"/>
        </w:r>
        <w:r>
          <w:rPr>
            <w:webHidden/>
          </w:rPr>
          <w:instrText xml:space="preserve"> PAGEREF _Toc469477486 \h </w:instrText>
        </w:r>
        <w:r>
          <w:rPr>
            <w:webHidden/>
          </w:rPr>
        </w:r>
        <w:r>
          <w:rPr>
            <w:webHidden/>
          </w:rPr>
          <w:fldChar w:fldCharType="separate"/>
        </w:r>
        <w:r>
          <w:rPr>
            <w:webHidden/>
          </w:rPr>
          <w:t>5</w:t>
        </w:r>
        <w:r>
          <w:rPr>
            <w:webHidden/>
          </w:rPr>
          <w:fldChar w:fldCharType="end"/>
        </w:r>
      </w:hyperlink>
    </w:p>
    <w:p w:rsidR="0017500B" w:rsidRDefault="00390F61">
      <w:pPr>
        <w:pStyle w:val="TOC2"/>
        <w:rPr>
          <w:rFonts w:asciiTheme="minorHAnsi" w:eastAsiaTheme="minorEastAsia" w:hAnsiTheme="minorHAnsi" w:cstheme="minorBidi"/>
          <w:sz w:val="22"/>
          <w:szCs w:val="22"/>
          <w:lang w:eastAsia="en-GB"/>
        </w:rPr>
      </w:pPr>
      <w:hyperlink w:anchor="_Toc469477487" w:history="1">
        <w:r>
          <w:rPr>
            <w:rStyle w:val="Hyperlink"/>
            <w:rFonts w:eastAsia="Calibri"/>
            <w:lang w:eastAsia="ar-SA"/>
          </w:rPr>
          <w:t>Waste management</w:t>
        </w:r>
        <w:r>
          <w:rPr>
            <w:webHidden/>
          </w:rPr>
          <w:tab/>
        </w:r>
        <w:r>
          <w:rPr>
            <w:webHidden/>
          </w:rPr>
          <w:fldChar w:fldCharType="begin"/>
        </w:r>
        <w:r>
          <w:rPr>
            <w:webHidden/>
          </w:rPr>
          <w:instrText xml:space="preserve"> PAGEREF _Toc469477487 \h </w:instrText>
        </w:r>
        <w:r>
          <w:rPr>
            <w:webHidden/>
          </w:rPr>
        </w:r>
        <w:r>
          <w:rPr>
            <w:webHidden/>
          </w:rPr>
          <w:fldChar w:fldCharType="separate"/>
        </w:r>
        <w:r>
          <w:rPr>
            <w:webHidden/>
          </w:rPr>
          <w:t>8</w:t>
        </w:r>
        <w:r>
          <w:rPr>
            <w:webHidden/>
          </w:rPr>
          <w:fldChar w:fldCharType="end"/>
        </w:r>
      </w:hyperlink>
    </w:p>
    <w:p w:rsidR="0017500B" w:rsidRDefault="00390F61">
      <w:pPr>
        <w:pStyle w:val="TOC1"/>
        <w:rPr>
          <w:rFonts w:asciiTheme="minorHAnsi" w:eastAsiaTheme="minorEastAsia" w:hAnsiTheme="minorHAnsi" w:cstheme="minorBidi"/>
          <w:caps w:val="0"/>
          <w:noProof/>
          <w:sz w:val="22"/>
          <w:szCs w:val="22"/>
          <w:lang w:eastAsia="en-GB"/>
        </w:rPr>
      </w:pPr>
      <w:hyperlink w:anchor="_Toc469477488"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Protecting, conserving and enhancing natural capital</w:t>
        </w:r>
        <w:r>
          <w:rPr>
            <w:noProof/>
            <w:webHidden/>
          </w:rPr>
          <w:tab/>
        </w:r>
        <w:r>
          <w:rPr>
            <w:noProof/>
            <w:webHidden/>
          </w:rPr>
          <w:fldChar w:fldCharType="begin"/>
        </w:r>
        <w:r>
          <w:rPr>
            <w:noProof/>
            <w:webHidden/>
          </w:rPr>
          <w:instrText xml:space="preserve"> PAGEREF _Toc4694774</w:instrText>
        </w:r>
        <w:r>
          <w:rPr>
            <w:noProof/>
            <w:webHidden/>
          </w:rPr>
          <w:instrText xml:space="preserve">88 \h </w:instrText>
        </w:r>
        <w:r>
          <w:rPr>
            <w:noProof/>
            <w:webHidden/>
          </w:rPr>
        </w:r>
        <w:r>
          <w:rPr>
            <w:noProof/>
            <w:webHidden/>
          </w:rPr>
          <w:fldChar w:fldCharType="separate"/>
        </w:r>
        <w:r>
          <w:rPr>
            <w:noProof/>
            <w:webHidden/>
          </w:rPr>
          <w:t>10</w:t>
        </w:r>
        <w:r>
          <w:rPr>
            <w:noProof/>
            <w:webHidden/>
          </w:rPr>
          <w:fldChar w:fldCharType="end"/>
        </w:r>
      </w:hyperlink>
    </w:p>
    <w:p w:rsidR="0017500B" w:rsidRDefault="00390F61">
      <w:pPr>
        <w:pStyle w:val="TOC2"/>
        <w:rPr>
          <w:rFonts w:asciiTheme="minorHAnsi" w:eastAsiaTheme="minorEastAsia" w:hAnsiTheme="minorHAnsi" w:cstheme="minorBidi"/>
          <w:sz w:val="22"/>
          <w:szCs w:val="22"/>
          <w:lang w:eastAsia="en-GB"/>
        </w:rPr>
      </w:pPr>
      <w:hyperlink w:anchor="_Toc469477489" w:history="1">
        <w:r>
          <w:rPr>
            <w:rStyle w:val="Hyperlink"/>
            <w:rFonts w:eastAsia="Calibri"/>
            <w:lang w:eastAsia="ar-SA"/>
          </w:rPr>
          <w:t>Nature and Biodiversity</w:t>
        </w:r>
        <w:r>
          <w:rPr>
            <w:webHidden/>
          </w:rPr>
          <w:tab/>
        </w:r>
        <w:r>
          <w:rPr>
            <w:webHidden/>
          </w:rPr>
          <w:fldChar w:fldCharType="begin"/>
        </w:r>
        <w:r>
          <w:rPr>
            <w:webHidden/>
          </w:rPr>
          <w:instrText xml:space="preserve"> PAGEREF _Toc469477489 \h </w:instrText>
        </w:r>
        <w:r>
          <w:rPr>
            <w:webHidden/>
          </w:rPr>
        </w:r>
        <w:r>
          <w:rPr>
            <w:webHidden/>
          </w:rPr>
          <w:fldChar w:fldCharType="separate"/>
        </w:r>
        <w:r>
          <w:rPr>
            <w:webHidden/>
          </w:rPr>
          <w:t>10</w:t>
        </w:r>
        <w:r>
          <w:rPr>
            <w:webHidden/>
          </w:rPr>
          <w:fldChar w:fldCharType="end"/>
        </w:r>
      </w:hyperlink>
    </w:p>
    <w:p w:rsidR="0017500B" w:rsidRDefault="00390F61">
      <w:pPr>
        <w:pStyle w:val="TOC2"/>
        <w:rPr>
          <w:rFonts w:asciiTheme="minorHAnsi" w:eastAsiaTheme="minorEastAsia" w:hAnsiTheme="minorHAnsi" w:cstheme="minorBidi"/>
          <w:sz w:val="22"/>
          <w:szCs w:val="22"/>
          <w:lang w:eastAsia="en-GB"/>
        </w:rPr>
      </w:pPr>
      <w:hyperlink w:anchor="_Toc469477490" w:history="1">
        <w:r>
          <w:rPr>
            <w:rStyle w:val="Hyperlink"/>
            <w:rFonts w:eastAsia="Calibri"/>
            <w:lang w:eastAsia="ar-SA"/>
          </w:rPr>
          <w:t>Estimating Natural Capital</w:t>
        </w:r>
        <w:r>
          <w:rPr>
            <w:webHidden/>
          </w:rPr>
          <w:tab/>
        </w:r>
        <w:r>
          <w:rPr>
            <w:webHidden/>
          </w:rPr>
          <w:fldChar w:fldCharType="begin"/>
        </w:r>
        <w:r>
          <w:rPr>
            <w:webHidden/>
          </w:rPr>
          <w:instrText xml:space="preserve"> PAGEREF _Toc469477490 \h </w:instrText>
        </w:r>
        <w:r>
          <w:rPr>
            <w:webHidden/>
          </w:rPr>
        </w:r>
        <w:r>
          <w:rPr>
            <w:webHidden/>
          </w:rPr>
          <w:fldChar w:fldCharType="separate"/>
        </w:r>
        <w:r>
          <w:rPr>
            <w:webHidden/>
          </w:rPr>
          <w:t>12</w:t>
        </w:r>
        <w:r>
          <w:rPr>
            <w:webHidden/>
          </w:rPr>
          <w:fldChar w:fldCharType="end"/>
        </w:r>
      </w:hyperlink>
    </w:p>
    <w:p w:rsidR="0017500B" w:rsidRDefault="00390F61">
      <w:pPr>
        <w:pStyle w:val="TOC2"/>
        <w:rPr>
          <w:rFonts w:asciiTheme="minorHAnsi" w:eastAsiaTheme="minorEastAsia" w:hAnsiTheme="minorHAnsi" w:cstheme="minorBidi"/>
          <w:sz w:val="22"/>
          <w:szCs w:val="22"/>
          <w:lang w:eastAsia="en-GB"/>
        </w:rPr>
      </w:pPr>
      <w:hyperlink w:anchor="_Toc469477491" w:history="1">
        <w:r>
          <w:rPr>
            <w:rStyle w:val="Hyperlink"/>
            <w:rFonts w:eastAsia="Calibri"/>
            <w:lang w:eastAsia="ar-SA"/>
          </w:rPr>
          <w:t>Green Infrastructure</w:t>
        </w:r>
        <w:r>
          <w:rPr>
            <w:webHidden/>
          </w:rPr>
          <w:tab/>
        </w:r>
        <w:r>
          <w:rPr>
            <w:webHidden/>
          </w:rPr>
          <w:fldChar w:fldCharType="begin"/>
        </w:r>
        <w:r>
          <w:rPr>
            <w:webHidden/>
          </w:rPr>
          <w:instrText xml:space="preserve"> PAGEREF _Toc469477491 \h </w:instrText>
        </w:r>
        <w:r>
          <w:rPr>
            <w:webHidden/>
          </w:rPr>
        </w:r>
        <w:r>
          <w:rPr>
            <w:webHidden/>
          </w:rPr>
          <w:fldChar w:fldCharType="separate"/>
        </w:r>
        <w:r>
          <w:rPr>
            <w:webHidden/>
          </w:rPr>
          <w:t>13</w:t>
        </w:r>
        <w:r>
          <w:rPr>
            <w:webHidden/>
          </w:rPr>
          <w:fldChar w:fldCharType="end"/>
        </w:r>
      </w:hyperlink>
    </w:p>
    <w:p w:rsidR="0017500B" w:rsidRDefault="00390F61">
      <w:pPr>
        <w:pStyle w:val="TOC2"/>
        <w:rPr>
          <w:rFonts w:asciiTheme="minorHAnsi" w:eastAsiaTheme="minorEastAsia" w:hAnsiTheme="minorHAnsi" w:cstheme="minorBidi"/>
          <w:sz w:val="22"/>
          <w:szCs w:val="22"/>
          <w:lang w:eastAsia="en-GB"/>
        </w:rPr>
      </w:pPr>
      <w:hyperlink w:anchor="_Toc469477492" w:history="1">
        <w:r>
          <w:rPr>
            <w:rStyle w:val="Hyperlink"/>
            <w:rFonts w:eastAsia="Calibri"/>
            <w:lang w:eastAsia="ar-SA"/>
          </w:rPr>
          <w:t>Soil protection</w:t>
        </w:r>
        <w:r>
          <w:rPr>
            <w:webHidden/>
          </w:rPr>
          <w:tab/>
        </w:r>
        <w:r>
          <w:rPr>
            <w:webHidden/>
          </w:rPr>
          <w:fldChar w:fldCharType="begin"/>
        </w:r>
        <w:r>
          <w:rPr>
            <w:webHidden/>
          </w:rPr>
          <w:instrText xml:space="preserve"> PAGEREF _Toc469477492 \h </w:instrText>
        </w:r>
        <w:r>
          <w:rPr>
            <w:webHidden/>
          </w:rPr>
        </w:r>
        <w:r>
          <w:rPr>
            <w:webHidden/>
          </w:rPr>
          <w:fldChar w:fldCharType="separate"/>
        </w:r>
        <w:r>
          <w:rPr>
            <w:webHidden/>
          </w:rPr>
          <w:t>14</w:t>
        </w:r>
        <w:r>
          <w:rPr>
            <w:webHidden/>
          </w:rPr>
          <w:fldChar w:fldCharType="end"/>
        </w:r>
      </w:hyperlink>
    </w:p>
    <w:p w:rsidR="0017500B" w:rsidRDefault="00390F61">
      <w:pPr>
        <w:pStyle w:val="TOC2"/>
        <w:rPr>
          <w:rFonts w:asciiTheme="minorHAnsi" w:eastAsiaTheme="minorEastAsia" w:hAnsiTheme="minorHAnsi" w:cstheme="minorBidi"/>
          <w:sz w:val="22"/>
          <w:szCs w:val="22"/>
          <w:lang w:eastAsia="en-GB"/>
        </w:rPr>
      </w:pPr>
      <w:hyperlink w:anchor="_Toc469477493" w:history="1">
        <w:r>
          <w:rPr>
            <w:rStyle w:val="Hyperlink"/>
            <w:rFonts w:eastAsia="Calibri"/>
            <w:lang w:eastAsia="ar-SA"/>
          </w:rPr>
          <w:t>Marine protection</w:t>
        </w:r>
        <w:r>
          <w:rPr>
            <w:webHidden/>
          </w:rPr>
          <w:tab/>
        </w:r>
        <w:r>
          <w:rPr>
            <w:webHidden/>
          </w:rPr>
          <w:fldChar w:fldCharType="begin"/>
        </w:r>
        <w:r>
          <w:rPr>
            <w:webHidden/>
          </w:rPr>
          <w:instrText xml:space="preserve"> PAGEREF _</w:instrText>
        </w:r>
        <w:r>
          <w:rPr>
            <w:webHidden/>
          </w:rPr>
          <w:instrText xml:space="preserve">Toc469477493 \h </w:instrText>
        </w:r>
        <w:r>
          <w:rPr>
            <w:webHidden/>
          </w:rPr>
        </w:r>
        <w:r>
          <w:rPr>
            <w:webHidden/>
          </w:rPr>
          <w:fldChar w:fldCharType="separate"/>
        </w:r>
        <w:r>
          <w:rPr>
            <w:webHidden/>
          </w:rPr>
          <w:t>15</w:t>
        </w:r>
        <w:r>
          <w:rPr>
            <w:webHidden/>
          </w:rPr>
          <w:fldChar w:fldCharType="end"/>
        </w:r>
      </w:hyperlink>
    </w:p>
    <w:p w:rsidR="0017500B" w:rsidRDefault="00390F61">
      <w:pPr>
        <w:pStyle w:val="TOC1"/>
        <w:rPr>
          <w:rFonts w:asciiTheme="minorHAnsi" w:eastAsiaTheme="minorEastAsia" w:hAnsiTheme="minorHAnsi" w:cstheme="minorBidi"/>
          <w:caps w:val="0"/>
          <w:noProof/>
          <w:sz w:val="22"/>
          <w:szCs w:val="22"/>
          <w:lang w:eastAsia="en-GB"/>
        </w:rPr>
      </w:pPr>
      <w:hyperlink w:anchor="_Toc469477494"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Ensuring citizens' health and quality of life</w:t>
        </w:r>
        <w:r>
          <w:rPr>
            <w:noProof/>
            <w:webHidden/>
          </w:rPr>
          <w:tab/>
        </w:r>
        <w:r>
          <w:rPr>
            <w:noProof/>
            <w:webHidden/>
          </w:rPr>
          <w:fldChar w:fldCharType="begin"/>
        </w:r>
        <w:r>
          <w:rPr>
            <w:noProof/>
            <w:webHidden/>
          </w:rPr>
          <w:instrText xml:space="preserve"> PAGEREF _Toc469477494 \h </w:instrText>
        </w:r>
        <w:r>
          <w:rPr>
            <w:noProof/>
            <w:webHidden/>
          </w:rPr>
        </w:r>
        <w:r>
          <w:rPr>
            <w:noProof/>
            <w:webHidden/>
          </w:rPr>
          <w:fldChar w:fldCharType="separate"/>
        </w:r>
        <w:r>
          <w:rPr>
            <w:noProof/>
            <w:webHidden/>
          </w:rPr>
          <w:t>17</w:t>
        </w:r>
        <w:r>
          <w:rPr>
            <w:noProof/>
            <w:webHidden/>
          </w:rPr>
          <w:fldChar w:fldCharType="end"/>
        </w:r>
      </w:hyperlink>
    </w:p>
    <w:p w:rsidR="0017500B" w:rsidRDefault="00390F61">
      <w:pPr>
        <w:pStyle w:val="TOC2"/>
        <w:rPr>
          <w:rFonts w:asciiTheme="minorHAnsi" w:eastAsiaTheme="minorEastAsia" w:hAnsiTheme="minorHAnsi" w:cstheme="minorBidi"/>
          <w:sz w:val="22"/>
          <w:szCs w:val="22"/>
          <w:lang w:eastAsia="en-GB"/>
        </w:rPr>
      </w:pPr>
      <w:hyperlink w:anchor="_Toc469477495" w:history="1">
        <w:r>
          <w:rPr>
            <w:rStyle w:val="Hyperlink"/>
            <w:rFonts w:eastAsia="Calibri"/>
            <w:lang w:eastAsia="ar-SA"/>
          </w:rPr>
          <w:t>Air quality</w:t>
        </w:r>
        <w:r>
          <w:rPr>
            <w:webHidden/>
          </w:rPr>
          <w:tab/>
        </w:r>
        <w:r>
          <w:rPr>
            <w:webHidden/>
          </w:rPr>
          <w:fldChar w:fldCharType="begin"/>
        </w:r>
        <w:r>
          <w:rPr>
            <w:webHidden/>
          </w:rPr>
          <w:instrText xml:space="preserve"> PAGEREF _Toc469477495 \h </w:instrText>
        </w:r>
        <w:r>
          <w:rPr>
            <w:webHidden/>
          </w:rPr>
        </w:r>
        <w:r>
          <w:rPr>
            <w:webHidden/>
          </w:rPr>
          <w:fldChar w:fldCharType="separate"/>
        </w:r>
        <w:r>
          <w:rPr>
            <w:webHidden/>
          </w:rPr>
          <w:t>17</w:t>
        </w:r>
        <w:r>
          <w:rPr>
            <w:webHidden/>
          </w:rPr>
          <w:fldChar w:fldCharType="end"/>
        </w:r>
      </w:hyperlink>
    </w:p>
    <w:p w:rsidR="0017500B" w:rsidRDefault="00390F61">
      <w:pPr>
        <w:pStyle w:val="TOC2"/>
        <w:rPr>
          <w:rFonts w:asciiTheme="minorHAnsi" w:eastAsiaTheme="minorEastAsia" w:hAnsiTheme="minorHAnsi" w:cstheme="minorBidi"/>
          <w:sz w:val="22"/>
          <w:szCs w:val="22"/>
          <w:lang w:eastAsia="en-GB"/>
        </w:rPr>
      </w:pPr>
      <w:hyperlink w:anchor="_Toc469477496" w:history="1">
        <w:r>
          <w:rPr>
            <w:rStyle w:val="Hyperlink"/>
            <w:rFonts w:eastAsia="Calibri"/>
            <w:lang w:eastAsia="ar-SA"/>
          </w:rPr>
          <w:t>Noise</w:t>
        </w:r>
        <w:r>
          <w:rPr>
            <w:webHidden/>
          </w:rPr>
          <w:tab/>
        </w:r>
        <w:r>
          <w:rPr>
            <w:webHidden/>
          </w:rPr>
          <w:tab/>
        </w:r>
        <w:r>
          <w:rPr>
            <w:webHidden/>
          </w:rPr>
          <w:fldChar w:fldCharType="begin"/>
        </w:r>
        <w:r>
          <w:rPr>
            <w:webHidden/>
          </w:rPr>
          <w:instrText xml:space="preserve"> PAGEREF _Toc469477496 \h </w:instrText>
        </w:r>
        <w:r>
          <w:rPr>
            <w:webHidden/>
          </w:rPr>
        </w:r>
        <w:r>
          <w:rPr>
            <w:webHidden/>
          </w:rPr>
          <w:fldChar w:fldCharType="separate"/>
        </w:r>
        <w:r>
          <w:rPr>
            <w:webHidden/>
          </w:rPr>
          <w:t>18</w:t>
        </w:r>
        <w:r>
          <w:rPr>
            <w:webHidden/>
          </w:rPr>
          <w:fldChar w:fldCharType="end"/>
        </w:r>
      </w:hyperlink>
    </w:p>
    <w:p w:rsidR="0017500B" w:rsidRDefault="00390F61">
      <w:pPr>
        <w:pStyle w:val="TOC2"/>
        <w:rPr>
          <w:rFonts w:asciiTheme="minorHAnsi" w:eastAsiaTheme="minorEastAsia" w:hAnsiTheme="minorHAnsi" w:cstheme="minorBidi"/>
          <w:sz w:val="22"/>
          <w:szCs w:val="22"/>
          <w:lang w:eastAsia="en-GB"/>
        </w:rPr>
      </w:pPr>
      <w:hyperlink w:anchor="_Toc469477497" w:history="1">
        <w:r>
          <w:rPr>
            <w:rStyle w:val="Hyperlink"/>
            <w:rFonts w:eastAsia="Calibri"/>
            <w:lang w:eastAsia="ar-SA"/>
          </w:rPr>
          <w:t>Water quality and mana</w:t>
        </w:r>
        <w:r>
          <w:rPr>
            <w:rStyle w:val="Hyperlink"/>
            <w:rFonts w:eastAsia="Calibri"/>
            <w:lang w:eastAsia="ar-SA"/>
          </w:rPr>
          <w:t>gement</w:t>
        </w:r>
        <w:r>
          <w:rPr>
            <w:webHidden/>
          </w:rPr>
          <w:tab/>
        </w:r>
        <w:r>
          <w:rPr>
            <w:webHidden/>
          </w:rPr>
          <w:fldChar w:fldCharType="begin"/>
        </w:r>
        <w:r>
          <w:rPr>
            <w:webHidden/>
          </w:rPr>
          <w:instrText xml:space="preserve"> PAGEREF _Toc469477497 \h </w:instrText>
        </w:r>
        <w:r>
          <w:rPr>
            <w:webHidden/>
          </w:rPr>
        </w:r>
        <w:r>
          <w:rPr>
            <w:webHidden/>
          </w:rPr>
          <w:fldChar w:fldCharType="separate"/>
        </w:r>
        <w:r>
          <w:rPr>
            <w:webHidden/>
          </w:rPr>
          <w:t>18</w:t>
        </w:r>
        <w:r>
          <w:rPr>
            <w:webHidden/>
          </w:rPr>
          <w:fldChar w:fldCharType="end"/>
        </w:r>
      </w:hyperlink>
    </w:p>
    <w:p w:rsidR="0017500B" w:rsidRDefault="00390F61">
      <w:pPr>
        <w:pStyle w:val="TOC2"/>
        <w:rPr>
          <w:rFonts w:asciiTheme="minorHAnsi" w:eastAsiaTheme="minorEastAsia" w:hAnsiTheme="minorHAnsi" w:cstheme="minorBidi"/>
          <w:sz w:val="22"/>
          <w:szCs w:val="22"/>
          <w:lang w:eastAsia="en-GB"/>
        </w:rPr>
      </w:pPr>
      <w:hyperlink w:anchor="_Toc469477498" w:history="1">
        <w:r>
          <w:rPr>
            <w:rStyle w:val="Hyperlink"/>
            <w:rFonts w:eastAsia="Calibri"/>
            <w:lang w:eastAsia="ar-SA"/>
          </w:rPr>
          <w:t>Enhancing the sustainability of cities</w:t>
        </w:r>
        <w:r>
          <w:rPr>
            <w:webHidden/>
          </w:rPr>
          <w:tab/>
        </w:r>
        <w:r>
          <w:rPr>
            <w:webHidden/>
          </w:rPr>
          <w:fldChar w:fldCharType="begin"/>
        </w:r>
        <w:r>
          <w:rPr>
            <w:webHidden/>
          </w:rPr>
          <w:instrText xml:space="preserve"> PAGEREF _Toc469477498 \h </w:instrText>
        </w:r>
        <w:r>
          <w:rPr>
            <w:webHidden/>
          </w:rPr>
        </w:r>
        <w:r>
          <w:rPr>
            <w:webHidden/>
          </w:rPr>
          <w:fldChar w:fldCharType="separate"/>
        </w:r>
        <w:r>
          <w:rPr>
            <w:webHidden/>
          </w:rPr>
          <w:t>21</w:t>
        </w:r>
        <w:r>
          <w:rPr>
            <w:webHidden/>
          </w:rPr>
          <w:fldChar w:fldCharType="end"/>
        </w:r>
      </w:hyperlink>
    </w:p>
    <w:p w:rsidR="0017500B" w:rsidRDefault="00390F61">
      <w:pPr>
        <w:pStyle w:val="TOC2"/>
        <w:rPr>
          <w:rFonts w:asciiTheme="minorHAnsi" w:eastAsiaTheme="minorEastAsia" w:hAnsiTheme="minorHAnsi" w:cstheme="minorBidi"/>
          <w:sz w:val="22"/>
          <w:szCs w:val="22"/>
          <w:lang w:eastAsia="en-GB"/>
        </w:rPr>
      </w:pPr>
      <w:hyperlink w:anchor="_Toc469477499" w:history="1">
        <w:r>
          <w:rPr>
            <w:rStyle w:val="Hyperlink"/>
            <w:rFonts w:eastAsia="Calibri"/>
            <w:lang w:eastAsia="ar-SA"/>
          </w:rPr>
          <w:t>International agreements</w:t>
        </w:r>
        <w:r>
          <w:rPr>
            <w:webHidden/>
          </w:rPr>
          <w:tab/>
        </w:r>
        <w:r>
          <w:rPr>
            <w:webHidden/>
          </w:rPr>
          <w:fldChar w:fldCharType="begin"/>
        </w:r>
        <w:r>
          <w:rPr>
            <w:webHidden/>
          </w:rPr>
          <w:instrText xml:space="preserve"> PAGEREF _Toc469477499 \h </w:instrText>
        </w:r>
        <w:r>
          <w:rPr>
            <w:webHidden/>
          </w:rPr>
        </w:r>
        <w:r>
          <w:rPr>
            <w:webHidden/>
          </w:rPr>
          <w:fldChar w:fldCharType="separate"/>
        </w:r>
        <w:r>
          <w:rPr>
            <w:webHidden/>
          </w:rPr>
          <w:t>23</w:t>
        </w:r>
        <w:r>
          <w:rPr>
            <w:webHidden/>
          </w:rPr>
          <w:fldChar w:fldCharType="end"/>
        </w:r>
      </w:hyperlink>
    </w:p>
    <w:p w:rsidR="0017500B" w:rsidRDefault="00390F61">
      <w:pPr>
        <w:pStyle w:val="TOC1"/>
        <w:rPr>
          <w:rFonts w:asciiTheme="minorHAnsi" w:eastAsiaTheme="minorEastAsia" w:hAnsiTheme="minorHAnsi" w:cstheme="minorBidi"/>
          <w:caps w:val="0"/>
          <w:noProof/>
          <w:sz w:val="22"/>
          <w:szCs w:val="22"/>
          <w:lang w:eastAsia="en-GB"/>
        </w:rPr>
      </w:pPr>
      <w:hyperlink w:anchor="_Toc469477500" w:history="1">
        <w:r>
          <w:rPr>
            <w:rStyle w:val="Hyperlink"/>
            <w:rFonts w:eastAsia="MS Gothic"/>
            <w:bCs/>
            <w:noProof/>
            <w:lang w:eastAsia="ar-SA"/>
          </w:rPr>
          <w:t>Part II: Enabling Framework: Implementation Tools</w:t>
        </w:r>
        <w:r>
          <w:rPr>
            <w:noProof/>
            <w:webHidden/>
          </w:rPr>
          <w:tab/>
        </w:r>
        <w:r>
          <w:rPr>
            <w:noProof/>
            <w:webHidden/>
          </w:rPr>
          <w:fldChar w:fldCharType="begin"/>
        </w:r>
        <w:r>
          <w:rPr>
            <w:noProof/>
            <w:webHidden/>
          </w:rPr>
          <w:instrText xml:space="preserve"> PAGEREF _Toc469477500 \h </w:instrText>
        </w:r>
        <w:r>
          <w:rPr>
            <w:noProof/>
            <w:webHidden/>
          </w:rPr>
        </w:r>
        <w:r>
          <w:rPr>
            <w:noProof/>
            <w:webHidden/>
          </w:rPr>
          <w:fldChar w:fldCharType="separate"/>
        </w:r>
        <w:r>
          <w:rPr>
            <w:noProof/>
            <w:webHidden/>
          </w:rPr>
          <w:t>24</w:t>
        </w:r>
        <w:r>
          <w:rPr>
            <w:noProof/>
            <w:webHidden/>
          </w:rPr>
          <w:fldChar w:fldCharType="end"/>
        </w:r>
      </w:hyperlink>
    </w:p>
    <w:p w:rsidR="0017500B" w:rsidRDefault="00390F61">
      <w:pPr>
        <w:pStyle w:val="TOC1"/>
        <w:rPr>
          <w:rFonts w:asciiTheme="minorHAnsi" w:eastAsiaTheme="minorEastAsia" w:hAnsiTheme="minorHAnsi" w:cstheme="minorBidi"/>
          <w:caps w:val="0"/>
          <w:noProof/>
          <w:sz w:val="22"/>
          <w:szCs w:val="22"/>
          <w:lang w:eastAsia="en-GB"/>
        </w:rPr>
      </w:pPr>
      <w:hyperlink w:anchor="_Toc469477501"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Market based instruments and investment</w:t>
        </w:r>
        <w:r>
          <w:rPr>
            <w:noProof/>
            <w:webHidden/>
          </w:rPr>
          <w:tab/>
        </w:r>
        <w:r>
          <w:rPr>
            <w:noProof/>
            <w:webHidden/>
          </w:rPr>
          <w:fldChar w:fldCharType="begin"/>
        </w:r>
        <w:r>
          <w:rPr>
            <w:noProof/>
            <w:webHidden/>
          </w:rPr>
          <w:instrText xml:space="preserve"> PAGEREF _Toc469477501 \h </w:instrText>
        </w:r>
        <w:r>
          <w:rPr>
            <w:noProof/>
            <w:webHidden/>
          </w:rPr>
        </w:r>
        <w:r>
          <w:rPr>
            <w:noProof/>
            <w:webHidden/>
          </w:rPr>
          <w:fldChar w:fldCharType="separate"/>
        </w:r>
        <w:r>
          <w:rPr>
            <w:noProof/>
            <w:webHidden/>
          </w:rPr>
          <w:t>24</w:t>
        </w:r>
        <w:r>
          <w:rPr>
            <w:noProof/>
            <w:webHidden/>
          </w:rPr>
          <w:fldChar w:fldCharType="end"/>
        </w:r>
      </w:hyperlink>
    </w:p>
    <w:p w:rsidR="0017500B" w:rsidRDefault="00390F61">
      <w:pPr>
        <w:pStyle w:val="TOC2"/>
        <w:rPr>
          <w:rFonts w:asciiTheme="minorHAnsi" w:eastAsiaTheme="minorEastAsia" w:hAnsiTheme="minorHAnsi" w:cstheme="minorBidi"/>
          <w:sz w:val="22"/>
          <w:szCs w:val="22"/>
          <w:lang w:eastAsia="en-GB"/>
        </w:rPr>
      </w:pPr>
      <w:hyperlink w:anchor="_Toc469477502" w:history="1">
        <w:r>
          <w:rPr>
            <w:rStyle w:val="Hyperlink"/>
            <w:rFonts w:eastAsia="Calibri"/>
            <w:lang w:eastAsia="ar-SA"/>
          </w:rPr>
          <w:t>Green taxation and environmentally harmful subsidies</w:t>
        </w:r>
        <w:r>
          <w:rPr>
            <w:webHidden/>
          </w:rPr>
          <w:tab/>
        </w:r>
        <w:r>
          <w:rPr>
            <w:webHidden/>
          </w:rPr>
          <w:fldChar w:fldCharType="begin"/>
        </w:r>
        <w:r>
          <w:rPr>
            <w:webHidden/>
          </w:rPr>
          <w:instrText xml:space="preserve"> PAGEREF _Toc469477502 \h </w:instrText>
        </w:r>
        <w:r>
          <w:rPr>
            <w:webHidden/>
          </w:rPr>
        </w:r>
        <w:r>
          <w:rPr>
            <w:webHidden/>
          </w:rPr>
          <w:fldChar w:fldCharType="separate"/>
        </w:r>
        <w:r>
          <w:rPr>
            <w:webHidden/>
          </w:rPr>
          <w:t>24</w:t>
        </w:r>
        <w:r>
          <w:rPr>
            <w:webHidden/>
          </w:rPr>
          <w:fldChar w:fldCharType="end"/>
        </w:r>
      </w:hyperlink>
    </w:p>
    <w:p w:rsidR="0017500B" w:rsidRDefault="00390F61">
      <w:pPr>
        <w:pStyle w:val="TOC2"/>
        <w:rPr>
          <w:rFonts w:asciiTheme="minorHAnsi" w:eastAsiaTheme="minorEastAsia" w:hAnsiTheme="minorHAnsi" w:cstheme="minorBidi"/>
          <w:sz w:val="22"/>
          <w:szCs w:val="22"/>
          <w:lang w:eastAsia="en-GB"/>
        </w:rPr>
      </w:pPr>
      <w:hyperlink w:anchor="_Toc469477503" w:history="1">
        <w:r>
          <w:rPr>
            <w:rStyle w:val="Hyperlink"/>
            <w:rFonts w:eastAsia="Calibri"/>
            <w:lang w:eastAsia="ar-SA"/>
          </w:rPr>
          <w:t>Green Public Procurement</w:t>
        </w:r>
        <w:r>
          <w:rPr>
            <w:webHidden/>
          </w:rPr>
          <w:tab/>
        </w:r>
        <w:r>
          <w:rPr>
            <w:webHidden/>
          </w:rPr>
          <w:fldChar w:fldCharType="begin"/>
        </w:r>
        <w:r>
          <w:rPr>
            <w:webHidden/>
          </w:rPr>
          <w:instrText xml:space="preserve"> PA</w:instrText>
        </w:r>
        <w:r>
          <w:rPr>
            <w:webHidden/>
          </w:rPr>
          <w:instrText xml:space="preserve">GEREF _Toc469477503 \h </w:instrText>
        </w:r>
        <w:r>
          <w:rPr>
            <w:webHidden/>
          </w:rPr>
        </w:r>
        <w:r>
          <w:rPr>
            <w:webHidden/>
          </w:rPr>
          <w:fldChar w:fldCharType="separate"/>
        </w:r>
        <w:r>
          <w:rPr>
            <w:webHidden/>
          </w:rPr>
          <w:t>25</w:t>
        </w:r>
        <w:r>
          <w:rPr>
            <w:webHidden/>
          </w:rPr>
          <w:fldChar w:fldCharType="end"/>
        </w:r>
      </w:hyperlink>
    </w:p>
    <w:p w:rsidR="0017500B" w:rsidRDefault="00390F61">
      <w:pPr>
        <w:pStyle w:val="TOC2"/>
        <w:rPr>
          <w:rFonts w:asciiTheme="minorHAnsi" w:eastAsiaTheme="minorEastAsia" w:hAnsiTheme="minorHAnsi" w:cstheme="minorBidi"/>
          <w:sz w:val="22"/>
          <w:szCs w:val="22"/>
          <w:lang w:eastAsia="en-GB"/>
        </w:rPr>
      </w:pPr>
      <w:hyperlink w:anchor="_Toc469477504" w:history="1">
        <w:r>
          <w:rPr>
            <w:rStyle w:val="Hyperlink"/>
            <w:rFonts w:eastAsia="Calibri"/>
            <w:lang w:eastAsia="ar-SA"/>
          </w:rPr>
          <w:t>Inv</w:t>
        </w:r>
        <w:r>
          <w:rPr>
            <w:rStyle w:val="Hyperlink"/>
            <w:rFonts w:ascii="Times New Roman" w:eastAsia="Calibri" w:hAnsi="Times New Roman" w:cstheme="minorHAnsi"/>
            <w:lang w:eastAsia="ar-SA"/>
          </w:rPr>
          <w:t>estm</w:t>
        </w:r>
        <w:r>
          <w:rPr>
            <w:rStyle w:val="Hyperlink"/>
            <w:rFonts w:eastAsia="Calibri"/>
            <w:lang w:eastAsia="ar-SA"/>
          </w:rPr>
          <w:t>ents: the contribution of EU funds</w:t>
        </w:r>
        <w:r>
          <w:rPr>
            <w:webHidden/>
          </w:rPr>
          <w:tab/>
        </w:r>
        <w:r>
          <w:rPr>
            <w:webHidden/>
          </w:rPr>
          <w:fldChar w:fldCharType="begin"/>
        </w:r>
        <w:r>
          <w:rPr>
            <w:webHidden/>
          </w:rPr>
          <w:instrText xml:space="preserve"> PAGEREF _Toc469477504 \h </w:instrText>
        </w:r>
        <w:r>
          <w:rPr>
            <w:webHidden/>
          </w:rPr>
        </w:r>
        <w:r>
          <w:rPr>
            <w:webHidden/>
          </w:rPr>
          <w:fldChar w:fldCharType="separate"/>
        </w:r>
        <w:r>
          <w:rPr>
            <w:webHidden/>
          </w:rPr>
          <w:t>26</w:t>
        </w:r>
        <w:r>
          <w:rPr>
            <w:webHidden/>
          </w:rPr>
          <w:fldChar w:fldCharType="end"/>
        </w:r>
      </w:hyperlink>
    </w:p>
    <w:p w:rsidR="0017500B" w:rsidRDefault="00390F61">
      <w:pPr>
        <w:pStyle w:val="TOC1"/>
        <w:rPr>
          <w:rFonts w:asciiTheme="minorHAnsi" w:eastAsiaTheme="minorEastAsia" w:hAnsiTheme="minorHAnsi" w:cstheme="minorBidi"/>
          <w:caps w:val="0"/>
          <w:noProof/>
          <w:sz w:val="22"/>
          <w:szCs w:val="22"/>
          <w:lang w:eastAsia="en-GB"/>
        </w:rPr>
      </w:pPr>
      <w:hyperlink w:anchor="_Toc469477505"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Effective governance and knowledge</w:t>
        </w:r>
        <w:r>
          <w:rPr>
            <w:noProof/>
            <w:webHidden/>
          </w:rPr>
          <w:tab/>
        </w:r>
        <w:r>
          <w:rPr>
            <w:noProof/>
            <w:webHidden/>
          </w:rPr>
          <w:fldChar w:fldCharType="begin"/>
        </w:r>
        <w:r>
          <w:rPr>
            <w:noProof/>
            <w:webHidden/>
          </w:rPr>
          <w:instrText xml:space="preserve"> PAGEREF _Toc469477505 \h </w:instrText>
        </w:r>
        <w:r>
          <w:rPr>
            <w:noProof/>
            <w:webHidden/>
          </w:rPr>
        </w:r>
        <w:r>
          <w:rPr>
            <w:noProof/>
            <w:webHidden/>
          </w:rPr>
          <w:fldChar w:fldCharType="separate"/>
        </w:r>
        <w:r>
          <w:rPr>
            <w:noProof/>
            <w:webHidden/>
          </w:rPr>
          <w:t>28</w:t>
        </w:r>
        <w:r>
          <w:rPr>
            <w:noProof/>
            <w:webHidden/>
          </w:rPr>
          <w:fldChar w:fldCharType="end"/>
        </w:r>
      </w:hyperlink>
    </w:p>
    <w:p w:rsidR="0017500B" w:rsidRDefault="00390F61">
      <w:pPr>
        <w:pStyle w:val="TOC2"/>
        <w:rPr>
          <w:rFonts w:asciiTheme="minorHAnsi" w:eastAsiaTheme="minorEastAsia" w:hAnsiTheme="minorHAnsi" w:cstheme="minorBidi"/>
          <w:sz w:val="22"/>
          <w:szCs w:val="22"/>
          <w:lang w:eastAsia="en-GB"/>
        </w:rPr>
      </w:pPr>
      <w:hyperlink w:anchor="_Toc469477506" w:history="1">
        <w:r>
          <w:rPr>
            <w:rStyle w:val="Hyperlink"/>
            <w:rFonts w:eastAsia="Calibri" w:cstheme="minorHAnsi"/>
            <w:lang w:eastAsia="ar-SA"/>
          </w:rPr>
          <w:t>Effective governance within federal, regional and local government</w:t>
        </w:r>
        <w:r>
          <w:rPr>
            <w:webHidden/>
          </w:rPr>
          <w:tab/>
        </w:r>
        <w:r>
          <w:rPr>
            <w:webHidden/>
          </w:rPr>
          <w:fldChar w:fldCharType="begin"/>
        </w:r>
        <w:r>
          <w:rPr>
            <w:webHidden/>
          </w:rPr>
          <w:instrText xml:space="preserve"> PAGEREF _Toc469477506 \h </w:instrText>
        </w:r>
        <w:r>
          <w:rPr>
            <w:webHidden/>
          </w:rPr>
        </w:r>
        <w:r>
          <w:rPr>
            <w:webHidden/>
          </w:rPr>
          <w:fldChar w:fldCharType="separate"/>
        </w:r>
        <w:r>
          <w:rPr>
            <w:webHidden/>
          </w:rPr>
          <w:t>28</w:t>
        </w:r>
        <w:r>
          <w:rPr>
            <w:webHidden/>
          </w:rPr>
          <w:fldChar w:fldCharType="end"/>
        </w:r>
      </w:hyperlink>
    </w:p>
    <w:p w:rsidR="0017500B" w:rsidRDefault="00390F61">
      <w:pPr>
        <w:pStyle w:val="TOC2"/>
        <w:rPr>
          <w:rFonts w:asciiTheme="minorHAnsi" w:eastAsiaTheme="minorEastAsia" w:hAnsiTheme="minorHAnsi" w:cstheme="minorBidi"/>
          <w:sz w:val="22"/>
          <w:szCs w:val="22"/>
          <w:lang w:eastAsia="en-GB"/>
        </w:rPr>
      </w:pPr>
      <w:hyperlink w:anchor="_Toc469477507" w:history="1">
        <w:r>
          <w:rPr>
            <w:rStyle w:val="Hyperlink"/>
            <w:rFonts w:eastAsia="Calibri" w:cstheme="minorHAnsi"/>
            <w:lang w:eastAsia="ar-SA"/>
          </w:rPr>
          <w:t>Compliance assurance</w:t>
        </w:r>
        <w:r>
          <w:rPr>
            <w:webHidden/>
          </w:rPr>
          <w:tab/>
        </w:r>
        <w:r>
          <w:rPr>
            <w:webHidden/>
          </w:rPr>
          <w:fldChar w:fldCharType="begin"/>
        </w:r>
        <w:r>
          <w:rPr>
            <w:webHidden/>
          </w:rPr>
          <w:instrText xml:space="preserve"> PAGEREF _Toc469477507 \h </w:instrText>
        </w:r>
        <w:r>
          <w:rPr>
            <w:webHidden/>
          </w:rPr>
        </w:r>
        <w:r>
          <w:rPr>
            <w:webHidden/>
          </w:rPr>
          <w:fldChar w:fldCharType="separate"/>
        </w:r>
        <w:r>
          <w:rPr>
            <w:webHidden/>
          </w:rPr>
          <w:t>30</w:t>
        </w:r>
        <w:r>
          <w:rPr>
            <w:webHidden/>
          </w:rPr>
          <w:fldChar w:fldCharType="end"/>
        </w:r>
      </w:hyperlink>
    </w:p>
    <w:p w:rsidR="0017500B" w:rsidRDefault="00390F61">
      <w:pPr>
        <w:pStyle w:val="TOC2"/>
        <w:rPr>
          <w:rFonts w:asciiTheme="minorHAnsi" w:eastAsiaTheme="minorEastAsia" w:hAnsiTheme="minorHAnsi" w:cstheme="minorBidi"/>
          <w:sz w:val="22"/>
          <w:szCs w:val="22"/>
          <w:lang w:eastAsia="en-GB"/>
        </w:rPr>
      </w:pPr>
      <w:hyperlink w:anchor="_Toc469477508" w:history="1">
        <w:r>
          <w:rPr>
            <w:rStyle w:val="Hyperlink"/>
            <w:rFonts w:eastAsia="Calibri" w:cstheme="minorHAnsi"/>
            <w:lang w:eastAsia="ar-SA"/>
          </w:rPr>
          <w:t>Public participation and access to justice</w:t>
        </w:r>
        <w:r>
          <w:rPr>
            <w:webHidden/>
          </w:rPr>
          <w:tab/>
        </w:r>
        <w:r>
          <w:rPr>
            <w:webHidden/>
          </w:rPr>
          <w:fldChar w:fldCharType="begin"/>
        </w:r>
        <w:r>
          <w:rPr>
            <w:webHidden/>
          </w:rPr>
          <w:instrText xml:space="preserve"> PAGEREF _Toc469477508 \h </w:instrText>
        </w:r>
        <w:r>
          <w:rPr>
            <w:webHidden/>
          </w:rPr>
        </w:r>
        <w:r>
          <w:rPr>
            <w:webHidden/>
          </w:rPr>
          <w:fldChar w:fldCharType="separate"/>
        </w:r>
        <w:r>
          <w:rPr>
            <w:webHidden/>
          </w:rPr>
          <w:t>31</w:t>
        </w:r>
        <w:r>
          <w:rPr>
            <w:webHidden/>
          </w:rPr>
          <w:fldChar w:fldCharType="end"/>
        </w:r>
      </w:hyperlink>
    </w:p>
    <w:p w:rsidR="0017500B" w:rsidRDefault="00390F61">
      <w:pPr>
        <w:pStyle w:val="TOC2"/>
        <w:rPr>
          <w:rFonts w:asciiTheme="minorHAnsi" w:eastAsiaTheme="minorEastAsia" w:hAnsiTheme="minorHAnsi" w:cstheme="minorBidi"/>
          <w:sz w:val="22"/>
          <w:szCs w:val="22"/>
          <w:lang w:eastAsia="en-GB"/>
        </w:rPr>
      </w:pPr>
      <w:hyperlink w:anchor="_Toc469477509" w:history="1">
        <w:r>
          <w:rPr>
            <w:rStyle w:val="Hyperlink"/>
            <w:rFonts w:eastAsia="Calibri" w:cstheme="minorHAnsi"/>
            <w:lang w:eastAsia="ar-SA"/>
          </w:rPr>
          <w:t>Access to information, knowledge and evidence</w:t>
        </w:r>
        <w:r>
          <w:rPr>
            <w:webHidden/>
          </w:rPr>
          <w:tab/>
        </w:r>
        <w:r>
          <w:rPr>
            <w:webHidden/>
          </w:rPr>
          <w:fldChar w:fldCharType="begin"/>
        </w:r>
        <w:r>
          <w:rPr>
            <w:webHidden/>
          </w:rPr>
          <w:instrText xml:space="preserve"> PAGEREF _Toc469477509 \h </w:instrText>
        </w:r>
        <w:r>
          <w:rPr>
            <w:webHidden/>
          </w:rPr>
        </w:r>
        <w:r>
          <w:rPr>
            <w:webHidden/>
          </w:rPr>
          <w:fldChar w:fldCharType="separate"/>
        </w:r>
        <w:r>
          <w:rPr>
            <w:webHidden/>
          </w:rPr>
          <w:t>32</w:t>
        </w:r>
        <w:r>
          <w:rPr>
            <w:webHidden/>
          </w:rPr>
          <w:fldChar w:fldCharType="end"/>
        </w:r>
      </w:hyperlink>
    </w:p>
    <w:p w:rsidR="0017500B" w:rsidRDefault="00390F61">
      <w:pPr>
        <w:widowControl w:val="0"/>
        <w:tabs>
          <w:tab w:val="right" w:leader="dot" w:pos="8640"/>
        </w:tabs>
        <w:suppressAutoHyphens/>
        <w:spacing w:before="120" w:after="120" w:line="240" w:lineRule="auto"/>
        <w:ind w:left="482" w:right="720" w:hanging="482"/>
        <w:jc w:val="both"/>
        <w:rPr>
          <w:rFonts w:ascii="Times New Roman" w:eastAsia="MS Mincho" w:hAnsi="Times New Roman" w:cs="Times New Roman"/>
          <w:caps/>
          <w:noProof/>
          <w:lang w:eastAsia="ar-SA"/>
        </w:rPr>
      </w:pPr>
      <w:r>
        <w:rPr>
          <w:rFonts w:ascii="Calibri" w:eastAsia="Times New Roman" w:hAnsi="Calibri" w:cs="Times New Roman"/>
          <w:caps/>
          <w:noProof/>
          <w:sz w:val="20"/>
          <w:szCs w:val="20"/>
          <w:lang w:eastAsia="ar-SA"/>
        </w:rPr>
        <w:fldChar w:fldCharType="end"/>
      </w:r>
    </w:p>
    <w:p w:rsidR="0017500B" w:rsidRDefault="00390F61">
      <w:pPr>
        <w:keepLines/>
        <w:widowControl w:val="0"/>
        <w:tabs>
          <w:tab w:val="center" w:pos="4673"/>
          <w:tab w:val="right" w:pos="9346"/>
        </w:tabs>
        <w:suppressAutoHyphens/>
        <w:spacing w:after="0" w:line="240" w:lineRule="auto"/>
        <w:outlineLvl w:val="0"/>
        <w:rPr>
          <w:rFonts w:ascii="Calibri" w:eastAsia="Calibri" w:hAnsi="Calibri" w:cs="Times New Roman"/>
          <w:noProof/>
          <w:sz w:val="20"/>
          <w:lang w:eastAsia="ar-SA"/>
        </w:rPr>
      </w:pPr>
      <w:bookmarkStart w:id="2" w:name="_Toc469477483"/>
      <w:r>
        <w:rPr>
          <w:rFonts w:ascii="Calibri" w:eastAsia="Calibri" w:hAnsi="Calibri" w:cs="Times New Roman"/>
          <w:noProof/>
          <w:sz w:val="20"/>
          <w:lang w:eastAsia="ar-SA"/>
        </w:rPr>
        <w:br w:type="page"/>
      </w:r>
    </w:p>
    <w:p w:rsidR="0017500B" w:rsidRDefault="00390F61">
      <w:pPr>
        <w:keepLines/>
        <w:widowControl w:val="0"/>
        <w:tabs>
          <w:tab w:val="center" w:pos="4673"/>
          <w:tab w:val="right" w:pos="9346"/>
        </w:tabs>
        <w:suppressAutoHyphens/>
        <w:spacing w:after="0" w:line="240" w:lineRule="auto"/>
        <w:jc w:val="center"/>
        <w:outlineLvl w:val="0"/>
        <w:rPr>
          <w:rFonts w:ascii="Calibri" w:eastAsia="MS Gothic" w:hAnsi="Calibri" w:cs="Times New Roman"/>
          <w:b/>
          <w:bCs/>
          <w:noProof/>
          <w:color w:val="1F497D"/>
          <w:sz w:val="32"/>
          <w:szCs w:val="28"/>
          <w:lang w:eastAsia="ar-SA"/>
        </w:rPr>
      </w:pPr>
      <w:r>
        <w:rPr>
          <w:rFonts w:ascii="Calibri" w:eastAsia="MS Gothic" w:hAnsi="Calibri" w:cs="Times New Roman"/>
          <w:b/>
          <w:bCs/>
          <w:noProof/>
          <w:color w:val="1F497D"/>
          <w:sz w:val="32"/>
          <w:szCs w:val="28"/>
          <w:lang w:eastAsia="ar-SA"/>
        </w:rPr>
        <w:lastRenderedPageBreak/>
        <w:t>Executive</w:t>
      </w:r>
      <w:r>
        <w:rPr>
          <w:rFonts w:ascii="Calibri" w:eastAsia="MS Gothic" w:hAnsi="Calibri" w:cs="Times New Roman"/>
          <w:b/>
          <w:bCs/>
          <w:noProof/>
          <w:color w:val="1F497D"/>
          <w:sz w:val="32"/>
          <w:szCs w:val="28"/>
          <w:lang w:eastAsia="ar-SA"/>
        </w:rPr>
        <w:t xml:space="preserve"> summary</w:t>
      </w:r>
      <w:bookmarkEnd w:id="2"/>
    </w:p>
    <w:p w:rsidR="0017500B" w:rsidRDefault="0017500B">
      <w:pPr>
        <w:widowControl w:val="0"/>
        <w:suppressAutoHyphens/>
        <w:spacing w:after="120" w:line="240" w:lineRule="auto"/>
        <w:jc w:val="both"/>
        <w:rPr>
          <w:rFonts w:ascii="Calibri" w:eastAsia="Calibri" w:hAnsi="Calibri" w:cs="Times New Roman"/>
          <w:noProof/>
          <w:sz w:val="20"/>
          <w:lang w:eastAsia="ar-SA"/>
        </w:rPr>
      </w:pPr>
    </w:p>
    <w:p w:rsidR="0017500B" w:rsidRDefault="0017500B">
      <w:pPr>
        <w:suppressAutoHyphens/>
        <w:spacing w:after="120" w:line="240" w:lineRule="auto"/>
        <w:jc w:val="both"/>
        <w:rPr>
          <w:rFonts w:ascii="Calibri" w:eastAsia="Calibri" w:hAnsi="Calibri" w:cs="Times New Roman"/>
          <w:noProof/>
          <w:sz w:val="20"/>
          <w:lang w:eastAsia="ar-SA"/>
        </w:rPr>
        <w:sectPr w:rsidR="0017500B">
          <w:headerReference w:type="even" r:id="rId24"/>
          <w:headerReference w:type="default" r:id="rId25"/>
          <w:footerReference w:type="even" r:id="rId26"/>
          <w:footerReference w:type="default" r:id="rId27"/>
          <w:headerReference w:type="first" r:id="rId28"/>
          <w:footerReference w:type="first" r:id="rId29"/>
          <w:pgSz w:w="11906" w:h="16838"/>
          <w:pgMar w:top="1440" w:right="1280" w:bottom="1440" w:left="1280" w:header="708" w:footer="708" w:gutter="0"/>
          <w:pgNumType w:start="3"/>
          <w:cols w:space="720"/>
          <w:docGrid w:linePitch="600" w:charSpace="40960"/>
        </w:sectPr>
      </w:pP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b/>
          <w:noProof/>
          <w:color w:val="1F497D"/>
          <w:lang w:eastAsia="ar-SA"/>
        </w:rPr>
        <w:lastRenderedPageBreak/>
        <w:t>About the Environmental Implementation Review</w:t>
      </w:r>
    </w:p>
    <w:p w:rsidR="0017500B" w:rsidRDefault="00390F61">
      <w:pPr>
        <w:widowControl w:val="0"/>
        <w:spacing w:after="120" w:line="240" w:lineRule="auto"/>
        <w:jc w:val="both"/>
        <w:rPr>
          <w:noProof/>
          <w:sz w:val="20"/>
        </w:rPr>
      </w:pPr>
      <w:r>
        <w:rPr>
          <w:noProof/>
          <w:sz w:val="20"/>
        </w:rPr>
        <w:t xml:space="preserve">In May 2016, the Commission launched the Environmental Implementation Review (EIR), a </w:t>
      </w:r>
      <w:r>
        <w:rPr>
          <w:noProof/>
          <w:sz w:val="20"/>
        </w:rPr>
        <w:t>two-year cycle of analysis, dialogue and collaboration to improve the implementation of existing EU environmental policy and legislation</w:t>
      </w:r>
      <w:r>
        <w:rPr>
          <w:noProof/>
          <w:sz w:val="20"/>
          <w:vertAlign w:val="superscript"/>
        </w:rPr>
        <w:footnoteReference w:id="1"/>
      </w:r>
      <w:r>
        <w:rPr>
          <w:noProof/>
          <w:sz w:val="20"/>
        </w:rPr>
        <w:t xml:space="preserve">. As a first step, the Commission drafted 28 reports describing the main challenges and opportunities on environmental </w:t>
      </w:r>
      <w:r>
        <w:rPr>
          <w:noProof/>
          <w:sz w:val="20"/>
        </w:rPr>
        <w:t xml:space="preserve">implementation for each Member State. These reports are meant to stimulate a positive debate both on shared environmental challenges for the EU, as well as on the most effective ways to address the key implementation gaps. The reports rely on the detailed </w:t>
      </w:r>
      <w:r>
        <w:rPr>
          <w:noProof/>
          <w:sz w:val="20"/>
        </w:rPr>
        <w:t>sectoral implementation reports collected or issued by the Commission under specific environmental legislation as well as the 2015 State of the Environment Report and other reports by the European Environment Agency. These reports will not replace the spec</w:t>
      </w:r>
      <w:r>
        <w:rPr>
          <w:noProof/>
          <w:sz w:val="20"/>
        </w:rPr>
        <w:t xml:space="preserve">ific instruments to ensure compliance with the EU legal obligations. </w:t>
      </w:r>
    </w:p>
    <w:p w:rsidR="0017500B" w:rsidRDefault="00390F61">
      <w:pPr>
        <w:widowControl w:val="0"/>
        <w:spacing w:after="120" w:line="240" w:lineRule="auto"/>
        <w:jc w:val="both"/>
        <w:rPr>
          <w:noProof/>
          <w:sz w:val="20"/>
        </w:rPr>
      </w:pPr>
      <w:r>
        <w:rPr>
          <w:noProof/>
          <w:sz w:val="20"/>
        </w:rPr>
        <w:t>The reports will broadly follow the outline of the 7th Environmental Action Programme</w:t>
      </w:r>
      <w:r>
        <w:rPr>
          <w:rFonts w:eastAsia="Calibri"/>
          <w:noProof/>
          <w:sz w:val="20"/>
          <w:vertAlign w:val="superscript"/>
        </w:rPr>
        <w:footnoteReference w:id="2"/>
      </w:r>
      <w:r>
        <w:rPr>
          <w:rFonts w:eastAsia="Calibri"/>
          <w:noProof/>
          <w:sz w:val="20"/>
        </w:rPr>
        <w:t xml:space="preserve"> </w:t>
      </w:r>
      <w:r>
        <w:rPr>
          <w:noProof/>
          <w:sz w:val="20"/>
        </w:rPr>
        <w:t xml:space="preserve">and refer to the 2030 Agenda for Sustainable development and related </w:t>
      </w:r>
      <w:r>
        <w:rPr>
          <w:rFonts w:eastAsia="Calibri"/>
          <w:noProof/>
          <w:sz w:val="20"/>
        </w:rPr>
        <w:t xml:space="preserve">Sustainable Development Goals </w:t>
      </w:r>
      <w:r>
        <w:rPr>
          <w:rFonts w:eastAsia="Calibri"/>
          <w:noProof/>
          <w:sz w:val="20"/>
        </w:rPr>
        <w:t>(SDGs)</w:t>
      </w:r>
      <w:r>
        <w:rPr>
          <w:rFonts w:eastAsia="Calibri"/>
          <w:noProof/>
          <w:sz w:val="20"/>
          <w:vertAlign w:val="superscript"/>
        </w:rPr>
        <w:footnoteReference w:id="3"/>
      </w:r>
      <w:r>
        <w:rPr>
          <w:rFonts w:eastAsia="Calibri"/>
          <w:noProof/>
          <w:sz w:val="20"/>
        </w:rPr>
        <w:t xml:space="preserve"> </w:t>
      </w:r>
      <w:r>
        <w:rPr>
          <w:noProof/>
          <w:sz w:val="20"/>
        </w:rPr>
        <w:t>to the extent to which they reflect the existing obligations and policy objectives of EU environmental law</w:t>
      </w:r>
      <w:r>
        <w:rPr>
          <w:rFonts w:eastAsia="Calibri"/>
          <w:noProof/>
          <w:sz w:val="20"/>
          <w:vertAlign w:val="superscript"/>
        </w:rPr>
        <w:footnoteReference w:id="4"/>
      </w:r>
      <w:r>
        <w:rPr>
          <w:noProof/>
          <w:sz w:val="20"/>
        </w:rPr>
        <w:t xml:space="preserve">. </w:t>
      </w:r>
    </w:p>
    <w:p w:rsidR="0017500B" w:rsidRDefault="00390F61">
      <w:pPr>
        <w:widowControl w:val="0"/>
        <w:spacing w:after="120" w:line="240" w:lineRule="auto"/>
        <w:jc w:val="both"/>
        <w:rPr>
          <w:noProof/>
          <w:sz w:val="20"/>
        </w:rPr>
      </w:pPr>
      <w:r>
        <w:rPr>
          <w:noProof/>
          <w:sz w:val="20"/>
        </w:rPr>
        <w:t>The main challenges have been selected by taking into account factors such as the importance or the gravity of the environmental implement</w:t>
      </w:r>
      <w:r>
        <w:rPr>
          <w:noProof/>
          <w:sz w:val="20"/>
        </w:rPr>
        <w:t>ation issue in the light of the impact on the quality of life of the citizens, the distance to target, and financial implications.</w:t>
      </w:r>
    </w:p>
    <w:p w:rsidR="0017500B" w:rsidRDefault="00390F61">
      <w:pPr>
        <w:widowControl w:val="0"/>
        <w:spacing w:after="120" w:line="240" w:lineRule="auto"/>
        <w:jc w:val="both"/>
        <w:rPr>
          <w:rFonts w:eastAsia="Calibri" w:cs="Times New Roman"/>
          <w:noProof/>
          <w:szCs w:val="24"/>
          <w:lang w:eastAsia="en-GB"/>
        </w:rPr>
      </w:pPr>
      <w:r>
        <w:rPr>
          <w:noProof/>
          <w:sz w:val="20"/>
        </w:rPr>
        <w:t>The reports accompany the Communication "</w:t>
      </w:r>
      <w:r>
        <w:rPr>
          <w:i/>
          <w:noProof/>
          <w:sz w:val="20"/>
        </w:rPr>
        <w:t>The EU Environmental Implementation Review 2016: Common challenges and how to combin</w:t>
      </w:r>
      <w:r>
        <w:rPr>
          <w:i/>
          <w:noProof/>
          <w:sz w:val="20"/>
        </w:rPr>
        <w:t>e efforts to deliver better results</w:t>
      </w:r>
      <w:r>
        <w:rPr>
          <w:noProof/>
          <w:sz w:val="20"/>
        </w:rPr>
        <w:t>", which identifies challenges that are common to several Member States, provides preliminary conclusions on possible root causes of implementation gaps and proposes joint actions to deliver better results. It also groups</w:t>
      </w:r>
      <w:r>
        <w:rPr>
          <w:noProof/>
          <w:sz w:val="20"/>
        </w:rPr>
        <w:t xml:space="preserve"> in its Annex the actions proposed in each country report to improve implementation at national level.</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b/>
          <w:noProof/>
          <w:color w:val="1F497D"/>
          <w:lang w:eastAsia="ar-SA"/>
        </w:rPr>
        <w:t>General profile</w:t>
      </w:r>
    </w:p>
    <w:p w:rsidR="0017500B" w:rsidRDefault="00390F61">
      <w:pPr>
        <w:widowControl w:val="0"/>
        <w:suppressAutoHyphens/>
        <w:spacing w:after="120" w:line="240" w:lineRule="auto"/>
        <w:jc w:val="both"/>
        <w:rPr>
          <w:rFonts w:ascii="Calibri" w:eastAsia="Calibri" w:hAnsi="Calibri" w:cs="Times New Roman"/>
          <w:b/>
          <w:noProof/>
          <w:color w:val="1F497D"/>
          <w:lang w:eastAsia="ar-SA"/>
        </w:rPr>
      </w:pPr>
      <w:r>
        <w:rPr>
          <w:rFonts w:ascii="Calibri" w:eastAsia="Calibri" w:hAnsi="Calibri" w:cs="Times New Roman"/>
          <w:noProof/>
          <w:sz w:val="20"/>
          <w:lang w:eastAsia="ar-SA"/>
        </w:rPr>
        <w:t>Due to its federal structure most environmental issues in Belgium are a regional competence. Hence, effective co-ordination is needed wit</w:t>
      </w:r>
      <w:r>
        <w:rPr>
          <w:rFonts w:ascii="Calibri" w:eastAsia="Calibri" w:hAnsi="Calibri" w:cs="Times New Roman"/>
          <w:noProof/>
          <w:sz w:val="20"/>
          <w:lang w:eastAsia="ar-SA"/>
        </w:rPr>
        <w:t xml:space="preserve">hin a system of multi-level </w:t>
      </w:r>
      <w:r>
        <w:rPr>
          <w:rFonts w:ascii="Calibri" w:eastAsia="Calibri" w:hAnsi="Calibri" w:cs="Times New Roman"/>
          <w:noProof/>
          <w:sz w:val="20"/>
          <w:lang w:eastAsia="ar-SA"/>
        </w:rPr>
        <w:lastRenderedPageBreak/>
        <w:t>governance.</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b/>
          <w:noProof/>
          <w:color w:val="1F497D"/>
          <w:lang w:eastAsia="ar-SA"/>
        </w:rPr>
        <w:t>Main Challenges</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The main challenges with regard to implementation of EU environmental policy and law in Belgium are to:</w:t>
      </w:r>
    </w:p>
    <w:p w:rsidR="0017500B" w:rsidRDefault="00390F61">
      <w:pPr>
        <w:widowControl w:val="0"/>
        <w:numPr>
          <w:ilvl w:val="0"/>
          <w:numId w:val="47"/>
        </w:numPr>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 xml:space="preserve">Maintain air quality where compliant (such as PM10) and achieve such compliance in the near </w:t>
      </w:r>
      <w:r>
        <w:rPr>
          <w:rFonts w:ascii="Calibri" w:eastAsia="Calibri" w:hAnsi="Calibri" w:cs="Times New Roman"/>
          <w:noProof/>
          <w:sz w:val="20"/>
          <w:lang w:eastAsia="ar-SA"/>
        </w:rPr>
        <w:t>future (NOx) through reducing traffic congestion and introducing disincentives for car use.</w:t>
      </w:r>
    </w:p>
    <w:p w:rsidR="0017500B" w:rsidRDefault="00390F61">
      <w:pPr>
        <w:widowControl w:val="0"/>
        <w:numPr>
          <w:ilvl w:val="0"/>
          <w:numId w:val="47"/>
        </w:numPr>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Continue addressing water pollution from urban waste water and agricultural sources.</w:t>
      </w:r>
    </w:p>
    <w:p w:rsidR="0017500B" w:rsidRDefault="00390F61">
      <w:pPr>
        <w:widowControl w:val="0"/>
        <w:numPr>
          <w:ilvl w:val="0"/>
          <w:numId w:val="47"/>
        </w:numPr>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 xml:space="preserve">Ensure that the Natura 2000 network is managed towards favourable conservation </w:t>
      </w:r>
      <w:r>
        <w:rPr>
          <w:rFonts w:ascii="Calibri" w:eastAsia="Calibri" w:hAnsi="Calibri" w:cs="Times New Roman"/>
          <w:noProof/>
          <w:sz w:val="20"/>
          <w:lang w:eastAsia="ar-SA"/>
        </w:rPr>
        <w:t>status for all species and habitats</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b/>
          <w:noProof/>
          <w:color w:val="1F497D"/>
          <w:lang w:eastAsia="ar-SA"/>
        </w:rPr>
        <w:t>Main Opportunities</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Belgium could perform better on topics where there is already a good knowledge base and good practices. This applies in particular to:</w:t>
      </w:r>
    </w:p>
    <w:p w:rsidR="0017500B" w:rsidRDefault="00390F61">
      <w:pPr>
        <w:widowControl w:val="0"/>
        <w:numPr>
          <w:ilvl w:val="0"/>
          <w:numId w:val="46"/>
        </w:numPr>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Use the funding opportunities for EIB loans and environmental inve</w:t>
      </w:r>
      <w:r>
        <w:rPr>
          <w:rFonts w:ascii="Calibri" w:eastAsia="Calibri" w:hAnsi="Calibri" w:cs="Times New Roman"/>
          <w:noProof/>
          <w:sz w:val="20"/>
          <w:lang w:eastAsia="ar-SA"/>
        </w:rPr>
        <w:t>stment with the ESIF support and the EFSI in the sectors covered by the EIR.</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b/>
          <w:noProof/>
          <w:color w:val="1F497D"/>
          <w:lang w:eastAsia="ar-SA"/>
        </w:rPr>
        <w:t>Points of Excellence</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Where Belgium is a leader on environmental implementation, innovative approaches could be shared more widely with other countries. Good examples are:</w:t>
      </w:r>
    </w:p>
    <w:p w:rsidR="0017500B" w:rsidRDefault="00390F61">
      <w:pPr>
        <w:widowControl w:val="0"/>
        <w:numPr>
          <w:ilvl w:val="0"/>
          <w:numId w:val="45"/>
        </w:numPr>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The exte</w:t>
      </w:r>
      <w:r>
        <w:rPr>
          <w:rFonts w:ascii="Calibri" w:eastAsia="Calibri" w:hAnsi="Calibri" w:cs="Times New Roman"/>
          <w:noProof/>
          <w:sz w:val="20"/>
          <w:lang w:eastAsia="ar-SA"/>
        </w:rPr>
        <w:t>nsive activities at federal and regional levels in promoting circular economy showing leadership to public and private stakeholders; using ERDF Operational Programmes to promote the circular economy.</w:t>
      </w:r>
    </w:p>
    <w:p w:rsidR="0017500B" w:rsidRDefault="00390F61">
      <w:pPr>
        <w:widowControl w:val="0"/>
        <w:numPr>
          <w:ilvl w:val="0"/>
          <w:numId w:val="45"/>
        </w:numPr>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The BNIP Integrated LIFE project supporting the implemen</w:t>
      </w:r>
      <w:r>
        <w:rPr>
          <w:rFonts w:ascii="Calibri" w:eastAsia="Calibri" w:hAnsi="Calibri" w:cs="Times New Roman"/>
          <w:noProof/>
          <w:sz w:val="20"/>
          <w:lang w:eastAsia="ar-SA"/>
        </w:rPr>
        <w:t>tation of the Belgian Prioritised Action Framework for Natura 2000 sites which will improve governance, capacity building and collaboration between the Federal and regional authorities.</w:t>
      </w:r>
    </w:p>
    <w:p w:rsidR="0017500B" w:rsidRDefault="00390F61">
      <w:pPr>
        <w:widowControl w:val="0"/>
        <w:numPr>
          <w:ilvl w:val="0"/>
          <w:numId w:val="45"/>
        </w:numPr>
        <w:suppressAutoHyphens/>
        <w:spacing w:after="120" w:line="240" w:lineRule="auto"/>
        <w:jc w:val="both"/>
        <w:rPr>
          <w:rFonts w:ascii="Calibri" w:eastAsia="Calibri" w:hAnsi="Calibri" w:cs="Times New Roman"/>
          <w:noProof/>
          <w:sz w:val="20"/>
          <w:lang w:eastAsia="ar-SA"/>
        </w:rPr>
        <w:sectPr w:rsidR="0017500B">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440" w:right="1080" w:bottom="1440" w:left="1080" w:header="708" w:footer="708" w:gutter="0"/>
          <w:cols w:num="2" w:space="360"/>
          <w:docGrid w:linePitch="600" w:charSpace="40960"/>
        </w:sectPr>
      </w:pPr>
      <w:r>
        <w:rPr>
          <w:rFonts w:ascii="Calibri" w:eastAsia="Calibri" w:hAnsi="Calibri" w:cs="Times New Roman"/>
          <w:noProof/>
          <w:sz w:val="20"/>
          <w:lang w:eastAsia="ar-SA"/>
        </w:rPr>
        <w:t>Progress in improving recycling rates since the 1990s.</w:t>
      </w:r>
    </w:p>
    <w:p w:rsidR="0017500B" w:rsidRDefault="0017500B">
      <w:pPr>
        <w:suppressAutoHyphens/>
        <w:spacing w:after="120" w:line="240" w:lineRule="auto"/>
        <w:jc w:val="both"/>
        <w:rPr>
          <w:rFonts w:ascii="Calibri" w:eastAsia="Calibri" w:hAnsi="Calibri" w:cs="Times New Roman"/>
          <w:noProof/>
          <w:sz w:val="20"/>
          <w:lang w:eastAsia="ar-SA"/>
        </w:rPr>
        <w:sectPr w:rsidR="0017500B">
          <w:headerReference w:type="even" r:id="rId36"/>
          <w:headerReference w:type="default" r:id="rId37"/>
          <w:footerReference w:type="even" r:id="rId38"/>
          <w:footerReference w:type="default" r:id="rId39"/>
          <w:headerReference w:type="first" r:id="rId40"/>
          <w:footerReference w:type="first" r:id="rId41"/>
          <w:type w:val="continuous"/>
          <w:pgSz w:w="11906" w:h="16838"/>
          <w:pgMar w:top="1440" w:right="1080" w:bottom="1440" w:left="1080" w:header="708" w:footer="708" w:gutter="0"/>
          <w:cols w:space="720"/>
          <w:docGrid w:linePitch="600" w:charSpace="40960"/>
        </w:sectPr>
      </w:pPr>
    </w:p>
    <w:p w:rsidR="0017500B" w:rsidRDefault="00390F61">
      <w:pPr>
        <w:keepLines/>
        <w:widowControl w:val="0"/>
        <w:suppressAutoHyphens/>
        <w:spacing w:after="0" w:line="240" w:lineRule="auto"/>
        <w:jc w:val="center"/>
        <w:outlineLvl w:val="0"/>
        <w:rPr>
          <w:rFonts w:ascii="Calibri" w:eastAsia="MS Gothic" w:hAnsi="Calibri" w:cs="Times New Roman"/>
          <w:b/>
          <w:bCs/>
          <w:noProof/>
          <w:color w:val="1F497D"/>
          <w:sz w:val="32"/>
          <w:szCs w:val="28"/>
          <w:lang w:eastAsia="ar-SA"/>
        </w:rPr>
      </w:pPr>
      <w:bookmarkStart w:id="3" w:name="_Toc469477484"/>
      <w:r>
        <w:rPr>
          <w:rFonts w:ascii="Calibri" w:eastAsia="MS Gothic" w:hAnsi="Calibri" w:cs="Times New Roman"/>
          <w:b/>
          <w:bCs/>
          <w:noProof/>
          <w:color w:val="1F497D"/>
          <w:sz w:val="32"/>
          <w:szCs w:val="28"/>
          <w:lang w:eastAsia="ar-SA"/>
        </w:rPr>
        <w:lastRenderedPageBreak/>
        <w:t>Part I: Thematic Areas</w:t>
      </w:r>
      <w:bookmarkEnd w:id="3"/>
    </w:p>
    <w:p w:rsidR="0017500B" w:rsidRDefault="0017500B">
      <w:pPr>
        <w:widowControl w:val="0"/>
        <w:suppressAutoHyphens/>
        <w:spacing w:after="120" w:line="240" w:lineRule="auto"/>
        <w:jc w:val="both"/>
        <w:rPr>
          <w:rFonts w:ascii="Calibri" w:eastAsia="Calibri" w:hAnsi="Calibri" w:cs="Times New Roman"/>
          <w:noProof/>
          <w:sz w:val="20"/>
          <w:lang w:eastAsia="ar-SA"/>
        </w:rPr>
      </w:pPr>
    </w:p>
    <w:p w:rsidR="0017500B" w:rsidRDefault="00390F61">
      <w:pPr>
        <w:pStyle w:val="Heading1"/>
        <w:rPr>
          <w:noProof/>
        </w:rPr>
      </w:pPr>
      <w:bookmarkStart w:id="4" w:name="_Toc469477485"/>
      <w:r>
        <w:rPr>
          <w:noProof/>
        </w:rPr>
        <w:t xml:space="preserve">Turning the EU into a circular, </w:t>
      </w:r>
      <w:r>
        <w:rPr>
          <w:noProof/>
        </w:rPr>
        <w:t>resource-efficient, green and competitive economy</w:t>
      </w:r>
      <w:bookmarkEnd w:id="4"/>
    </w:p>
    <w:p w:rsidR="0017500B" w:rsidRDefault="0017500B">
      <w:pPr>
        <w:suppressAutoHyphens/>
        <w:spacing w:after="120" w:line="240" w:lineRule="auto"/>
        <w:jc w:val="both"/>
        <w:rPr>
          <w:rFonts w:ascii="Calibri" w:eastAsia="Calibri" w:hAnsi="Calibri" w:cs="Times New Roman"/>
          <w:noProof/>
          <w:sz w:val="20"/>
          <w:lang w:eastAsia="ar-SA"/>
        </w:rPr>
        <w:sectPr w:rsidR="0017500B">
          <w:headerReference w:type="even" r:id="rId42"/>
          <w:headerReference w:type="default" r:id="rId43"/>
          <w:footerReference w:type="even" r:id="rId44"/>
          <w:footerReference w:type="default" r:id="rId45"/>
          <w:headerReference w:type="first" r:id="rId46"/>
          <w:footerReference w:type="first" r:id="rId47"/>
          <w:type w:val="continuous"/>
          <w:pgSz w:w="11906" w:h="16838"/>
          <w:pgMar w:top="1440" w:right="1080" w:bottom="1440" w:left="1080" w:header="708" w:footer="708" w:gutter="0"/>
          <w:cols w:space="720"/>
          <w:docGrid w:linePitch="600" w:charSpace="40960"/>
        </w:sectPr>
      </w:pPr>
    </w:p>
    <w:p w:rsidR="0017500B" w:rsidRDefault="00390F61">
      <w:pPr>
        <w:widowControl w:val="0"/>
        <w:suppressAutoHyphens/>
        <w:spacing w:after="120" w:line="240" w:lineRule="auto"/>
        <w:jc w:val="both"/>
        <w:outlineLvl w:val="1"/>
        <w:rPr>
          <w:rFonts w:ascii="Calibri" w:eastAsia="Calibri" w:hAnsi="Calibri" w:cs="Times New Roman"/>
          <w:b/>
          <w:noProof/>
          <w:color w:val="1F497D"/>
          <w:sz w:val="24"/>
          <w:lang w:eastAsia="ar-SA"/>
        </w:rPr>
      </w:pPr>
      <w:bookmarkStart w:id="5" w:name="_Toc469477486"/>
      <w:r>
        <w:rPr>
          <w:rFonts w:ascii="Calibri" w:eastAsia="Calibri" w:hAnsi="Calibri" w:cs="Times New Roman"/>
          <w:b/>
          <w:noProof/>
          <w:color w:val="1F497D"/>
          <w:sz w:val="24"/>
          <w:lang w:eastAsia="ar-SA"/>
        </w:rPr>
        <w:lastRenderedPageBreak/>
        <w:t>Developing a circular economy and improving resource efficiency</w:t>
      </w:r>
      <w:bookmarkEnd w:id="5"/>
    </w:p>
    <w:p w:rsidR="0017500B" w:rsidRDefault="00390F61">
      <w:pPr>
        <w:widowControl w:val="0"/>
        <w:shd w:val="clear" w:color="auto" w:fill="4F81BD"/>
        <w:suppressAutoHyphens/>
        <w:spacing w:after="120" w:line="240" w:lineRule="auto"/>
        <w:jc w:val="both"/>
        <w:rPr>
          <w:rFonts w:ascii="Calibri" w:eastAsia="Calibri" w:hAnsi="Calibri" w:cs="Times New Roman"/>
          <w:noProof/>
          <w:color w:val="FFFFFF"/>
          <w:sz w:val="20"/>
          <w:lang w:eastAsia="ar-SA"/>
        </w:rPr>
      </w:pPr>
      <w:r>
        <w:rPr>
          <w:rFonts w:ascii="Calibri" w:eastAsia="Calibri" w:hAnsi="Calibri" w:cs="Times New Roman"/>
          <w:noProof/>
          <w:color w:val="FFFFFF"/>
          <w:sz w:val="20"/>
          <w:lang w:eastAsia="ar-SA"/>
        </w:rPr>
        <w:t xml:space="preserve">The 2015 Circular Economy Package emphasizes </w:t>
      </w:r>
      <w:r>
        <w:rPr>
          <w:rFonts w:ascii="Calibri" w:eastAsia="Calibri" w:hAnsi="Calibri" w:cs="Times New Roman"/>
          <w:noProof/>
          <w:color w:val="FFFFFF"/>
          <w:sz w:val="20"/>
          <w:lang w:eastAsia="ar-SA"/>
        </w:rPr>
        <w:t>the need to move towards a lifecycle-driven ‘circular’ economy, with a cascading use of resources and residual waste that is close to zero. This can be facilitated by the development of, and access to, innovative financial instruments and funding for eco-i</w:t>
      </w:r>
      <w:r>
        <w:rPr>
          <w:rFonts w:ascii="Calibri" w:eastAsia="Calibri" w:hAnsi="Calibri" w:cs="Times New Roman"/>
          <w:noProof/>
          <w:color w:val="FFFFFF"/>
          <w:sz w:val="20"/>
          <w:lang w:eastAsia="ar-SA"/>
        </w:rPr>
        <w:t>nnovation.</w:t>
      </w:r>
    </w:p>
    <w:p w:rsidR="0017500B" w:rsidRDefault="00390F61">
      <w:pPr>
        <w:widowControl w:val="0"/>
        <w:shd w:val="clear" w:color="auto" w:fill="4F81BD"/>
        <w:suppressAutoHyphens/>
        <w:spacing w:after="120" w:line="240" w:lineRule="auto"/>
        <w:jc w:val="both"/>
        <w:rPr>
          <w:rFonts w:ascii="Calibri" w:eastAsia="Calibri" w:hAnsi="Calibri" w:cs="Times New Roman"/>
          <w:noProof/>
          <w:color w:val="FFFFFF"/>
          <w:sz w:val="20"/>
          <w:lang w:eastAsia="ar-SA"/>
        </w:rPr>
      </w:pPr>
      <w:r>
        <w:rPr>
          <w:rFonts w:ascii="Calibri" w:eastAsia="Calibri" w:hAnsi="Calibri" w:cs="Times New Roman"/>
          <w:noProof/>
          <w:color w:val="FFFFFF"/>
          <w:sz w:val="20"/>
          <w:lang w:eastAsia="ar-SA"/>
        </w:rPr>
        <w:t>SDG 8 invites countries to promote sustained, inclusive and sustainable economic growth, full and productive employment and decent work for all. SDG 9 highlights the need to build resilient infrastructure, promote inclusive and sustainable indus</w:t>
      </w:r>
      <w:r>
        <w:rPr>
          <w:rFonts w:ascii="Calibri" w:eastAsia="Calibri" w:hAnsi="Calibri" w:cs="Times New Roman"/>
          <w:noProof/>
          <w:color w:val="FFFFFF"/>
          <w:sz w:val="20"/>
          <w:lang w:eastAsia="ar-SA"/>
        </w:rPr>
        <w:t>trialization and foster innovation. SDG 12 encourages countries to achieve the sustainable management and efficient use of natural resources by 2030.</w:t>
      </w:r>
    </w:p>
    <w:p w:rsidR="0017500B" w:rsidRDefault="00390F61">
      <w:pPr>
        <w:widowControl w:val="0"/>
        <w:suppressAutoHyphens/>
        <w:spacing w:after="120" w:line="240" w:lineRule="auto"/>
        <w:jc w:val="both"/>
        <w:outlineLvl w:val="2"/>
        <w:rPr>
          <w:rFonts w:ascii="Calibri" w:eastAsia="Calibri" w:hAnsi="Calibri" w:cs="Times New Roman"/>
          <w:b/>
          <w:noProof/>
          <w:color w:val="1F497D"/>
          <w:lang w:eastAsia="ar-SA"/>
        </w:rPr>
      </w:pPr>
      <w:r>
        <w:rPr>
          <w:rFonts w:ascii="Calibri" w:eastAsia="Calibri" w:hAnsi="Calibri" w:cs="Times New Roman"/>
          <w:b/>
          <w:noProof/>
          <w:color w:val="1F497D"/>
          <w:lang w:eastAsia="ar-SA"/>
        </w:rPr>
        <w:t>Measures towards a circular economy</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Transforming our economies from linear to circular offers an opportuni</w:t>
      </w:r>
      <w:r>
        <w:rPr>
          <w:rFonts w:ascii="Calibri" w:eastAsia="Calibri" w:hAnsi="Calibri" w:cs="Times New Roman"/>
          <w:noProof/>
          <w:sz w:val="20"/>
          <w:lang w:eastAsia="ar-SA"/>
        </w:rPr>
        <w:t>ty to reinvent them and make them more sustainable and competitive. This will stimulate investments and bring both short and long-term benefits for the economy, environment and citizens alike</w:t>
      </w:r>
      <w:r>
        <w:rPr>
          <w:rFonts w:ascii="Calibri" w:eastAsia="Calibri" w:hAnsi="Calibri" w:cs="Times New Roman"/>
          <w:noProof/>
          <w:vertAlign w:val="superscript"/>
          <w:lang w:eastAsia="ar-SA"/>
        </w:rPr>
        <w:footnoteReference w:id="5"/>
      </w:r>
      <w:r>
        <w:rPr>
          <w:rFonts w:ascii="Calibri" w:eastAsia="Calibri" w:hAnsi="Calibri" w:cs="Times New Roman"/>
          <w:noProof/>
          <w:sz w:val="20"/>
          <w:lang w:eastAsia="ar-SA"/>
        </w:rPr>
        <w:t>.</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 xml:space="preserve">Belgium is performing slightly better than average in the EU </w:t>
      </w:r>
      <w:r>
        <w:rPr>
          <w:rFonts w:ascii="Calibri" w:eastAsia="Calibri" w:hAnsi="Calibri" w:cs="Times New Roman"/>
          <w:noProof/>
          <w:sz w:val="20"/>
          <w:lang w:eastAsia="ar-SA"/>
        </w:rPr>
        <w:t>in terms of resource productivity</w:t>
      </w:r>
      <w:r>
        <w:rPr>
          <w:rFonts w:ascii="Calibri" w:eastAsia="Calibri" w:hAnsi="Calibri" w:cs="Times New Roman"/>
          <w:noProof/>
          <w:sz w:val="20"/>
          <w:vertAlign w:val="superscript"/>
          <w:lang w:eastAsia="ar-SA"/>
        </w:rPr>
        <w:footnoteReference w:id="6"/>
      </w:r>
      <w:r>
        <w:rPr>
          <w:rFonts w:ascii="Calibri" w:eastAsia="Calibri" w:hAnsi="Calibri" w:cs="Times New Roman"/>
          <w:noProof/>
          <w:sz w:val="20"/>
          <w:lang w:eastAsia="ar-SA"/>
        </w:rPr>
        <w:t xml:space="preserve"> (how efficiently the economy uses material resources to produce wealth), with 2.45 EUR/kg (EU average is 2 EUR/kg) in 2015</w:t>
      </w:r>
      <w:r>
        <w:rPr>
          <w:rFonts w:ascii="Calibri" w:eastAsia="Calibri" w:hAnsi="Calibri" w:cs="Times New Roman"/>
          <w:noProof/>
          <w:sz w:val="20"/>
          <w:vertAlign w:val="superscript"/>
          <w:lang w:eastAsia="ar-SA"/>
        </w:rPr>
        <w:footnoteReference w:id="7"/>
      </w:r>
      <w:r>
        <w:rPr>
          <w:rFonts w:ascii="Calibri" w:eastAsia="Calibri" w:hAnsi="Calibri" w:cs="Times New Roman"/>
          <w:noProof/>
          <w:sz w:val="20"/>
          <w:lang w:eastAsia="ar-SA"/>
        </w:rPr>
        <w:t>. Figure 1 shows trends over time and indicates a slight but steady increase of resource productiv</w:t>
      </w:r>
      <w:r>
        <w:rPr>
          <w:rFonts w:ascii="Calibri" w:eastAsia="Calibri" w:hAnsi="Calibri" w:cs="Times New Roman"/>
          <w:noProof/>
          <w:sz w:val="20"/>
          <w:lang w:eastAsia="ar-SA"/>
        </w:rPr>
        <w:t>ity since 2007 in Belgium.</w:t>
      </w:r>
    </w:p>
    <w:p w:rsidR="0017500B" w:rsidRDefault="00390F61">
      <w:pPr>
        <w:widowControl w:val="0"/>
        <w:suppressAutoHyphens/>
        <w:spacing w:after="120" w:line="240" w:lineRule="auto"/>
        <w:jc w:val="both"/>
        <w:rPr>
          <w:rFonts w:ascii="Calibri" w:eastAsia="Calibri" w:hAnsi="Calibri" w:cs="Times New Roman"/>
          <w:b/>
          <w:noProof/>
          <w:color w:val="1F497D"/>
          <w:sz w:val="20"/>
          <w:lang w:eastAsia="ar-SA"/>
        </w:rPr>
      </w:pPr>
      <w:r>
        <w:rPr>
          <w:rFonts w:ascii="Calibri" w:eastAsia="Calibri" w:hAnsi="Calibri" w:cs="Times New Roman"/>
          <w:noProof/>
          <w:sz w:val="20"/>
          <w:lang w:eastAsia="ar-SA"/>
        </w:rPr>
        <w:t>In 2014, the federal administration prepared a roadmap</w:t>
      </w:r>
      <w:r>
        <w:rPr>
          <w:rFonts w:ascii="Calibri" w:eastAsia="Calibri" w:hAnsi="Calibri" w:cs="Times New Roman"/>
          <w:noProof/>
          <w:vertAlign w:val="superscript"/>
          <w:lang w:eastAsia="ar-SA"/>
        </w:rPr>
        <w:footnoteReference w:id="8"/>
      </w:r>
      <w:r>
        <w:rPr>
          <w:rFonts w:ascii="Calibri" w:eastAsia="Calibri" w:hAnsi="Calibri" w:cs="Times New Roman"/>
          <w:noProof/>
          <w:sz w:val="20"/>
          <w:lang w:eastAsia="ar-SA"/>
        </w:rPr>
        <w:t xml:space="preserve"> that laid out proposals for action to transition towards a more circular economy. Furthermore, a number of relevant plans and programmes for circular economy have been initi</w:t>
      </w:r>
      <w:r>
        <w:rPr>
          <w:rFonts w:ascii="Calibri" w:eastAsia="Calibri" w:hAnsi="Calibri" w:cs="Times New Roman"/>
          <w:noProof/>
          <w:sz w:val="20"/>
          <w:lang w:eastAsia="ar-SA"/>
        </w:rPr>
        <w:t>ated at the federal level. Most of these encompass measures that build the enabling institutional and market environment for eco-innovative solutions. The federal level develops ‘instrumental’ competences to provide support for the effective implementation</w:t>
      </w:r>
      <w:r>
        <w:rPr>
          <w:rFonts w:ascii="Calibri" w:eastAsia="Calibri" w:hAnsi="Calibri" w:cs="Times New Roman"/>
          <w:noProof/>
          <w:sz w:val="20"/>
          <w:lang w:eastAsia="ar-SA"/>
        </w:rPr>
        <w:t xml:space="preserve"> or market translation of the regional objectives and initiatives (fiscal and quasi-fiscal provisions, taxation, competition rules, market structures, price regulation, </w:t>
      </w:r>
      <w:r>
        <w:rPr>
          <w:rFonts w:ascii="Calibri" w:eastAsia="Calibri" w:hAnsi="Calibri" w:cs="Times New Roman"/>
          <w:noProof/>
          <w:sz w:val="20"/>
          <w:lang w:eastAsia="ar-SA"/>
        </w:rPr>
        <w:lastRenderedPageBreak/>
        <w:t>etc.). Currently there are plans to set up a knowledge centre to elaborate a federal st</w:t>
      </w:r>
      <w:r>
        <w:rPr>
          <w:rFonts w:ascii="Calibri" w:eastAsia="Calibri" w:hAnsi="Calibri" w:cs="Times New Roman"/>
          <w:noProof/>
          <w:sz w:val="20"/>
          <w:lang w:eastAsia="ar-SA"/>
        </w:rPr>
        <w:t xml:space="preserve">rategy and a new roadmap. </w:t>
      </w:r>
    </w:p>
    <w:tbl>
      <w:tblPr>
        <w:tblW w:w="0" w:type="auto"/>
        <w:tblLayout w:type="fixed"/>
        <w:tblLook w:val="0000" w:firstRow="0" w:lastRow="0" w:firstColumn="0" w:lastColumn="0" w:noHBand="0" w:noVBand="0"/>
      </w:tblPr>
      <w:tblGrid>
        <w:gridCol w:w="4909"/>
      </w:tblGrid>
      <w:tr w:rsidR="0017500B">
        <w:tc>
          <w:tcPr>
            <w:tcW w:w="4909" w:type="dxa"/>
            <w:shd w:val="clear" w:color="auto" w:fill="auto"/>
          </w:tcPr>
          <w:p w:rsidR="0017500B" w:rsidRDefault="00390F61">
            <w:pPr>
              <w:widowControl w:val="0"/>
              <w:suppressAutoHyphens/>
              <w:spacing w:after="120" w:line="240" w:lineRule="auto"/>
              <w:jc w:val="both"/>
              <w:rPr>
                <w:rFonts w:ascii="Calibri" w:eastAsia="Calibri" w:hAnsi="Calibri" w:cs="Times New Roman"/>
                <w:noProof/>
                <w:sz w:val="20"/>
                <w:lang w:eastAsia="ar-SA"/>
              </w:rPr>
            </w:pPr>
            <w:r>
              <w:rPr>
                <w:b/>
                <w:bCs/>
                <w:noProof/>
                <w:color w:val="1F497D" w:themeColor="text2"/>
                <w:sz w:val="20"/>
              </w:rPr>
              <w:t>Figure 1: Resource productivity 2003-15</w:t>
            </w:r>
            <w:r>
              <w:rPr>
                <w:b/>
                <w:bCs/>
                <w:noProof/>
                <w:color w:val="1F497D" w:themeColor="text2"/>
                <w:sz w:val="20"/>
                <w:vertAlign w:val="superscript"/>
              </w:rPr>
              <w:footnoteReference w:id="9"/>
            </w:r>
          </w:p>
        </w:tc>
      </w:tr>
      <w:tr w:rsidR="0017500B">
        <w:tc>
          <w:tcPr>
            <w:tcW w:w="4909" w:type="dxa"/>
            <w:shd w:val="clear" w:color="auto" w:fill="auto"/>
          </w:tcPr>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en-GB"/>
              </w:rPr>
              <w:drawing>
                <wp:inline distT="0" distB="0" distL="0" distR="0" wp14:anchorId="2E3E9C7D" wp14:editId="33063E07">
                  <wp:extent cx="3038408" cy="2017059"/>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41361" cy="2019019"/>
                          </a:xfrm>
                          <a:prstGeom prst="rect">
                            <a:avLst/>
                          </a:prstGeom>
                          <a:noFill/>
                        </pic:spPr>
                      </pic:pic>
                    </a:graphicData>
                  </a:graphic>
                </wp:inline>
              </w:drawing>
            </w:r>
          </w:p>
        </w:tc>
      </w:tr>
    </w:tbl>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In 2016, 21 proposals were made by the Federal Ministry for Energy, Environment and Sustainable Development to promote a circular economy</w:t>
      </w:r>
      <w:r>
        <w:rPr>
          <w:rFonts w:ascii="Calibri" w:eastAsia="Calibri" w:hAnsi="Calibri" w:cs="Times New Roman"/>
          <w:noProof/>
          <w:sz w:val="20"/>
          <w:vertAlign w:val="superscript"/>
          <w:lang w:eastAsia="ar-SA"/>
        </w:rPr>
        <w:footnoteReference w:id="10"/>
      </w:r>
      <w:r>
        <w:rPr>
          <w:rFonts w:ascii="Calibri" w:eastAsia="Calibri" w:hAnsi="Calibri" w:cs="Times New Roman"/>
          <w:noProof/>
          <w:sz w:val="20"/>
          <w:lang w:eastAsia="ar-SA"/>
        </w:rPr>
        <w:t>. A study (by PWC) commissioned for this Minis</w:t>
      </w:r>
      <w:r>
        <w:rPr>
          <w:rFonts w:ascii="Calibri" w:eastAsia="Calibri" w:hAnsi="Calibri" w:cs="Times New Roman"/>
          <w:noProof/>
          <w:sz w:val="20"/>
          <w:lang w:eastAsia="ar-SA"/>
        </w:rPr>
        <w:t>try on the potential of the circular economy in Belgium, foresees an increase in the GDP between EUR 1-7 billion by 2030 with the creation of 15,000- 100,000 jobs</w:t>
      </w:r>
      <w:r>
        <w:rPr>
          <w:rFonts w:ascii="Calibri" w:eastAsia="Calibri" w:hAnsi="Calibri" w:cs="Times New Roman"/>
          <w:noProof/>
          <w:sz w:val="20"/>
          <w:vertAlign w:val="superscript"/>
          <w:lang w:eastAsia="ar-SA"/>
        </w:rPr>
        <w:footnoteReference w:id="11"/>
      </w:r>
      <w:r>
        <w:rPr>
          <w:rFonts w:ascii="Calibri" w:eastAsia="Calibri" w:hAnsi="Calibri" w:cs="Times New Roman"/>
          <w:noProof/>
          <w:sz w:val="20"/>
          <w:lang w:eastAsia="ar-SA"/>
        </w:rPr>
        <w:t>. There is also an audit to see which legislation is hindering the circular economy</w:t>
      </w:r>
      <w:r>
        <w:rPr>
          <w:rFonts w:ascii="Calibri" w:eastAsia="Calibri" w:hAnsi="Calibri" w:cs="Times New Roman"/>
          <w:noProof/>
          <w:sz w:val="20"/>
          <w:vertAlign w:val="superscript"/>
          <w:lang w:eastAsia="ar-SA"/>
        </w:rPr>
        <w:footnoteReference w:id="12"/>
      </w:r>
      <w:r>
        <w:rPr>
          <w:rFonts w:ascii="Calibri" w:eastAsia="Calibri" w:hAnsi="Calibri" w:cs="Times New Roman"/>
          <w:noProof/>
          <w:sz w:val="20"/>
          <w:lang w:eastAsia="ar-SA"/>
        </w:rPr>
        <w:t>. The Cen</w:t>
      </w:r>
      <w:r>
        <w:rPr>
          <w:rFonts w:ascii="Calibri" w:eastAsia="Calibri" w:hAnsi="Calibri" w:cs="Times New Roman"/>
          <w:noProof/>
          <w:sz w:val="20"/>
          <w:lang w:eastAsia="ar-SA"/>
        </w:rPr>
        <w:t>tral Economic Council</w:t>
      </w:r>
      <w:r>
        <w:rPr>
          <w:rFonts w:ascii="Calibri" w:eastAsia="Calibri" w:hAnsi="Calibri" w:cs="Times New Roman"/>
          <w:noProof/>
          <w:sz w:val="20"/>
          <w:vertAlign w:val="superscript"/>
          <w:lang w:eastAsia="ar-SA"/>
        </w:rPr>
        <w:footnoteReference w:id="13"/>
      </w:r>
      <w:r>
        <w:rPr>
          <w:rFonts w:ascii="Calibri" w:eastAsia="Calibri" w:hAnsi="Calibri" w:cs="Times New Roman"/>
          <w:noProof/>
          <w:sz w:val="20"/>
          <w:lang w:eastAsia="ar-SA"/>
        </w:rPr>
        <w:t xml:space="preserve"> adopted an opinion on the circular economy on 24.02.16 which focuses on recycling, and another opinion on 21.09.16 focusing on the Federal circular economy proposals. The Federal Development Council</w:t>
      </w:r>
      <w:r>
        <w:rPr>
          <w:rFonts w:ascii="Calibri" w:eastAsia="Calibri" w:hAnsi="Calibri" w:cs="Times New Roman"/>
          <w:noProof/>
          <w:sz w:val="20"/>
          <w:vertAlign w:val="superscript"/>
          <w:lang w:eastAsia="ar-SA"/>
        </w:rPr>
        <w:footnoteReference w:id="14"/>
      </w:r>
      <w:r>
        <w:rPr>
          <w:rFonts w:ascii="Calibri" w:eastAsia="Calibri" w:hAnsi="Calibri" w:cs="Times New Roman"/>
          <w:noProof/>
          <w:sz w:val="20"/>
          <w:lang w:eastAsia="ar-SA"/>
        </w:rPr>
        <w:t xml:space="preserve"> also underlined importance of res</w:t>
      </w:r>
      <w:r>
        <w:rPr>
          <w:rFonts w:ascii="Calibri" w:eastAsia="Calibri" w:hAnsi="Calibri" w:cs="Times New Roman"/>
          <w:noProof/>
          <w:sz w:val="20"/>
          <w:lang w:eastAsia="ar-SA"/>
        </w:rPr>
        <w:t>ource efficiency. Within BENELUX there is also cooperation on the circular economy</w:t>
      </w:r>
      <w:r>
        <w:rPr>
          <w:rFonts w:ascii="Calibri" w:eastAsia="Calibri" w:hAnsi="Calibri" w:cs="Times New Roman"/>
          <w:noProof/>
          <w:sz w:val="20"/>
          <w:vertAlign w:val="superscript"/>
          <w:lang w:eastAsia="ar-SA"/>
        </w:rPr>
        <w:footnoteReference w:id="15"/>
      </w:r>
      <w:r>
        <w:rPr>
          <w:rStyle w:val="FootnoteReference"/>
          <w:rFonts w:ascii="Calibri" w:eastAsia="Calibri" w:hAnsi="Calibri" w:cs="Times New Roman"/>
          <w:noProof/>
          <w:sz w:val="20"/>
          <w:lang w:eastAsia="ar-SA"/>
        </w:rPr>
        <w:footnoteReference w:id="16"/>
      </w:r>
      <w:r>
        <w:rPr>
          <w:rFonts w:ascii="Calibri" w:eastAsia="Calibri" w:hAnsi="Calibri" w:cs="Times New Roman"/>
          <w:noProof/>
          <w:sz w:val="20"/>
          <w:lang w:eastAsia="ar-SA"/>
        </w:rPr>
        <w:t>.</w:t>
      </w:r>
    </w:p>
    <w:p w:rsidR="0017500B" w:rsidRDefault="00390F61">
      <w:pPr>
        <w:widowControl w:val="0"/>
        <w:suppressAutoHyphens/>
        <w:spacing w:after="120" w:line="240" w:lineRule="auto"/>
        <w:jc w:val="both"/>
        <w:rPr>
          <w:rFonts w:ascii="Calibri" w:eastAsia="Calibri" w:hAnsi="Calibri" w:cs="Times New Roman"/>
          <w:noProof/>
          <w:sz w:val="20"/>
          <w:lang w:val="en-US" w:eastAsia="ar-SA"/>
        </w:rPr>
      </w:pPr>
      <w:r>
        <w:rPr>
          <w:rFonts w:ascii="Calibri" w:eastAsia="Calibri" w:hAnsi="Calibri" w:cs="Times New Roman"/>
          <w:noProof/>
          <w:sz w:val="20"/>
          <w:lang w:eastAsia="ar-SA"/>
        </w:rPr>
        <w:t>The Walloon Government has put a clear focus on resource efficiency and circular economy since the Marshall Plan 2 in 2009. In the Plan Marshall 4.0 that was presented on</w:t>
      </w:r>
      <w:r>
        <w:rPr>
          <w:rFonts w:ascii="Calibri" w:eastAsia="Calibri" w:hAnsi="Calibri" w:cs="Times New Roman"/>
          <w:noProof/>
          <w:sz w:val="20"/>
          <w:lang w:eastAsia="ar-SA"/>
        </w:rPr>
        <w:t xml:space="preserve"> 29.05.15, promoting clean energy and </w:t>
      </w:r>
      <w:r>
        <w:rPr>
          <w:rFonts w:ascii="Calibri" w:eastAsia="Calibri" w:hAnsi="Calibri" w:cs="Times New Roman"/>
          <w:noProof/>
          <w:sz w:val="20"/>
          <w:lang w:eastAsia="ar-SA"/>
        </w:rPr>
        <w:lastRenderedPageBreak/>
        <w:t>circular economy is one of 5 priority areas for action</w:t>
      </w:r>
      <w:r>
        <w:rPr>
          <w:rFonts w:ascii="Calibri" w:eastAsia="Calibri" w:hAnsi="Calibri" w:cs="Times New Roman"/>
          <w:noProof/>
          <w:sz w:val="20"/>
          <w:vertAlign w:val="superscript"/>
          <w:lang w:eastAsia="ar-SA"/>
        </w:rPr>
        <w:footnoteReference w:id="17"/>
      </w:r>
      <w:r>
        <w:rPr>
          <w:rFonts w:ascii="Calibri" w:eastAsia="Calibri" w:hAnsi="Calibri" w:cs="Times New Roman"/>
          <w:noProof/>
          <w:sz w:val="20"/>
          <w:lang w:eastAsia="ar-SA"/>
        </w:rPr>
        <w:t>. The NEXT programme</w:t>
      </w:r>
      <w:r>
        <w:rPr>
          <w:rFonts w:ascii="Calibri" w:eastAsia="Calibri" w:hAnsi="Calibri" w:cs="Times New Roman"/>
          <w:noProof/>
          <w:vertAlign w:val="superscript"/>
          <w:lang w:eastAsia="ar-SA"/>
        </w:rPr>
        <w:footnoteReference w:id="18"/>
      </w:r>
      <w:r>
        <w:rPr>
          <w:rFonts w:ascii="Calibri" w:eastAsia="Calibri" w:hAnsi="Calibri" w:cs="Times New Roman"/>
          <w:noProof/>
          <w:sz w:val="20"/>
          <w:lang w:eastAsia="ar-SA"/>
        </w:rPr>
        <w:t xml:space="preserve"> is fully dedicated to circular economy and it is a transversal axis for deepening the Walloon Strategy for Smart Specialization through linka</w:t>
      </w:r>
      <w:r>
        <w:rPr>
          <w:rFonts w:ascii="Calibri" w:eastAsia="Calibri" w:hAnsi="Calibri" w:cs="Times New Roman"/>
          <w:noProof/>
          <w:sz w:val="20"/>
          <w:lang w:eastAsia="ar-SA"/>
        </w:rPr>
        <w:t>ges with other key sectors and clusters. Since 2004, the Agency for Entreprise &amp; Innovation provides a support role for SMEs willing to be involved in circular economy</w:t>
      </w:r>
      <w:r>
        <w:rPr>
          <w:rFonts w:ascii="Calibri" w:eastAsia="Calibri" w:hAnsi="Calibri" w:cs="Times New Roman"/>
          <w:noProof/>
          <w:vertAlign w:val="superscript"/>
          <w:lang w:val="en-US" w:eastAsia="ar-SA"/>
        </w:rPr>
        <w:t xml:space="preserve"> </w:t>
      </w:r>
      <w:r>
        <w:rPr>
          <w:rFonts w:ascii="Calibri" w:eastAsia="Calibri" w:hAnsi="Calibri" w:cs="Times New Roman"/>
          <w:noProof/>
          <w:vertAlign w:val="superscript"/>
          <w:lang w:val="en-US" w:eastAsia="ar-SA"/>
        </w:rPr>
        <w:footnoteReference w:id="19"/>
      </w:r>
      <w:r>
        <w:rPr>
          <w:rFonts w:ascii="Calibri" w:eastAsia="Calibri" w:hAnsi="Calibri" w:cs="Times New Roman"/>
          <w:noProof/>
          <w:sz w:val="20"/>
          <w:lang w:eastAsia="ar-SA"/>
        </w:rPr>
        <w:t>. The region has also an employment-environment alliance for sustainable construction</w:t>
      </w:r>
      <w:r>
        <w:rPr>
          <w:rFonts w:ascii="Calibri" w:eastAsia="Calibri" w:hAnsi="Calibri" w:cs="Times New Roman"/>
          <w:noProof/>
          <w:vertAlign w:val="superscript"/>
          <w:lang w:eastAsia="ar-SA"/>
        </w:rPr>
        <w:footnoteReference w:id="20"/>
      </w:r>
      <w:r>
        <w:rPr>
          <w:rFonts w:ascii="Calibri" w:eastAsia="Calibri" w:hAnsi="Calibri" w:cs="Times New Roman"/>
          <w:noProof/>
          <w:sz w:val="20"/>
          <w:lang w:eastAsia="ar-SA"/>
        </w:rPr>
        <w:t>.</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val="en-US" w:eastAsia="ar-SA"/>
        </w:rPr>
        <w:t>According to calculations, the circular economy can generate EUR 2.3 billion worth of added value for Flanders. In this regard, 27,000 new jobs would be created, which is equal to 1% of employment in Flanders</w:t>
      </w:r>
      <w:r>
        <w:rPr>
          <w:rFonts w:ascii="Calibri" w:eastAsia="Calibri" w:hAnsi="Calibri" w:cs="Times New Roman"/>
          <w:noProof/>
          <w:vertAlign w:val="superscript"/>
          <w:lang w:val="en-US" w:eastAsia="ar-SA"/>
        </w:rPr>
        <w:footnoteReference w:id="21"/>
      </w:r>
      <w:r>
        <w:rPr>
          <w:rFonts w:ascii="Calibri" w:eastAsia="Calibri" w:hAnsi="Calibri" w:cs="Times New Roman"/>
          <w:noProof/>
          <w:sz w:val="20"/>
          <w:lang w:val="en-US" w:eastAsia="ar-SA"/>
        </w:rPr>
        <w:t xml:space="preserve">. </w:t>
      </w:r>
      <w:r>
        <w:rPr>
          <w:rFonts w:ascii="Calibri" w:eastAsia="Calibri" w:hAnsi="Calibri" w:cs="Times New Roman"/>
          <w:noProof/>
          <w:sz w:val="20"/>
          <w:lang w:eastAsia="ar-SA"/>
        </w:rPr>
        <w:t xml:space="preserve">In March 2016 Flanders approved ‘Vision </w:t>
      </w:r>
      <w:r>
        <w:rPr>
          <w:rFonts w:ascii="Calibri" w:eastAsia="Calibri" w:hAnsi="Calibri" w:cs="Times New Roman"/>
          <w:noProof/>
          <w:sz w:val="20"/>
          <w:lang w:eastAsia="ar-SA"/>
        </w:rPr>
        <w:t>2050’ with circular economy as one of the seven transitions</w:t>
      </w:r>
      <w:r>
        <w:rPr>
          <w:rFonts w:ascii="Calibri" w:eastAsia="Calibri" w:hAnsi="Calibri" w:cs="Times New Roman"/>
          <w:noProof/>
          <w:sz w:val="20"/>
          <w:vertAlign w:val="superscript"/>
          <w:lang w:eastAsia="ar-SA"/>
        </w:rPr>
        <w:footnoteReference w:id="22"/>
      </w:r>
      <w:r>
        <w:rPr>
          <w:rFonts w:ascii="Calibri" w:eastAsia="Calibri" w:hAnsi="Calibri" w:cs="Times New Roman"/>
          <w:noProof/>
          <w:sz w:val="20"/>
          <w:lang w:eastAsia="ar-SA"/>
        </w:rPr>
        <w:t>. The transition policy is further shaped through a continuation of the Flemish Materials Programme as a circular economy platform focused on innovation incorporating and streamlining the differen</w:t>
      </w:r>
      <w:r>
        <w:rPr>
          <w:rFonts w:ascii="Calibri" w:eastAsia="Calibri" w:hAnsi="Calibri" w:cs="Times New Roman"/>
          <w:noProof/>
          <w:sz w:val="20"/>
          <w:lang w:eastAsia="ar-SA"/>
        </w:rPr>
        <w:t>t former initiatives.  Flanders also has a Policy Research Center on Sustainable Materials Management (SuMMa) that does research on how to make the transition towards a sustainable use of materials.  There is more policy focus on stepping up separate colle</w:t>
      </w:r>
      <w:r>
        <w:rPr>
          <w:rFonts w:ascii="Calibri" w:eastAsia="Calibri" w:hAnsi="Calibri" w:cs="Times New Roman"/>
          <w:noProof/>
          <w:sz w:val="20"/>
          <w:lang w:eastAsia="ar-SA"/>
        </w:rPr>
        <w:t xml:space="preserve">ction and finding new markets for recycled waste. Other policies that play an important role in the circular economy are the extended producer responsibility, improving ecodesign and enhancing the quality of recycled materials and their use. Work has also </w:t>
      </w:r>
      <w:r>
        <w:rPr>
          <w:rFonts w:ascii="Calibri" w:eastAsia="Calibri" w:hAnsi="Calibri" w:cs="Times New Roman"/>
          <w:noProof/>
          <w:sz w:val="20"/>
          <w:lang w:eastAsia="ar-SA"/>
        </w:rPr>
        <w:t>started on green economy covenants with industry, inspired by the Dutch example of green deals. Participating industries will benefit from advice to improve their material use throughout their production process.  The approach in these convenants is to fac</w:t>
      </w:r>
      <w:r>
        <w:rPr>
          <w:rFonts w:ascii="Calibri" w:eastAsia="Calibri" w:hAnsi="Calibri" w:cs="Times New Roman"/>
          <w:noProof/>
          <w:sz w:val="20"/>
          <w:lang w:eastAsia="ar-SA"/>
        </w:rPr>
        <w:t>ilitate the evolution to a green economy by a partnership between industry, government, NGOs and the academic world, bring in additional ‘benefits’. There is also more attention for supporting new circular business models, green public procurement. Further</w:t>
      </w:r>
      <w:r>
        <w:rPr>
          <w:rFonts w:ascii="Calibri" w:eastAsia="Calibri" w:hAnsi="Calibri" w:cs="Times New Roman"/>
          <w:noProof/>
          <w:sz w:val="20"/>
          <w:lang w:eastAsia="ar-SA"/>
        </w:rPr>
        <w:t>more, Flanders intends that material cycles be closed in the building and construction sector by 2020</w:t>
      </w:r>
      <w:r>
        <w:rPr>
          <w:rFonts w:ascii="Calibri" w:eastAsia="Calibri" w:hAnsi="Calibri" w:cs="Times New Roman"/>
          <w:noProof/>
          <w:vertAlign w:val="superscript"/>
          <w:lang w:eastAsia="ar-SA"/>
        </w:rPr>
        <w:footnoteReference w:id="23"/>
      </w:r>
      <w:r>
        <w:rPr>
          <w:rFonts w:ascii="Calibri" w:eastAsia="Calibri" w:hAnsi="Calibri" w:cs="Times New Roman"/>
          <w:noProof/>
          <w:sz w:val="20"/>
          <w:lang w:eastAsia="ar-SA"/>
        </w:rPr>
        <w:t>. As an example of a good practice, the European Regional Development Fund (ERDF) has been used to encourage circular economy in the Flemish furniture ind</w:t>
      </w:r>
      <w:r>
        <w:rPr>
          <w:rFonts w:ascii="Calibri" w:eastAsia="Calibri" w:hAnsi="Calibri" w:cs="Times New Roman"/>
          <w:noProof/>
          <w:sz w:val="20"/>
          <w:lang w:eastAsia="ar-SA"/>
        </w:rPr>
        <w:t>ustry</w:t>
      </w:r>
      <w:r>
        <w:rPr>
          <w:rFonts w:ascii="Calibri" w:eastAsia="Calibri" w:hAnsi="Calibri" w:cs="Times New Roman"/>
          <w:noProof/>
          <w:vertAlign w:val="superscript"/>
          <w:lang w:eastAsia="ar-SA"/>
        </w:rPr>
        <w:footnoteReference w:id="24"/>
      </w:r>
      <w:r>
        <w:rPr>
          <w:rFonts w:ascii="Calibri" w:eastAsia="Calibri" w:hAnsi="Calibri" w:cs="Times New Roman"/>
          <w:noProof/>
          <w:sz w:val="20"/>
          <w:lang w:eastAsia="ar-SA"/>
        </w:rPr>
        <w:t>.</w:t>
      </w:r>
    </w:p>
    <w:p w:rsidR="0017500B" w:rsidRDefault="00390F61">
      <w:pPr>
        <w:widowControl w:val="0"/>
        <w:suppressAutoHyphens/>
        <w:spacing w:after="120" w:line="240" w:lineRule="auto"/>
        <w:jc w:val="both"/>
        <w:rPr>
          <w:rFonts w:ascii="Calibri" w:eastAsia="Calibri" w:hAnsi="Calibri" w:cs="Times New Roman"/>
          <w:noProof/>
          <w:color w:val="1F497D"/>
          <w:sz w:val="20"/>
          <w:lang w:eastAsia="ar-SA"/>
        </w:rPr>
      </w:pPr>
      <w:r>
        <w:rPr>
          <w:rFonts w:ascii="Calibri" w:eastAsia="Calibri" w:hAnsi="Calibri" w:cs="Times New Roman"/>
          <w:noProof/>
          <w:sz w:val="20"/>
          <w:lang w:eastAsia="ar-SA"/>
        </w:rPr>
        <w:lastRenderedPageBreak/>
        <w:t>In March 2016 the regional government of Brussels adopted a Circular Economy Regional Plan</w:t>
      </w:r>
      <w:r>
        <w:rPr>
          <w:rFonts w:ascii="Calibri" w:eastAsia="Calibri" w:hAnsi="Calibri" w:cs="Times New Roman"/>
          <w:noProof/>
          <w:vertAlign w:val="superscript"/>
          <w:lang w:eastAsia="ar-SA"/>
        </w:rPr>
        <w:footnoteReference w:id="25"/>
      </w:r>
      <w:r>
        <w:rPr>
          <w:rFonts w:ascii="Calibri" w:eastAsia="Calibri" w:hAnsi="Calibri" w:cs="Times New Roman"/>
          <w:noProof/>
          <w:sz w:val="20"/>
          <w:lang w:eastAsia="ar-SA"/>
        </w:rPr>
        <w:t>,</w:t>
      </w:r>
      <w:r>
        <w:rPr>
          <w:rFonts w:ascii="Calibri" w:eastAsia="Calibri" w:hAnsi="Calibri" w:cs="Times New Roman"/>
          <w:noProof/>
          <w:vertAlign w:val="superscript"/>
          <w:lang w:eastAsia="ar-SA"/>
        </w:rPr>
        <w:footnoteReference w:id="26"/>
      </w:r>
      <w:r>
        <w:rPr>
          <w:rFonts w:ascii="Calibri" w:eastAsia="Calibri" w:hAnsi="Calibri" w:cs="Times New Roman"/>
          <w:noProof/>
          <w:sz w:val="20"/>
          <w:lang w:eastAsia="ar-SA"/>
        </w:rPr>
        <w:t xml:space="preserve"> laying out a strategy to transition from a linear to a circular economy by 2025 with a budget of more than EUR 12.8 million in 2016. </w:t>
      </w:r>
      <w:r>
        <w:rPr>
          <w:rFonts w:ascii="Calibri" w:eastAsia="Calibri" w:hAnsi="Calibri" w:cs="Times New Roman"/>
          <w:noProof/>
          <w:sz w:val="20"/>
          <w:szCs w:val="20"/>
          <w:lang w:val="en-US" w:eastAsia="ar-SA"/>
        </w:rPr>
        <w:t>The plan contains 111</w:t>
      </w:r>
      <w:r>
        <w:rPr>
          <w:rFonts w:ascii="Calibri" w:eastAsia="Calibri" w:hAnsi="Calibri" w:cs="Times New Roman"/>
          <w:noProof/>
          <w:sz w:val="20"/>
          <w:szCs w:val="20"/>
          <w:lang w:val="en-US" w:eastAsia="ar-SA"/>
        </w:rPr>
        <w:t xml:space="preserve"> measures in 4 fields (transversal, sectorial, territorial measures,  governance) and is meant to be complemented every 18 months with new measures. Transversal measures concern legislative barriers, financial and methodological support, innovation, social</w:t>
      </w:r>
      <w:r>
        <w:rPr>
          <w:rFonts w:ascii="Calibri" w:eastAsia="Calibri" w:hAnsi="Calibri" w:cs="Times New Roman"/>
          <w:noProof/>
          <w:sz w:val="20"/>
          <w:szCs w:val="20"/>
          <w:lang w:val="en-US" w:eastAsia="ar-SA"/>
        </w:rPr>
        <w:t xml:space="preserve"> economy, public procurement, employment, training. In addition to these transversal measures concerning all sectors, some specific sectoral measures were adopted for five sectors : construction, waste, transport, trade and food. </w:t>
      </w:r>
      <w:r>
        <w:rPr>
          <w:rFonts w:ascii="Calibri" w:eastAsia="Calibri" w:hAnsi="Calibri" w:cs="Times New Roman"/>
          <w:noProof/>
          <w:sz w:val="20"/>
          <w:lang w:eastAsia="ar-SA"/>
        </w:rPr>
        <w:t xml:space="preserve">Furthermore, the Brussels </w:t>
      </w:r>
      <w:r>
        <w:rPr>
          <w:rFonts w:ascii="Calibri" w:eastAsia="Calibri" w:hAnsi="Calibri" w:cs="Times New Roman"/>
          <w:noProof/>
          <w:sz w:val="20"/>
          <w:lang w:eastAsia="ar-SA"/>
        </w:rPr>
        <w:t>Region is supporting various initiatives to stimulate sustainable development (see the cities section for more details).</w:t>
      </w:r>
    </w:p>
    <w:p w:rsidR="0017500B" w:rsidRDefault="00390F61">
      <w:pPr>
        <w:widowControl w:val="0"/>
        <w:suppressAutoHyphens/>
        <w:spacing w:after="120" w:line="240" w:lineRule="auto"/>
        <w:jc w:val="both"/>
        <w:outlineLvl w:val="2"/>
        <w:rPr>
          <w:rFonts w:ascii="Calibri" w:eastAsia="Calibri" w:hAnsi="Calibri" w:cs="Times New Roman"/>
          <w:b/>
          <w:noProof/>
          <w:color w:val="1F497D"/>
          <w:lang w:eastAsia="ar-SA"/>
        </w:rPr>
      </w:pPr>
      <w:r>
        <w:rPr>
          <w:rFonts w:ascii="Calibri" w:eastAsia="Calibri" w:hAnsi="Calibri" w:cs="Times New Roman"/>
          <w:b/>
          <w:noProof/>
          <w:color w:val="1F497D"/>
          <w:lang w:eastAsia="ar-SA"/>
        </w:rPr>
        <w:t>SMEs and resource efficiency</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Between 2009-14, the value-added of Belgian Small and Medium Sized Enterprises (SMEs) increased annually b</w:t>
      </w:r>
      <w:r>
        <w:rPr>
          <w:rFonts w:ascii="Calibri" w:eastAsia="Calibri" w:hAnsi="Calibri" w:cs="Times New Roman"/>
          <w:noProof/>
          <w:sz w:val="20"/>
          <w:lang w:eastAsia="ar-SA"/>
        </w:rPr>
        <w:t xml:space="preserve">y 3.4%, compared to 1.2% for large enterprises. In terms of employment, SMEs saw growth of 12% over the same period versus 3% for large enterprises. </w:t>
      </w:r>
    </w:p>
    <w:p w:rsidR="0017500B" w:rsidRDefault="00390F61">
      <w:pPr>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Around 57% of Belgium's SMEs have invested up to 5% of their annual turnover in resource efficiency action</w:t>
      </w:r>
      <w:r>
        <w:rPr>
          <w:rFonts w:ascii="Calibri" w:eastAsia="Calibri" w:hAnsi="Calibri" w:cs="Times New Roman"/>
          <w:noProof/>
          <w:sz w:val="20"/>
          <w:lang w:eastAsia="ar-SA"/>
        </w:rPr>
        <w:t xml:space="preserve">s (EU28 average 50%), 24% are currently offering green products and services (EU28 average 26%), 64% took measures to save energy (EU28 average 59%), 73% to minimise waste (EU28 average 60%), 47% to save water (EU28 average 44%), and 58% to save materials </w:t>
      </w:r>
      <w:r>
        <w:rPr>
          <w:rFonts w:ascii="Calibri" w:eastAsia="Calibri" w:hAnsi="Calibri" w:cs="Times New Roman"/>
          <w:noProof/>
          <w:sz w:val="20"/>
          <w:lang w:eastAsia="ar-SA"/>
        </w:rPr>
        <w:t>(EU28 average 54%)</w:t>
      </w:r>
      <w:r>
        <w:rPr>
          <w:rFonts w:ascii="Calibri" w:eastAsia="Calibri" w:hAnsi="Calibri" w:cs="Times New Roman"/>
          <w:noProof/>
          <w:vertAlign w:val="superscript"/>
          <w:lang w:eastAsia="ar-SA"/>
        </w:rPr>
        <w:footnoteReference w:id="27"/>
      </w:r>
      <w:r>
        <w:rPr>
          <w:rFonts w:ascii="Calibri" w:eastAsia="Calibri" w:hAnsi="Calibri" w:cs="Times New Roman"/>
          <w:noProof/>
          <w:sz w:val="20"/>
          <w:lang w:eastAsia="ar-SA"/>
        </w:rPr>
        <w:t xml:space="preserve">. From a circular economy perspective, 39% took measures to recycle by reusing material or waste within the company (EU28 average 40%), 32% to design products that are easier to maintain, repair or reuse  (EU28 average 22%) and 30% were </w:t>
      </w:r>
      <w:r>
        <w:rPr>
          <w:rFonts w:ascii="Calibri" w:eastAsia="Calibri" w:hAnsi="Calibri" w:cs="Times New Roman"/>
          <w:noProof/>
          <w:sz w:val="20"/>
          <w:lang w:eastAsia="ar-SA"/>
        </w:rPr>
        <w:t>able to sell their scrap material to another company (EU28 average 25%)</w:t>
      </w:r>
      <w:r>
        <w:rPr>
          <w:rFonts w:ascii="Calibri" w:eastAsia="Calibri" w:hAnsi="Calibri" w:cs="Times New Roman"/>
          <w:noProof/>
          <w:sz w:val="20"/>
          <w:vertAlign w:val="superscript"/>
          <w:lang w:eastAsia="ar-SA"/>
        </w:rPr>
        <w:footnoteReference w:id="28"/>
      </w:r>
      <w:r>
        <w:rPr>
          <w:rFonts w:ascii="Calibri" w:eastAsia="Calibri" w:hAnsi="Calibri" w:cs="Times New Roman"/>
          <w:noProof/>
          <w:sz w:val="20"/>
          <w:lang w:eastAsia="ar-SA"/>
        </w:rPr>
        <w:t xml:space="preserve">. </w:t>
      </w:r>
    </w:p>
    <w:p w:rsidR="0017500B" w:rsidRDefault="00390F61">
      <w:pPr>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 xml:space="preserve">In Belgium, 65% of the SMEs taking resource efficiency actions are doing so for reasons of cost savings (EU average 68%). In fact resource efficiency actions undertaken allowed the </w:t>
      </w:r>
      <w:r>
        <w:rPr>
          <w:rFonts w:ascii="Calibri" w:eastAsia="Calibri" w:hAnsi="Calibri" w:cs="Times New Roman"/>
          <w:noProof/>
          <w:sz w:val="20"/>
          <w:lang w:eastAsia="ar-SA"/>
        </w:rPr>
        <w:t>reduction of production costs for 42% of Belgian SMEs</w:t>
      </w:r>
      <w:r>
        <w:rPr>
          <w:rFonts w:ascii="Calibri" w:eastAsia="Calibri" w:hAnsi="Calibri" w:cs="Times New Roman"/>
          <w:noProof/>
          <w:vertAlign w:val="superscript"/>
          <w:lang w:eastAsia="ar-SA"/>
        </w:rPr>
        <w:footnoteReference w:id="29"/>
      </w:r>
      <w:r>
        <w:rPr>
          <w:rFonts w:ascii="Calibri" w:eastAsia="Calibri" w:hAnsi="Calibri" w:cs="Times New Roman"/>
          <w:noProof/>
          <w:sz w:val="20"/>
          <w:lang w:eastAsia="ar-SA"/>
        </w:rPr>
        <w:t>. In terms of green jobs around 27% of the SMEs in Belgium have one or more full time employee working in a green job at least some of the time (EU28 average 35%)</w:t>
      </w:r>
      <w:r>
        <w:rPr>
          <w:rFonts w:ascii="Calibri" w:eastAsia="Calibri" w:hAnsi="Calibri" w:cs="Times New Roman"/>
          <w:noProof/>
          <w:sz w:val="20"/>
          <w:vertAlign w:val="superscript"/>
          <w:lang w:eastAsia="ar-SA"/>
        </w:rPr>
        <w:footnoteReference w:id="30"/>
      </w:r>
      <w:r>
        <w:rPr>
          <w:rFonts w:ascii="Calibri" w:eastAsia="Calibri" w:hAnsi="Calibri" w:cs="Times New Roman"/>
          <w:noProof/>
          <w:sz w:val="20"/>
          <w:lang w:eastAsia="ar-SA"/>
        </w:rPr>
        <w:t>.</w:t>
      </w:r>
    </w:p>
    <w:p w:rsidR="0017500B" w:rsidRDefault="00390F61">
      <w:pPr>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lastRenderedPageBreak/>
        <w:t>In Flanders in the period 2008-13 the</w:t>
      </w:r>
      <w:r>
        <w:rPr>
          <w:rFonts w:ascii="Calibri" w:eastAsia="Calibri" w:hAnsi="Calibri" w:cs="Times New Roman"/>
          <w:noProof/>
          <w:sz w:val="20"/>
          <w:lang w:eastAsia="ar-SA"/>
        </w:rPr>
        <w:t xml:space="preserve"> growth in employment</w:t>
      </w:r>
      <w:r>
        <w:rPr>
          <w:rFonts w:ascii="Calibri" w:eastAsia="Calibri" w:hAnsi="Calibri" w:cs="Times New Roman"/>
          <w:noProof/>
          <w:vertAlign w:val="superscript"/>
          <w:lang w:eastAsia="ar-SA"/>
        </w:rPr>
        <w:footnoteReference w:id="31"/>
      </w:r>
      <w:r>
        <w:rPr>
          <w:rFonts w:ascii="Calibri" w:eastAsia="Calibri" w:hAnsi="Calibri" w:cs="Times New Roman"/>
          <w:noProof/>
          <w:sz w:val="20"/>
          <w:lang w:eastAsia="ar-SA"/>
        </w:rPr>
        <w:t xml:space="preserve"> for green companies was 2% (in contrast to decreasing industrial production) and specific for their green activities the growth was even more positive, up to 7%.</w:t>
      </w:r>
      <w:r>
        <w:rPr>
          <w:rFonts w:ascii="Calibri" w:eastAsia="Calibri" w:hAnsi="Calibri" w:cs="Times New Roman"/>
          <w:noProof/>
          <w:vertAlign w:val="superscript"/>
          <w:lang w:eastAsia="ar-SA"/>
        </w:rPr>
        <w:footnoteReference w:id="32"/>
      </w:r>
      <w:r>
        <w:rPr>
          <w:rFonts w:ascii="Calibri" w:eastAsia="Calibri" w:hAnsi="Calibri" w:cs="Times New Roman"/>
          <w:noProof/>
          <w:sz w:val="20"/>
          <w:szCs w:val="24"/>
          <w:lang w:eastAsia="ar-SA"/>
        </w:rPr>
        <w:t xml:space="preserve"> Indeed, the transition to a resource efficient economy would result in</w:t>
      </w:r>
      <w:r>
        <w:rPr>
          <w:rFonts w:ascii="Calibri" w:eastAsia="Calibri" w:hAnsi="Calibri" w:cs="Times New Roman"/>
          <w:noProof/>
          <w:sz w:val="20"/>
          <w:szCs w:val="24"/>
          <w:lang w:eastAsia="ar-SA"/>
        </w:rPr>
        <w:t xml:space="preserve"> new jobs related to reuse, repair or recycling. It is estimated that 27,000 jobs could be created in Flanders alone</w:t>
      </w:r>
      <w:r>
        <w:rPr>
          <w:rFonts w:ascii="Calibri" w:eastAsia="Calibri" w:hAnsi="Calibri" w:cs="Times New Roman"/>
          <w:noProof/>
          <w:vertAlign w:val="superscript"/>
          <w:lang w:eastAsia="ar-SA"/>
        </w:rPr>
        <w:footnoteReference w:id="33"/>
      </w:r>
      <w:r>
        <w:rPr>
          <w:rFonts w:ascii="Calibri" w:eastAsia="Calibri" w:hAnsi="Calibri" w:cs="Times New Roman"/>
          <w:noProof/>
          <w:sz w:val="20"/>
          <w:szCs w:val="24"/>
          <w:lang w:eastAsia="ar-SA"/>
        </w:rPr>
        <w:t xml:space="preserve">. Flanders launched its </w:t>
      </w:r>
      <w:r>
        <w:rPr>
          <w:rFonts w:ascii="Calibri" w:eastAsia="Calibri" w:hAnsi="Calibri" w:cs="Times New Roman"/>
          <w:i/>
          <w:noProof/>
          <w:sz w:val="20"/>
          <w:szCs w:val="24"/>
          <w:lang w:eastAsia="ar-SA"/>
        </w:rPr>
        <w:t>Quick Win Ideas</w:t>
      </w:r>
      <w:r>
        <w:rPr>
          <w:rFonts w:ascii="Calibri" w:eastAsia="Calibri" w:hAnsi="Calibri" w:cs="Times New Roman"/>
          <w:noProof/>
          <w:sz w:val="20"/>
          <w:szCs w:val="24"/>
          <w:lang w:eastAsia="ar-SA"/>
        </w:rPr>
        <w:t xml:space="preserve"> scheme in 2012</w:t>
      </w:r>
      <w:r>
        <w:rPr>
          <w:rFonts w:ascii="Calibri" w:eastAsia="Calibri" w:hAnsi="Calibri" w:cs="Times New Roman"/>
          <w:noProof/>
          <w:sz w:val="20"/>
          <w:szCs w:val="24"/>
          <w:vertAlign w:val="superscript"/>
          <w:lang w:eastAsia="ar-SA"/>
        </w:rPr>
        <w:footnoteReference w:id="34"/>
      </w:r>
      <w:r>
        <w:rPr>
          <w:rFonts w:ascii="Calibri" w:eastAsia="Calibri" w:hAnsi="Calibri" w:cs="Times New Roman"/>
          <w:noProof/>
          <w:sz w:val="20"/>
          <w:szCs w:val="24"/>
          <w:lang w:eastAsia="ar-SA"/>
        </w:rPr>
        <w:t>.</w:t>
      </w:r>
    </w:p>
    <w:p w:rsidR="0017500B" w:rsidRDefault="00390F61">
      <w:pPr>
        <w:suppressAutoHyphens/>
        <w:spacing w:after="120" w:line="240" w:lineRule="auto"/>
        <w:jc w:val="both"/>
        <w:rPr>
          <w:rFonts w:ascii="Calibri" w:eastAsia="Calibri" w:hAnsi="Calibri" w:cs="Times New Roman"/>
          <w:noProof/>
          <w:sz w:val="20"/>
          <w:szCs w:val="20"/>
          <w:lang w:val="en-US" w:eastAsia="ar-SA"/>
        </w:rPr>
      </w:pPr>
      <w:r>
        <w:rPr>
          <w:rFonts w:ascii="Calibri" w:eastAsia="Calibri" w:hAnsi="Calibri" w:cs="Times New Roman"/>
          <w:noProof/>
          <w:sz w:val="20"/>
          <w:lang w:eastAsia="ar-SA"/>
        </w:rPr>
        <w:t xml:space="preserve">Belgium has 74 EMAS registered organisations with 37 in Wallonia, 28 in Brussels and 9 in Flanders (on 31.08.16). Belgium holds 38 EU Ecolabel licenses </w:t>
      </w:r>
    </w:p>
    <w:p w:rsidR="0017500B" w:rsidRDefault="00390F61">
      <w:pPr>
        <w:widowControl w:val="0"/>
        <w:suppressAutoHyphens/>
        <w:spacing w:after="0" w:line="240" w:lineRule="auto"/>
        <w:jc w:val="both"/>
        <w:rPr>
          <w:rFonts w:ascii="Calibri" w:eastAsia="Calibri" w:hAnsi="Calibri" w:cs="Times New Roman"/>
          <w:noProof/>
          <w:sz w:val="20"/>
          <w:lang w:eastAsia="ar-SA"/>
        </w:rPr>
      </w:pPr>
      <w:r>
        <w:rPr>
          <w:rFonts w:ascii="Calibri" w:eastAsia="Calibri" w:hAnsi="Calibri" w:cs="Times New Roman"/>
          <w:noProof/>
          <w:sz w:val="20"/>
          <w:szCs w:val="20"/>
          <w:lang w:val="en-US" w:eastAsia="ar-SA"/>
        </w:rPr>
        <w:t xml:space="preserve">The Brussels Capital Region created in 1999 a label called </w:t>
      </w:r>
      <w:r>
        <w:rPr>
          <w:rFonts w:ascii="Calibri" w:eastAsia="Calibri" w:hAnsi="Calibri" w:cs="Times New Roman"/>
          <w:i/>
          <w:noProof/>
          <w:sz w:val="20"/>
          <w:szCs w:val="20"/>
          <w:lang w:val="en-US" w:eastAsia="ar-SA"/>
        </w:rPr>
        <w:t>Entreprise écodynamique</w:t>
      </w:r>
      <w:r>
        <w:rPr>
          <w:rFonts w:ascii="Calibri" w:eastAsia="Calibri" w:hAnsi="Calibri" w:cs="Times New Roman"/>
          <w:noProof/>
          <w:sz w:val="20"/>
          <w:szCs w:val="20"/>
          <w:lang w:val="en-US" w:eastAsia="ar-SA"/>
        </w:rPr>
        <w:t>. This is an official</w:t>
      </w:r>
      <w:r>
        <w:rPr>
          <w:rFonts w:ascii="Calibri" w:eastAsia="Calibri" w:hAnsi="Calibri" w:cs="Times New Roman"/>
          <w:noProof/>
          <w:sz w:val="20"/>
          <w:szCs w:val="20"/>
          <w:lang w:val="en-US" w:eastAsia="ar-SA"/>
        </w:rPr>
        <w:t xml:space="preserve"> recognition for companies that internally implement environmental management. This label awards companies that have made progress in terms of waste prevention and management, efficient use of energy, mobility, etc. To date, 198 organizations are labeled </w:t>
      </w:r>
      <w:r>
        <w:rPr>
          <w:rFonts w:ascii="Calibri" w:eastAsia="Calibri" w:hAnsi="Calibri" w:cs="Times New Roman"/>
          <w:i/>
          <w:noProof/>
          <w:sz w:val="20"/>
          <w:szCs w:val="20"/>
          <w:lang w:val="en-US" w:eastAsia="ar-SA"/>
        </w:rPr>
        <w:t>E</w:t>
      </w:r>
      <w:r>
        <w:rPr>
          <w:rFonts w:ascii="Calibri" w:eastAsia="Calibri" w:hAnsi="Calibri" w:cs="Times New Roman"/>
          <w:i/>
          <w:noProof/>
          <w:sz w:val="20"/>
          <w:szCs w:val="20"/>
          <w:lang w:val="en-US" w:eastAsia="ar-SA"/>
        </w:rPr>
        <w:t>ntreprise écodynamique</w:t>
      </w:r>
      <w:r>
        <w:rPr>
          <w:rFonts w:ascii="Calibri" w:eastAsia="Calibri" w:hAnsi="Calibri" w:cs="Times New Roman"/>
          <w:noProof/>
          <w:sz w:val="20"/>
          <w:szCs w:val="20"/>
          <w:lang w:val="en-US" w:eastAsia="ar-SA"/>
        </w:rPr>
        <w:t>.</w:t>
      </w:r>
    </w:p>
    <w:p w:rsidR="0017500B" w:rsidRDefault="0017500B">
      <w:pPr>
        <w:widowControl w:val="0"/>
        <w:suppressAutoHyphens/>
        <w:spacing w:after="0" w:line="240" w:lineRule="auto"/>
        <w:jc w:val="both"/>
        <w:rPr>
          <w:rFonts w:ascii="Calibri" w:eastAsia="Calibri" w:hAnsi="Calibri" w:cs="Times New Roman"/>
          <w:noProof/>
          <w:sz w:val="20"/>
          <w:lang w:eastAsia="ar-SA"/>
        </w:rPr>
      </w:pPr>
    </w:p>
    <w:p w:rsidR="0017500B" w:rsidRDefault="00390F61">
      <w:pPr>
        <w:widowControl w:val="0"/>
        <w:suppressAutoHyphens/>
        <w:spacing w:after="120" w:line="240" w:lineRule="auto"/>
        <w:jc w:val="both"/>
        <w:outlineLvl w:val="2"/>
        <w:rPr>
          <w:rFonts w:ascii="Calibri" w:eastAsia="Calibri" w:hAnsi="Calibri" w:cs="Times New Roman"/>
          <w:b/>
          <w:noProof/>
          <w:lang w:eastAsia="ar-SA"/>
        </w:rPr>
      </w:pPr>
      <w:r>
        <w:rPr>
          <w:rFonts w:ascii="Calibri" w:eastAsia="Calibri" w:hAnsi="Calibri" w:cs="Times New Roman"/>
          <w:b/>
          <w:noProof/>
          <w:color w:val="1F497D"/>
          <w:lang w:eastAsia="ar-SA"/>
        </w:rPr>
        <w:t>Eco-innovation</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 xml:space="preserve">With a total score of 97 in the overall Eco-Innovation Scoreboard 2015, Belgium ranked 15th on the list of EU countries, just below the EU average (Figure 2). </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In both Flanders and Wallonia innovation policy is organ</w:t>
      </w:r>
      <w:r>
        <w:rPr>
          <w:rFonts w:ascii="Calibri" w:eastAsia="Calibri" w:hAnsi="Calibri" w:cs="Times New Roman"/>
          <w:noProof/>
          <w:sz w:val="20"/>
          <w:lang w:eastAsia="ar-SA"/>
        </w:rPr>
        <w:t>ised around clusters in close cooperation between industry, knowledge centres and the government, and whose aim is to improve the marketability of innovations. In Flanders specific subsidies can be obtained for innovations for SMEs that promote eco-innovat</w:t>
      </w:r>
      <w:r>
        <w:rPr>
          <w:rFonts w:ascii="Calibri" w:eastAsia="Calibri" w:hAnsi="Calibri" w:cs="Times New Roman"/>
          <w:noProof/>
          <w:sz w:val="20"/>
          <w:lang w:eastAsia="ar-SA"/>
        </w:rPr>
        <w:t>ion feasibility studies and projects</w:t>
      </w:r>
      <w:r>
        <w:rPr>
          <w:rFonts w:ascii="Calibri" w:eastAsia="Calibri" w:hAnsi="Calibri" w:cs="Times New Roman"/>
          <w:noProof/>
          <w:sz w:val="20"/>
          <w:vertAlign w:val="superscript"/>
          <w:lang w:eastAsia="ar-SA"/>
        </w:rPr>
        <w:footnoteReference w:id="35"/>
      </w:r>
      <w:r>
        <w:rPr>
          <w:rFonts w:ascii="Calibri" w:eastAsia="Calibri" w:hAnsi="Calibri" w:cs="Times New Roman"/>
          <w:noProof/>
          <w:sz w:val="20"/>
          <w:lang w:eastAsia="ar-SA"/>
        </w:rPr>
        <w:t xml:space="preserve">. The SME programme is managed by the Flemish Agency for Innovation and Entrepreneurship (VLAIO). </w:t>
      </w:r>
      <w:r>
        <w:rPr>
          <w:rFonts w:ascii="Calibri" w:eastAsia="Calibri" w:hAnsi="Calibri" w:cs="Times New Roman"/>
          <w:noProof/>
          <w:sz w:val="20"/>
          <w:lang w:val="en-US" w:eastAsia="ar-SA"/>
        </w:rPr>
        <w:t>In Flanders, there is also an Environmental Innovation Platform that makes companies invest in new products, processes an</w:t>
      </w:r>
      <w:r>
        <w:rPr>
          <w:rFonts w:ascii="Calibri" w:eastAsia="Calibri" w:hAnsi="Calibri" w:cs="Times New Roman"/>
          <w:noProof/>
          <w:sz w:val="20"/>
          <w:lang w:val="en-US" w:eastAsia="ar-SA"/>
        </w:rPr>
        <w:t>d services to lower the impact on the environment through subsidies</w:t>
      </w:r>
      <w:r>
        <w:rPr>
          <w:rFonts w:ascii="Calibri" w:eastAsia="Calibri" w:hAnsi="Calibri" w:cs="Times New Roman"/>
          <w:noProof/>
          <w:sz w:val="20"/>
          <w:vertAlign w:val="superscript"/>
          <w:lang w:val="en-US" w:eastAsia="ar-SA"/>
        </w:rPr>
        <w:footnoteReference w:id="36"/>
      </w:r>
      <w:r>
        <w:rPr>
          <w:rFonts w:ascii="Calibri" w:eastAsia="Calibri" w:hAnsi="Calibri" w:cs="Times New Roman"/>
          <w:noProof/>
          <w:sz w:val="20"/>
          <w:lang w:val="en-US" w:eastAsia="ar-SA"/>
        </w:rPr>
        <w:t xml:space="preserve">. </w:t>
      </w:r>
      <w:r>
        <w:rPr>
          <w:rFonts w:ascii="Calibri" w:eastAsia="Calibri" w:hAnsi="Calibri" w:cs="Times New Roman"/>
          <w:noProof/>
          <w:sz w:val="20"/>
          <w:lang w:eastAsia="ar-SA"/>
        </w:rPr>
        <w:t>In the Walloon Region SMEs can get information on subsidies from the Gateway to Research and Technologies in Wallonia.</w:t>
      </w:r>
      <w:r>
        <w:rPr>
          <w:rFonts w:ascii="Calibri" w:eastAsia="Calibri" w:hAnsi="Calibri" w:cs="Times New Roman"/>
          <w:noProof/>
          <w:vertAlign w:val="superscript"/>
          <w:lang w:eastAsia="ar-SA"/>
        </w:rPr>
        <w:footnoteReference w:id="37"/>
      </w:r>
      <w:r>
        <w:rPr>
          <w:rFonts w:ascii="Calibri" w:eastAsia="Calibri" w:hAnsi="Calibri" w:cs="Times New Roman"/>
          <w:noProof/>
          <w:sz w:val="20"/>
          <w:lang w:eastAsia="ar-SA"/>
        </w:rPr>
        <w:t xml:space="preserve"> </w:t>
      </w:r>
      <w:r>
        <w:rPr>
          <w:rFonts w:ascii="Calibri" w:eastAsia="Calibri" w:hAnsi="Calibri" w:cs="Times New Roman"/>
          <w:noProof/>
          <w:color w:val="000000"/>
          <w:sz w:val="20"/>
          <w:szCs w:val="20"/>
          <w:lang w:val="en-US" w:eastAsia="ar-SA"/>
        </w:rPr>
        <w:t xml:space="preserve">The Brussels Government supports eco-innovation amongst SME’s by </w:t>
      </w:r>
      <w:r>
        <w:rPr>
          <w:rFonts w:ascii="Calibri" w:eastAsia="Calibri" w:hAnsi="Calibri" w:cs="Times New Roman"/>
          <w:noProof/>
          <w:color w:val="000000"/>
          <w:sz w:val="20"/>
          <w:szCs w:val="20"/>
          <w:lang w:val="en-US" w:eastAsia="ar-SA"/>
        </w:rPr>
        <w:t xml:space="preserve">public-private partnerships aiming at offering them support in the fields of eco-conception, eco-design and eco-innovative start-ups. The aforementioned Brussels </w:t>
      </w:r>
      <w:r>
        <w:rPr>
          <w:rFonts w:ascii="Calibri" w:eastAsia="Calibri" w:hAnsi="Calibri" w:cs="Times New Roman"/>
          <w:noProof/>
          <w:color w:val="000000"/>
          <w:sz w:val="20"/>
          <w:szCs w:val="20"/>
          <w:lang w:val="en-US" w:eastAsia="ar-SA"/>
        </w:rPr>
        <w:lastRenderedPageBreak/>
        <w:t>Circular Economy Regional Plan also contains different measures fostering eco-innovation among</w:t>
      </w:r>
      <w:r>
        <w:rPr>
          <w:rFonts w:ascii="Calibri" w:eastAsia="Calibri" w:hAnsi="Calibri" w:cs="Times New Roman"/>
          <w:noProof/>
          <w:color w:val="000000"/>
          <w:sz w:val="20"/>
          <w:szCs w:val="20"/>
          <w:lang w:val="en-US" w:eastAsia="ar-SA"/>
        </w:rPr>
        <w:t>st SME’s.</w:t>
      </w:r>
    </w:p>
    <w:tbl>
      <w:tblPr>
        <w:tblW w:w="0" w:type="auto"/>
        <w:tblLayout w:type="fixed"/>
        <w:tblLook w:val="0000" w:firstRow="0" w:lastRow="0" w:firstColumn="0" w:lastColumn="0" w:noHBand="0" w:noVBand="0"/>
      </w:tblPr>
      <w:tblGrid>
        <w:gridCol w:w="4909"/>
      </w:tblGrid>
      <w:tr w:rsidR="0017500B" w:rsidRPr="00390F61">
        <w:tc>
          <w:tcPr>
            <w:tcW w:w="4909" w:type="dxa"/>
            <w:shd w:val="clear" w:color="auto" w:fill="auto"/>
          </w:tcPr>
          <w:p w:rsidR="0017500B" w:rsidRDefault="00390F61">
            <w:pPr>
              <w:widowControl w:val="0"/>
              <w:suppressAutoHyphens/>
              <w:spacing w:after="120" w:line="240" w:lineRule="auto"/>
              <w:jc w:val="both"/>
              <w:rPr>
                <w:rFonts w:ascii="Calibri" w:eastAsia="Calibri" w:hAnsi="Calibri" w:cs="Times New Roman"/>
                <w:noProof/>
                <w:sz w:val="20"/>
                <w:lang w:val="it-IT" w:eastAsia="ar-SA"/>
              </w:rPr>
            </w:pPr>
            <w:r>
              <w:rPr>
                <w:b/>
                <w:noProof/>
                <w:color w:val="1F497D" w:themeColor="text2"/>
                <w:sz w:val="20"/>
                <w:lang w:val="it-IT"/>
              </w:rPr>
              <w:t>Figure 2: Eco-Innovation Index 2015 (EU=100)</w:t>
            </w:r>
            <w:r>
              <w:rPr>
                <w:b/>
                <w:noProof/>
                <w:color w:val="1F497D" w:themeColor="text2"/>
                <w:sz w:val="20"/>
                <w:vertAlign w:val="superscript"/>
                <w:lang w:val="it-IT"/>
              </w:rPr>
              <w:footnoteReference w:id="38"/>
            </w:r>
          </w:p>
        </w:tc>
      </w:tr>
      <w:tr w:rsidR="0017500B">
        <w:tc>
          <w:tcPr>
            <w:tcW w:w="4909" w:type="dxa"/>
            <w:shd w:val="clear" w:color="auto" w:fill="auto"/>
          </w:tcPr>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en-GB"/>
              </w:rPr>
              <w:drawing>
                <wp:inline distT="0" distB="0" distL="0" distR="0" wp14:anchorId="11866B7C" wp14:editId="6CD63ED3">
                  <wp:extent cx="3025642" cy="4123764"/>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33083" cy="4133905"/>
                          </a:xfrm>
                          <a:prstGeom prst="rect">
                            <a:avLst/>
                          </a:prstGeom>
                          <a:noFill/>
                        </pic:spPr>
                      </pic:pic>
                    </a:graphicData>
                  </a:graphic>
                </wp:inline>
              </w:drawing>
            </w:r>
          </w:p>
        </w:tc>
      </w:tr>
    </w:tbl>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Three drivers for eco-innovation can be identified in Belgium. Firstly, the integration of eco-innovation and sustainability goals into industrial and economic policies is promoted under the leadership or in coordination with the Federal Ministries of Econ</w:t>
      </w:r>
      <w:r>
        <w:rPr>
          <w:rFonts w:ascii="Calibri" w:eastAsia="Calibri" w:hAnsi="Calibri" w:cs="Times New Roman"/>
          <w:noProof/>
          <w:sz w:val="20"/>
          <w:lang w:eastAsia="ar-SA"/>
        </w:rPr>
        <w:t>omy and of Industry since they are considered as valuable assets for the competitiveness of businesses. Secondly, Belgium has well-developed technological capabilities, regulation and infrastructures. Clear government focus on sciences, tax incentives, str</w:t>
      </w:r>
      <w:r>
        <w:rPr>
          <w:rFonts w:ascii="Calibri" w:eastAsia="Calibri" w:hAnsi="Calibri" w:cs="Times New Roman"/>
          <w:noProof/>
          <w:sz w:val="20"/>
          <w:lang w:eastAsia="ar-SA"/>
        </w:rPr>
        <w:t>ong R&amp;D funding, human capital and other factors have helped to strengthen the knowledge base and bring the Belgian eco-and other industries to international leading positions. Thirdly, there is a growing demand for green technology and products coming fro</w:t>
      </w:r>
      <w:r>
        <w:rPr>
          <w:rFonts w:ascii="Calibri" w:eastAsia="Calibri" w:hAnsi="Calibri" w:cs="Times New Roman"/>
          <w:noProof/>
          <w:sz w:val="20"/>
          <w:lang w:eastAsia="ar-SA"/>
        </w:rPr>
        <w:t xml:space="preserve">m both private consumers as well as from larger companies and governments dedicated to greening strategies. </w:t>
      </w:r>
    </w:p>
    <w:p w:rsidR="0017500B" w:rsidRDefault="00390F61">
      <w:pPr>
        <w:widowControl w:val="0"/>
        <w:suppressAutoHyphens/>
        <w:spacing w:after="120" w:line="240" w:lineRule="auto"/>
        <w:jc w:val="both"/>
        <w:rPr>
          <w:rFonts w:ascii="Calibri" w:eastAsia="Calibri" w:hAnsi="Calibri" w:cs="Times New Roman"/>
          <w:noProof/>
          <w:color w:val="1F497D"/>
          <w:lang w:eastAsia="ar-SA"/>
        </w:rPr>
      </w:pPr>
      <w:r>
        <w:rPr>
          <w:rFonts w:ascii="Calibri" w:eastAsia="Calibri" w:hAnsi="Calibri" w:cs="Times New Roman"/>
          <w:noProof/>
          <w:sz w:val="20"/>
          <w:lang w:eastAsia="ar-SA"/>
        </w:rPr>
        <w:t>Barriers to eco-innovation in Belgium are of different natures. There are those related to inter-regional coordination, integrated planning and dec</w:t>
      </w:r>
      <w:r>
        <w:rPr>
          <w:rFonts w:ascii="Calibri" w:eastAsia="Calibri" w:hAnsi="Calibri" w:cs="Times New Roman"/>
          <w:noProof/>
          <w:sz w:val="20"/>
          <w:lang w:eastAsia="ar-SA"/>
        </w:rPr>
        <w:t xml:space="preserve">ision making where little attention is given to the dissemination of regional good practice at national level. Another barrier is the lack of eco-innovation and circular economy related skills in SMEs (even though SMEs score better </w:t>
      </w:r>
      <w:r>
        <w:rPr>
          <w:rFonts w:ascii="Calibri" w:eastAsia="Calibri" w:hAnsi="Calibri" w:cs="Times New Roman"/>
          <w:noProof/>
          <w:sz w:val="20"/>
          <w:lang w:eastAsia="ar-SA"/>
        </w:rPr>
        <w:lastRenderedPageBreak/>
        <w:t>than the EU average). As</w:t>
      </w:r>
      <w:r>
        <w:rPr>
          <w:rFonts w:ascii="Calibri" w:eastAsia="Calibri" w:hAnsi="Calibri" w:cs="Times New Roman"/>
          <w:noProof/>
          <w:sz w:val="20"/>
          <w:lang w:eastAsia="ar-SA"/>
        </w:rPr>
        <w:t xml:space="preserve"> most products entering the Belgian market are designed abroad there is limited control over product design for most products entering the market. Finally, there are limited markets for recycled products with competition with primary raw materials. </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color w:val="1F497D"/>
          <w:lang w:eastAsia="ar-SA"/>
        </w:rPr>
        <w:t>Suggested action</w:t>
      </w:r>
    </w:p>
    <w:p w:rsidR="0017500B" w:rsidRDefault="00390F61">
      <w:pPr>
        <w:pStyle w:val="ListParagraph"/>
        <w:widowControl w:val="0"/>
        <w:numPr>
          <w:ilvl w:val="0"/>
          <w:numId w:val="39"/>
        </w:numPr>
        <w:suppressAutoHyphens/>
        <w:ind w:left="170" w:hanging="170"/>
        <w:rPr>
          <w:rStyle w:val="Strong"/>
          <w:noProof/>
        </w:rPr>
      </w:pPr>
      <w:r>
        <w:rPr>
          <w:rStyle w:val="Strong"/>
          <w:noProof/>
        </w:rPr>
        <w:t xml:space="preserve">Facilitate exchange of good practices between all Belgian entities regarding circular economy and eco-innovation matters. </w:t>
      </w:r>
    </w:p>
    <w:p w:rsidR="0017500B" w:rsidRDefault="00390F61">
      <w:pPr>
        <w:pStyle w:val="ListParagraph"/>
        <w:widowControl w:val="0"/>
        <w:numPr>
          <w:ilvl w:val="0"/>
          <w:numId w:val="39"/>
        </w:numPr>
        <w:suppressAutoHyphens/>
        <w:ind w:left="170" w:hanging="170"/>
        <w:rPr>
          <w:rStyle w:val="Strong"/>
          <w:noProof/>
        </w:rPr>
      </w:pPr>
      <w:r>
        <w:rPr>
          <w:rStyle w:val="Strong"/>
          <w:noProof/>
        </w:rPr>
        <w:t>Foster the uptake of a secondary raw materials market along with consumer oriented awareness raising campaign.</w:t>
      </w:r>
    </w:p>
    <w:p w:rsidR="0017500B" w:rsidRDefault="00390F61">
      <w:pPr>
        <w:pStyle w:val="ListParagraph"/>
        <w:widowControl w:val="0"/>
        <w:numPr>
          <w:ilvl w:val="0"/>
          <w:numId w:val="39"/>
        </w:numPr>
        <w:suppressAutoHyphens/>
        <w:ind w:left="170" w:hanging="170"/>
        <w:rPr>
          <w:rStyle w:val="Strong"/>
          <w:noProof/>
        </w:rPr>
      </w:pPr>
      <w:r>
        <w:rPr>
          <w:rStyle w:val="Strong"/>
          <w:noProof/>
        </w:rPr>
        <w:t>Propo</w:t>
      </w:r>
      <w:r>
        <w:rPr>
          <w:rStyle w:val="Strong"/>
          <w:noProof/>
        </w:rPr>
        <w:t>se training for SMEs on eco-innovation and circular economy.</w:t>
      </w:r>
    </w:p>
    <w:p w:rsidR="0017500B" w:rsidRDefault="00390F61">
      <w:pPr>
        <w:widowControl w:val="0"/>
        <w:suppressAutoHyphens/>
        <w:spacing w:before="360" w:after="120" w:line="240" w:lineRule="auto"/>
        <w:jc w:val="both"/>
        <w:outlineLvl w:val="1"/>
        <w:rPr>
          <w:rFonts w:ascii="Calibri" w:eastAsia="Calibri" w:hAnsi="Calibri" w:cs="Times New Roman"/>
          <w:b/>
          <w:noProof/>
          <w:color w:val="FFFFFF"/>
          <w:sz w:val="24"/>
          <w:lang w:eastAsia="ar-SA"/>
        </w:rPr>
      </w:pPr>
      <w:bookmarkStart w:id="6" w:name="_Toc469477487"/>
      <w:r>
        <w:rPr>
          <w:rFonts w:ascii="Calibri" w:eastAsia="Calibri" w:hAnsi="Calibri" w:cs="Times New Roman"/>
          <w:b/>
          <w:noProof/>
          <w:color w:val="1F497D"/>
          <w:sz w:val="24"/>
          <w:lang w:eastAsia="ar-SA"/>
        </w:rPr>
        <w:t>Waste management</w:t>
      </w:r>
      <w:bookmarkEnd w:id="6"/>
      <w:r>
        <w:rPr>
          <w:rFonts w:ascii="Calibri" w:eastAsia="Calibri" w:hAnsi="Calibri" w:cs="Times New Roman"/>
          <w:b/>
          <w:noProof/>
          <w:color w:val="1F497D"/>
          <w:sz w:val="24"/>
          <w:lang w:eastAsia="ar-SA"/>
        </w:rPr>
        <w:t xml:space="preserve"> </w:t>
      </w:r>
    </w:p>
    <w:p w:rsidR="0017500B" w:rsidRDefault="00390F61">
      <w:pPr>
        <w:widowControl w:val="0"/>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Turning waste into a resource requires:</w:t>
      </w:r>
    </w:p>
    <w:p w:rsidR="0017500B" w:rsidRDefault="00390F61">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 xml:space="preserve">Full implementation of Union waste legislation, which includes the waste hierarchy; the need to ensure separate collection of waste; the </w:t>
      </w:r>
      <w:r>
        <w:rPr>
          <w:noProof/>
          <w:color w:val="FFFFFF" w:themeColor="background1"/>
          <w:sz w:val="20"/>
        </w:rPr>
        <w:t>landfill diversion targets etc.</w:t>
      </w:r>
    </w:p>
    <w:p w:rsidR="0017500B" w:rsidRDefault="00390F61">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Reducing per capita waste generation and waste generation in absolute terms.</w:t>
      </w:r>
    </w:p>
    <w:p w:rsidR="0017500B" w:rsidRDefault="00390F61">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Limiting energy recovery to non-recyclable materials and phasing out landfilling of recyclable or recoverable waste.</w:t>
      </w:r>
    </w:p>
    <w:p w:rsidR="0017500B" w:rsidRDefault="00390F61">
      <w:pPr>
        <w:widowControl w:val="0"/>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SDG 12 invites countries to su</w:t>
      </w:r>
      <w:r>
        <w:rPr>
          <w:noProof/>
          <w:color w:val="FFFFFF" w:themeColor="background1"/>
          <w:sz w:val="20"/>
        </w:rPr>
        <w:t>bstantially reduce waste generation through prevention, reduction, recycling and reuse, by 2030.</w:t>
      </w:r>
    </w:p>
    <w:p w:rsidR="0017500B" w:rsidRDefault="00390F61">
      <w:pPr>
        <w:widowControl w:val="0"/>
        <w:suppressAutoHyphens/>
        <w:spacing w:before="240"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The EU's approach to waste management is based on the "waste hierarchy" which sets out an order of priority when shaping waste policy and managing waste at the</w:t>
      </w:r>
      <w:r>
        <w:rPr>
          <w:rFonts w:ascii="Calibri" w:eastAsia="Calibri" w:hAnsi="Calibri" w:cs="Times New Roman"/>
          <w:noProof/>
          <w:sz w:val="20"/>
          <w:lang w:eastAsia="ar-SA"/>
        </w:rPr>
        <w:t xml:space="preserve"> operational level: prevention, (preparing for) reuse, recycling, recovery and, as the least preferred option, disposal (which includes landfilling and incineration without energy recovery). The progress towards reaching recycling targets and the adoption </w:t>
      </w:r>
      <w:r>
        <w:rPr>
          <w:rFonts w:ascii="Calibri" w:eastAsia="Calibri" w:hAnsi="Calibri" w:cs="Times New Roman"/>
          <w:noProof/>
          <w:sz w:val="20"/>
          <w:lang w:eastAsia="ar-SA"/>
        </w:rPr>
        <w:t>of adequate WMP/WPP</w:t>
      </w:r>
      <w:r>
        <w:rPr>
          <w:rFonts w:ascii="Calibri" w:eastAsia="Calibri" w:hAnsi="Calibri" w:cs="Times New Roman"/>
          <w:noProof/>
          <w:vertAlign w:val="superscript"/>
          <w:lang w:eastAsia="ar-SA"/>
        </w:rPr>
        <w:footnoteReference w:id="39"/>
      </w:r>
      <w:r>
        <w:rPr>
          <w:rFonts w:ascii="Calibri" w:eastAsia="Calibri" w:hAnsi="Calibri" w:cs="Times New Roman"/>
          <w:noProof/>
          <w:sz w:val="20"/>
          <w:lang w:eastAsia="ar-SA"/>
        </w:rPr>
        <w:t xml:space="preserve"> should be the key items to measure the performance of Member States. This section focuses on management of municipal waste for which EU law sets mandatory recycling targets.</w:t>
      </w:r>
    </w:p>
    <w:p w:rsidR="0017500B" w:rsidRDefault="00390F61">
      <w:pPr>
        <w:widowControl w:val="0"/>
        <w:suppressAutoHyphens/>
        <w:spacing w:before="120" w:after="120" w:line="240" w:lineRule="auto"/>
        <w:jc w:val="both"/>
        <w:rPr>
          <w:rFonts w:ascii="Calibri" w:eastAsia="Calibri" w:hAnsi="Calibri" w:cs="Times New Roman"/>
          <w:noProof/>
          <w:color w:val="000000"/>
          <w:sz w:val="20"/>
          <w:lang w:val="en-US" w:eastAsia="ar-SA"/>
        </w:rPr>
      </w:pPr>
      <w:r>
        <w:rPr>
          <w:rFonts w:ascii="Calibri" w:eastAsia="Calibri" w:hAnsi="Calibri" w:cs="Times New Roman"/>
          <w:noProof/>
          <w:sz w:val="20"/>
          <w:lang w:eastAsia="ar-SA"/>
        </w:rPr>
        <w:t>In 2014, municipal waste generation</w:t>
      </w:r>
      <w:r>
        <w:rPr>
          <w:rFonts w:ascii="Calibri" w:eastAsia="Calibri" w:hAnsi="Calibri" w:cs="Times New Roman"/>
          <w:noProof/>
          <w:vertAlign w:val="superscript"/>
          <w:lang w:eastAsia="ar-SA"/>
        </w:rPr>
        <w:footnoteReference w:id="40"/>
      </w:r>
      <w:r>
        <w:rPr>
          <w:rFonts w:ascii="Calibri" w:eastAsia="Calibri" w:hAnsi="Calibri" w:cs="Times New Roman"/>
          <w:noProof/>
          <w:sz w:val="20"/>
          <w:lang w:eastAsia="ar-SA"/>
        </w:rPr>
        <w:t xml:space="preserve"> in Belgium remained slig</w:t>
      </w:r>
      <w:r>
        <w:rPr>
          <w:rFonts w:ascii="Calibri" w:eastAsia="Calibri" w:hAnsi="Calibri" w:cs="Times New Roman"/>
          <w:noProof/>
          <w:sz w:val="20"/>
          <w:lang w:eastAsia="ar-SA"/>
        </w:rPr>
        <w:t>htly below the EU average (435 kg/y/inhabitant compared to around 475 kg)</w:t>
      </w:r>
      <w:r>
        <w:rPr>
          <w:rFonts w:ascii="Calibri" w:eastAsia="Calibri" w:hAnsi="Calibri" w:cs="Times New Roman"/>
          <w:noProof/>
          <w:vertAlign w:val="superscript"/>
          <w:lang w:eastAsia="ar-SA"/>
        </w:rPr>
        <w:footnoteReference w:id="41"/>
      </w:r>
      <w:r>
        <w:rPr>
          <w:rFonts w:ascii="Calibri" w:eastAsia="Calibri" w:hAnsi="Calibri" w:cs="Times New Roman"/>
          <w:noProof/>
          <w:sz w:val="20"/>
          <w:lang w:eastAsia="ar-SA"/>
        </w:rPr>
        <w:t>.  The latest available data for Flanders (2014) was around 432kg/y/inhabitant</w:t>
      </w:r>
      <w:r>
        <w:rPr>
          <w:rFonts w:ascii="Calibri" w:eastAsia="Calibri" w:hAnsi="Calibri" w:cs="Times New Roman"/>
          <w:noProof/>
          <w:vertAlign w:val="superscript"/>
          <w:lang w:eastAsia="ar-SA"/>
        </w:rPr>
        <w:footnoteReference w:id="42"/>
      </w:r>
      <w:r>
        <w:rPr>
          <w:rFonts w:ascii="Calibri" w:eastAsia="Calibri" w:hAnsi="Calibri" w:cs="Times New Roman"/>
          <w:noProof/>
          <w:sz w:val="20"/>
          <w:lang w:eastAsia="ar-SA"/>
        </w:rPr>
        <w:t>. In Wallonia (2012) the figure was around 460 kg/y/inhabitant</w:t>
      </w:r>
      <w:r>
        <w:rPr>
          <w:rFonts w:ascii="Calibri" w:eastAsia="Calibri" w:hAnsi="Calibri" w:cs="Times New Roman"/>
          <w:noProof/>
          <w:vertAlign w:val="superscript"/>
          <w:lang w:eastAsia="ar-SA"/>
        </w:rPr>
        <w:footnoteReference w:id="43"/>
      </w:r>
      <w:r>
        <w:rPr>
          <w:rFonts w:ascii="Calibri" w:eastAsia="Calibri" w:hAnsi="Calibri" w:cs="Times New Roman"/>
          <w:i/>
          <w:noProof/>
          <w:color w:val="000000"/>
          <w:sz w:val="20"/>
          <w:szCs w:val="20"/>
          <w:lang w:val="en-US" w:eastAsia="ar-SA"/>
        </w:rPr>
        <w:t xml:space="preserve"> </w:t>
      </w:r>
      <w:r>
        <w:rPr>
          <w:rFonts w:ascii="Calibri" w:eastAsia="Calibri" w:hAnsi="Calibri" w:cs="Times New Roman"/>
          <w:noProof/>
          <w:color w:val="000000"/>
          <w:sz w:val="20"/>
          <w:szCs w:val="20"/>
          <w:lang w:val="en-US" w:eastAsia="ar-SA"/>
        </w:rPr>
        <w:t xml:space="preserve">and in the Brussels-Capital Region </w:t>
      </w:r>
      <w:r>
        <w:rPr>
          <w:rFonts w:ascii="Calibri" w:eastAsia="Calibri" w:hAnsi="Calibri" w:cs="Times New Roman"/>
          <w:noProof/>
          <w:color w:val="000000"/>
          <w:sz w:val="20"/>
          <w:szCs w:val="20"/>
          <w:lang w:val="en-US" w:eastAsia="ar-SA"/>
        </w:rPr>
        <w:t>(2012) around 405 kg/y/inhabitant</w:t>
      </w:r>
      <w:r>
        <w:rPr>
          <w:rFonts w:ascii="Calibri" w:eastAsia="Calibri" w:hAnsi="Calibri" w:cs="Times New Roman"/>
          <w:noProof/>
          <w:color w:val="000000"/>
          <w:sz w:val="20"/>
          <w:lang w:val="en-US" w:eastAsia="ar-SA"/>
        </w:rPr>
        <w:t>.</w:t>
      </w:r>
    </w:p>
    <w:p w:rsidR="0017500B" w:rsidRDefault="00390F61">
      <w:pPr>
        <w:widowControl w:val="0"/>
        <w:suppressAutoHyphens/>
        <w:spacing w:before="120"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Figure 3 depicts the municipal waste by treatment in Belgium in terms of kg per capita and shows that the split between treatment methods remains rather stable.</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17500B">
        <w:trPr>
          <w:trHeight w:val="622"/>
        </w:trPr>
        <w:tc>
          <w:tcPr>
            <w:tcW w:w="4909" w:type="dxa"/>
          </w:tcPr>
          <w:p w:rsidR="0017500B" w:rsidRDefault="00390F61">
            <w:pPr>
              <w:spacing w:after="120"/>
              <w:jc w:val="both"/>
              <w:rPr>
                <w:noProof/>
                <w:color w:val="1F497D" w:themeColor="text2"/>
                <w:sz w:val="20"/>
              </w:rPr>
            </w:pPr>
            <w:r>
              <w:rPr>
                <w:b/>
                <w:bCs/>
                <w:noProof/>
                <w:color w:val="1F497D" w:themeColor="text2"/>
                <w:sz w:val="20"/>
              </w:rPr>
              <w:t>Figure 3: Municipal waste by treatment in Belgium 2007-14</w:t>
            </w:r>
            <w:r>
              <w:rPr>
                <w:b/>
                <w:bCs/>
                <w:noProof/>
                <w:color w:val="1F497D" w:themeColor="text2"/>
                <w:sz w:val="20"/>
                <w:vertAlign w:val="superscript"/>
              </w:rPr>
              <w:footnoteReference w:id="44"/>
            </w:r>
          </w:p>
        </w:tc>
      </w:tr>
      <w:tr w:rsidR="0017500B">
        <w:tc>
          <w:tcPr>
            <w:tcW w:w="4909" w:type="dxa"/>
          </w:tcPr>
          <w:p w:rsidR="0017500B" w:rsidRDefault="00390F61">
            <w:pPr>
              <w:spacing w:after="120"/>
              <w:jc w:val="both"/>
              <w:rPr>
                <w:rFonts w:ascii="Times New Roman" w:hAnsi="Times New Roman"/>
                <w:noProof/>
                <w:sz w:val="20"/>
              </w:rPr>
            </w:pPr>
            <w:r>
              <w:rPr>
                <w:rFonts w:ascii="Times New Roman" w:hAnsi="Times New Roman"/>
                <w:noProof/>
                <w:sz w:val="20"/>
                <w:lang w:eastAsia="en-GB"/>
              </w:rPr>
              <w:drawing>
                <wp:inline distT="0" distB="0" distL="0" distR="0" wp14:anchorId="72350921" wp14:editId="77AC2727">
                  <wp:extent cx="3075326" cy="27301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079107" cy="2733493"/>
                          </a:xfrm>
                          <a:prstGeom prst="rect">
                            <a:avLst/>
                          </a:prstGeom>
                        </pic:spPr>
                      </pic:pic>
                    </a:graphicData>
                  </a:graphic>
                </wp:inline>
              </w:drawing>
            </w:r>
          </w:p>
        </w:tc>
      </w:tr>
    </w:tbl>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 xml:space="preserve">Belgium is among the top performers in the EU with regard to waste management with a recycling rate of municipal waste of 55% in 2014 (EU average 44% in 2014) as shown in Figure 4, </w:t>
      </w:r>
      <w:r>
        <w:rPr>
          <w:rFonts w:ascii="Calibri" w:eastAsia="Calibri" w:hAnsi="Calibri" w:cs="Calibri"/>
          <w:noProof/>
          <w:sz w:val="20"/>
          <w:szCs w:val="20"/>
          <w:lang w:eastAsia="ar-SA"/>
        </w:rPr>
        <w:t>with the Flanders region performing markedly higher at 70% in 2014</w:t>
      </w:r>
      <w:r>
        <w:rPr>
          <w:rFonts w:ascii="Calibri" w:eastAsia="Calibri" w:hAnsi="Calibri" w:cs="Calibri"/>
          <w:noProof/>
          <w:sz w:val="20"/>
          <w:szCs w:val="20"/>
          <w:vertAlign w:val="superscript"/>
          <w:lang w:eastAsia="ar-SA"/>
        </w:rPr>
        <w:footnoteReference w:id="45"/>
      </w:r>
      <w:r>
        <w:rPr>
          <w:rFonts w:ascii="Calibri" w:eastAsia="Calibri" w:hAnsi="Calibri" w:cs="Times New Roman"/>
          <w:noProof/>
          <w:sz w:val="20"/>
          <w:lang w:eastAsia="ar-SA"/>
        </w:rPr>
        <w:t xml:space="preserve">. </w:t>
      </w:r>
    </w:p>
    <w:p w:rsidR="0017500B" w:rsidRDefault="00390F61">
      <w:pPr>
        <w:widowControl w:val="0"/>
        <w:suppressAutoHyphens/>
        <w:spacing w:before="120"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Belgium is already complying with the 50% recycling target for 2020</w:t>
      </w:r>
      <w:r>
        <w:rPr>
          <w:rFonts w:ascii="Calibri" w:eastAsia="Calibri" w:hAnsi="Calibri" w:cs="Times New Roman"/>
          <w:noProof/>
          <w:vertAlign w:val="superscript"/>
          <w:lang w:eastAsia="ar-SA"/>
        </w:rPr>
        <w:footnoteReference w:id="46"/>
      </w:r>
      <w:r>
        <w:rPr>
          <w:rFonts w:ascii="Calibri" w:eastAsia="Calibri" w:hAnsi="Calibri" w:cs="Times New Roman"/>
          <w:noProof/>
          <w:sz w:val="20"/>
          <w:lang w:eastAsia="ar-SA"/>
        </w:rPr>
        <w:t xml:space="preserve"> and has already eliminated landfilling of biodegradable waste</w:t>
      </w:r>
      <w:r>
        <w:rPr>
          <w:rFonts w:ascii="Calibri" w:eastAsia="Calibri" w:hAnsi="Calibri" w:cs="Times New Roman"/>
          <w:noProof/>
          <w:vertAlign w:val="superscript"/>
          <w:lang w:eastAsia="ar-SA"/>
        </w:rPr>
        <w:footnoteReference w:id="47"/>
      </w:r>
      <w:r>
        <w:rPr>
          <w:rFonts w:ascii="Calibri" w:eastAsia="Calibri" w:hAnsi="Calibri" w:cs="Times New Roman"/>
          <w:noProof/>
          <w:sz w:val="20"/>
          <w:lang w:eastAsia="ar-SA"/>
        </w:rPr>
        <w:t>. Belgium has only one Mechanical Biological Treatment (MBT) plant in operation due to efficient separate collection.</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Additio</w:t>
      </w:r>
      <w:r>
        <w:rPr>
          <w:rFonts w:ascii="Calibri" w:eastAsia="Calibri" w:hAnsi="Calibri" w:cs="Times New Roman"/>
          <w:noProof/>
          <w:sz w:val="20"/>
          <w:lang w:eastAsia="ar-SA"/>
        </w:rPr>
        <w:t>nal progress could be made by introducing new economic instruments to promote waste prevention, avoid incinerating reusable or recyclable waste, and make the reuse and recycling of waste more economically attractive. It should be noted that the three regio</w:t>
      </w:r>
      <w:r>
        <w:rPr>
          <w:rFonts w:ascii="Calibri" w:eastAsia="Calibri" w:hAnsi="Calibri" w:cs="Times New Roman"/>
          <w:noProof/>
          <w:sz w:val="20"/>
          <w:lang w:eastAsia="ar-SA"/>
        </w:rPr>
        <w:t>ns have a system in place that taxes the incinerated waste and it is recognized that each region encourages heat recovery from waste incineration.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17500B">
        <w:tc>
          <w:tcPr>
            <w:tcW w:w="4909" w:type="dxa"/>
          </w:tcPr>
          <w:p w:rsidR="0017500B" w:rsidRDefault="00390F61">
            <w:pPr>
              <w:widowControl w:val="0"/>
              <w:suppressAutoHyphens/>
              <w:spacing w:after="120"/>
              <w:jc w:val="both"/>
              <w:rPr>
                <w:noProof/>
                <w:lang w:eastAsia="ar-SA"/>
              </w:rPr>
            </w:pPr>
            <w:r>
              <w:rPr>
                <w:b/>
                <w:bCs/>
                <w:noProof/>
                <w:color w:val="1F497D" w:themeColor="text2"/>
              </w:rPr>
              <w:t>Figure 4: Recycling rate of municipal waste 2007-14</w:t>
            </w:r>
            <w:r>
              <w:rPr>
                <w:b/>
                <w:bCs/>
                <w:noProof/>
                <w:color w:val="1F497D" w:themeColor="text2"/>
                <w:vertAlign w:val="superscript"/>
              </w:rPr>
              <w:footnoteReference w:id="48"/>
            </w:r>
          </w:p>
        </w:tc>
      </w:tr>
      <w:tr w:rsidR="0017500B">
        <w:tc>
          <w:tcPr>
            <w:tcW w:w="4909" w:type="dxa"/>
          </w:tcPr>
          <w:p w:rsidR="0017500B" w:rsidRDefault="00390F61">
            <w:pPr>
              <w:widowControl w:val="0"/>
              <w:suppressAutoHyphens/>
              <w:spacing w:after="120"/>
              <w:jc w:val="both"/>
              <w:rPr>
                <w:noProof/>
                <w:lang w:eastAsia="ar-SA"/>
              </w:rPr>
            </w:pPr>
            <w:r>
              <w:rPr>
                <w:noProof/>
              </w:rPr>
              <w:drawing>
                <wp:inline distT="0" distB="0" distL="0" distR="0" wp14:anchorId="2267003A" wp14:editId="64806AB0">
                  <wp:extent cx="2881424" cy="2587854"/>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2667" cy="2588971"/>
                          </a:xfrm>
                          <a:prstGeom prst="rect">
                            <a:avLst/>
                          </a:prstGeom>
                          <a:noFill/>
                        </pic:spPr>
                      </pic:pic>
                    </a:graphicData>
                  </a:graphic>
                </wp:inline>
              </w:drawing>
            </w:r>
          </w:p>
        </w:tc>
      </w:tr>
    </w:tbl>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 xml:space="preserve">A recent study has created scenarios for applying </w:t>
      </w:r>
      <w:r>
        <w:rPr>
          <w:rFonts w:ascii="Calibri" w:eastAsia="Calibri" w:hAnsi="Calibri" w:cs="Times New Roman"/>
          <w:noProof/>
          <w:sz w:val="20"/>
          <w:lang w:eastAsia="ar-SA"/>
        </w:rPr>
        <w:t>‘enhanced waste management’ (EWM) practices at the Flemish Remo landfill site</w:t>
      </w:r>
      <w:r>
        <w:rPr>
          <w:rFonts w:ascii="Calibri" w:eastAsia="Calibri" w:hAnsi="Calibri" w:cs="Times New Roman"/>
          <w:noProof/>
          <w:vertAlign w:val="superscript"/>
          <w:lang w:eastAsia="ar-SA"/>
        </w:rPr>
        <w:footnoteReference w:id="49"/>
      </w:r>
      <w:r>
        <w:rPr>
          <w:rFonts w:ascii="Calibri" w:eastAsia="Calibri" w:hAnsi="Calibri" w:cs="Times New Roman"/>
          <w:noProof/>
          <w:sz w:val="20"/>
          <w:lang w:eastAsia="ar-SA"/>
        </w:rPr>
        <w:t>.  In the first scenario — without EWM — it was estimated to take 14 years for Flanders’ remaining landfill capacity to be exhausted. In the second — when EWM practices were appl</w:t>
      </w:r>
      <w:r>
        <w:rPr>
          <w:rFonts w:ascii="Calibri" w:eastAsia="Calibri" w:hAnsi="Calibri" w:cs="Times New Roman"/>
          <w:noProof/>
          <w:sz w:val="20"/>
          <w:lang w:eastAsia="ar-SA"/>
        </w:rPr>
        <w:t>ied — only 4% of future waste would be landfilled and it would take over eight times as long (123 years) for remaining landfill capacity to be exhausted.</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The revision of the WMP of the Walloon region (Horizon 2010, which expired in 2015), including element</w:t>
      </w:r>
      <w:r>
        <w:rPr>
          <w:rFonts w:ascii="Calibri" w:eastAsia="Calibri" w:hAnsi="Calibri" w:cs="Times New Roman"/>
          <w:noProof/>
          <w:sz w:val="20"/>
          <w:lang w:eastAsia="ar-SA"/>
        </w:rPr>
        <w:t>s of waste prevention, is delayed to 2017. Brussels and Flanders both have up to date WMPs/WPPs.</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In Flanders, the new waste management plan 2016 -22 on household waste and similar commercial and industrial waste foresees new targets for further reducing th</w:t>
      </w:r>
      <w:r>
        <w:rPr>
          <w:rFonts w:ascii="Calibri" w:eastAsia="Calibri" w:hAnsi="Calibri" w:cs="Times New Roman"/>
          <w:noProof/>
          <w:sz w:val="20"/>
          <w:lang w:eastAsia="ar-SA"/>
        </w:rPr>
        <w:t>e amount of residual waste with an additional 10 - 15 % (around 140 kg residual household waste per capita). Food waste is also an issue being dealt with by Flanders</w:t>
      </w:r>
      <w:r>
        <w:rPr>
          <w:rFonts w:ascii="Calibri" w:eastAsia="Calibri" w:hAnsi="Calibri" w:cs="Times New Roman"/>
          <w:noProof/>
          <w:sz w:val="20"/>
          <w:vertAlign w:val="superscript"/>
          <w:lang w:eastAsia="ar-SA"/>
        </w:rPr>
        <w:footnoteReference w:id="50"/>
      </w:r>
      <w:r>
        <w:rPr>
          <w:rFonts w:ascii="Calibri" w:eastAsia="Calibri" w:hAnsi="Calibri" w:cs="Times New Roman"/>
          <w:noProof/>
          <w:sz w:val="20"/>
          <w:lang w:eastAsia="ar-SA"/>
        </w:rPr>
        <w:t xml:space="preserve">. Wallonia has the Plan REGAL 2015-25 for food waste. For Brussels see the sustainability </w:t>
      </w:r>
      <w:r>
        <w:rPr>
          <w:rFonts w:ascii="Calibri" w:eastAsia="Calibri" w:hAnsi="Calibri" w:cs="Times New Roman"/>
          <w:noProof/>
          <w:sz w:val="20"/>
          <w:lang w:eastAsia="ar-SA"/>
        </w:rPr>
        <w:t>of cities section on this issue.</w:t>
      </w:r>
    </w:p>
    <w:p w:rsidR="0017500B" w:rsidRDefault="00390F61">
      <w:pPr>
        <w:widowControl w:val="0"/>
        <w:suppressAutoHyphens/>
        <w:spacing w:before="120"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In the light of the on-going review of the recycling targets and landfill restrictions for municipal waste</w:t>
      </w:r>
      <w:r>
        <w:rPr>
          <w:rFonts w:ascii="Calibri" w:eastAsia="Calibri" w:hAnsi="Calibri" w:cs="Times New Roman"/>
          <w:noProof/>
          <w:vertAlign w:val="superscript"/>
          <w:lang w:eastAsia="ar-SA"/>
        </w:rPr>
        <w:footnoteReference w:id="51"/>
      </w:r>
      <w:r>
        <w:rPr>
          <w:rFonts w:ascii="Calibri" w:eastAsia="Calibri" w:hAnsi="Calibri" w:cs="Times New Roman"/>
          <w:noProof/>
          <w:sz w:val="20"/>
          <w:lang w:eastAsia="ar-SA"/>
        </w:rPr>
        <w:t>, additional efforts will be needed to meet the proposed recycling target of 65% for 2030. However, to fully impleme</w:t>
      </w:r>
      <w:r>
        <w:rPr>
          <w:rFonts w:ascii="Calibri" w:eastAsia="Calibri" w:hAnsi="Calibri" w:cs="Times New Roman"/>
          <w:noProof/>
          <w:sz w:val="20"/>
          <w:lang w:eastAsia="ar-SA"/>
        </w:rPr>
        <w:t>nt the waste hierarchy, future efforts should also be invested in waste prevention.</w:t>
      </w:r>
    </w:p>
    <w:p w:rsidR="0017500B" w:rsidRDefault="00390F61">
      <w:pPr>
        <w:widowControl w:val="0"/>
        <w:suppressAutoHyphens/>
        <w:spacing w:before="120"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According to a study</w:t>
      </w:r>
      <w:r>
        <w:rPr>
          <w:rFonts w:ascii="Calibri" w:eastAsia="Calibri" w:hAnsi="Calibri" w:cs="Times New Roman"/>
          <w:noProof/>
          <w:vertAlign w:val="superscript"/>
          <w:lang w:eastAsia="ar-SA"/>
        </w:rPr>
        <w:footnoteReference w:id="52"/>
      </w:r>
      <w:r>
        <w:rPr>
          <w:rFonts w:ascii="Calibri" w:eastAsia="Calibri" w:hAnsi="Calibri" w:cs="Times New Roman"/>
          <w:noProof/>
          <w:sz w:val="20"/>
          <w:lang w:eastAsia="ar-SA"/>
        </w:rPr>
        <w:t>, moving towards the targets of the Roadmap on resource efficiency</w:t>
      </w:r>
      <w:r>
        <w:rPr>
          <w:rFonts w:ascii="Calibri" w:eastAsia="Calibri" w:hAnsi="Calibri" w:cs="Times New Roman"/>
          <w:noProof/>
          <w:sz w:val="20"/>
          <w:vertAlign w:val="superscript"/>
          <w:lang w:eastAsia="ar-SA"/>
        </w:rPr>
        <w:footnoteReference w:id="53"/>
      </w:r>
      <w:r>
        <w:rPr>
          <w:rFonts w:ascii="Calibri" w:eastAsia="Calibri" w:hAnsi="Calibri" w:cs="Times New Roman"/>
          <w:noProof/>
          <w:sz w:val="20"/>
          <w:lang w:eastAsia="ar-SA"/>
        </w:rPr>
        <w:t>could create over 3,100 additional jobs and increase the annual turnover of the wast</w:t>
      </w:r>
      <w:r>
        <w:rPr>
          <w:rFonts w:ascii="Calibri" w:eastAsia="Calibri" w:hAnsi="Calibri" w:cs="Times New Roman"/>
          <w:noProof/>
          <w:sz w:val="20"/>
          <w:lang w:eastAsia="ar-SA"/>
        </w:rPr>
        <w:t>e sector by over EUR 330 million.</w:t>
      </w:r>
    </w:p>
    <w:p w:rsidR="0017500B" w:rsidRDefault="00390F61">
      <w:pPr>
        <w:widowControl w:val="0"/>
        <w:suppressAutoHyphens/>
        <w:spacing w:before="120"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The ERDF co-financed ‘Closing the Circle’ project 2010-12 has examined the mining of old landfills and is now being taken forward with Horizon 2020</w:t>
      </w:r>
      <w:r>
        <w:rPr>
          <w:rFonts w:ascii="Calibri" w:eastAsia="Calibri" w:hAnsi="Calibri" w:cs="Times New Roman"/>
          <w:noProof/>
          <w:vertAlign w:val="superscript"/>
          <w:lang w:eastAsia="ar-SA"/>
        </w:rPr>
        <w:footnoteReference w:id="54"/>
      </w:r>
      <w:r>
        <w:rPr>
          <w:rFonts w:ascii="Calibri" w:eastAsia="Calibri" w:hAnsi="Calibri" w:cs="Times New Roman"/>
          <w:noProof/>
          <w:sz w:val="20"/>
          <w:lang w:eastAsia="ar-SA"/>
        </w:rPr>
        <w:t>.</w:t>
      </w:r>
    </w:p>
    <w:p w:rsidR="0017500B" w:rsidRDefault="00390F61">
      <w:pPr>
        <w:widowControl w:val="0"/>
        <w:suppressAutoHyphens/>
        <w:spacing w:before="120" w:after="120" w:line="240" w:lineRule="auto"/>
        <w:jc w:val="both"/>
        <w:rPr>
          <w:rFonts w:ascii="Calibri" w:eastAsia="Calibri" w:hAnsi="Calibri" w:cs="Times New Roman"/>
          <w:noProof/>
          <w:sz w:val="20"/>
          <w:lang w:eastAsia="ar-SA"/>
        </w:rPr>
      </w:pPr>
      <w:r>
        <w:rPr>
          <w:rFonts w:ascii="Calibri" w:eastAsia="Calibri" w:hAnsi="Calibri" w:cs="Times New Roman"/>
          <w:bCs/>
          <w:noProof/>
          <w:sz w:val="20"/>
          <w:lang w:eastAsia="ar-SA"/>
        </w:rPr>
        <w:t xml:space="preserve">To conclude, Belgium has a generally well performing waste management </w:t>
      </w:r>
      <w:r>
        <w:rPr>
          <w:rFonts w:ascii="Calibri" w:eastAsia="Calibri" w:hAnsi="Calibri" w:cs="Times New Roman"/>
          <w:bCs/>
          <w:noProof/>
          <w:sz w:val="20"/>
          <w:lang w:eastAsia="ar-SA"/>
        </w:rPr>
        <w:t>system to deliver the EU waste targets.</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color w:val="1F497D"/>
          <w:lang w:eastAsia="ar-SA"/>
        </w:rPr>
        <w:t>Suggested action</w:t>
      </w:r>
    </w:p>
    <w:p w:rsidR="0017500B" w:rsidRDefault="00390F61">
      <w:pPr>
        <w:pStyle w:val="ListParagraph"/>
        <w:widowControl w:val="0"/>
        <w:numPr>
          <w:ilvl w:val="0"/>
          <w:numId w:val="40"/>
        </w:numPr>
        <w:suppressAutoHyphens/>
        <w:ind w:left="170" w:hanging="170"/>
        <w:rPr>
          <w:rStyle w:val="Strong"/>
          <w:noProof/>
        </w:rPr>
      </w:pPr>
      <w:r>
        <w:rPr>
          <w:rStyle w:val="Strong"/>
          <w:noProof/>
        </w:rPr>
        <w:t>Complete and update the Waste Management Plan incorporating a Waste Prevention Programme for Wallonia.</w:t>
      </w:r>
    </w:p>
    <w:p w:rsidR="0017500B" w:rsidRDefault="00390F61">
      <w:pPr>
        <w:pStyle w:val="ListParagraph"/>
        <w:widowControl w:val="0"/>
        <w:numPr>
          <w:ilvl w:val="0"/>
          <w:numId w:val="40"/>
        </w:numPr>
        <w:suppressAutoHyphens/>
        <w:ind w:left="170" w:hanging="170"/>
        <w:rPr>
          <w:rStyle w:val="Strong"/>
          <w:noProof/>
        </w:rPr>
      </w:pPr>
      <w:r>
        <w:rPr>
          <w:rStyle w:val="Strong"/>
          <w:noProof/>
        </w:rPr>
        <w:t>Shift reusable and recyclable waste away from incineration including through economic instrument</w:t>
      </w:r>
      <w:r>
        <w:rPr>
          <w:rStyle w:val="Strong"/>
          <w:noProof/>
        </w:rPr>
        <w:t>s.</w:t>
      </w:r>
    </w:p>
    <w:p w:rsidR="0017500B" w:rsidRDefault="0017500B">
      <w:pPr>
        <w:suppressAutoHyphens/>
        <w:spacing w:after="120" w:line="240" w:lineRule="auto"/>
        <w:jc w:val="both"/>
        <w:rPr>
          <w:rFonts w:ascii="Calibri" w:eastAsia="Calibri" w:hAnsi="Calibri" w:cs="Times New Roman"/>
          <w:noProof/>
          <w:sz w:val="20"/>
          <w:lang w:eastAsia="ar-SA"/>
        </w:rPr>
        <w:sectPr w:rsidR="0017500B">
          <w:headerReference w:type="even" r:id="rId52"/>
          <w:headerReference w:type="default" r:id="rId53"/>
          <w:footerReference w:type="even" r:id="rId54"/>
          <w:footerReference w:type="default" r:id="rId55"/>
          <w:headerReference w:type="first" r:id="rId56"/>
          <w:footerReference w:type="first" r:id="rId57"/>
          <w:type w:val="continuous"/>
          <w:pgSz w:w="11906" w:h="16838"/>
          <w:pgMar w:top="1440" w:right="1080" w:bottom="1440" w:left="1080" w:header="708" w:footer="708" w:gutter="0"/>
          <w:cols w:num="2" w:space="360"/>
          <w:docGrid w:linePitch="600" w:charSpace="40960"/>
        </w:sectPr>
      </w:pPr>
    </w:p>
    <w:p w:rsidR="0017500B" w:rsidRDefault="00390F61">
      <w:pPr>
        <w:pStyle w:val="Heading1"/>
        <w:rPr>
          <w:noProof/>
        </w:rPr>
      </w:pPr>
      <w:bookmarkStart w:id="7" w:name="_Toc469477488"/>
      <w:r>
        <w:rPr>
          <w:noProof/>
        </w:rPr>
        <w:t>Protecting, conserving and enhancing natural capital</w:t>
      </w:r>
      <w:bookmarkEnd w:id="7"/>
    </w:p>
    <w:p w:rsidR="0017500B" w:rsidRDefault="0017500B">
      <w:pPr>
        <w:suppressAutoHyphens/>
        <w:spacing w:after="120" w:line="240" w:lineRule="auto"/>
        <w:jc w:val="both"/>
        <w:rPr>
          <w:rFonts w:ascii="Calibri" w:eastAsia="Calibri" w:hAnsi="Calibri" w:cs="Times New Roman"/>
          <w:noProof/>
          <w:sz w:val="20"/>
          <w:lang w:eastAsia="ar-SA"/>
        </w:rPr>
        <w:sectPr w:rsidR="0017500B">
          <w:headerReference w:type="even" r:id="rId58"/>
          <w:headerReference w:type="default" r:id="rId59"/>
          <w:footerReference w:type="even" r:id="rId60"/>
          <w:footerReference w:type="default" r:id="rId61"/>
          <w:headerReference w:type="first" r:id="rId62"/>
          <w:footerReference w:type="first" r:id="rId63"/>
          <w:type w:val="continuous"/>
          <w:pgSz w:w="11906" w:h="16838"/>
          <w:pgMar w:top="1440" w:right="1080" w:bottom="1440" w:left="1080" w:header="708" w:footer="708" w:gutter="0"/>
          <w:cols w:space="720"/>
          <w:docGrid w:linePitch="600" w:charSpace="40960"/>
        </w:sectPr>
      </w:pPr>
    </w:p>
    <w:p w:rsidR="0017500B" w:rsidRDefault="00390F61">
      <w:pPr>
        <w:widowControl w:val="0"/>
        <w:suppressAutoHyphens/>
        <w:spacing w:after="120" w:line="240" w:lineRule="auto"/>
        <w:jc w:val="both"/>
        <w:outlineLvl w:val="1"/>
        <w:rPr>
          <w:rFonts w:ascii="Calibri" w:eastAsia="Calibri" w:hAnsi="Calibri" w:cs="Times New Roman"/>
          <w:b/>
          <w:noProof/>
          <w:color w:val="1F497D"/>
          <w:sz w:val="24"/>
          <w:lang w:eastAsia="ar-SA"/>
        </w:rPr>
      </w:pPr>
      <w:bookmarkStart w:id="8" w:name="_Toc469477489"/>
      <w:r>
        <w:rPr>
          <w:rFonts w:ascii="Calibri" w:eastAsia="Calibri" w:hAnsi="Calibri" w:cs="Times New Roman"/>
          <w:b/>
          <w:noProof/>
          <w:color w:val="1F497D"/>
          <w:sz w:val="24"/>
          <w:lang w:eastAsia="ar-SA"/>
        </w:rPr>
        <w:t>Nature and Biodiversity</w:t>
      </w:r>
      <w:bookmarkEnd w:id="8"/>
      <w:r>
        <w:rPr>
          <w:rFonts w:ascii="Calibri" w:eastAsia="Calibri" w:hAnsi="Calibri" w:cs="Times New Roman"/>
          <w:b/>
          <w:noProof/>
          <w:color w:val="1F497D"/>
          <w:sz w:val="24"/>
          <w:lang w:eastAsia="ar-SA"/>
        </w:rPr>
        <w:t xml:space="preserve"> </w:t>
      </w:r>
    </w:p>
    <w:p w:rsidR="0017500B" w:rsidRDefault="00390F61">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The EU Biodiversity Strategy aims to halt the loss of biodiversity in the EU by 2020, restore ecosystems and their services in so far as feasible, and step up efforts to avert global biodiversity loss. The EU Birds and Habitats Dir</w:t>
      </w:r>
      <w:r>
        <w:rPr>
          <w:rFonts w:cs="Times New Roman"/>
          <w:noProof/>
          <w:color w:val="FFFFFF" w:themeColor="background1"/>
          <w:sz w:val="20"/>
        </w:rPr>
        <w:t xml:space="preserve">ectives aim at achieving favourable conservation status of protected species and habitats. </w:t>
      </w:r>
    </w:p>
    <w:p w:rsidR="0017500B" w:rsidRDefault="00390F61">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SDG 14 requires countries to conserve and sustainably use the oceans, seas and marine resources, while SDG 15 requires countries to protect, restore and promote the</w:t>
      </w:r>
      <w:r>
        <w:rPr>
          <w:rFonts w:cs="Times New Roman"/>
          <w:noProof/>
          <w:color w:val="FFFFFF" w:themeColor="background1"/>
          <w:sz w:val="20"/>
        </w:rPr>
        <w:t xml:space="preserve"> sustainable use of terrestrial ecosystems, sustainably manage forests, combat desertification, and halt and reverse land degradation and halt biodiversity loss.</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The 1992 EU Habitats Directive and the 1979 Birds Directive are the cornerstone of the Europea</w:t>
      </w:r>
      <w:r>
        <w:rPr>
          <w:rFonts w:ascii="Calibri" w:eastAsia="Calibri" w:hAnsi="Calibri" w:cs="Times New Roman"/>
          <w:noProof/>
          <w:sz w:val="20"/>
          <w:lang w:eastAsia="ar-SA"/>
        </w:rPr>
        <w:t>n legislation aimed at the conservation of the EU's wildlife. Natura 2000, the largest coordinated network of protected areas in the world, is the key instrument to achieve and implement the Directives' objectives to ensure the long-term protection, conser</w:t>
      </w:r>
      <w:r>
        <w:rPr>
          <w:rFonts w:ascii="Calibri" w:eastAsia="Calibri" w:hAnsi="Calibri" w:cs="Times New Roman"/>
          <w:noProof/>
          <w:sz w:val="20"/>
          <w:lang w:eastAsia="ar-SA"/>
        </w:rPr>
        <w:t>vation and survival of Europe's most valuable and threatened species and habitats and the ecosystems they underpin.</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The adequate designation of protected sites as Special Ares of Conservation (SAC) under the Habitats Directive and as Special Protection Are</w:t>
      </w:r>
      <w:r>
        <w:rPr>
          <w:rFonts w:ascii="Calibri" w:eastAsia="Calibri" w:hAnsi="Calibri" w:cs="Times New Roman"/>
          <w:noProof/>
          <w:sz w:val="20"/>
          <w:lang w:eastAsia="ar-SA"/>
        </w:rPr>
        <w:t>as (SPA) under the Birds Directive is a key milestone towards meeting the objectives of the Directives. The results of Habitats Directive Article 17 and Birds Directive Article 12 reports and the progress towards adequate Sites of Community Importance (SCI</w:t>
      </w:r>
      <w:r>
        <w:rPr>
          <w:rFonts w:ascii="Calibri" w:eastAsia="Calibri" w:hAnsi="Calibri" w:cs="Times New Roman"/>
          <w:noProof/>
          <w:sz w:val="20"/>
          <w:lang w:eastAsia="ar-SA"/>
        </w:rPr>
        <w:t>)-SPA and SAC designation</w:t>
      </w:r>
      <w:r>
        <w:rPr>
          <w:rFonts w:ascii="Calibri" w:eastAsia="Calibri" w:hAnsi="Calibri" w:cs="Times New Roman"/>
          <w:noProof/>
          <w:sz w:val="20"/>
          <w:vertAlign w:val="superscript"/>
          <w:lang w:eastAsia="ar-SA"/>
        </w:rPr>
        <w:footnoteReference w:id="55"/>
      </w:r>
      <w:r>
        <w:rPr>
          <w:rFonts w:ascii="Calibri" w:eastAsia="Calibri" w:hAnsi="Calibri" w:cs="Times New Roman"/>
          <w:noProof/>
          <w:sz w:val="20"/>
          <w:lang w:eastAsia="ar-SA"/>
        </w:rPr>
        <w:t xml:space="preserve"> both in land and at sea, should be the key items to measure the performance of Member States.</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In Belgium, the regions and the federal governments have their own biodiversity strategies and/or plans. The National Biodiversity Stra</w:t>
      </w:r>
      <w:r>
        <w:rPr>
          <w:rFonts w:ascii="Calibri" w:eastAsia="Calibri" w:hAnsi="Calibri" w:cs="Times New Roman"/>
          <w:noProof/>
          <w:sz w:val="20"/>
          <w:lang w:eastAsia="ar-SA"/>
        </w:rPr>
        <w:t>tegy (2013-20) is a framework document that mainly builds on these existing plans, giving political orientation in order to improve the implementation of biodiversity commitments as well as create more coherence, fill gaps and integrate biodiversity concer</w:t>
      </w:r>
      <w:r>
        <w:rPr>
          <w:rFonts w:ascii="Calibri" w:eastAsia="Calibri" w:hAnsi="Calibri" w:cs="Times New Roman"/>
          <w:noProof/>
          <w:sz w:val="20"/>
          <w:lang w:eastAsia="ar-SA"/>
        </w:rPr>
        <w:t xml:space="preserve">ns into the national and international levels. </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The territory of Belgium includes areas in the Atlantic Region and the Continental Biogeographic Region. Both the National Biodiversity Strategy and the most recent reports submitted under Article 17 Habitats</w:t>
      </w:r>
      <w:r>
        <w:rPr>
          <w:rFonts w:ascii="Calibri" w:eastAsia="Calibri" w:hAnsi="Calibri" w:cs="Times New Roman"/>
          <w:noProof/>
          <w:sz w:val="20"/>
          <w:lang w:eastAsia="ar-SA"/>
        </w:rPr>
        <w:t xml:space="preserve"> Directive and Article 12 Birds Directive identify a number of pressures on biodiversity varying in intensity between the regions. </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 xml:space="preserve">Land conversion (to urban, industrial, agricultural, transport or tourism purposes) </w:t>
      </w:r>
      <w:r>
        <w:rPr>
          <w:rFonts w:ascii="Calibri" w:eastAsia="Calibri" w:hAnsi="Calibri" w:cs="Times New Roman"/>
          <w:noProof/>
          <w:sz w:val="20"/>
          <w:lang w:val="en-US" w:eastAsia="ar-SA"/>
        </w:rPr>
        <w:t xml:space="preserve">and intensification of agriculture are </w:t>
      </w:r>
      <w:r>
        <w:rPr>
          <w:rFonts w:ascii="Calibri" w:eastAsia="Calibri" w:hAnsi="Calibri" w:cs="Times New Roman"/>
          <w:noProof/>
          <w:sz w:val="20"/>
          <w:lang w:eastAsia="ar-SA"/>
        </w:rPr>
        <w:t>c</w:t>
      </w:r>
      <w:r>
        <w:rPr>
          <w:rFonts w:ascii="Calibri" w:eastAsia="Calibri" w:hAnsi="Calibri" w:cs="Times New Roman"/>
          <w:noProof/>
          <w:sz w:val="20"/>
          <w:lang w:eastAsia="ar-SA"/>
        </w:rPr>
        <w:t>auses of biodiversity loss, followed by ecological fragmentation and pollution as well as related eutrophication, acidification, soil degradation and noise perturbation</w:t>
      </w:r>
      <w:r>
        <w:rPr>
          <w:rFonts w:ascii="Calibri" w:eastAsia="Calibri" w:hAnsi="Calibri" w:cs="Times New Roman"/>
          <w:noProof/>
          <w:vertAlign w:val="superscript"/>
          <w:lang w:eastAsia="ar-SA"/>
        </w:rPr>
        <w:footnoteReference w:id="56"/>
      </w:r>
      <w:r>
        <w:rPr>
          <w:rFonts w:ascii="Calibri" w:eastAsia="Calibri" w:hAnsi="Calibri" w:cs="Times New Roman"/>
          <w:noProof/>
          <w:sz w:val="20"/>
          <w:lang w:eastAsia="ar-SA"/>
        </w:rPr>
        <w:t>. Further threats include the direct and indirect overexploitation of natural resources</w:t>
      </w:r>
      <w:r>
        <w:rPr>
          <w:rFonts w:ascii="Calibri" w:eastAsia="Calibri" w:hAnsi="Calibri" w:cs="Times New Roman"/>
          <w:noProof/>
          <w:sz w:val="20"/>
          <w:lang w:eastAsia="ar-SA"/>
        </w:rPr>
        <w:t xml:space="preserve"> including fish stocks, groundwater extraction and the drying up of wetlands. Disruption caused by invasive alien species increase the effect of the above drivers. Marine species and sea-bottom habitats are under heavy pressure from fishing bycatches and i</w:t>
      </w:r>
      <w:r>
        <w:rPr>
          <w:rFonts w:ascii="Calibri" w:eastAsia="Calibri" w:hAnsi="Calibri" w:cs="Times New Roman"/>
          <w:noProof/>
          <w:sz w:val="20"/>
          <w:lang w:eastAsia="ar-SA"/>
        </w:rPr>
        <w:t>n particular from beam trawling, the most common fishing practice in Belgian marine waters. Overall fishing activities have resulted in a sharp decline in long-living and slowly reproducing species such as sharks and many habitat structuring species. In th</w:t>
      </w:r>
      <w:r>
        <w:rPr>
          <w:rFonts w:ascii="Calibri" w:eastAsia="Calibri" w:hAnsi="Calibri" w:cs="Times New Roman"/>
          <w:noProof/>
          <w:sz w:val="20"/>
          <w:lang w:eastAsia="ar-SA"/>
        </w:rPr>
        <w:t xml:space="preserve">e Belgian coastal waters, invasive alien species also constitute a predominant proportion of the marine fauna. </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en-GB"/>
        </w:rPr>
        <w:drawing>
          <wp:inline distT="0" distB="0" distL="0" distR="0" wp14:anchorId="2D89D5EE" wp14:editId="1BE0C5D5">
            <wp:extent cx="2985135" cy="198755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85135" cy="1987550"/>
                    </a:xfrm>
                    <a:prstGeom prst="rect">
                      <a:avLst/>
                    </a:prstGeom>
                    <a:solidFill>
                      <a:srgbClr val="FFFFFF"/>
                    </a:solidFill>
                    <a:ln>
                      <a:noFill/>
                    </a:ln>
                  </pic:spPr>
                </pic:pic>
              </a:graphicData>
            </a:graphic>
          </wp:inline>
        </w:drawing>
      </w:r>
      <w:r>
        <w:rPr>
          <w:rFonts w:ascii="Calibri" w:eastAsia="Calibri" w:hAnsi="Calibri" w:cs="Times New Roman"/>
          <w:noProof/>
          <w:sz w:val="20"/>
          <w:lang w:eastAsia="ar-SA"/>
        </w:rPr>
        <w:t>The presence of a number of warm-temperate species has been increasing over the past decades, including in the North Sea, indicating increasing climate change impacts. Furthermore, there is growing recreational pressure on green areas (mainly in Brussels).</w:t>
      </w:r>
      <w:r>
        <w:rPr>
          <w:rFonts w:ascii="Calibri" w:eastAsia="Calibri" w:hAnsi="Calibri" w:cs="Times New Roman"/>
          <w:noProof/>
          <w:sz w:val="20"/>
          <w:lang w:eastAsia="ar-SA"/>
        </w:rPr>
        <w:t xml:space="preserve"> Another pressure is the extraction of sand and gravel in marine waters and some river systems. </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By late 2016, the Belgian Natura 2000 terrestrial network is considered to be largely complete: 12.7 % of the national land area of Belgium is covered by Natur</w:t>
      </w:r>
      <w:r>
        <w:rPr>
          <w:rFonts w:ascii="Calibri" w:eastAsia="Calibri" w:hAnsi="Calibri" w:cs="Times New Roman"/>
          <w:noProof/>
          <w:sz w:val="20"/>
          <w:lang w:eastAsia="ar-SA"/>
        </w:rPr>
        <w:t xml:space="preserve">a 2000 sites (EU average 18.1 %), with Birds Directive SPAs covering 10.4 % of the national territory (EU average 12.3 %) and Habitats Directive SCIs covering 10.7% (EU average 13.8 %). </w:t>
      </w:r>
    </w:p>
    <w:p w:rsidR="0017500B" w:rsidRDefault="00390F61">
      <w:pPr>
        <w:widowControl w:val="0"/>
        <w:suppressAutoHyphens/>
        <w:spacing w:after="120" w:line="240" w:lineRule="auto"/>
        <w:jc w:val="both"/>
        <w:rPr>
          <w:rFonts w:ascii="Calibri" w:eastAsia="Calibri" w:hAnsi="Calibri" w:cs="Times New Roman"/>
          <w:b/>
          <w:noProof/>
          <w:color w:val="1F497D"/>
          <w:sz w:val="20"/>
          <w:lang w:eastAsia="ar-SA"/>
        </w:rPr>
      </w:pPr>
      <w:r>
        <w:rPr>
          <w:rFonts w:ascii="Calibri" w:eastAsia="Calibri" w:hAnsi="Calibri" w:cs="Times New Roman"/>
          <w:noProof/>
          <w:sz w:val="20"/>
          <w:lang w:eastAsia="ar-SA"/>
        </w:rPr>
        <w:t>However, the latest assessment</w:t>
      </w:r>
      <w:r>
        <w:rPr>
          <w:rFonts w:ascii="Calibri" w:eastAsia="Calibri" w:hAnsi="Calibri" w:cs="Times New Roman"/>
          <w:noProof/>
          <w:sz w:val="20"/>
          <w:vertAlign w:val="superscript"/>
          <w:lang w:val="en" w:eastAsia="ar-SA"/>
        </w:rPr>
        <w:footnoteReference w:id="57"/>
      </w:r>
      <w:r>
        <w:rPr>
          <w:rFonts w:ascii="Calibri" w:eastAsia="Calibri" w:hAnsi="Calibri" w:cs="Times New Roman"/>
          <w:noProof/>
          <w:sz w:val="20"/>
          <w:lang w:eastAsia="ar-SA"/>
        </w:rPr>
        <w:t xml:space="preserve"> of the Sites of Community Importance </w:t>
      </w:r>
      <w:r>
        <w:rPr>
          <w:rFonts w:ascii="Calibri" w:eastAsia="Calibri" w:hAnsi="Calibri" w:cs="Times New Roman"/>
          <w:noProof/>
          <w:sz w:val="20"/>
          <w:lang w:eastAsia="ar-SA"/>
        </w:rPr>
        <w:t>(SCIs) part of the Natura 2000 network showed that, by early 2014, there were still insufficiencies in designation for the marine components of the network as shown in Figure 5</w:t>
      </w:r>
      <w:r>
        <w:rPr>
          <w:rStyle w:val="FootnoteReference"/>
          <w:rFonts w:ascii="Calibri" w:eastAsia="Calibri" w:hAnsi="Calibri" w:cs="Times New Roman"/>
          <w:noProof/>
          <w:sz w:val="20"/>
          <w:lang w:eastAsia="ar-SA"/>
        </w:rPr>
        <w:footnoteReference w:id="58"/>
      </w:r>
      <w:r>
        <w:rPr>
          <w:rFonts w:ascii="Calibri" w:eastAsia="Calibri" w:hAnsi="Calibri" w:cs="Times New Roman"/>
          <w:noProof/>
          <w:sz w:val="20"/>
          <w:lang w:eastAsia="ar-SA"/>
        </w:rPr>
        <w:t xml:space="preserve">. </w:t>
      </w:r>
    </w:p>
    <w:tbl>
      <w:tblPr>
        <w:tblW w:w="0" w:type="auto"/>
        <w:tblLayout w:type="fixed"/>
        <w:tblLook w:val="0000" w:firstRow="0" w:lastRow="0" w:firstColumn="0" w:lastColumn="0" w:noHBand="0" w:noVBand="0"/>
      </w:tblPr>
      <w:tblGrid>
        <w:gridCol w:w="4595"/>
      </w:tblGrid>
      <w:tr w:rsidR="0017500B">
        <w:trPr>
          <w:trHeight w:val="537"/>
        </w:trPr>
        <w:tc>
          <w:tcPr>
            <w:tcW w:w="4595" w:type="dxa"/>
            <w:shd w:val="clear" w:color="auto" w:fill="auto"/>
          </w:tcPr>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b/>
                <w:noProof/>
                <w:color w:val="1F497D"/>
                <w:sz w:val="20"/>
                <w:lang w:eastAsia="ar-SA"/>
              </w:rPr>
              <w:t xml:space="preserve">Figure 5: Sufficiency assessment of SCI networks in Belgium </w:t>
            </w:r>
            <w:r>
              <w:rPr>
                <w:rFonts w:ascii="Calibri" w:eastAsia="Calibri" w:hAnsi="Calibri" w:cs="Times New Roman"/>
                <w:b/>
                <w:iCs/>
                <w:noProof/>
                <w:color w:val="1F497D"/>
                <w:sz w:val="20"/>
                <w:lang w:eastAsia="ar-SA"/>
              </w:rPr>
              <w:t>based on the sit</w:t>
            </w:r>
            <w:r>
              <w:rPr>
                <w:rFonts w:ascii="Calibri" w:eastAsia="Calibri" w:hAnsi="Calibri" w:cs="Times New Roman"/>
                <w:b/>
                <w:iCs/>
                <w:noProof/>
                <w:color w:val="1F497D"/>
                <w:sz w:val="20"/>
                <w:lang w:eastAsia="ar-SA"/>
              </w:rPr>
              <w:t>uation until December 2013</w:t>
            </w:r>
            <w:r>
              <w:rPr>
                <w:rFonts w:ascii="Calibri" w:eastAsia="Calibri" w:hAnsi="Calibri" w:cs="Times New Roman"/>
                <w:b/>
                <w:noProof/>
                <w:color w:val="1F497D"/>
                <w:sz w:val="20"/>
                <w:lang w:eastAsia="ar-SA"/>
              </w:rPr>
              <w:t xml:space="preserve"> (%)</w:t>
            </w:r>
            <w:r>
              <w:rPr>
                <w:rFonts w:ascii="Calibri" w:eastAsia="Calibri" w:hAnsi="Calibri" w:cs="Times New Roman"/>
                <w:b/>
                <w:noProof/>
                <w:color w:val="1F497D"/>
                <w:vertAlign w:val="superscript"/>
                <w:lang w:eastAsia="ar-SA"/>
              </w:rPr>
              <w:footnoteReference w:id="59"/>
            </w:r>
            <w:r>
              <w:rPr>
                <w:rFonts w:ascii="Calibri" w:eastAsia="Calibri" w:hAnsi="Calibri" w:cs="Times New Roman"/>
                <w:b/>
                <w:noProof/>
                <w:color w:val="1F497D"/>
                <w:sz w:val="20"/>
                <w:lang w:eastAsia="ar-SA"/>
              </w:rPr>
              <w:t xml:space="preserve"> </w:t>
            </w:r>
          </w:p>
        </w:tc>
      </w:tr>
      <w:tr w:rsidR="0017500B">
        <w:trPr>
          <w:trHeight w:val="4161"/>
        </w:trPr>
        <w:tc>
          <w:tcPr>
            <w:tcW w:w="4595" w:type="dxa"/>
            <w:shd w:val="clear" w:color="auto" w:fill="auto"/>
          </w:tcPr>
          <w:p w:rsidR="0017500B" w:rsidRDefault="00390F61">
            <w:pPr>
              <w:widowControl w:val="0"/>
              <w:suppressAutoHyphens/>
              <w:snapToGrid w:val="0"/>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en-GB"/>
              </w:rPr>
              <w:drawing>
                <wp:anchor distT="0" distB="0" distL="114935" distR="114935" simplePos="0" relativeHeight="251659264" behindDoc="0" locked="0" layoutInCell="1" allowOverlap="1" wp14:anchorId="191242F7" wp14:editId="6C9FB540">
                  <wp:simplePos x="0" y="0"/>
                  <wp:positionH relativeFrom="margin">
                    <wp:posOffset>12700</wp:posOffset>
                  </wp:positionH>
                  <wp:positionV relativeFrom="margin">
                    <wp:posOffset>21590</wp:posOffset>
                  </wp:positionV>
                  <wp:extent cx="2854325" cy="2966720"/>
                  <wp:effectExtent l="0" t="0" r="3175"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54325" cy="29667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 xml:space="preserve">In terms of SAC designation, Flanders is outstanding in having all 38 SCIs designated as SACs, with quantified conservation objectives being set both at regional level and at the level of each individual SAC. </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 xml:space="preserve">The </w:t>
      </w:r>
      <w:r>
        <w:rPr>
          <w:rFonts w:ascii="Calibri" w:eastAsia="Calibri" w:hAnsi="Calibri" w:cs="Times New Roman"/>
          <w:noProof/>
          <w:sz w:val="20"/>
          <w:lang w:eastAsia="ar-SA"/>
        </w:rPr>
        <w:t>situation with SAC designation depicted in Figure 5 has improved considerably elsewhere in Belgium.</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By the end of 2016, all 240 SCIs in Wallonia have been designated as SACs</w:t>
      </w:r>
      <w:r>
        <w:rPr>
          <w:rStyle w:val="FootnoteReference"/>
          <w:rFonts w:ascii="Calibri" w:eastAsia="Calibri" w:hAnsi="Calibri" w:cs="Times New Roman"/>
          <w:noProof/>
          <w:sz w:val="20"/>
          <w:lang w:eastAsia="ar-SA"/>
        </w:rPr>
        <w:footnoteReference w:id="60"/>
      </w:r>
      <w:r>
        <w:rPr>
          <w:rFonts w:ascii="Calibri" w:eastAsia="Calibri" w:hAnsi="Calibri" w:cs="Times New Roman"/>
          <w:noProof/>
          <w:sz w:val="20"/>
          <w:lang w:eastAsia="ar-SA"/>
        </w:rPr>
        <w:t xml:space="preserve">. Detailed management prescriptions foreseen for each SAC should lead to an improvement of the conservation status. The Walloon regional Government also adopted a legal act defining conservation objectives at biogeographic regional level. </w:t>
      </w:r>
    </w:p>
    <w:p w:rsidR="0017500B" w:rsidRDefault="00390F61">
      <w:pPr>
        <w:widowControl w:val="0"/>
        <w:suppressAutoHyphens/>
        <w:spacing w:after="120" w:line="240" w:lineRule="auto"/>
        <w:jc w:val="both"/>
        <w:rPr>
          <w:rFonts w:ascii="Calibri" w:eastAsia="Calibri" w:hAnsi="Calibri" w:cs="Times New Roman"/>
          <w:noProof/>
          <w:sz w:val="20"/>
          <w:lang w:val="en-US" w:eastAsia="ar-SA"/>
        </w:rPr>
      </w:pPr>
      <w:r>
        <w:rPr>
          <w:rFonts w:ascii="Calibri" w:eastAsia="Calibri" w:hAnsi="Calibri" w:cs="Times New Roman"/>
          <w:noProof/>
          <w:sz w:val="20"/>
          <w:lang w:eastAsia="ar-SA"/>
        </w:rPr>
        <w:t>All three SCIs o</w:t>
      </w:r>
      <w:r>
        <w:rPr>
          <w:rFonts w:ascii="Calibri" w:eastAsia="Calibri" w:hAnsi="Calibri" w:cs="Times New Roman"/>
          <w:noProof/>
          <w:sz w:val="20"/>
          <w:lang w:eastAsia="ar-SA"/>
        </w:rPr>
        <w:t xml:space="preserve">f the Brussels-Capital Region have now also been designated as SAC, </w:t>
      </w:r>
      <w:r>
        <w:rPr>
          <w:rFonts w:ascii="Calibri" w:eastAsia="Calibri" w:hAnsi="Calibri" w:cs="Times New Roman"/>
          <w:noProof/>
          <w:color w:val="000000"/>
          <w:sz w:val="20"/>
          <w:szCs w:val="20"/>
          <w:lang w:val="en-US" w:eastAsia="ar-SA"/>
        </w:rPr>
        <w:t>with conservation objectives set at the level of each individual SCI.</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The Belgian authorities have informed the Commission that a Federal decree will be issued in early 2017 for designatin</w:t>
      </w:r>
      <w:r>
        <w:rPr>
          <w:rFonts w:ascii="Calibri" w:eastAsia="Calibri" w:hAnsi="Calibri" w:cs="Times New Roman"/>
          <w:noProof/>
          <w:sz w:val="20"/>
          <w:lang w:eastAsia="ar-SA"/>
        </w:rPr>
        <w:t>g the marine SCI "Vlaamse Banken" as a SACs, covering around 30% of the Belgian part of the North Sea.</w:t>
      </w:r>
    </w:p>
    <w:tbl>
      <w:tblPr>
        <w:tblW w:w="0" w:type="auto"/>
        <w:tblLayout w:type="fixed"/>
        <w:tblLook w:val="0000" w:firstRow="0" w:lastRow="0" w:firstColumn="0" w:lastColumn="0" w:noHBand="0" w:noVBand="0"/>
      </w:tblPr>
      <w:tblGrid>
        <w:gridCol w:w="4563"/>
      </w:tblGrid>
      <w:tr w:rsidR="0017500B">
        <w:trPr>
          <w:trHeight w:val="489"/>
        </w:trPr>
        <w:tc>
          <w:tcPr>
            <w:tcW w:w="4563" w:type="dxa"/>
            <w:shd w:val="clear" w:color="auto" w:fill="auto"/>
          </w:tcPr>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b/>
                <w:noProof/>
                <w:color w:val="1F497D"/>
                <w:sz w:val="20"/>
                <w:lang w:eastAsia="ar-SA"/>
              </w:rPr>
              <w:t>Figure 6: Conservation status of habitats and species in Belgium in 2007/2013 (%)</w:t>
            </w:r>
            <w:r>
              <w:rPr>
                <w:rFonts w:ascii="Calibri" w:eastAsia="Calibri" w:hAnsi="Calibri" w:cs="Times New Roman"/>
                <w:b/>
                <w:noProof/>
                <w:color w:val="1F497D"/>
                <w:vertAlign w:val="superscript"/>
                <w:lang w:eastAsia="ar-SA"/>
              </w:rPr>
              <w:footnoteReference w:id="61"/>
            </w:r>
          </w:p>
        </w:tc>
      </w:tr>
      <w:tr w:rsidR="0017500B">
        <w:trPr>
          <w:trHeight w:val="3697"/>
        </w:trPr>
        <w:tc>
          <w:tcPr>
            <w:tcW w:w="4563" w:type="dxa"/>
            <w:shd w:val="clear" w:color="auto" w:fill="auto"/>
          </w:tcPr>
          <w:p w:rsidR="0017500B" w:rsidRDefault="00390F61">
            <w:pPr>
              <w:widowControl w:val="0"/>
              <w:suppressAutoHyphens/>
              <w:snapToGrid w:val="0"/>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en-GB"/>
              </w:rPr>
              <w:drawing>
                <wp:inline distT="0" distB="0" distL="0" distR="0" wp14:anchorId="45F948F1" wp14:editId="07702696">
                  <wp:extent cx="2965622" cy="3303644"/>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67390" cy="3305614"/>
                          </a:xfrm>
                          <a:prstGeom prst="rect">
                            <a:avLst/>
                          </a:prstGeom>
                          <a:noFill/>
                        </pic:spPr>
                      </pic:pic>
                    </a:graphicData>
                  </a:graphic>
                </wp:inline>
              </w:drawing>
            </w:r>
          </w:p>
        </w:tc>
      </w:tr>
    </w:tbl>
    <w:p w:rsidR="0017500B" w:rsidRDefault="00390F61">
      <w:pPr>
        <w:widowControl w:val="0"/>
        <w:suppressAutoHyphens/>
        <w:spacing w:after="120" w:line="240" w:lineRule="auto"/>
        <w:jc w:val="both"/>
        <w:rPr>
          <w:rFonts w:ascii="Calibri" w:eastAsia="Calibri" w:hAnsi="Calibri" w:cs="Times New Roman"/>
          <w:noProof/>
          <w:sz w:val="20"/>
          <w:szCs w:val="20"/>
          <w:lang w:eastAsia="ar-SA"/>
        </w:rPr>
      </w:pPr>
      <w:r>
        <w:rPr>
          <w:rFonts w:ascii="Calibri" w:eastAsia="Calibri" w:hAnsi="Calibri" w:cs="Times New Roman"/>
          <w:noProof/>
          <w:sz w:val="20"/>
          <w:lang w:eastAsia="ar-SA"/>
        </w:rPr>
        <w:t xml:space="preserve">According to the latest report on the conservation status of </w:t>
      </w:r>
      <w:r>
        <w:rPr>
          <w:rFonts w:ascii="Calibri" w:eastAsia="Calibri" w:hAnsi="Calibri" w:cs="Times New Roman"/>
          <w:noProof/>
          <w:sz w:val="20"/>
          <w:lang w:eastAsia="ar-SA"/>
        </w:rPr>
        <w:t>habitats and species covered by the Habitats Directive</w:t>
      </w:r>
      <w:r>
        <w:rPr>
          <w:rFonts w:ascii="Calibri" w:eastAsia="Calibri" w:hAnsi="Calibri" w:cs="Times New Roman"/>
          <w:noProof/>
          <w:szCs w:val="20"/>
          <w:vertAlign w:val="superscript"/>
          <w:lang w:eastAsia="ar-SA"/>
        </w:rPr>
        <w:footnoteReference w:id="62"/>
      </w:r>
      <w:r>
        <w:rPr>
          <w:rFonts w:ascii="Calibri" w:eastAsia="Calibri" w:hAnsi="Calibri" w:cs="Times New Roman"/>
          <w:noProof/>
          <w:sz w:val="20"/>
          <w:lang w:eastAsia="ar-SA"/>
        </w:rPr>
        <w:t xml:space="preserve">, </w:t>
      </w:r>
      <w:r>
        <w:rPr>
          <w:rFonts w:ascii="Calibri" w:eastAsia="Calibri" w:hAnsi="Calibri" w:cs="Times New Roman"/>
          <w:noProof/>
          <w:sz w:val="20"/>
          <w:szCs w:val="20"/>
          <w:lang w:eastAsia="ar-SA"/>
        </w:rPr>
        <w:t xml:space="preserve">8.6% of the habitats' biogeographic assessments were favourable in 2013 in Belgium </w:t>
      </w:r>
      <w:r>
        <w:rPr>
          <w:rFonts w:ascii="Calibri" w:eastAsia="Calibri" w:hAnsi="Calibri" w:cs="Times New Roman"/>
          <w:noProof/>
          <w:sz w:val="20"/>
          <w:lang w:eastAsia="ar-SA"/>
        </w:rPr>
        <w:t>(EU 27: 16 %).</w:t>
      </w:r>
      <w:r>
        <w:rPr>
          <w:rFonts w:ascii="Calibri" w:eastAsia="Calibri" w:hAnsi="Calibri" w:cs="Times New Roman"/>
          <w:noProof/>
          <w:sz w:val="20"/>
          <w:szCs w:val="20"/>
          <w:lang w:eastAsia="ar-SA"/>
        </w:rPr>
        <w:t xml:space="preserve"> </w:t>
      </w:r>
      <w:r>
        <w:rPr>
          <w:rFonts w:ascii="Calibri" w:eastAsia="Calibri" w:hAnsi="Calibri" w:cs="Times New Roman"/>
          <w:noProof/>
          <w:sz w:val="20"/>
          <w:lang w:eastAsia="ar-SA"/>
        </w:rPr>
        <w:t>Furthermore, 17 % are considered to be unfavourable–inadequate</w:t>
      </w:r>
      <w:r>
        <w:rPr>
          <w:rFonts w:ascii="Calibri" w:eastAsia="Calibri" w:hAnsi="Calibri" w:cs="Times New Roman"/>
          <w:noProof/>
          <w:szCs w:val="20"/>
          <w:vertAlign w:val="superscript"/>
          <w:lang w:eastAsia="ar-SA"/>
        </w:rPr>
        <w:footnoteReference w:id="63"/>
      </w:r>
      <w:r>
        <w:rPr>
          <w:rFonts w:ascii="Calibri" w:eastAsia="Calibri" w:hAnsi="Calibri" w:cs="Times New Roman"/>
          <w:noProof/>
          <w:sz w:val="20"/>
          <w:lang w:eastAsia="ar-SA"/>
        </w:rPr>
        <w:t xml:space="preserve"> (EU27: 47%) and 73 % are unfavourable – bad (EU27: 30%). </w:t>
      </w:r>
      <w:r>
        <w:rPr>
          <w:rFonts w:ascii="Calibri" w:eastAsia="Calibri" w:hAnsi="Calibri" w:cs="Times New Roman"/>
          <w:noProof/>
          <w:sz w:val="20"/>
          <w:szCs w:val="20"/>
          <w:lang w:eastAsia="ar-SA"/>
        </w:rPr>
        <w:t xml:space="preserve">As for the non-bird species, 19.2 % of the assessments were favourable in 2013 (EU 27: 23%) </w:t>
      </w:r>
      <w:r>
        <w:rPr>
          <w:rFonts w:ascii="Calibri" w:eastAsia="Calibri" w:hAnsi="Calibri" w:cs="Times New Roman"/>
          <w:noProof/>
          <w:sz w:val="20"/>
          <w:lang w:eastAsia="ar-SA"/>
        </w:rPr>
        <w:t xml:space="preserve">26 % at unfavourable-inadequate (EU27: 42%) and 42% unfavourable-bad status (EU27: 18%). This is depicted </w:t>
      </w:r>
      <w:r>
        <w:rPr>
          <w:rFonts w:ascii="Calibri" w:eastAsia="Calibri" w:hAnsi="Calibri" w:cs="Times New Roman"/>
          <w:noProof/>
          <w:sz w:val="20"/>
          <w:lang w:eastAsia="ar-SA"/>
        </w:rPr>
        <w:t>in Figure 6</w:t>
      </w:r>
      <w:r>
        <w:rPr>
          <w:rFonts w:ascii="Calibri" w:eastAsia="Calibri" w:hAnsi="Calibri" w:cs="Times New Roman"/>
          <w:noProof/>
          <w:vertAlign w:val="superscript"/>
          <w:lang w:eastAsia="ar-SA"/>
        </w:rPr>
        <w:footnoteReference w:id="64"/>
      </w:r>
      <w:r>
        <w:rPr>
          <w:rFonts w:ascii="Calibri" w:eastAsia="Calibri" w:hAnsi="Calibri" w:cs="Times New Roman"/>
          <w:noProof/>
          <w:sz w:val="20"/>
          <w:lang w:eastAsia="ar-SA"/>
        </w:rPr>
        <w:t xml:space="preserve">. </w:t>
      </w:r>
      <w:r>
        <w:rPr>
          <w:rFonts w:ascii="Calibri" w:eastAsia="Calibri" w:hAnsi="Calibri" w:cs="Times New Roman"/>
          <w:noProof/>
          <w:sz w:val="20"/>
          <w:szCs w:val="20"/>
          <w:lang w:eastAsia="ar-SA"/>
        </w:rPr>
        <w:t xml:space="preserve">Moreover, 27% and 29.7 % of the unfavourable assessments respectively for species and habitats were showing a positive trend in 2013. </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For the period 2007-13, the Habitats Directive's Article 17 conservation status report for the Region of Wa</w:t>
      </w:r>
      <w:r>
        <w:rPr>
          <w:rFonts w:ascii="Calibri" w:eastAsia="Calibri" w:hAnsi="Calibri" w:cs="Times New Roman"/>
          <w:noProof/>
          <w:sz w:val="20"/>
          <w:lang w:eastAsia="ar-SA"/>
        </w:rPr>
        <w:t>llonia</w:t>
      </w:r>
      <w:r>
        <w:rPr>
          <w:rFonts w:ascii="Calibri" w:eastAsia="Calibri" w:hAnsi="Calibri" w:cs="Times New Roman"/>
          <w:noProof/>
          <w:vertAlign w:val="superscript"/>
          <w:lang w:eastAsia="ar-SA"/>
        </w:rPr>
        <w:footnoteReference w:id="65"/>
      </w:r>
      <w:r>
        <w:rPr>
          <w:rFonts w:ascii="Calibri" w:eastAsia="Calibri" w:hAnsi="Calibri" w:cs="Times New Roman"/>
          <w:noProof/>
          <w:sz w:val="20"/>
          <w:lang w:eastAsia="ar-SA"/>
        </w:rPr>
        <w:t xml:space="preserve"> indicated rapid area losses for two grassland habitat types, even inside Natura 2000 sites. On the other hand, the same report also indicated measurable improvements for less widespread but important habitat types in terms of biodiversity conservat</w:t>
      </w:r>
      <w:r>
        <w:rPr>
          <w:rFonts w:ascii="Calibri" w:eastAsia="Calibri" w:hAnsi="Calibri" w:cs="Times New Roman"/>
          <w:noProof/>
          <w:sz w:val="20"/>
          <w:lang w:eastAsia="ar-SA"/>
        </w:rPr>
        <w:t>ion, mostly attributable to LIFE-funded habitat restoration projects in the Ardennes region.</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 xml:space="preserve">As far as birds are concerned, </w:t>
      </w:r>
      <w:r>
        <w:rPr>
          <w:rFonts w:ascii="Calibri" w:eastAsia="Calibri" w:hAnsi="Calibri" w:cs="Times New Roman"/>
          <w:noProof/>
          <w:sz w:val="20"/>
          <w:szCs w:val="20"/>
          <w:lang w:eastAsia="ar-SA"/>
        </w:rPr>
        <w:t>66</w:t>
      </w:r>
      <w:r>
        <w:rPr>
          <w:rFonts w:ascii="Calibri" w:eastAsia="Calibri" w:hAnsi="Calibri" w:cs="Times New Roman"/>
          <w:noProof/>
          <w:sz w:val="20"/>
          <w:lang w:eastAsia="ar-SA"/>
        </w:rPr>
        <w:t xml:space="preserve"> % of the breeding species showed short-term increasing or stable population trends (for wintering species this figure was only </w:t>
      </w:r>
      <w:r>
        <w:rPr>
          <w:rFonts w:ascii="Calibri" w:eastAsia="Calibri" w:hAnsi="Calibri" w:cs="Times New Roman"/>
          <w:noProof/>
          <w:sz w:val="20"/>
          <w:szCs w:val="20"/>
          <w:lang w:eastAsia="ar-SA"/>
        </w:rPr>
        <w:t>7</w:t>
      </w:r>
      <w:r>
        <w:rPr>
          <w:rFonts w:ascii="Calibri" w:eastAsia="Calibri" w:hAnsi="Calibri" w:cs="Times New Roman"/>
          <w:noProof/>
          <w:sz w:val="20"/>
          <w:lang w:eastAsia="ar-SA"/>
        </w:rPr>
        <w:t xml:space="preserve"> </w:t>
      </w:r>
      <w:r>
        <w:rPr>
          <w:rFonts w:ascii="Calibri" w:eastAsia="Calibri" w:hAnsi="Calibri" w:cs="Times New Roman"/>
          <w:noProof/>
          <w:sz w:val="20"/>
          <w:lang w:eastAsia="ar-SA"/>
        </w:rPr>
        <w:t xml:space="preserve">%) as shown in Figure 7. </w:t>
      </w:r>
    </w:p>
    <w:tbl>
      <w:tblPr>
        <w:tblW w:w="0" w:type="auto"/>
        <w:tblLayout w:type="fixed"/>
        <w:tblLook w:val="0000" w:firstRow="0" w:lastRow="0" w:firstColumn="0" w:lastColumn="0" w:noHBand="0" w:noVBand="0"/>
      </w:tblPr>
      <w:tblGrid>
        <w:gridCol w:w="4701"/>
      </w:tblGrid>
      <w:tr w:rsidR="0017500B">
        <w:trPr>
          <w:trHeight w:val="619"/>
        </w:trPr>
        <w:tc>
          <w:tcPr>
            <w:tcW w:w="4701" w:type="dxa"/>
            <w:shd w:val="clear" w:color="auto" w:fill="auto"/>
          </w:tcPr>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 xml:space="preserve"> </w:t>
            </w:r>
            <w:r>
              <w:rPr>
                <w:rFonts w:ascii="Calibri" w:eastAsia="Calibri" w:hAnsi="Calibri" w:cs="Times New Roman"/>
                <w:b/>
                <w:noProof/>
                <w:color w:val="1F497D"/>
                <w:sz w:val="20"/>
                <w:lang w:eastAsia="ar-SA"/>
              </w:rPr>
              <w:t>Figure 7: Short-term population trend of breeding and wintering bird species in Belgium in 2012 (%)</w:t>
            </w:r>
            <w:r>
              <w:rPr>
                <w:rFonts w:ascii="Calibri" w:eastAsia="Calibri" w:hAnsi="Calibri" w:cs="Times New Roman"/>
                <w:b/>
                <w:noProof/>
                <w:color w:val="1F497D"/>
                <w:vertAlign w:val="superscript"/>
                <w:lang w:eastAsia="ar-SA"/>
              </w:rPr>
              <w:footnoteReference w:id="66"/>
            </w:r>
          </w:p>
        </w:tc>
      </w:tr>
      <w:tr w:rsidR="0017500B">
        <w:trPr>
          <w:trHeight w:val="3251"/>
        </w:trPr>
        <w:tc>
          <w:tcPr>
            <w:tcW w:w="4701" w:type="dxa"/>
            <w:shd w:val="clear" w:color="auto" w:fill="auto"/>
          </w:tcPr>
          <w:p w:rsidR="0017500B" w:rsidRDefault="00390F61">
            <w:pPr>
              <w:widowControl w:val="0"/>
              <w:suppressAutoHyphens/>
              <w:snapToGrid w:val="0"/>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en-GB"/>
              </w:rPr>
              <w:drawing>
                <wp:anchor distT="0" distB="0" distL="114935" distR="114935" simplePos="0" relativeHeight="251660288" behindDoc="0" locked="0" layoutInCell="1" allowOverlap="1" wp14:anchorId="74850495" wp14:editId="2E0DBBE5">
                  <wp:simplePos x="0" y="0"/>
                  <wp:positionH relativeFrom="margin">
                    <wp:posOffset>40640</wp:posOffset>
                  </wp:positionH>
                  <wp:positionV relativeFrom="margin">
                    <wp:posOffset>102870</wp:posOffset>
                  </wp:positionV>
                  <wp:extent cx="2842895" cy="200406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42895" cy="20040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 xml:space="preserve">High emission levels of farm-based nitrogen into Natura 2000 sites remains an issue of concern, particularly in the lowland </w:t>
      </w:r>
      <w:r>
        <w:rPr>
          <w:rFonts w:ascii="Calibri" w:eastAsia="Calibri" w:hAnsi="Calibri" w:cs="Times New Roman"/>
          <w:noProof/>
          <w:sz w:val="20"/>
          <w:lang w:eastAsia="ar-SA"/>
        </w:rPr>
        <w:t>parts of Belgium</w:t>
      </w:r>
      <w:r>
        <w:rPr>
          <w:rStyle w:val="FootnoteReference"/>
          <w:rFonts w:ascii="Calibri" w:eastAsia="Calibri" w:hAnsi="Calibri" w:cs="Times New Roman"/>
          <w:noProof/>
          <w:sz w:val="20"/>
          <w:lang w:eastAsia="ar-SA"/>
        </w:rPr>
        <w:footnoteReference w:id="67"/>
      </w:r>
      <w:r>
        <w:rPr>
          <w:rFonts w:ascii="Calibri" w:eastAsia="Calibri" w:hAnsi="Calibri" w:cs="Times New Roman"/>
          <w:noProof/>
          <w:sz w:val="20"/>
          <w:lang w:eastAsia="ar-SA"/>
        </w:rPr>
        <w:t>. A strategic nitrogen abatement programme is scheduled to be launched in Flanders, and is expected to lead to a progressive reduction of nitrogen emissions into Natura 2000 sites over the coming decades.</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 xml:space="preserve">Compared to the EU average, the number of complaints related to the EU Nature Directives is rather low in all Belgian regions. </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 xml:space="preserve">Belgium has benefited from EU funding under LIFE-Nature, thanks to a strong network of Nature NGOs and public authorities pursuing a strong restoration agenda. Conservation strategies in Belgium are strongly based on land purchase and habitat restoration. </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 xml:space="preserve">In early 2016, a LIFE Belgian Nature Integrated Project (BNIP) was granted, to support the implementation of the Prioritised Action Framework (PAF) of Flanders, Wallonia and the Federal Marine Division. This project will be focussing on measures aimed at </w:t>
      </w:r>
      <w:r>
        <w:rPr>
          <w:rFonts w:ascii="Calibri" w:eastAsia="Calibri" w:hAnsi="Calibri" w:cs="Times New Roman"/>
          <w:noProof/>
          <w:sz w:val="20"/>
          <w:lang w:eastAsia="ar-SA"/>
        </w:rPr>
        <w:t xml:space="preserve">the management of the Natura 2000 network, through improved governance, capacity building and collaboration between the Flemish, Walloon and Federal authorities. It also aims to improve stakeholder involvement, and to implement specific objectives such as </w:t>
      </w:r>
      <w:r>
        <w:rPr>
          <w:rFonts w:ascii="Calibri" w:eastAsia="Calibri" w:hAnsi="Calibri" w:cs="Times New Roman"/>
          <w:noProof/>
          <w:sz w:val="20"/>
          <w:lang w:eastAsia="ar-SA"/>
        </w:rPr>
        <w:t>developing integrated site management plans, monitoring</w:t>
      </w:r>
      <w:r>
        <w:rPr>
          <w:rFonts w:ascii="Calibri" w:eastAsia="Calibri" w:hAnsi="Calibri" w:cs="Times New Roman"/>
          <w:noProof/>
          <w:sz w:val="20"/>
          <w:vertAlign w:val="superscript"/>
          <w:lang w:eastAsia="ar-SA"/>
        </w:rPr>
        <w:footnoteReference w:id="68"/>
      </w:r>
      <w:r>
        <w:rPr>
          <w:rFonts w:ascii="Calibri" w:eastAsia="Calibri" w:hAnsi="Calibri" w:cs="Times New Roman"/>
          <w:noProof/>
          <w:sz w:val="20"/>
          <w:lang w:eastAsia="ar-SA"/>
        </w:rPr>
        <w:t xml:space="preserve"> and database systems.</w:t>
      </w:r>
    </w:p>
    <w:p w:rsidR="0017500B" w:rsidRDefault="00390F61">
      <w:pPr>
        <w:widowControl w:val="0"/>
        <w:suppressAutoHyphens/>
        <w:spacing w:after="120" w:line="240" w:lineRule="auto"/>
        <w:jc w:val="both"/>
        <w:rPr>
          <w:rFonts w:ascii="Calibri" w:eastAsia="Calibri" w:hAnsi="Calibri" w:cs="Times New Roman"/>
          <w:noProof/>
          <w:color w:val="1F497D"/>
          <w:lang w:eastAsia="ar-SA"/>
        </w:rPr>
      </w:pPr>
      <w:r>
        <w:rPr>
          <w:rFonts w:ascii="Calibri" w:eastAsia="Calibri" w:hAnsi="Calibri" w:cs="Times New Roman"/>
          <w:noProof/>
          <w:sz w:val="20"/>
          <w:lang w:eastAsia="ar-SA"/>
        </w:rPr>
        <w:t xml:space="preserve">Due to the extensive range of Natura 2000 sites restoration measures carried out since 2003 in the frame of six coordinated LIFE projects covering several thousands of hectares </w:t>
      </w:r>
      <w:r>
        <w:rPr>
          <w:rFonts w:ascii="Calibri" w:eastAsia="Calibri" w:hAnsi="Calibri" w:cs="Times New Roman"/>
          <w:noProof/>
          <w:sz w:val="20"/>
          <w:lang w:eastAsia="ar-SA"/>
        </w:rPr>
        <w:t>of peat bogs and wetlands in the Belgian Ardennes</w:t>
      </w:r>
      <w:r>
        <w:rPr>
          <w:rFonts w:ascii="Calibri" w:eastAsia="Calibri" w:hAnsi="Calibri" w:cs="Times New Roman"/>
          <w:noProof/>
          <w:sz w:val="20"/>
          <w:vertAlign w:val="superscript"/>
          <w:lang w:eastAsia="ar-SA"/>
        </w:rPr>
        <w:footnoteReference w:id="69"/>
      </w:r>
      <w:r>
        <w:rPr>
          <w:rFonts w:ascii="Calibri" w:eastAsia="Calibri" w:hAnsi="Calibri" w:cs="Times New Roman"/>
          <w:noProof/>
          <w:sz w:val="20"/>
          <w:lang w:eastAsia="ar-SA"/>
        </w:rPr>
        <w:t>, the Belgian authorities were able to report, in 2013, significant positive trends in the conservation status of a dozen different habitat types and associated species protected by the EU Habitats Directiv</w:t>
      </w:r>
      <w:r>
        <w:rPr>
          <w:rFonts w:ascii="Calibri" w:eastAsia="Calibri" w:hAnsi="Calibri" w:cs="Times New Roman"/>
          <w:noProof/>
          <w:sz w:val="20"/>
          <w:lang w:eastAsia="ar-SA"/>
        </w:rPr>
        <w:t>e</w:t>
      </w:r>
      <w:r>
        <w:rPr>
          <w:rFonts w:ascii="Calibri" w:eastAsia="Calibri" w:hAnsi="Calibri" w:cs="Times New Roman"/>
          <w:noProof/>
          <w:sz w:val="20"/>
          <w:vertAlign w:val="superscript"/>
          <w:lang w:eastAsia="ar-SA"/>
        </w:rPr>
        <w:footnoteReference w:id="70"/>
      </w:r>
      <w:r>
        <w:rPr>
          <w:rFonts w:ascii="Calibri" w:eastAsia="Calibri" w:hAnsi="Calibri" w:cs="Times New Roman"/>
          <w:noProof/>
          <w:sz w:val="20"/>
          <w:lang w:eastAsia="ar-SA"/>
        </w:rPr>
        <w:t>.</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color w:val="1F497D"/>
          <w:lang w:eastAsia="ar-SA"/>
        </w:rPr>
        <w:t>Suggested action</w:t>
      </w:r>
    </w:p>
    <w:p w:rsidR="0017500B" w:rsidRDefault="00390F61">
      <w:pPr>
        <w:pStyle w:val="ListParagraph"/>
        <w:numPr>
          <w:ilvl w:val="0"/>
          <w:numId w:val="41"/>
        </w:numPr>
        <w:ind w:left="240" w:hanging="240"/>
        <w:rPr>
          <w:rStyle w:val="Strong"/>
          <w:noProof/>
        </w:rPr>
      </w:pPr>
      <w:r>
        <w:rPr>
          <w:rStyle w:val="Strong"/>
          <w:noProof/>
        </w:rPr>
        <w:t>Make further efforts to ensure that the Natura 2000 network is managed towards favourable conservation status of protected habitats and species, especially by reducing the pressures from agriculture.</w:t>
      </w:r>
    </w:p>
    <w:p w:rsidR="0017500B" w:rsidRDefault="00390F61">
      <w:pPr>
        <w:widowControl w:val="0"/>
        <w:suppressAutoHyphens/>
        <w:spacing w:before="360" w:after="120" w:line="240" w:lineRule="auto"/>
        <w:jc w:val="both"/>
        <w:outlineLvl w:val="1"/>
        <w:rPr>
          <w:rFonts w:ascii="Calibri" w:eastAsia="Calibri" w:hAnsi="Calibri" w:cs="Times New Roman"/>
          <w:b/>
          <w:noProof/>
          <w:color w:val="1F497D"/>
          <w:sz w:val="24"/>
          <w:lang w:eastAsia="ar-SA"/>
        </w:rPr>
      </w:pPr>
      <w:bookmarkStart w:id="9" w:name="_Toc469477490"/>
      <w:r>
        <w:rPr>
          <w:rFonts w:ascii="Calibri" w:eastAsia="Calibri" w:hAnsi="Calibri" w:cs="Times New Roman"/>
          <w:b/>
          <w:noProof/>
          <w:color w:val="1F497D"/>
          <w:lang w:eastAsia="ar-SA"/>
        </w:rPr>
        <w:t>Estimating Natural Capital</w:t>
      </w:r>
      <w:bookmarkEnd w:id="9"/>
      <w:r>
        <w:rPr>
          <w:rFonts w:ascii="Calibri" w:eastAsia="Calibri" w:hAnsi="Calibri" w:cs="Times New Roman"/>
          <w:b/>
          <w:noProof/>
          <w:color w:val="1F497D"/>
          <w:lang w:eastAsia="ar-SA"/>
        </w:rPr>
        <w:t xml:space="preserve"> </w:t>
      </w:r>
    </w:p>
    <w:p w:rsidR="0017500B" w:rsidRDefault="00390F61">
      <w:pPr>
        <w:widowControl w:val="0"/>
        <w:suppressAutoHyphens/>
        <w:spacing w:after="120" w:line="240" w:lineRule="auto"/>
        <w:jc w:val="both"/>
        <w:rPr>
          <w:rFonts w:ascii="Calibri" w:eastAsia="Calibri" w:hAnsi="Calibri" w:cs="Times New Roman"/>
          <w:iCs/>
          <w:noProof/>
          <w:sz w:val="20"/>
          <w:lang w:eastAsia="ar-SA"/>
        </w:rPr>
      </w:pPr>
      <w:r>
        <w:rPr>
          <w:rFonts w:ascii="Calibri" w:eastAsia="Calibri" w:hAnsi="Calibri" w:cs="Times New Roman"/>
          <w:iCs/>
          <w:noProof/>
          <w:sz w:val="20"/>
          <w:lang w:eastAsia="ar-SA"/>
        </w:rPr>
        <w:t xml:space="preserve">The EU </w:t>
      </w:r>
      <w:r>
        <w:rPr>
          <w:rFonts w:ascii="Calibri" w:eastAsia="Calibri" w:hAnsi="Calibri" w:cs="Times New Roman"/>
          <w:iCs/>
          <w:noProof/>
          <w:sz w:val="20"/>
          <w:lang w:eastAsia="ar-SA"/>
        </w:rPr>
        <w:t>Biodiversity Strategy to 2020 calls on the Member States to map and asses the state of ecosystems and their services in their national territory by 2014, assess the economic value of such services, and promote the integration of these values into accountin</w:t>
      </w:r>
      <w:r>
        <w:rPr>
          <w:rFonts w:ascii="Calibri" w:eastAsia="Calibri" w:hAnsi="Calibri" w:cs="Times New Roman"/>
          <w:iCs/>
          <w:noProof/>
          <w:sz w:val="20"/>
          <w:lang w:eastAsia="ar-SA"/>
        </w:rPr>
        <w:t>g and reporting systems at EU and national level by 2020.</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The Belgian MAES (Mapping and Assessment of Ecosystems and their Services) Working Group</w:t>
      </w:r>
      <w:r>
        <w:rPr>
          <w:rFonts w:ascii="Calibri" w:eastAsia="Calibri" w:hAnsi="Calibri" w:cs="Times New Roman"/>
          <w:noProof/>
          <w:sz w:val="20"/>
          <w:vertAlign w:val="superscript"/>
          <w:lang w:eastAsia="ar-SA"/>
        </w:rPr>
        <w:footnoteReference w:id="71"/>
      </w:r>
      <w:r>
        <w:rPr>
          <w:rFonts w:ascii="Calibri" w:eastAsia="Calibri" w:hAnsi="Calibri" w:cs="Times New Roman"/>
          <w:noProof/>
          <w:sz w:val="20"/>
          <w:lang w:eastAsia="ar-SA"/>
        </w:rPr>
        <w:t xml:space="preserve"> contributes to the work on an integrated system for Natural Capital Accounting, in the framework of a Knowledge Innovation Project on Natural Capital Accounting (MAES KIP-INCA). Belgium is networking and collaborating within a BENELUX MAES initiative. </w:t>
      </w:r>
      <w:r>
        <w:rPr>
          <w:rFonts w:ascii="Calibri" w:eastAsia="Calibri" w:hAnsi="Calibri" w:cs="Times New Roman"/>
          <w:noProof/>
          <w:sz w:val="20"/>
          <w:lang w:val="en" w:eastAsia="ar-SA"/>
        </w:rPr>
        <w:t xml:space="preserve">At </w:t>
      </w:r>
      <w:r>
        <w:rPr>
          <w:rFonts w:ascii="Calibri" w:eastAsia="Calibri" w:hAnsi="Calibri" w:cs="Times New Roman"/>
          <w:noProof/>
          <w:sz w:val="20"/>
          <w:lang w:val="en" w:eastAsia="ar-SA"/>
        </w:rPr>
        <w:t>the end of 2014 the first BEES (Belgium Ecosystem Services Network) Christmas market was organized with great success and repeated in 2015 in collaboration with the EU MAES Working Group</w:t>
      </w:r>
      <w:r>
        <w:rPr>
          <w:rFonts w:ascii="Calibri" w:eastAsia="Calibri" w:hAnsi="Calibri" w:cs="Times New Roman"/>
          <w:noProof/>
          <w:vertAlign w:val="superscript"/>
          <w:lang w:val="en" w:eastAsia="ar-SA"/>
        </w:rPr>
        <w:footnoteReference w:id="72"/>
      </w:r>
      <w:r>
        <w:rPr>
          <w:rFonts w:ascii="Calibri" w:eastAsia="Calibri" w:hAnsi="Calibri" w:cs="Times New Roman"/>
          <w:noProof/>
          <w:sz w:val="20"/>
          <w:lang w:val="en" w:eastAsia="ar-SA"/>
        </w:rPr>
        <w:t xml:space="preserve">. </w:t>
      </w:r>
      <w:r>
        <w:rPr>
          <w:rFonts w:ascii="Calibri" w:eastAsia="Calibri" w:hAnsi="Calibri" w:cs="Calibri"/>
          <w:noProof/>
          <w:sz w:val="20"/>
          <w:szCs w:val="20"/>
          <w:lang w:val="en" w:eastAsia="ar-SA"/>
        </w:rPr>
        <w:t>The BEES network is now merging with other related processes and ne</w:t>
      </w:r>
      <w:r>
        <w:rPr>
          <w:rFonts w:ascii="Calibri" w:eastAsia="Calibri" w:hAnsi="Calibri" w:cs="Calibri"/>
          <w:noProof/>
          <w:sz w:val="20"/>
          <w:szCs w:val="20"/>
          <w:lang w:val="en" w:eastAsia="ar-SA"/>
        </w:rPr>
        <w:t>tworks into the BEES International Working Group.</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The Flanders' Nature Report, a regional ecosystem assessment (REA), was presented to the Flemish government in February 2015</w:t>
      </w:r>
      <w:r>
        <w:rPr>
          <w:rFonts w:ascii="Calibri" w:eastAsia="Calibri" w:hAnsi="Calibri" w:cs="Times New Roman"/>
          <w:noProof/>
          <w:sz w:val="20"/>
          <w:vertAlign w:val="superscript"/>
          <w:lang w:eastAsia="ar-SA"/>
        </w:rPr>
        <w:footnoteReference w:id="73"/>
      </w:r>
      <w:r>
        <w:rPr>
          <w:rFonts w:ascii="Calibri" w:eastAsia="Calibri" w:hAnsi="Calibri" w:cs="Times New Roman"/>
          <w:noProof/>
          <w:sz w:val="20"/>
          <w:lang w:eastAsia="ar-SA"/>
        </w:rPr>
        <w:t>, including an interactive mapping tool with GIS data. Flanders REA stage II shou</w:t>
      </w:r>
      <w:r>
        <w:rPr>
          <w:rFonts w:ascii="Calibri" w:eastAsia="Calibri" w:hAnsi="Calibri" w:cs="Times New Roman"/>
          <w:noProof/>
          <w:sz w:val="20"/>
          <w:lang w:eastAsia="ar-SA"/>
        </w:rPr>
        <w:t xml:space="preserve">ld have been completed by the end of 2016 under the theme ‘Co-operating with Landscapes'. Stage III will develop a map and evaluate alternative scenarios for Green Infrastructure by 2018. </w:t>
      </w:r>
      <w:r>
        <w:rPr>
          <w:rFonts w:ascii="Calibri" w:eastAsia="Calibri" w:hAnsi="Calibri" w:cs="Calibri"/>
          <w:noProof/>
          <w:sz w:val="20"/>
          <w:szCs w:val="20"/>
          <w:lang w:eastAsia="ar-SA"/>
        </w:rPr>
        <w:t>On a smaller scale in Flanders, the Nature Value Explorer has been s</w:t>
      </w:r>
      <w:r>
        <w:rPr>
          <w:rFonts w:ascii="Calibri" w:eastAsia="Calibri" w:hAnsi="Calibri" w:cs="Calibri"/>
          <w:noProof/>
          <w:sz w:val="20"/>
          <w:szCs w:val="20"/>
          <w:lang w:eastAsia="ar-SA"/>
        </w:rPr>
        <w:t>et up to help estimate change in ecosystem service delivery caused by land use change in rural and recently also in urban areas. This web tool is being updated and expanded regularly</w:t>
      </w:r>
      <w:r>
        <w:rPr>
          <w:rFonts w:ascii="Calibri" w:eastAsia="Calibri" w:hAnsi="Calibri" w:cs="Calibri"/>
          <w:noProof/>
          <w:sz w:val="20"/>
          <w:szCs w:val="20"/>
          <w:vertAlign w:val="superscript"/>
          <w:lang w:eastAsia="ar-SA"/>
        </w:rPr>
        <w:footnoteReference w:id="74"/>
      </w:r>
      <w:r>
        <w:rPr>
          <w:rFonts w:ascii="Calibri" w:eastAsia="Calibri" w:hAnsi="Calibri" w:cs="Calibri"/>
          <w:noProof/>
          <w:sz w:val="20"/>
          <w:szCs w:val="20"/>
          <w:lang w:eastAsia="ar-SA"/>
        </w:rPr>
        <w:t>.</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The Walloon ecosystem services platform has developed an integrated ass</w:t>
      </w:r>
      <w:r>
        <w:rPr>
          <w:rFonts w:ascii="Calibri" w:eastAsia="Calibri" w:hAnsi="Calibri" w:cs="Times New Roman"/>
          <w:noProof/>
          <w:sz w:val="20"/>
          <w:lang w:eastAsia="ar-SA"/>
        </w:rPr>
        <w:t>essment framework, typologies for ecosystems and ecosystem services</w:t>
      </w:r>
      <w:r>
        <w:rPr>
          <w:rFonts w:ascii="Calibri" w:eastAsia="Calibri" w:hAnsi="Calibri" w:cs="Times New Roman"/>
          <w:noProof/>
          <w:vertAlign w:val="superscript"/>
          <w:lang w:eastAsia="ar-SA"/>
        </w:rPr>
        <w:footnoteReference w:id="75"/>
      </w:r>
      <w:r>
        <w:rPr>
          <w:rFonts w:ascii="Calibri" w:eastAsia="Calibri" w:hAnsi="Calibri" w:cs="Times New Roman"/>
          <w:noProof/>
          <w:sz w:val="20"/>
          <w:lang w:eastAsia="ar-SA"/>
        </w:rPr>
        <w:t xml:space="preserve"> and a common shared information system including a database for ecosystem mapping and biophysical valuation. </w:t>
      </w:r>
      <w:r>
        <w:rPr>
          <w:rFonts w:ascii="Calibri" w:eastAsia="Calibri" w:hAnsi="Calibri" w:cs="Times New Roman"/>
          <w:noProof/>
          <w:color w:val="000000"/>
          <w:sz w:val="20"/>
          <w:szCs w:val="20"/>
          <w:lang w:val="en-US" w:eastAsia="ar-SA"/>
        </w:rPr>
        <w:t>The Brussels Nature Plan 2016-20 foresees that the Brussels-Capital Region wil</w:t>
      </w:r>
      <w:r>
        <w:rPr>
          <w:rFonts w:ascii="Calibri" w:eastAsia="Calibri" w:hAnsi="Calibri" w:cs="Times New Roman"/>
          <w:noProof/>
          <w:color w:val="000000"/>
          <w:sz w:val="20"/>
          <w:szCs w:val="20"/>
          <w:lang w:val="en-US" w:eastAsia="ar-SA"/>
        </w:rPr>
        <w:t>l continue to sustain research on urban nature and more particularly work on the mapping and assessment of urban ecosystem services.</w:t>
      </w:r>
    </w:p>
    <w:p w:rsidR="0017500B" w:rsidRDefault="00390F61">
      <w:pPr>
        <w:widowControl w:val="0"/>
        <w:suppressAutoHyphens/>
        <w:spacing w:after="120" w:line="240" w:lineRule="auto"/>
        <w:jc w:val="both"/>
        <w:rPr>
          <w:rFonts w:ascii="Calibri" w:eastAsia="Calibri" w:hAnsi="Calibri" w:cs="Times New Roman"/>
          <w:noProof/>
          <w:color w:val="1F497D"/>
          <w:lang w:eastAsia="ar-SA"/>
        </w:rPr>
      </w:pPr>
      <w:r>
        <w:rPr>
          <w:rFonts w:ascii="Calibri" w:eastAsia="Calibri" w:hAnsi="Calibri" w:cs="Times New Roman"/>
          <w:noProof/>
          <w:sz w:val="20"/>
          <w:lang w:eastAsia="ar-SA"/>
        </w:rPr>
        <w:t xml:space="preserve">Work on natural capital accounting is at an initial stage of development with efforts focused on improving the knowledge </w:t>
      </w:r>
      <w:r>
        <w:rPr>
          <w:rFonts w:ascii="Calibri" w:eastAsia="Calibri" w:hAnsi="Calibri" w:cs="Times New Roman"/>
          <w:noProof/>
          <w:sz w:val="20"/>
          <w:lang w:eastAsia="ar-SA"/>
        </w:rPr>
        <w:t>base. The 4 year research project ECOPLAN is developing spatially explicit information and tools for the assessment of ecosystem services</w:t>
      </w:r>
      <w:r>
        <w:rPr>
          <w:rFonts w:ascii="Calibri" w:eastAsia="Calibri" w:hAnsi="Calibri" w:cs="Times New Roman"/>
          <w:noProof/>
          <w:sz w:val="20"/>
          <w:vertAlign w:val="superscript"/>
          <w:lang w:eastAsia="ar-SA"/>
        </w:rPr>
        <w:footnoteReference w:id="76"/>
      </w:r>
      <w:r>
        <w:rPr>
          <w:rFonts w:ascii="Calibri" w:eastAsia="Calibri" w:hAnsi="Calibri" w:cs="Times New Roman"/>
          <w:noProof/>
          <w:sz w:val="20"/>
          <w:vertAlign w:val="superscript"/>
          <w:lang w:eastAsia="ar-SA"/>
        </w:rPr>
        <w:t>.</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color w:val="1F497D"/>
          <w:lang w:eastAsia="ar-SA"/>
        </w:rPr>
        <w:t>Suggested action</w:t>
      </w:r>
    </w:p>
    <w:p w:rsidR="0017500B" w:rsidRDefault="00390F61">
      <w:pPr>
        <w:pStyle w:val="ListParagraph"/>
        <w:widowControl w:val="0"/>
        <w:numPr>
          <w:ilvl w:val="0"/>
          <w:numId w:val="41"/>
        </w:numPr>
        <w:suppressAutoHyphens/>
        <w:ind w:left="170" w:hanging="170"/>
        <w:rPr>
          <w:noProof/>
          <w:lang w:eastAsia="ar-SA"/>
        </w:rPr>
      </w:pPr>
      <w:r>
        <w:rPr>
          <w:noProof/>
          <w:lang w:eastAsia="ar-SA"/>
        </w:rPr>
        <w:t>Engage all Belgian entities and relevant institutions and continue support for the mapping and asse</w:t>
      </w:r>
      <w:r>
        <w:rPr>
          <w:noProof/>
          <w:lang w:eastAsia="ar-SA"/>
        </w:rPr>
        <w:t>ssment of ecosystems and their services and valuation work and develop natural capital accounting systems.</w:t>
      </w:r>
    </w:p>
    <w:p w:rsidR="0017500B" w:rsidRDefault="0017500B">
      <w:pPr>
        <w:widowControl w:val="0"/>
        <w:suppressAutoHyphens/>
        <w:spacing w:before="360" w:after="120" w:line="240" w:lineRule="auto"/>
        <w:jc w:val="both"/>
        <w:outlineLvl w:val="1"/>
        <w:rPr>
          <w:rFonts w:ascii="Calibri" w:eastAsia="Calibri" w:hAnsi="Calibri" w:cs="Times New Roman"/>
          <w:b/>
          <w:noProof/>
          <w:color w:val="1F497D"/>
          <w:sz w:val="24"/>
          <w:lang w:eastAsia="ar-SA"/>
        </w:rPr>
      </w:pPr>
      <w:bookmarkStart w:id="10" w:name="_Toc469477491"/>
    </w:p>
    <w:p w:rsidR="0017500B" w:rsidRDefault="0017500B">
      <w:pPr>
        <w:widowControl w:val="0"/>
        <w:suppressAutoHyphens/>
        <w:spacing w:before="360" w:after="120" w:line="240" w:lineRule="auto"/>
        <w:jc w:val="both"/>
        <w:outlineLvl w:val="1"/>
        <w:rPr>
          <w:rFonts w:ascii="Calibri" w:eastAsia="Calibri" w:hAnsi="Calibri" w:cs="Times New Roman"/>
          <w:b/>
          <w:noProof/>
          <w:color w:val="1F497D"/>
          <w:sz w:val="24"/>
          <w:lang w:eastAsia="ar-SA"/>
        </w:rPr>
      </w:pPr>
    </w:p>
    <w:p w:rsidR="0017500B" w:rsidRDefault="0017500B">
      <w:pPr>
        <w:widowControl w:val="0"/>
        <w:suppressAutoHyphens/>
        <w:spacing w:before="360" w:after="120" w:line="240" w:lineRule="auto"/>
        <w:jc w:val="both"/>
        <w:outlineLvl w:val="1"/>
        <w:rPr>
          <w:rFonts w:ascii="Calibri" w:eastAsia="Calibri" w:hAnsi="Calibri" w:cs="Times New Roman"/>
          <w:b/>
          <w:noProof/>
          <w:color w:val="1F497D"/>
          <w:sz w:val="24"/>
          <w:lang w:eastAsia="ar-SA"/>
        </w:rPr>
      </w:pPr>
    </w:p>
    <w:p w:rsidR="0017500B" w:rsidRDefault="00390F61">
      <w:pPr>
        <w:widowControl w:val="0"/>
        <w:suppressAutoHyphens/>
        <w:spacing w:before="360" w:after="120" w:line="240" w:lineRule="auto"/>
        <w:jc w:val="both"/>
        <w:outlineLvl w:val="1"/>
        <w:rPr>
          <w:rFonts w:ascii="Calibri" w:eastAsia="Calibri" w:hAnsi="Calibri" w:cs="Times New Roman"/>
          <w:b/>
          <w:noProof/>
          <w:color w:val="1F497D"/>
          <w:sz w:val="24"/>
          <w:lang w:eastAsia="ar-SA"/>
        </w:rPr>
      </w:pPr>
      <w:r>
        <w:rPr>
          <w:rFonts w:ascii="Calibri" w:eastAsia="Calibri" w:hAnsi="Calibri" w:cs="Times New Roman"/>
          <w:b/>
          <w:noProof/>
          <w:color w:val="1F497D"/>
          <w:sz w:val="24"/>
          <w:lang w:eastAsia="ar-SA"/>
        </w:rPr>
        <w:t>Green Infrastructure</w:t>
      </w:r>
      <w:bookmarkEnd w:id="10"/>
      <w:r>
        <w:rPr>
          <w:rFonts w:ascii="Calibri" w:eastAsia="Calibri" w:hAnsi="Calibri" w:cs="Times New Roman"/>
          <w:b/>
          <w:noProof/>
          <w:color w:val="1F497D"/>
          <w:sz w:val="24"/>
          <w:lang w:eastAsia="ar-SA"/>
        </w:rPr>
        <w:t xml:space="preserve"> </w:t>
      </w:r>
    </w:p>
    <w:p w:rsidR="0017500B" w:rsidRDefault="00390F61">
      <w:pPr>
        <w:widowControl w:val="0"/>
        <w:shd w:val="clear" w:color="auto" w:fill="4F81BD" w:themeFill="accent1"/>
        <w:spacing w:after="120" w:line="240" w:lineRule="auto"/>
        <w:jc w:val="both"/>
        <w:rPr>
          <w:rFonts w:ascii="Calibri" w:eastAsia="Calibri" w:hAnsi="Calibri" w:cs="Times New Roman"/>
          <w:noProof/>
          <w:color w:val="FFFFFF" w:themeColor="background1"/>
          <w:sz w:val="20"/>
          <w:lang w:eastAsia="ar-SA"/>
        </w:rPr>
      </w:pPr>
      <w:r>
        <w:rPr>
          <w:rFonts w:cs="Times New Roman"/>
          <w:noProof/>
          <w:color w:val="FFFFFF" w:themeColor="background1"/>
          <w:sz w:val="20"/>
        </w:rPr>
        <w:t>The EU strategy on green infrastructure</w:t>
      </w:r>
      <w:r>
        <w:rPr>
          <w:rFonts w:cs="Times New Roman"/>
          <w:noProof/>
          <w:color w:val="FFFFFF" w:themeColor="background1"/>
          <w:sz w:val="20"/>
          <w:vertAlign w:val="superscript"/>
        </w:rPr>
        <w:footnoteReference w:id="77"/>
      </w:r>
      <w:r>
        <w:rPr>
          <w:rFonts w:cs="Times New Roman"/>
          <w:noProof/>
          <w:color w:val="FFFFFF" w:themeColor="background1"/>
          <w:sz w:val="20"/>
        </w:rPr>
        <w:t xml:space="preserve"> promotes the </w:t>
      </w:r>
      <w:r>
        <w:rPr>
          <w:rFonts w:ascii="Calibri" w:eastAsia="Calibri" w:hAnsi="Calibri" w:cs="Times New Roman"/>
          <w:noProof/>
          <w:color w:val="FFFFFF" w:themeColor="background1"/>
          <w:sz w:val="20"/>
          <w:lang w:eastAsia="ar-SA"/>
        </w:rPr>
        <w:t xml:space="preserve">incorporation of green infrastructure into related plans and </w:t>
      </w:r>
      <w:r>
        <w:rPr>
          <w:rFonts w:ascii="Calibri" w:eastAsia="Calibri" w:hAnsi="Calibri" w:cs="Times New Roman"/>
          <w:noProof/>
          <w:color w:val="FFFFFF" w:themeColor="background1"/>
          <w:sz w:val="20"/>
          <w:lang w:eastAsia="ar-SA"/>
        </w:rPr>
        <w:t>programmes to help overcome fragmentation of habitats and preserve or restore ecological connectivity, enhance ecosystem resilience and thereby ensure the continued provision of ecosystem services.</w:t>
      </w:r>
    </w:p>
    <w:p w:rsidR="0017500B" w:rsidRDefault="00390F61">
      <w:pPr>
        <w:widowControl w:val="0"/>
        <w:suppressAutoHyphens/>
        <w:spacing w:after="120" w:line="240" w:lineRule="auto"/>
        <w:jc w:val="both"/>
        <w:rPr>
          <w:rFonts w:ascii="Calibri" w:eastAsia="Calibri" w:hAnsi="Calibri" w:cs="Calibri"/>
          <w:noProof/>
          <w:sz w:val="20"/>
          <w:szCs w:val="20"/>
          <w:lang w:eastAsia="ar-SA"/>
        </w:rPr>
      </w:pPr>
      <w:r>
        <w:rPr>
          <w:rFonts w:ascii="Calibri" w:eastAsia="Calibri" w:hAnsi="Calibri" w:cs="Times New Roman"/>
          <w:bCs/>
          <w:iCs/>
          <w:noProof/>
          <w:sz w:val="20"/>
          <w:lang w:eastAsia="ar-SA"/>
        </w:rPr>
        <w:t>Green Infrastructure provides ecological, economic and soc</w:t>
      </w:r>
      <w:r>
        <w:rPr>
          <w:rFonts w:ascii="Calibri" w:eastAsia="Calibri" w:hAnsi="Calibri" w:cs="Times New Roman"/>
          <w:bCs/>
          <w:iCs/>
          <w:noProof/>
          <w:sz w:val="20"/>
          <w:lang w:eastAsia="ar-SA"/>
        </w:rPr>
        <w:t xml:space="preserve">ial benefits through natural solutions. It helps to understand the value of the benefits that nature provides to </w:t>
      </w:r>
      <w:r>
        <w:rPr>
          <w:rFonts w:ascii="Calibri" w:eastAsia="Calibri" w:hAnsi="Calibri" w:cs="Calibri"/>
          <w:noProof/>
          <w:sz w:val="20"/>
          <w:szCs w:val="20"/>
          <w:lang w:eastAsia="ar-SA"/>
        </w:rPr>
        <w:t>human society and to mobilise investments to sustain and enhance them.</w:t>
      </w:r>
    </w:p>
    <w:p w:rsidR="0017500B" w:rsidRDefault="00390F61">
      <w:pPr>
        <w:widowControl w:val="0"/>
        <w:suppressAutoHyphens/>
        <w:spacing w:after="120" w:line="240" w:lineRule="auto"/>
        <w:jc w:val="both"/>
        <w:rPr>
          <w:rFonts w:ascii="Calibri" w:eastAsia="Calibri" w:hAnsi="Calibri" w:cs="Calibri"/>
          <w:noProof/>
          <w:sz w:val="20"/>
          <w:szCs w:val="20"/>
          <w:lang w:eastAsia="ar-SA"/>
        </w:rPr>
      </w:pPr>
      <w:r>
        <w:rPr>
          <w:rFonts w:ascii="Calibri" w:eastAsia="Calibri" w:hAnsi="Calibri" w:cs="Calibri"/>
          <w:noProof/>
          <w:sz w:val="20"/>
          <w:szCs w:val="20"/>
          <w:lang w:eastAsia="ar-SA"/>
        </w:rPr>
        <w:t>Many actions to promote green infrastructure are on-going in the Belgian</w:t>
      </w:r>
      <w:r>
        <w:rPr>
          <w:rFonts w:ascii="Calibri" w:eastAsia="Calibri" w:hAnsi="Calibri" w:cs="Calibri"/>
          <w:noProof/>
          <w:sz w:val="20"/>
          <w:szCs w:val="20"/>
          <w:lang w:eastAsia="ar-SA"/>
        </w:rPr>
        <w:t xml:space="preserve"> regions both inside and outside Natura 2000 sites</w:t>
      </w:r>
      <w:r>
        <w:rPr>
          <w:rFonts w:ascii="Calibri" w:eastAsia="Calibri" w:hAnsi="Calibri" w:cs="Calibri"/>
          <w:noProof/>
          <w:sz w:val="20"/>
          <w:szCs w:val="20"/>
          <w:vertAlign w:val="superscript"/>
          <w:lang w:eastAsia="ar-SA"/>
        </w:rPr>
        <w:footnoteReference w:id="78"/>
      </w:r>
      <w:r>
        <w:rPr>
          <w:rFonts w:ascii="Calibri" w:eastAsia="Calibri" w:hAnsi="Calibri" w:cs="Calibri"/>
          <w:noProof/>
          <w:sz w:val="20"/>
          <w:szCs w:val="20"/>
          <w:lang w:eastAsia="ar-SA"/>
        </w:rPr>
        <w:t>. For example, the "Nature in your neighbourhood</w:t>
      </w:r>
      <w:r>
        <w:rPr>
          <w:rFonts w:ascii="Calibri" w:eastAsia="Calibri" w:hAnsi="Calibri" w:cs="Times New Roman"/>
          <w:noProof/>
          <w:sz w:val="20"/>
          <w:lang w:eastAsia="ar-SA"/>
        </w:rPr>
        <w:t xml:space="preserve">" programme </w:t>
      </w:r>
      <w:r>
        <w:rPr>
          <w:rFonts w:ascii="Calibri" w:eastAsia="Calibri" w:hAnsi="Calibri" w:cs="Times New Roman"/>
          <w:bCs/>
          <w:iCs/>
          <w:noProof/>
          <w:sz w:val="20"/>
          <w:lang w:eastAsia="ar-SA"/>
        </w:rPr>
        <w:t xml:space="preserve">in Flanders </w:t>
      </w:r>
      <w:r>
        <w:rPr>
          <w:rFonts w:ascii="Calibri" w:eastAsia="Calibri" w:hAnsi="Calibri" w:cs="Times New Roman"/>
          <w:noProof/>
          <w:sz w:val="20"/>
          <w:lang w:eastAsia="ar-SA"/>
        </w:rPr>
        <w:t>promotes greening elements in urban and residential areas, research on improvement of local life through public &amp; private green areas</w:t>
      </w:r>
      <w:r>
        <w:rPr>
          <w:rFonts w:ascii="Calibri" w:eastAsia="Calibri" w:hAnsi="Calibri" w:cs="Times New Roman"/>
          <w:noProof/>
          <w:sz w:val="20"/>
          <w:lang w:eastAsia="ar-SA"/>
        </w:rPr>
        <w:t>, cooperation projects with private sector and business to promote greening of industrial zones (e.g. the Port of Antwerp, quarries in Flanders and Wallonia), campaigns and subsidies from local authorities promoting the greening of the urban environment, e</w:t>
      </w:r>
      <w:r>
        <w:rPr>
          <w:rFonts w:ascii="Calibri" w:eastAsia="Calibri" w:hAnsi="Calibri" w:cs="Times New Roman"/>
          <w:noProof/>
          <w:sz w:val="20"/>
          <w:lang w:eastAsia="ar-SA"/>
        </w:rPr>
        <w:t xml:space="preserve">.g. for green roofs, and NGO activities for nature areas. </w:t>
      </w:r>
      <w:r>
        <w:rPr>
          <w:rFonts w:ascii="Calibri" w:eastAsia="Calibri" w:hAnsi="Calibri" w:cs="Times New Roman"/>
          <w:noProof/>
          <w:color w:val="000000"/>
          <w:sz w:val="20"/>
          <w:szCs w:val="20"/>
          <w:lang w:val="en-US" w:eastAsia="ar-SA"/>
        </w:rPr>
        <w:t>Since 2000, the regional programme Green Neighbourhoods (Quartiers Verts – Groene Wijken) has supported more than 200 local greening initiatives in the Brussels-Capital Region. It concerns the green</w:t>
      </w:r>
      <w:r>
        <w:rPr>
          <w:rFonts w:ascii="Calibri" w:eastAsia="Calibri" w:hAnsi="Calibri" w:cs="Times New Roman"/>
          <w:noProof/>
          <w:color w:val="000000"/>
          <w:sz w:val="20"/>
          <w:szCs w:val="20"/>
          <w:lang w:val="en-US" w:eastAsia="ar-SA"/>
        </w:rPr>
        <w:t xml:space="preserve">ing of public space through small </w:t>
      </w:r>
      <w:r>
        <w:rPr>
          <w:rFonts w:ascii="Calibri" w:eastAsia="Calibri" w:hAnsi="Calibri" w:cs="Calibri"/>
          <w:noProof/>
          <w:sz w:val="20"/>
          <w:szCs w:val="20"/>
          <w:lang w:eastAsia="ar-SA"/>
        </w:rPr>
        <w:t xml:space="preserve">scale citizens’ initiatives. </w:t>
      </w:r>
    </w:p>
    <w:p w:rsidR="0017500B" w:rsidRDefault="00390F61">
      <w:pPr>
        <w:widowControl w:val="0"/>
        <w:suppressAutoHyphens/>
        <w:spacing w:after="120" w:line="240" w:lineRule="auto"/>
        <w:jc w:val="both"/>
        <w:rPr>
          <w:rFonts w:ascii="Calibri" w:eastAsia="Calibri" w:hAnsi="Calibri" w:cs="Times New Roman"/>
          <w:noProof/>
          <w:sz w:val="20"/>
          <w:szCs w:val="20"/>
          <w:lang w:eastAsia="ar-SA"/>
        </w:rPr>
      </w:pPr>
      <w:r>
        <w:rPr>
          <w:rFonts w:ascii="Calibri" w:eastAsia="Calibri" w:hAnsi="Calibri" w:cs="Calibri"/>
          <w:noProof/>
          <w:sz w:val="20"/>
          <w:szCs w:val="20"/>
          <w:lang w:eastAsia="ar-SA"/>
        </w:rPr>
        <w:t>The Hoge</w:t>
      </w:r>
      <w:r>
        <w:rPr>
          <w:rFonts w:ascii="Calibri" w:eastAsia="Calibri" w:hAnsi="Calibri" w:cs="Times New Roman"/>
          <w:noProof/>
          <w:sz w:val="20"/>
          <w:szCs w:val="20"/>
          <w:lang w:eastAsia="ar-SA"/>
        </w:rPr>
        <w:t xml:space="preserve"> Kempen National Park is Belgium’s only national park. Innovative approaches to developing the park’s infrastructure have helped balance economic and biodiversity objectives, providing 400 jobs within and around the park area, and direct annual economic be</w:t>
      </w:r>
      <w:r>
        <w:rPr>
          <w:rFonts w:ascii="Calibri" w:eastAsia="Calibri" w:hAnsi="Calibri" w:cs="Times New Roman"/>
          <w:noProof/>
          <w:sz w:val="20"/>
          <w:szCs w:val="20"/>
          <w:lang w:eastAsia="ar-SA"/>
        </w:rPr>
        <w:t>nefits of EUR 20 million</w:t>
      </w:r>
      <w:r>
        <w:rPr>
          <w:rFonts w:ascii="Calibri" w:eastAsia="Calibri" w:hAnsi="Calibri" w:cs="Times New Roman"/>
          <w:noProof/>
          <w:sz w:val="20"/>
          <w:szCs w:val="20"/>
          <w:vertAlign w:val="superscript"/>
          <w:lang w:eastAsia="ar-SA"/>
        </w:rPr>
        <w:footnoteReference w:id="79"/>
      </w:r>
      <w:r>
        <w:rPr>
          <w:rFonts w:ascii="Calibri" w:eastAsia="Calibri" w:hAnsi="Calibri" w:cs="Times New Roman"/>
          <w:noProof/>
          <w:sz w:val="20"/>
          <w:szCs w:val="20"/>
          <w:lang w:eastAsia="ar-SA"/>
        </w:rPr>
        <w:t>. The park thus contributes to social cohesion and the regeneration of a former coal mining region that was at risk of economic decline.</w:t>
      </w:r>
    </w:p>
    <w:p w:rsidR="0017500B" w:rsidRDefault="00390F61">
      <w:pPr>
        <w:widowControl w:val="0"/>
        <w:suppressAutoHyphens/>
        <w:spacing w:after="120" w:line="240" w:lineRule="auto"/>
        <w:jc w:val="both"/>
        <w:rPr>
          <w:rFonts w:ascii="Calibri" w:eastAsia="Calibri" w:hAnsi="Calibri" w:cs="Times New Roman"/>
          <w:noProof/>
          <w:sz w:val="20"/>
          <w:szCs w:val="20"/>
          <w:lang w:eastAsia="ar-SA"/>
        </w:rPr>
      </w:pPr>
      <w:r>
        <w:rPr>
          <w:rFonts w:ascii="Calibri" w:eastAsia="Calibri" w:hAnsi="Calibri" w:cs="Times New Roman"/>
          <w:noProof/>
          <w:sz w:val="20"/>
          <w:szCs w:val="20"/>
          <w:lang w:eastAsia="ar-SA"/>
        </w:rPr>
        <w:t xml:space="preserve">The Walloon Region has launched the </w:t>
      </w:r>
      <w:r>
        <w:rPr>
          <w:rFonts w:ascii="Calibri" w:eastAsia="Calibri" w:hAnsi="Calibri" w:cs="Times New Roman"/>
          <w:i/>
          <w:noProof/>
          <w:sz w:val="20"/>
          <w:szCs w:val="20"/>
          <w:lang w:eastAsia="ar-SA"/>
        </w:rPr>
        <w:t>Réseau Wallonie Nature</w:t>
      </w:r>
      <w:r>
        <w:rPr>
          <w:rFonts w:ascii="Calibri" w:eastAsia="Calibri" w:hAnsi="Calibri" w:cs="Times New Roman"/>
          <w:noProof/>
          <w:sz w:val="20"/>
          <w:szCs w:val="20"/>
          <w:lang w:eastAsia="ar-SA"/>
        </w:rPr>
        <w:t xml:space="preserve"> (Wallonia Nature Network)</w:t>
      </w:r>
      <w:r>
        <w:rPr>
          <w:rFonts w:ascii="Calibri" w:eastAsia="Calibri" w:hAnsi="Calibri" w:cs="Times New Roman"/>
          <w:noProof/>
          <w:vertAlign w:val="superscript"/>
          <w:lang w:eastAsia="ar-SA"/>
        </w:rPr>
        <w:footnoteReference w:id="80"/>
      </w:r>
      <w:r>
        <w:rPr>
          <w:rFonts w:ascii="Calibri" w:eastAsia="Calibri" w:hAnsi="Calibri" w:cs="Times New Roman"/>
          <w:noProof/>
          <w:sz w:val="20"/>
          <w:szCs w:val="20"/>
          <w:lang w:eastAsia="ar-SA"/>
        </w:rPr>
        <w:t xml:space="preserve"> to foster voluntary nature conservation measures across the region, and the BIODIBAP</w:t>
      </w:r>
      <w:r>
        <w:rPr>
          <w:rStyle w:val="FootnoteReference"/>
          <w:rFonts w:ascii="Calibri" w:eastAsia="Calibri" w:hAnsi="Calibri" w:cs="Times New Roman"/>
          <w:noProof/>
          <w:sz w:val="20"/>
          <w:szCs w:val="20"/>
          <w:lang w:eastAsia="ar-SA"/>
        </w:rPr>
        <w:footnoteReference w:id="81"/>
      </w:r>
      <w:r>
        <w:rPr>
          <w:rFonts w:ascii="Calibri" w:eastAsia="Calibri" w:hAnsi="Calibri" w:cs="Times New Roman"/>
          <w:noProof/>
          <w:sz w:val="20"/>
          <w:szCs w:val="20"/>
          <w:lang w:eastAsia="ar-SA"/>
        </w:rPr>
        <w:t xml:space="preserve"> initiative has promoted numerous actions to enhance biodiversity around public buildings such as municipalities and schools. The </w:t>
      </w:r>
      <w:r>
        <w:rPr>
          <w:rFonts w:ascii="Calibri" w:eastAsia="Calibri" w:hAnsi="Calibri" w:cs="Times New Roman"/>
          <w:i/>
          <w:noProof/>
          <w:sz w:val="20"/>
          <w:szCs w:val="20"/>
          <w:lang w:eastAsia="ar-SA"/>
        </w:rPr>
        <w:t>Plans Communaux de Développement de la N</w:t>
      </w:r>
      <w:r>
        <w:rPr>
          <w:rFonts w:ascii="Calibri" w:eastAsia="Calibri" w:hAnsi="Calibri" w:cs="Times New Roman"/>
          <w:i/>
          <w:noProof/>
          <w:sz w:val="20"/>
          <w:szCs w:val="20"/>
          <w:lang w:eastAsia="ar-SA"/>
        </w:rPr>
        <w:t>ature</w:t>
      </w:r>
      <w:r>
        <w:rPr>
          <w:rFonts w:ascii="Calibri" w:eastAsia="Calibri" w:hAnsi="Calibri" w:cs="Times New Roman"/>
          <w:noProof/>
          <w:sz w:val="20"/>
          <w:szCs w:val="20"/>
          <w:lang w:eastAsia="ar-SA"/>
        </w:rPr>
        <w:t xml:space="preserve"> (Municipal Nature Development Plans) include actions to protect biodiversity, such as delayed mowing and river contracts. The Region has also made agreements with the private sector (e.g. quarries, electricity companies, railroad companies) to promot</w:t>
      </w:r>
      <w:r>
        <w:rPr>
          <w:rFonts w:ascii="Calibri" w:eastAsia="Calibri" w:hAnsi="Calibri" w:cs="Times New Roman"/>
          <w:noProof/>
          <w:sz w:val="20"/>
          <w:szCs w:val="20"/>
          <w:lang w:eastAsia="ar-SA"/>
        </w:rPr>
        <w:t>e green infrastructure.</w:t>
      </w:r>
    </w:p>
    <w:p w:rsidR="0017500B" w:rsidRDefault="00390F61">
      <w:pPr>
        <w:widowControl w:val="0"/>
        <w:suppressAutoHyphens/>
        <w:spacing w:after="120" w:line="240" w:lineRule="auto"/>
        <w:jc w:val="both"/>
        <w:rPr>
          <w:rFonts w:ascii="Calibri" w:eastAsia="Calibri" w:hAnsi="Calibri" w:cs="Times New Roman"/>
          <w:noProof/>
          <w:color w:val="000000"/>
          <w:sz w:val="20"/>
          <w:szCs w:val="20"/>
          <w:lang w:val="en-US" w:eastAsia="ar-SA"/>
        </w:rPr>
      </w:pPr>
      <w:r>
        <w:rPr>
          <w:rFonts w:ascii="Calibri" w:eastAsia="Calibri" w:hAnsi="Calibri" w:cs="Times New Roman"/>
          <w:noProof/>
          <w:sz w:val="20"/>
          <w:szCs w:val="20"/>
          <w:lang w:eastAsia="ar-SA"/>
        </w:rPr>
        <w:t>The Brussels Capital Regional Nature Plan 2016-20, adopted in April 2016</w:t>
      </w:r>
      <w:r>
        <w:rPr>
          <w:rStyle w:val="FootnoteReference"/>
          <w:rFonts w:ascii="Calibri" w:eastAsia="Calibri" w:hAnsi="Calibri" w:cs="Times New Roman"/>
          <w:noProof/>
          <w:sz w:val="20"/>
          <w:szCs w:val="20"/>
          <w:lang w:eastAsia="ar-SA"/>
        </w:rPr>
        <w:footnoteReference w:id="82"/>
      </w:r>
      <w:r>
        <w:rPr>
          <w:rFonts w:ascii="Calibri" w:eastAsia="Calibri" w:hAnsi="Calibri" w:cs="Times New Roman"/>
          <w:noProof/>
          <w:sz w:val="20"/>
          <w:szCs w:val="20"/>
          <w:lang w:eastAsia="ar-SA"/>
        </w:rPr>
        <w:t xml:space="preserve"> foresees the development and implementation of plans for the multifunctional management of green spaces, for ensuring access to nature for all citizens, due c</w:t>
      </w:r>
      <w:r>
        <w:rPr>
          <w:rFonts w:ascii="Calibri" w:eastAsia="Calibri" w:hAnsi="Calibri" w:cs="Times New Roman"/>
          <w:noProof/>
          <w:sz w:val="20"/>
          <w:szCs w:val="20"/>
          <w:lang w:eastAsia="ar-SA"/>
        </w:rPr>
        <w:t xml:space="preserve">onsideration of nature and ecological connectivity in plans and projects, as well as a Blue Network Programme for the management of open waterways in Brussels. </w:t>
      </w:r>
    </w:p>
    <w:p w:rsidR="0017500B" w:rsidRDefault="00390F61">
      <w:pPr>
        <w:widowControl w:val="0"/>
        <w:suppressAutoHyphens/>
        <w:spacing w:after="120" w:line="240" w:lineRule="auto"/>
        <w:jc w:val="both"/>
        <w:rPr>
          <w:rFonts w:ascii="Calibri" w:eastAsia="Calibri" w:hAnsi="Calibri" w:cs="Times New Roman"/>
          <w:noProof/>
          <w:sz w:val="20"/>
          <w:szCs w:val="20"/>
          <w:lang w:eastAsia="ar-SA"/>
        </w:rPr>
      </w:pPr>
      <w:r>
        <w:rPr>
          <w:rFonts w:ascii="Calibri" w:eastAsia="Calibri" w:hAnsi="Calibri" w:cs="Times New Roman"/>
          <w:noProof/>
          <w:color w:val="000000"/>
          <w:sz w:val="20"/>
          <w:szCs w:val="20"/>
          <w:lang w:val="en-US" w:eastAsia="ar-SA"/>
        </w:rPr>
        <w:t>In this context, an action plan for the implementation of the Brussels ecological network is un</w:t>
      </w:r>
      <w:r>
        <w:rPr>
          <w:rFonts w:ascii="Calibri" w:eastAsia="Calibri" w:hAnsi="Calibri" w:cs="Times New Roman"/>
          <w:noProof/>
          <w:color w:val="000000"/>
          <w:sz w:val="20"/>
          <w:szCs w:val="20"/>
          <w:lang w:val="en-US" w:eastAsia="ar-SA"/>
        </w:rPr>
        <w:t xml:space="preserve">der development. Regional and local authorities will cooperate to draw up general guidelines and concrete conditions in order to consolidate the green and blue network, to reinforce the protection status of green spaces, </w:t>
      </w:r>
      <w:r>
        <w:rPr>
          <w:rFonts w:ascii="Calibri" w:eastAsia="Calibri" w:hAnsi="Calibri" w:cs="Times New Roman"/>
          <w:noProof/>
          <w:sz w:val="20"/>
          <w:szCs w:val="20"/>
          <w:lang w:eastAsia="ar-SA"/>
        </w:rPr>
        <w:t>to ecologically manage green spaces</w:t>
      </w:r>
      <w:r>
        <w:rPr>
          <w:rFonts w:ascii="Calibri" w:eastAsia="Calibri" w:hAnsi="Calibri" w:cs="Times New Roman"/>
          <w:noProof/>
          <w:sz w:val="20"/>
          <w:szCs w:val="20"/>
          <w:lang w:eastAsia="ar-SA"/>
        </w:rPr>
        <w:t xml:space="preserve"> under their jurisdiction and increase biodiversity.</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szCs w:val="20"/>
          <w:lang w:eastAsia="ar-SA"/>
        </w:rPr>
        <w:t>Green infrastructure and actions to protect and restore habitats at the regional and federal level also help with the protection of pollinators such as domestic and wild bees. Schools and cities are enco</w:t>
      </w:r>
      <w:r>
        <w:rPr>
          <w:rFonts w:ascii="Calibri" w:eastAsia="Calibri" w:hAnsi="Calibri" w:cs="Times New Roman"/>
          <w:noProof/>
          <w:sz w:val="20"/>
          <w:szCs w:val="20"/>
          <w:lang w:eastAsia="ar-SA"/>
        </w:rPr>
        <w:t>uraged</w:t>
      </w:r>
      <w:r>
        <w:rPr>
          <w:rFonts w:ascii="Calibri" w:eastAsia="Calibri" w:hAnsi="Calibri" w:cs="Times New Roman"/>
          <w:noProof/>
          <w:color w:val="000000"/>
          <w:sz w:val="20"/>
          <w:szCs w:val="20"/>
          <w:lang w:val="en-US" w:eastAsia="ar-SA"/>
        </w:rPr>
        <w:t xml:space="preserve"> to implement small scale initiatives on wild bees; efforts are increased to address the causes of domestic bee mortality, and the importance of pollinators in terms of high value ecosystems services is being addressed at all levels. </w:t>
      </w:r>
    </w:p>
    <w:p w:rsidR="0017500B" w:rsidRDefault="00390F61">
      <w:pPr>
        <w:widowControl w:val="0"/>
        <w:suppressAutoHyphens/>
        <w:spacing w:before="360" w:after="120" w:line="240" w:lineRule="auto"/>
        <w:jc w:val="both"/>
        <w:outlineLvl w:val="1"/>
        <w:rPr>
          <w:rFonts w:ascii="Calibri" w:eastAsia="Calibri" w:hAnsi="Calibri" w:cs="Times New Roman"/>
          <w:b/>
          <w:noProof/>
          <w:color w:val="1F497D"/>
          <w:sz w:val="24"/>
          <w:lang w:eastAsia="ar-SA"/>
        </w:rPr>
      </w:pPr>
      <w:bookmarkStart w:id="11" w:name="_Toc469477492"/>
      <w:r>
        <w:rPr>
          <w:rFonts w:ascii="Calibri" w:eastAsia="Calibri" w:hAnsi="Calibri" w:cs="Times New Roman"/>
          <w:b/>
          <w:noProof/>
          <w:color w:val="1F497D"/>
          <w:sz w:val="24"/>
          <w:lang w:eastAsia="ar-SA"/>
        </w:rPr>
        <w:t>Soil protection</w:t>
      </w:r>
      <w:bookmarkEnd w:id="11"/>
      <w:r>
        <w:rPr>
          <w:rFonts w:ascii="Calibri" w:eastAsia="Calibri" w:hAnsi="Calibri" w:cs="Times New Roman"/>
          <w:b/>
          <w:noProof/>
          <w:color w:val="1F497D"/>
          <w:sz w:val="24"/>
          <w:lang w:eastAsia="ar-SA"/>
        </w:rPr>
        <w:t xml:space="preserve"> </w:t>
      </w:r>
    </w:p>
    <w:p w:rsidR="0017500B" w:rsidRDefault="00390F61">
      <w:pPr>
        <w:widowControl w:val="0"/>
        <w:shd w:val="clear" w:color="auto" w:fill="4F81BD"/>
        <w:suppressAutoHyphens/>
        <w:spacing w:after="120" w:line="240" w:lineRule="auto"/>
        <w:jc w:val="both"/>
        <w:rPr>
          <w:rFonts w:ascii="Calibri" w:eastAsia="Calibri" w:hAnsi="Calibri" w:cs="Times New Roman"/>
          <w:noProof/>
          <w:color w:val="FFFFFF"/>
          <w:sz w:val="20"/>
          <w:lang w:eastAsia="ar-SA"/>
        </w:rPr>
      </w:pPr>
      <w:r>
        <w:rPr>
          <w:rFonts w:ascii="Calibri" w:eastAsia="Calibri" w:hAnsi="Calibri" w:cs="Times New Roman"/>
          <w:noProof/>
          <w:color w:val="FFFFFF"/>
          <w:sz w:val="20"/>
          <w:lang w:eastAsia="ar-SA"/>
        </w:rPr>
        <w:t>The EU Soil Thematic Strategy highlights the need to ensure a sustainable use of soils. This requires the prevention of further soil degradation and the preservation of its functions, as well as the restoration of degraded soils. The 2011 Road Map for Re</w:t>
      </w:r>
      <w:r>
        <w:rPr>
          <w:rFonts w:ascii="Calibri" w:eastAsia="Calibri" w:hAnsi="Calibri" w:cs="Times New Roman"/>
          <w:noProof/>
          <w:color w:val="FFFFFF"/>
          <w:sz w:val="20"/>
          <w:lang w:eastAsia="ar-SA"/>
        </w:rPr>
        <w:t>source-Efficient Europe, part of Europe 2020 Strategy provides that by 2020, EU policies take into account their direct and indirect impact on land use in the EU and globally, and the rate of land take is on track with an aim to achieve no net land take by</w:t>
      </w:r>
      <w:r>
        <w:rPr>
          <w:rFonts w:ascii="Calibri" w:eastAsia="Calibri" w:hAnsi="Calibri" w:cs="Times New Roman"/>
          <w:noProof/>
          <w:color w:val="FFFFFF"/>
          <w:sz w:val="20"/>
          <w:lang w:eastAsia="ar-SA"/>
        </w:rPr>
        <w:t xml:space="preserve"> 2050.</w:t>
      </w:r>
    </w:p>
    <w:p w:rsidR="0017500B" w:rsidRDefault="00390F61">
      <w:pPr>
        <w:widowControl w:val="0"/>
        <w:shd w:val="clear" w:color="auto" w:fill="4F81BD"/>
        <w:suppressAutoHyphens/>
        <w:spacing w:after="120" w:line="240" w:lineRule="auto"/>
        <w:jc w:val="both"/>
        <w:rPr>
          <w:rFonts w:ascii="Calibri" w:eastAsia="Calibri" w:hAnsi="Calibri" w:cs="Times New Roman"/>
          <w:noProof/>
          <w:color w:val="FFFFFF"/>
          <w:sz w:val="20"/>
          <w:szCs w:val="20"/>
          <w:lang w:eastAsia="ar-SA"/>
        </w:rPr>
      </w:pPr>
      <w:r>
        <w:rPr>
          <w:rFonts w:ascii="Calibri" w:eastAsia="Calibri" w:hAnsi="Calibri" w:cs="Times New Roman"/>
          <w:noProof/>
          <w:color w:val="FFFFFF"/>
          <w:sz w:val="20"/>
          <w:lang w:eastAsia="ar-SA"/>
        </w:rPr>
        <w:t>SDG 15 requires countries to combat desertification, restore degraded land and soil, including land affected by desertification, drought and floods, and strive to achieve a land-degradation-neutral world by 2030.</w:t>
      </w:r>
    </w:p>
    <w:p w:rsidR="0017500B" w:rsidRDefault="00390F61">
      <w:pPr>
        <w:widowControl w:val="0"/>
        <w:suppressAutoHyphens/>
        <w:spacing w:after="120" w:line="240" w:lineRule="auto"/>
        <w:jc w:val="both"/>
        <w:rPr>
          <w:noProof/>
          <w:sz w:val="20"/>
          <w:lang w:eastAsia="en-GB"/>
        </w:rPr>
      </w:pPr>
      <w:r>
        <w:rPr>
          <w:noProof/>
          <w:sz w:val="20"/>
          <w:lang w:eastAsia="en-GB"/>
        </w:rPr>
        <w:t>Soil is an important resource for li</w:t>
      </w:r>
      <w:r>
        <w:rPr>
          <w:noProof/>
          <w:sz w:val="20"/>
          <w:lang w:eastAsia="en-GB"/>
        </w:rPr>
        <w:t xml:space="preserve">fe and the economy. It provides key ecosystem services including the provision of food, fibre and biomass for renewable energy, carbon sequestration, water purification and flood regulation, the provision of raw and building material. Soil is a finite and </w:t>
      </w:r>
      <w:r>
        <w:rPr>
          <w:noProof/>
          <w:sz w:val="20"/>
          <w:lang w:eastAsia="en-GB"/>
        </w:rPr>
        <w:t>extremely fragile resource and increasingly degrading in the EU. Land taken by urban development and infrastructure is highly unlikely to be reverted to its natural state; it consumes mostly agricultural land and increases fragmentation of habitats. Soil p</w:t>
      </w:r>
      <w:r>
        <w:rPr>
          <w:noProof/>
          <w:sz w:val="20"/>
          <w:lang w:eastAsia="en-GB"/>
        </w:rPr>
        <w:t xml:space="preserve">rotection is indirectly addressed in existing EU policies in areas such as agriculture, water, waste, chemicals, and prevention of industrial pollution.  </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Figure 8 shows the different land cover types in Belgium in 2012, showing sharp contrasts in land use</w:t>
      </w:r>
      <w:r>
        <w:rPr>
          <w:rFonts w:ascii="Calibri" w:eastAsia="Calibri" w:hAnsi="Calibri" w:cs="Times New Roman"/>
          <w:noProof/>
          <w:sz w:val="20"/>
          <w:lang w:eastAsia="ar-SA"/>
        </w:rPr>
        <w:t xml:space="preserve"> between the three regions.</w:t>
      </w:r>
    </w:p>
    <w:tbl>
      <w:tblPr>
        <w:tblW w:w="0" w:type="auto"/>
        <w:tblLayout w:type="fixed"/>
        <w:tblLook w:val="0000" w:firstRow="0" w:lastRow="0" w:firstColumn="0" w:lastColumn="0" w:noHBand="0" w:noVBand="0"/>
      </w:tblPr>
      <w:tblGrid>
        <w:gridCol w:w="4909"/>
      </w:tblGrid>
      <w:tr w:rsidR="0017500B">
        <w:tc>
          <w:tcPr>
            <w:tcW w:w="4909" w:type="dxa"/>
            <w:shd w:val="clear" w:color="auto" w:fill="auto"/>
          </w:tcPr>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b/>
                <w:noProof/>
                <w:color w:val="1F497D"/>
                <w:sz w:val="20"/>
                <w:lang w:eastAsia="ar-SA"/>
              </w:rPr>
              <w:t>Figure 8: Land Cover types in Belgium in 2012</w:t>
            </w:r>
            <w:r>
              <w:rPr>
                <w:rFonts w:ascii="Calibri" w:eastAsia="Calibri" w:hAnsi="Calibri" w:cs="Times New Roman"/>
                <w:b/>
                <w:noProof/>
                <w:color w:val="1F497D"/>
                <w:vertAlign w:val="superscript"/>
                <w:lang w:eastAsia="ar-SA"/>
              </w:rPr>
              <w:footnoteReference w:id="83"/>
            </w:r>
          </w:p>
        </w:tc>
      </w:tr>
      <w:tr w:rsidR="0017500B">
        <w:tc>
          <w:tcPr>
            <w:tcW w:w="4909" w:type="dxa"/>
            <w:shd w:val="clear" w:color="auto" w:fill="auto"/>
          </w:tcPr>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en-GB"/>
              </w:rPr>
              <w:drawing>
                <wp:inline distT="0" distB="0" distL="0" distR="0" wp14:anchorId="5FEE0C18" wp14:editId="4A52CEA2">
                  <wp:extent cx="3066415" cy="364553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66415" cy="3645535"/>
                          </a:xfrm>
                          <a:prstGeom prst="rect">
                            <a:avLst/>
                          </a:prstGeom>
                          <a:noFill/>
                        </pic:spPr>
                      </pic:pic>
                    </a:graphicData>
                  </a:graphic>
                </wp:inline>
              </w:drawing>
            </w:r>
          </w:p>
        </w:tc>
      </w:tr>
    </w:tbl>
    <w:p w:rsidR="0017500B" w:rsidRDefault="00390F61">
      <w:pPr>
        <w:widowControl w:val="0"/>
        <w:suppressAutoHyphens/>
        <w:spacing w:after="120" w:line="240" w:lineRule="auto"/>
        <w:jc w:val="both"/>
        <w:rPr>
          <w:rFonts w:ascii="Calibri" w:eastAsia="Calibri" w:hAnsi="Calibri" w:cs="Times New Roman"/>
          <w:noProof/>
          <w:sz w:val="20"/>
          <w:szCs w:val="20"/>
          <w:lang w:eastAsia="ar-SA"/>
        </w:rPr>
      </w:pPr>
      <w:r>
        <w:rPr>
          <w:rFonts w:ascii="Calibri" w:eastAsia="Calibri" w:hAnsi="Calibri" w:cs="Times New Roman"/>
          <w:noProof/>
          <w:sz w:val="20"/>
          <w:lang w:eastAsia="ar-SA"/>
        </w:rPr>
        <w:t xml:space="preserve">Artificial land cover is used for settlements, production systems and infrastructure. It may itself be split between built-up areas (buildings) and non-built-up areas (such as </w:t>
      </w:r>
      <w:r>
        <w:rPr>
          <w:rFonts w:ascii="Calibri" w:eastAsia="Calibri" w:hAnsi="Calibri" w:cs="Times New Roman"/>
          <w:noProof/>
          <w:sz w:val="20"/>
          <w:lang w:eastAsia="ar-SA"/>
        </w:rPr>
        <w:t>linear transport networks and associated areas).</w:t>
      </w:r>
    </w:p>
    <w:p w:rsidR="0017500B" w:rsidRDefault="00390F61">
      <w:pPr>
        <w:widowControl w:val="0"/>
        <w:suppressAutoHyphens/>
        <w:spacing w:after="120" w:line="240" w:lineRule="auto"/>
        <w:jc w:val="both"/>
        <w:rPr>
          <w:rFonts w:ascii="Calibri" w:eastAsia="Calibri" w:hAnsi="Calibri" w:cs="Times New Roman"/>
          <w:noProof/>
          <w:sz w:val="20"/>
          <w:szCs w:val="20"/>
          <w:lang w:eastAsia="ar-SA"/>
        </w:rPr>
      </w:pPr>
      <w:r>
        <w:rPr>
          <w:rFonts w:ascii="Calibri" w:eastAsia="Calibri" w:hAnsi="Calibri" w:cs="Times New Roman"/>
          <w:noProof/>
          <w:sz w:val="20"/>
          <w:szCs w:val="20"/>
          <w:lang w:eastAsia="ar-SA"/>
        </w:rPr>
        <w:t xml:space="preserve">The annual land take rate (growth of artificial areas) as provided by CORINE Land Cover was </w:t>
      </w:r>
      <w:r>
        <w:rPr>
          <w:rFonts w:ascii="Calibri" w:eastAsia="Calibri" w:hAnsi="Calibri" w:cs="Times New Roman"/>
          <w:noProof/>
          <w:sz w:val="20"/>
          <w:lang w:eastAsia="ar-SA"/>
        </w:rPr>
        <w:t>0.10</w:t>
      </w:r>
      <w:r>
        <w:rPr>
          <w:rFonts w:ascii="Calibri" w:eastAsia="Calibri" w:hAnsi="Calibri" w:cs="Times New Roman"/>
          <w:noProof/>
          <w:sz w:val="20"/>
          <w:szCs w:val="20"/>
          <w:lang w:eastAsia="ar-SA"/>
        </w:rPr>
        <w:t xml:space="preserve">% in Belgium over the period 2006-12, </w:t>
      </w:r>
      <w:r>
        <w:rPr>
          <w:rFonts w:ascii="Calibri" w:eastAsia="Calibri" w:hAnsi="Calibri" w:cs="Times New Roman"/>
          <w:noProof/>
          <w:sz w:val="20"/>
          <w:lang w:eastAsia="ar-SA"/>
        </w:rPr>
        <w:t>well below</w:t>
      </w:r>
      <w:r>
        <w:rPr>
          <w:rFonts w:ascii="Calibri" w:eastAsia="Calibri" w:hAnsi="Calibri" w:cs="Times New Roman"/>
          <w:noProof/>
          <w:sz w:val="20"/>
          <w:szCs w:val="20"/>
          <w:lang w:eastAsia="ar-SA"/>
        </w:rPr>
        <w:t xml:space="preserve"> the EU average (0.41%), Flanders showing a slightly higher lan</w:t>
      </w:r>
      <w:r>
        <w:rPr>
          <w:rFonts w:ascii="Calibri" w:eastAsia="Calibri" w:hAnsi="Calibri" w:cs="Times New Roman"/>
          <w:noProof/>
          <w:sz w:val="20"/>
          <w:szCs w:val="20"/>
          <w:lang w:eastAsia="ar-SA"/>
        </w:rPr>
        <w:t xml:space="preserve">d take rate than Wallonia. It represented 614 hectares per year and was mainly driven by </w:t>
      </w:r>
      <w:r>
        <w:rPr>
          <w:rFonts w:ascii="Calibri" w:eastAsia="Calibri" w:hAnsi="Calibri" w:cs="Times New Roman"/>
          <w:noProof/>
          <w:sz w:val="20"/>
          <w:lang w:eastAsia="ar-SA"/>
        </w:rPr>
        <w:t>industrial and commercial sites</w:t>
      </w:r>
      <w:r>
        <w:rPr>
          <w:rFonts w:ascii="Calibri" w:eastAsia="Calibri" w:hAnsi="Calibri" w:cs="Times New Roman"/>
          <w:noProof/>
          <w:sz w:val="20"/>
          <w:szCs w:val="20"/>
          <w:lang w:eastAsia="ar-SA"/>
        </w:rPr>
        <w:t xml:space="preserve"> </w:t>
      </w:r>
      <w:r>
        <w:rPr>
          <w:rFonts w:ascii="Calibri" w:eastAsia="Calibri" w:hAnsi="Calibri" w:cs="Times New Roman"/>
          <w:noProof/>
          <w:sz w:val="20"/>
          <w:lang w:eastAsia="ar-SA"/>
        </w:rPr>
        <w:t>as well as</w:t>
      </w:r>
      <w:r>
        <w:rPr>
          <w:rFonts w:ascii="Calibri" w:eastAsia="Calibri" w:hAnsi="Calibri" w:cs="Times New Roman"/>
          <w:noProof/>
          <w:sz w:val="20"/>
          <w:szCs w:val="20"/>
          <w:lang w:eastAsia="ar-SA"/>
        </w:rPr>
        <w:t xml:space="preserve"> </w:t>
      </w:r>
      <w:r>
        <w:rPr>
          <w:rFonts w:ascii="Calibri" w:eastAsia="Calibri" w:hAnsi="Calibri" w:cs="Times New Roman"/>
          <w:noProof/>
          <w:sz w:val="20"/>
          <w:lang w:eastAsia="ar-SA"/>
        </w:rPr>
        <w:t>housing, services and recreation</w:t>
      </w:r>
      <w:r>
        <w:rPr>
          <w:rFonts w:ascii="Calibri" w:eastAsia="Calibri" w:hAnsi="Calibri" w:cs="Times New Roman"/>
          <w:noProof/>
          <w:sz w:val="20"/>
          <w:szCs w:val="20"/>
          <w:vertAlign w:val="superscript"/>
          <w:lang w:eastAsia="ar-SA"/>
        </w:rPr>
        <w:footnoteReference w:id="84"/>
      </w:r>
      <w:r>
        <w:rPr>
          <w:rFonts w:ascii="Calibri" w:eastAsia="Calibri" w:hAnsi="Calibri" w:cs="Times New Roman"/>
          <w:noProof/>
          <w:sz w:val="20"/>
          <w:lang w:eastAsia="ar-SA"/>
        </w:rPr>
        <w:t xml:space="preserve">. </w:t>
      </w:r>
      <w:r>
        <w:rPr>
          <w:rFonts w:ascii="Calibri" w:eastAsia="Calibri" w:hAnsi="Calibri" w:cs="Times New Roman"/>
          <w:noProof/>
          <w:sz w:val="20"/>
          <w:szCs w:val="20"/>
          <w:lang w:eastAsia="ar-SA"/>
        </w:rPr>
        <w:t>However, the Belgian authorities suggest that the figure may be largely underestimated</w:t>
      </w:r>
      <w:r>
        <w:rPr>
          <w:rFonts w:ascii="Calibri" w:eastAsia="Calibri" w:hAnsi="Calibri" w:cs="Times New Roman"/>
          <w:noProof/>
          <w:sz w:val="20"/>
          <w:szCs w:val="20"/>
          <w:vertAlign w:val="superscript"/>
          <w:lang w:eastAsia="ar-SA"/>
        </w:rPr>
        <w:footnoteReference w:id="85"/>
      </w:r>
      <w:r>
        <w:rPr>
          <w:rFonts w:ascii="Calibri" w:eastAsia="Calibri" w:hAnsi="Calibri" w:cs="Times New Roman"/>
          <w:noProof/>
          <w:sz w:val="20"/>
          <w:szCs w:val="20"/>
          <w:lang w:eastAsia="ar-SA"/>
        </w:rPr>
        <w:t xml:space="preserve">. </w:t>
      </w:r>
    </w:p>
    <w:p w:rsidR="0017500B" w:rsidRDefault="00390F61">
      <w:pPr>
        <w:widowControl w:val="0"/>
        <w:suppressAutoHyphens/>
        <w:spacing w:after="120" w:line="240" w:lineRule="auto"/>
        <w:jc w:val="both"/>
        <w:rPr>
          <w:rFonts w:ascii="Calibri" w:eastAsia="Calibri" w:hAnsi="Calibri" w:cs="Times New Roman"/>
          <w:iCs/>
          <w:noProof/>
          <w:sz w:val="20"/>
          <w:lang w:eastAsia="ar-SA"/>
        </w:rPr>
      </w:pPr>
      <w:r>
        <w:rPr>
          <w:rFonts w:ascii="Calibri" w:eastAsia="Calibri" w:hAnsi="Calibri" w:cs="Times New Roman"/>
          <w:noProof/>
          <w:sz w:val="20"/>
          <w:szCs w:val="20"/>
          <w:lang w:eastAsia="ar-SA"/>
        </w:rPr>
        <w:t>In line with the higher population density (370.3 persons/km in 2014</w:t>
      </w:r>
      <w:r>
        <w:rPr>
          <w:rStyle w:val="FootnoteReference"/>
          <w:rFonts w:ascii="Calibri" w:eastAsia="Calibri" w:hAnsi="Calibri" w:cs="Times New Roman"/>
          <w:noProof/>
          <w:sz w:val="20"/>
          <w:szCs w:val="20"/>
          <w:lang w:eastAsia="ar-SA"/>
        </w:rPr>
        <w:footnoteReference w:id="86"/>
      </w:r>
      <w:r>
        <w:rPr>
          <w:rFonts w:ascii="Calibri" w:eastAsia="Calibri" w:hAnsi="Calibri" w:cs="Times New Roman"/>
          <w:noProof/>
          <w:sz w:val="20"/>
          <w:szCs w:val="20"/>
          <w:lang w:eastAsia="ar-SA"/>
        </w:rPr>
        <w:t xml:space="preserve">), the percentage of built up land in 2009 for Belgium was </w:t>
      </w:r>
      <w:r>
        <w:rPr>
          <w:rFonts w:ascii="Calibri" w:eastAsia="Calibri" w:hAnsi="Calibri" w:cs="Times New Roman"/>
          <w:noProof/>
          <w:sz w:val="20"/>
          <w:lang w:eastAsia="ar-SA"/>
        </w:rPr>
        <w:t>7.39</w:t>
      </w:r>
      <w:r>
        <w:rPr>
          <w:rFonts w:ascii="Calibri" w:eastAsia="Calibri" w:hAnsi="Calibri" w:cs="Times New Roman"/>
          <w:noProof/>
          <w:sz w:val="20"/>
          <w:szCs w:val="20"/>
          <w:lang w:eastAsia="ar-SA"/>
        </w:rPr>
        <w:t xml:space="preserve">%, </w:t>
      </w:r>
      <w:r>
        <w:rPr>
          <w:rFonts w:ascii="Calibri" w:eastAsia="Calibri" w:hAnsi="Calibri" w:cs="Times New Roman"/>
          <w:noProof/>
          <w:sz w:val="20"/>
          <w:lang w:eastAsia="ar-SA"/>
        </w:rPr>
        <w:t>well above</w:t>
      </w:r>
      <w:r>
        <w:rPr>
          <w:rFonts w:ascii="Calibri" w:eastAsia="Calibri" w:hAnsi="Calibri" w:cs="Times New Roman"/>
          <w:noProof/>
          <w:sz w:val="20"/>
          <w:szCs w:val="20"/>
          <w:lang w:eastAsia="ar-SA"/>
        </w:rPr>
        <w:t xml:space="preserve"> the EU average (3.23%)</w:t>
      </w:r>
      <w:r>
        <w:rPr>
          <w:rFonts w:ascii="Calibri" w:eastAsia="Calibri" w:hAnsi="Calibri" w:cs="Times New Roman"/>
          <w:noProof/>
          <w:szCs w:val="20"/>
          <w:vertAlign w:val="superscript"/>
          <w:lang w:eastAsia="ar-SA"/>
        </w:rPr>
        <w:footnoteReference w:id="87"/>
      </w:r>
      <w:r>
        <w:rPr>
          <w:rFonts w:ascii="Calibri" w:eastAsia="Calibri" w:hAnsi="Calibri" w:cs="Times New Roman"/>
          <w:noProof/>
          <w:sz w:val="20"/>
          <w:szCs w:val="20"/>
          <w:lang w:eastAsia="ar-SA"/>
        </w:rPr>
        <w:t xml:space="preserve"> , with a strong discrepancy between Flanders and the Walloon region – as clearly depicted in Figure 8.  </w:t>
      </w:r>
    </w:p>
    <w:p w:rsidR="0017500B" w:rsidRDefault="00390F61">
      <w:pPr>
        <w:suppressAutoHyphens/>
        <w:spacing w:after="120" w:line="240" w:lineRule="auto"/>
        <w:jc w:val="both"/>
        <w:rPr>
          <w:rFonts w:ascii="Calibri" w:eastAsia="Calibri" w:hAnsi="Calibri" w:cs="Times New Roman"/>
          <w:noProof/>
          <w:sz w:val="20"/>
          <w:szCs w:val="20"/>
          <w:lang w:eastAsia="ar-SA"/>
        </w:rPr>
      </w:pPr>
      <w:r>
        <w:rPr>
          <w:rFonts w:ascii="Calibri" w:eastAsia="Calibri" w:hAnsi="Calibri" w:cs="Times New Roman"/>
          <w:iCs/>
          <w:noProof/>
          <w:sz w:val="20"/>
          <w:lang w:eastAsia="ar-SA"/>
        </w:rPr>
        <w:t xml:space="preserve">To stimulate the reconversion of brownfields, to prevent urban sprawl and the further artificialization of scarce green fields </w:t>
      </w:r>
      <w:r>
        <w:rPr>
          <w:rFonts w:ascii="Calibri" w:eastAsia="Calibri" w:hAnsi="Calibri" w:cs="Times New Roman"/>
          <w:iCs/>
          <w:noProof/>
          <w:sz w:val="20"/>
          <w:lang w:val="en-US" w:eastAsia="ar-SA"/>
        </w:rPr>
        <w:t xml:space="preserve">(Brussels-Capital </w:t>
      </w:r>
      <w:r>
        <w:rPr>
          <w:rFonts w:ascii="Calibri" w:eastAsia="Calibri" w:hAnsi="Calibri" w:cs="Times New Roman"/>
          <w:iCs/>
          <w:noProof/>
          <w:sz w:val="20"/>
          <w:lang w:val="en-US" w:eastAsia="ar-SA"/>
        </w:rPr>
        <w:t>Region and Wallonia)</w:t>
      </w:r>
      <w:r>
        <w:rPr>
          <w:rFonts w:ascii="Calibri" w:eastAsia="Calibri" w:hAnsi="Calibri" w:cs="Times New Roman"/>
          <w:iCs/>
          <w:noProof/>
          <w:sz w:val="20"/>
          <w:lang w:eastAsia="ar-SA"/>
        </w:rPr>
        <w:t xml:space="preserve">, and to (re)connect and indirectly enhancing green corridors </w:t>
      </w:r>
      <w:r>
        <w:rPr>
          <w:rFonts w:ascii="Calibri" w:eastAsia="Calibri" w:hAnsi="Calibri" w:cs="Times New Roman"/>
          <w:iCs/>
          <w:noProof/>
          <w:sz w:val="20"/>
          <w:lang w:val="en-US" w:eastAsia="ar-SA"/>
        </w:rPr>
        <w:t>(Brussels-Capital Region)</w:t>
      </w:r>
      <w:r>
        <w:rPr>
          <w:rFonts w:ascii="Calibri" w:eastAsia="Calibri" w:hAnsi="Calibri" w:cs="Times New Roman"/>
          <w:iCs/>
          <w:noProof/>
          <w:sz w:val="20"/>
          <w:lang w:eastAsia="ar-SA"/>
        </w:rPr>
        <w:t>, each region</w:t>
      </w:r>
      <w:r>
        <w:rPr>
          <w:rFonts w:ascii="Calibri" w:eastAsia="Calibri" w:hAnsi="Calibri" w:cs="Times New Roman"/>
          <w:iCs/>
          <w:noProof/>
          <w:sz w:val="20"/>
          <w:vertAlign w:val="superscript"/>
          <w:lang w:eastAsia="ar-SA"/>
        </w:rPr>
        <w:footnoteReference w:id="88"/>
      </w:r>
      <w:r>
        <w:rPr>
          <w:rFonts w:ascii="Calibri" w:eastAsia="Calibri" w:hAnsi="Calibri" w:cs="Times New Roman"/>
          <w:iCs/>
          <w:noProof/>
          <w:sz w:val="20"/>
          <w:lang w:eastAsia="ar-SA"/>
        </w:rPr>
        <w:t xml:space="preserve"> has worked out (or is currently updating) its own Neighbourhood Sustainability Assessment Tool. These regional tools help public and p</w:t>
      </w:r>
      <w:r>
        <w:rPr>
          <w:rFonts w:ascii="Calibri" w:eastAsia="Calibri" w:hAnsi="Calibri" w:cs="Times New Roman"/>
          <w:iCs/>
          <w:noProof/>
          <w:sz w:val="20"/>
          <w:lang w:eastAsia="ar-SA"/>
        </w:rPr>
        <w:t xml:space="preserve">rivate neighbourhood planners in localizing the construction sites with less environmental impact and in the design and build of future sustainable neighbourhoods. </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szCs w:val="20"/>
          <w:lang w:eastAsia="ar-SA"/>
        </w:rPr>
        <w:t xml:space="preserve">The soil erosion rate in 2010 was </w:t>
      </w:r>
      <w:r>
        <w:rPr>
          <w:rFonts w:ascii="Calibri" w:eastAsia="Calibri" w:hAnsi="Calibri" w:cs="Times New Roman"/>
          <w:noProof/>
          <w:sz w:val="20"/>
          <w:lang w:eastAsia="ar-SA"/>
        </w:rPr>
        <w:t>1.22</w:t>
      </w:r>
      <w:r>
        <w:rPr>
          <w:rFonts w:ascii="Calibri" w:eastAsia="Calibri" w:hAnsi="Calibri" w:cs="Times New Roman"/>
          <w:noProof/>
          <w:sz w:val="20"/>
          <w:szCs w:val="20"/>
          <w:lang w:eastAsia="ar-SA"/>
        </w:rPr>
        <w:t xml:space="preserve"> tonnes per ha per year, </w:t>
      </w:r>
      <w:r>
        <w:rPr>
          <w:rFonts w:ascii="Calibri" w:eastAsia="Calibri" w:hAnsi="Calibri" w:cs="Times New Roman"/>
          <w:noProof/>
          <w:sz w:val="20"/>
          <w:lang w:eastAsia="ar-SA"/>
        </w:rPr>
        <w:t>below</w:t>
      </w:r>
      <w:r>
        <w:rPr>
          <w:rFonts w:ascii="Calibri" w:eastAsia="Calibri" w:hAnsi="Calibri" w:cs="Times New Roman"/>
          <w:noProof/>
          <w:sz w:val="20"/>
          <w:szCs w:val="20"/>
          <w:lang w:eastAsia="ar-SA"/>
        </w:rPr>
        <w:t xml:space="preserve"> EU-28 average (2.46 to</w:t>
      </w:r>
      <w:r>
        <w:rPr>
          <w:rFonts w:ascii="Calibri" w:eastAsia="Calibri" w:hAnsi="Calibri" w:cs="Times New Roman"/>
          <w:noProof/>
          <w:sz w:val="20"/>
          <w:szCs w:val="20"/>
          <w:lang w:eastAsia="ar-SA"/>
        </w:rPr>
        <w:t>nnes per ha per year)</w:t>
      </w:r>
      <w:r>
        <w:rPr>
          <w:rFonts w:ascii="Calibri" w:eastAsia="Calibri" w:hAnsi="Calibri" w:cs="Times New Roman"/>
          <w:noProof/>
          <w:szCs w:val="20"/>
          <w:vertAlign w:val="superscript"/>
          <w:lang w:eastAsia="ar-SA"/>
        </w:rPr>
        <w:footnoteReference w:id="89"/>
      </w:r>
      <w:r>
        <w:rPr>
          <w:rFonts w:ascii="Calibri" w:eastAsia="Calibri" w:hAnsi="Calibri" w:cs="Times New Roman"/>
          <w:noProof/>
          <w:sz w:val="20"/>
          <w:szCs w:val="20"/>
          <w:lang w:eastAsia="ar-SA"/>
        </w:rPr>
        <w:t>.</w:t>
      </w:r>
    </w:p>
    <w:p w:rsidR="0017500B" w:rsidRDefault="00390F61">
      <w:pPr>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It has been estimated that in Brussels 21% of soils are contaminated</w:t>
      </w:r>
      <w:r>
        <w:rPr>
          <w:rFonts w:ascii="Calibri" w:eastAsia="Calibri" w:hAnsi="Calibri" w:cs="Times New Roman"/>
          <w:noProof/>
          <w:sz w:val="20"/>
          <w:vertAlign w:val="superscript"/>
          <w:lang w:eastAsia="ar-SA"/>
        </w:rPr>
        <w:footnoteReference w:id="90"/>
      </w:r>
      <w:r>
        <w:rPr>
          <w:rFonts w:ascii="Calibri" w:eastAsia="Calibri" w:hAnsi="Calibri" w:cs="Times New Roman"/>
          <w:noProof/>
          <w:sz w:val="20"/>
          <w:lang w:eastAsia="ar-SA"/>
        </w:rPr>
        <w:t xml:space="preserve"> leading to a clean-up programme since 2009; 80% of this amount has an unknown owner or an owner that does not possess the economic means to clean-up. </w:t>
      </w:r>
      <w:r>
        <w:rPr>
          <w:rFonts w:ascii="Calibri" w:eastAsia="Calibri" w:hAnsi="Calibri" w:cs="Times New Roman"/>
          <w:noProof/>
          <w:color w:val="222222"/>
          <w:sz w:val="20"/>
          <w:lang w:val="en" w:eastAsia="ar-SA"/>
        </w:rPr>
        <w:t>A soil inven</w:t>
      </w:r>
      <w:r>
        <w:rPr>
          <w:rFonts w:ascii="Calibri" w:eastAsia="Calibri" w:hAnsi="Calibri" w:cs="Times New Roman"/>
          <w:noProof/>
          <w:color w:val="222222"/>
          <w:sz w:val="20"/>
          <w:lang w:val="en" w:eastAsia="ar-SA"/>
        </w:rPr>
        <w:t>tory</w:t>
      </w:r>
      <w:r>
        <w:rPr>
          <w:rFonts w:ascii="Calibri" w:eastAsia="Calibri" w:hAnsi="Calibri" w:cs="Times New Roman"/>
          <w:noProof/>
          <w:sz w:val="20"/>
          <w:vertAlign w:val="superscript"/>
          <w:lang w:val="en" w:eastAsia="ar-SA"/>
        </w:rPr>
        <w:footnoteReference w:id="91"/>
      </w:r>
      <w:r>
        <w:rPr>
          <w:rFonts w:ascii="Calibri" w:eastAsia="Calibri" w:hAnsi="Calibri" w:cs="Times New Roman"/>
          <w:noProof/>
          <w:sz w:val="20"/>
          <w:lang w:val="en" w:eastAsia="ar-SA"/>
        </w:rPr>
        <w:t xml:space="preserve"> </w:t>
      </w:r>
      <w:r>
        <w:rPr>
          <w:rFonts w:ascii="Calibri" w:eastAsia="Calibri" w:hAnsi="Calibri" w:cs="Times New Roman"/>
          <w:noProof/>
          <w:color w:val="222222"/>
          <w:sz w:val="20"/>
          <w:lang w:val="en" w:eastAsia="ar-SA"/>
        </w:rPr>
        <w:t>and a soil map</w:t>
      </w:r>
      <w:r>
        <w:rPr>
          <w:rFonts w:ascii="Calibri" w:eastAsia="Calibri" w:hAnsi="Calibri" w:cs="Times New Roman"/>
          <w:noProof/>
          <w:sz w:val="20"/>
          <w:vertAlign w:val="superscript"/>
          <w:lang w:val="en" w:eastAsia="ar-SA"/>
        </w:rPr>
        <w:footnoteReference w:id="92"/>
      </w:r>
      <w:r>
        <w:rPr>
          <w:rFonts w:ascii="Calibri" w:eastAsia="Calibri" w:hAnsi="Calibri" w:cs="Times New Roman"/>
          <w:noProof/>
          <w:color w:val="222222"/>
          <w:sz w:val="20"/>
          <w:lang w:val="en" w:eastAsia="ar-SA"/>
        </w:rPr>
        <w:t xml:space="preserve"> were finalized end of 2015. </w:t>
      </w:r>
      <w:r>
        <w:rPr>
          <w:rFonts w:ascii="Calibri" w:eastAsia="Calibri" w:hAnsi="Calibri" w:cs="Times New Roman"/>
          <w:noProof/>
          <w:color w:val="222222"/>
          <w:sz w:val="20"/>
          <w:szCs w:val="20"/>
          <w:lang w:val="en" w:eastAsia="ar-SA"/>
        </w:rPr>
        <w:t xml:space="preserve">Approximately 14,700 </w:t>
      </w:r>
      <w:r>
        <w:rPr>
          <w:rFonts w:ascii="Calibri" w:eastAsia="Calibri" w:hAnsi="Calibri" w:cs="Times New Roman"/>
          <w:noProof/>
          <w:sz w:val="20"/>
          <w:szCs w:val="20"/>
          <w:lang w:val="en" w:eastAsia="ar-SA"/>
        </w:rPr>
        <w:t xml:space="preserve">plots are listed </w:t>
      </w:r>
      <w:r>
        <w:rPr>
          <w:rFonts w:ascii="Calibri" w:eastAsia="Calibri" w:hAnsi="Calibri" w:cs="Times New Roman"/>
          <w:noProof/>
          <w:sz w:val="20"/>
          <w:szCs w:val="20"/>
          <w:lang w:val="en-US" w:eastAsia="ar-SA"/>
        </w:rPr>
        <w:t xml:space="preserve">in this inventory which corresponds to about 3000 ha (18.6% of the area of the Region). </w:t>
      </w:r>
      <w:r>
        <w:rPr>
          <w:rFonts w:ascii="Calibri" w:eastAsia="Calibri" w:hAnsi="Calibri" w:cs="Times New Roman"/>
          <w:noProof/>
          <w:sz w:val="20"/>
          <w:lang w:val="en-US" w:eastAsia="ar-SA"/>
        </w:rPr>
        <w:t xml:space="preserve">14% of these plots are potentially contaminated, the rest is either clean or polluted with no risks or polluted under treatment. </w:t>
      </w:r>
      <w:r>
        <w:rPr>
          <w:rFonts w:ascii="Calibri" w:eastAsia="Calibri" w:hAnsi="Calibri" w:cs="Times New Roman"/>
          <w:noProof/>
          <w:sz w:val="20"/>
          <w:szCs w:val="20"/>
          <w:lang w:val="en-US" w:eastAsia="ar-SA"/>
        </w:rPr>
        <w:t>Since 2004, about 1,580 ha were examined of which 472</w:t>
      </w:r>
      <w:r>
        <w:rPr>
          <w:rStyle w:val="FootnoteReference"/>
          <w:rFonts w:ascii="Calibri" w:eastAsia="Calibri" w:hAnsi="Calibri" w:cs="Times New Roman"/>
          <w:noProof/>
          <w:sz w:val="20"/>
          <w:szCs w:val="20"/>
          <w:lang w:val="en-US" w:eastAsia="ar-SA"/>
        </w:rPr>
        <w:footnoteReference w:id="93"/>
      </w:r>
      <w:r>
        <w:rPr>
          <w:rFonts w:ascii="Calibri" w:eastAsia="Calibri" w:hAnsi="Calibri" w:cs="Times New Roman"/>
          <w:noProof/>
          <w:sz w:val="20"/>
          <w:szCs w:val="20"/>
          <w:lang w:val="en-US" w:eastAsia="ar-SA"/>
        </w:rPr>
        <w:t xml:space="preserve"> ha were treated and reassigned to residential, economic and recreational</w:t>
      </w:r>
      <w:r>
        <w:rPr>
          <w:rFonts w:ascii="Calibri" w:eastAsia="Calibri" w:hAnsi="Calibri" w:cs="Times New Roman"/>
          <w:noProof/>
          <w:sz w:val="20"/>
          <w:szCs w:val="20"/>
          <w:lang w:val="en-US" w:eastAsia="ar-SA"/>
        </w:rPr>
        <w:t xml:space="preserve"> activities. According to the current data and if policy remains unchanged, the remaining plots will be examined by 2029 (and about 400 ha will still be treated and reassigned).</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Wallonia is dealing with post-industrial conversion of contaminated soils incl</w:t>
      </w:r>
      <w:r>
        <w:rPr>
          <w:rFonts w:ascii="Calibri" w:eastAsia="Calibri" w:hAnsi="Calibri" w:cs="Times New Roman"/>
          <w:noProof/>
          <w:sz w:val="20"/>
          <w:lang w:eastAsia="ar-SA"/>
        </w:rPr>
        <w:t>uding in urban areas with ERDF co-financing.</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The European Fund for Strategic Investments (EFSI) has financed an equity fund called Ginkgo Fund II for decontaminating industrial land (e.g. in Ottignies and Tournai) with a contribution of EUR 30 million</w:t>
      </w:r>
      <w:r>
        <w:rPr>
          <w:rFonts w:ascii="Calibri" w:eastAsia="Calibri" w:hAnsi="Calibri" w:cs="Times New Roman"/>
          <w:noProof/>
          <w:szCs w:val="20"/>
          <w:vertAlign w:val="superscript"/>
          <w:lang w:eastAsia="ar-SA"/>
        </w:rPr>
        <w:footnoteReference w:id="94"/>
      </w:r>
      <w:r>
        <w:rPr>
          <w:rFonts w:ascii="Calibri" w:eastAsia="Calibri" w:hAnsi="Calibri" w:cs="Times New Roman"/>
          <w:noProof/>
          <w:sz w:val="20"/>
          <w:lang w:eastAsia="ar-SA"/>
        </w:rPr>
        <w:t>.</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Th</w:t>
      </w:r>
      <w:r>
        <w:rPr>
          <w:rFonts w:ascii="Calibri" w:eastAsia="Calibri" w:hAnsi="Calibri" w:cs="Times New Roman"/>
          <w:noProof/>
          <w:sz w:val="20"/>
          <w:lang w:eastAsia="ar-SA"/>
        </w:rPr>
        <w:t>ere are still not EU-wide datasets enabling the provision of benchmark indicators for soil organic matter decline, contaminated sites, pressures on soil biology and diffuse pollution.</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 xml:space="preserve">An updated inventory and assessment of soil protection policy </w:t>
      </w:r>
      <w:r>
        <w:rPr>
          <w:rFonts w:ascii="Calibri" w:eastAsia="Calibri" w:hAnsi="Calibri" w:cs="Times New Roman"/>
          <w:noProof/>
          <w:sz w:val="20"/>
          <w:lang w:eastAsia="ar-SA"/>
        </w:rPr>
        <w:t>instruments in Belgium and other EU Member States is being performed by the EU Expert Group on Soil Protection.</w:t>
      </w:r>
    </w:p>
    <w:p w:rsidR="0017500B" w:rsidRDefault="00390F61">
      <w:pPr>
        <w:widowControl w:val="0"/>
        <w:suppressAutoHyphens/>
        <w:spacing w:before="360" w:after="120" w:line="240" w:lineRule="auto"/>
        <w:jc w:val="both"/>
        <w:outlineLvl w:val="1"/>
        <w:rPr>
          <w:rFonts w:ascii="Calibri" w:eastAsia="Calibri" w:hAnsi="Calibri" w:cs="Times New Roman"/>
          <w:b/>
          <w:noProof/>
          <w:color w:val="1F497D"/>
          <w:sz w:val="24"/>
          <w:lang w:eastAsia="ar-SA"/>
        </w:rPr>
      </w:pPr>
      <w:bookmarkStart w:id="12" w:name="_Toc469477493"/>
      <w:r>
        <w:rPr>
          <w:rFonts w:ascii="Calibri" w:eastAsia="Calibri" w:hAnsi="Calibri" w:cs="Times New Roman"/>
          <w:b/>
          <w:noProof/>
          <w:color w:val="1F497D"/>
          <w:sz w:val="24"/>
          <w:lang w:eastAsia="ar-SA"/>
        </w:rPr>
        <w:t>Marine protection</w:t>
      </w:r>
      <w:bookmarkEnd w:id="12"/>
    </w:p>
    <w:p w:rsidR="0017500B" w:rsidRDefault="00390F61">
      <w:pPr>
        <w:widowControl w:val="0"/>
        <w:shd w:val="clear" w:color="auto" w:fill="4F81BD"/>
        <w:suppressAutoHyphens/>
        <w:spacing w:after="120" w:line="240" w:lineRule="auto"/>
        <w:jc w:val="both"/>
        <w:rPr>
          <w:rFonts w:ascii="Calibri" w:eastAsia="Calibri" w:hAnsi="Calibri" w:cs="Times New Roman"/>
          <w:noProof/>
          <w:color w:val="FFFFFF"/>
          <w:sz w:val="20"/>
          <w:lang w:eastAsia="ar-SA"/>
        </w:rPr>
      </w:pPr>
      <w:r>
        <w:rPr>
          <w:rFonts w:ascii="Calibri" w:eastAsia="Calibri" w:hAnsi="Calibri" w:cs="Times New Roman"/>
          <w:noProof/>
          <w:color w:val="FFFFFF"/>
          <w:sz w:val="20"/>
          <w:lang w:eastAsia="ar-SA"/>
        </w:rPr>
        <w:t>The EU Coastal and Marine Policy and legislation require that by 2020 the impact of pressures on marine waters is reduced to a</w:t>
      </w:r>
      <w:r>
        <w:rPr>
          <w:rFonts w:ascii="Calibri" w:eastAsia="Calibri" w:hAnsi="Calibri" w:cs="Times New Roman"/>
          <w:noProof/>
          <w:color w:val="FFFFFF"/>
          <w:sz w:val="20"/>
          <w:lang w:eastAsia="ar-SA"/>
        </w:rPr>
        <w:t>chieve or maintain good environmental status and coastal zones are managed sustainably.</w:t>
      </w:r>
    </w:p>
    <w:p w:rsidR="0017500B" w:rsidRDefault="00390F61">
      <w:pPr>
        <w:widowControl w:val="0"/>
        <w:shd w:val="clear" w:color="auto" w:fill="4F81BD"/>
        <w:suppressAutoHyphens/>
        <w:spacing w:after="120" w:line="240" w:lineRule="auto"/>
        <w:jc w:val="both"/>
        <w:rPr>
          <w:rFonts w:ascii="Calibri" w:eastAsia="Calibri" w:hAnsi="Calibri" w:cs="Times New Roman"/>
          <w:noProof/>
          <w:color w:val="FFFFFF"/>
          <w:sz w:val="20"/>
          <w:lang w:eastAsia="ar-SA"/>
        </w:rPr>
      </w:pPr>
      <w:r>
        <w:rPr>
          <w:rFonts w:ascii="Calibri" w:eastAsia="Calibri" w:hAnsi="Calibri" w:cs="Times New Roman"/>
          <w:noProof/>
          <w:color w:val="FFFFFF"/>
          <w:sz w:val="20"/>
          <w:lang w:eastAsia="ar-SA"/>
        </w:rPr>
        <w:t>SDG 14 requires countries to conserve and sustainably use the oceans, seas and marine resources for sustainable development.</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The Marine Strategy Framework Directive (MS</w:t>
      </w:r>
      <w:r>
        <w:rPr>
          <w:rFonts w:ascii="Calibri" w:eastAsia="Calibri" w:hAnsi="Calibri" w:cs="Times New Roman"/>
          <w:noProof/>
          <w:sz w:val="20"/>
          <w:lang w:eastAsia="ar-SA"/>
        </w:rPr>
        <w:t>FD)</w:t>
      </w:r>
      <w:r>
        <w:rPr>
          <w:rFonts w:ascii="Calibri" w:eastAsia="Calibri" w:hAnsi="Calibri" w:cs="Times New Roman"/>
          <w:noProof/>
          <w:sz w:val="20"/>
          <w:vertAlign w:val="superscript"/>
          <w:lang w:eastAsia="ar-SA"/>
        </w:rPr>
        <w:footnoteReference w:id="95"/>
      </w:r>
      <w:r>
        <w:rPr>
          <w:rFonts w:ascii="Calibri" w:eastAsia="Calibri" w:hAnsi="Calibri" w:cs="Times New Roman"/>
          <w:noProof/>
          <w:sz w:val="20"/>
          <w:lang w:eastAsia="ar-SA"/>
        </w:rPr>
        <w:t xml:space="preserve"> aims to achieve Good Environmental Status (GES) of the EU's marine waters by 2020 by</w:t>
      </w:r>
      <w:r>
        <w:rPr>
          <w:rFonts w:ascii="Calibri" w:eastAsia="Calibri" w:hAnsi="Calibri" w:cs="Times New Roman"/>
          <w:noProof/>
          <w:sz w:val="20"/>
          <w:lang w:val="en" w:eastAsia="ar-SA"/>
        </w:rPr>
        <w:t xml:space="preserve"> providing an ecosystem approach to the management of human activities with impact on the marine environment</w:t>
      </w:r>
      <w:r>
        <w:rPr>
          <w:rFonts w:ascii="Calibri" w:eastAsia="Calibri" w:hAnsi="Calibri" w:cs="Times New Roman"/>
          <w:noProof/>
          <w:sz w:val="20"/>
          <w:lang w:eastAsia="ar-SA"/>
        </w:rPr>
        <w:t>. The Directive requires Member States to develop and imple</w:t>
      </w:r>
      <w:r>
        <w:rPr>
          <w:rFonts w:ascii="Calibri" w:eastAsia="Calibri" w:hAnsi="Calibri" w:cs="Times New Roman"/>
          <w:noProof/>
          <w:sz w:val="20"/>
          <w:lang w:eastAsia="ar-SA"/>
        </w:rPr>
        <w:t>ment a marine strategy for their marine waters, and cooperate with Member States sharing the same marine region or subregion.</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As part of their marine strategies, Member States had to make an initial assessment of their marine waters, determine GES</w:t>
      </w:r>
      <w:r>
        <w:rPr>
          <w:rFonts w:ascii="Calibri" w:eastAsia="Calibri" w:hAnsi="Calibri" w:cs="Times New Roman"/>
          <w:noProof/>
          <w:sz w:val="20"/>
          <w:vertAlign w:val="superscript"/>
          <w:lang w:eastAsia="ar-SA"/>
        </w:rPr>
        <w:footnoteReference w:id="96"/>
      </w:r>
      <w:r>
        <w:rPr>
          <w:rFonts w:ascii="Calibri" w:eastAsia="Calibri" w:hAnsi="Calibri" w:cs="Times New Roman"/>
          <w:noProof/>
          <w:sz w:val="20"/>
          <w:lang w:eastAsia="ar-SA"/>
        </w:rPr>
        <w:t xml:space="preserve"> and est</w:t>
      </w:r>
      <w:r>
        <w:rPr>
          <w:rFonts w:ascii="Calibri" w:eastAsia="Calibri" w:hAnsi="Calibri" w:cs="Times New Roman"/>
          <w:noProof/>
          <w:sz w:val="20"/>
          <w:lang w:eastAsia="ar-SA"/>
        </w:rPr>
        <w:t>ablish environmental targets by July 2012. They also had to establish monitoring programmes for the on-going assessment of their marine waters by July 2014. The next element of their marine strategy is to establish a Programme of Measures (2016). The Commi</w:t>
      </w:r>
      <w:r>
        <w:rPr>
          <w:rFonts w:ascii="Calibri" w:eastAsia="Calibri" w:hAnsi="Calibri" w:cs="Times New Roman"/>
          <w:noProof/>
          <w:sz w:val="20"/>
          <w:lang w:eastAsia="ar-SA"/>
        </w:rPr>
        <w:t>ssion assesses whether these elements constitute an appropriate framework to meet the requirements of the MSFD.</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Belgian waters are part of the North-East Atlantic Ocean marine region, but cover a small part (0.5%) of the North Sea. Belgium is part of the C</w:t>
      </w:r>
      <w:r>
        <w:rPr>
          <w:rFonts w:ascii="Calibri" w:eastAsia="Calibri" w:hAnsi="Calibri" w:cs="Times New Roman"/>
          <w:noProof/>
          <w:sz w:val="20"/>
          <w:lang w:eastAsia="ar-SA"/>
        </w:rPr>
        <w:t>onvention for the protection of the marine environment of the North-East Atlantic (OSPAR Convention). The North Sea is one of the busiest maritime areas, with exploitation of oil and gas reserves also occurring in parallel to the important maritime traffic</w:t>
      </w:r>
      <w:r>
        <w:rPr>
          <w:rFonts w:ascii="Calibri" w:eastAsia="Calibri" w:hAnsi="Calibri" w:cs="Times New Roman"/>
          <w:noProof/>
          <w:sz w:val="20"/>
          <w:lang w:eastAsia="ar-SA"/>
        </w:rPr>
        <w:t>. In addition, overfishing and bottom-trawling constitute potential threats to the biodiversity. Indeed, t</w:t>
      </w:r>
      <w:r>
        <w:rPr>
          <w:rFonts w:ascii="Calibri" w:eastAsia="Calibri" w:hAnsi="Calibri" w:cs="Times New Roman"/>
          <w:noProof/>
          <w:sz w:val="20"/>
          <w:lang w:val="en-US" w:eastAsia="ar-SA"/>
        </w:rPr>
        <w:t>he indicator for sustainable fishing in Belgian waters is showing an unfavourable trend</w:t>
      </w:r>
      <w:r>
        <w:rPr>
          <w:rFonts w:ascii="Calibri" w:eastAsia="Calibri" w:hAnsi="Calibri" w:cs="Times New Roman"/>
          <w:noProof/>
          <w:vertAlign w:val="superscript"/>
          <w:lang w:val="en-US" w:eastAsia="ar-SA"/>
        </w:rPr>
        <w:footnoteReference w:id="97"/>
      </w:r>
      <w:r>
        <w:rPr>
          <w:rFonts w:ascii="Calibri" w:eastAsia="Calibri" w:hAnsi="Calibri" w:cs="Times New Roman"/>
          <w:noProof/>
          <w:sz w:val="20"/>
          <w:lang w:val="en-US" w:eastAsia="ar-SA"/>
        </w:rPr>
        <w:t>.</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 xml:space="preserve">Belgium's determination of GES under the MSFD was done at a </w:t>
      </w:r>
      <w:r>
        <w:rPr>
          <w:rFonts w:ascii="Calibri" w:eastAsia="Calibri" w:hAnsi="Calibri" w:cs="Times New Roman"/>
          <w:noProof/>
          <w:sz w:val="20"/>
          <w:lang w:eastAsia="ar-SA"/>
        </w:rPr>
        <w:t>fairly high-level. In particular, the definition of GES proposed by Belgium for "marine litter" was considered inadequate</w:t>
      </w:r>
      <w:r>
        <w:rPr>
          <w:rFonts w:ascii="Calibri" w:eastAsia="Calibri" w:hAnsi="Calibri" w:cs="Times New Roman"/>
          <w:noProof/>
          <w:sz w:val="20"/>
          <w:vertAlign w:val="superscript"/>
          <w:lang w:eastAsia="ar-SA"/>
        </w:rPr>
        <w:footnoteReference w:id="98"/>
      </w:r>
      <w:r>
        <w:rPr>
          <w:rFonts w:ascii="Calibri" w:eastAsia="Calibri" w:hAnsi="Calibri" w:cs="Times New Roman"/>
          <w:noProof/>
          <w:sz w:val="20"/>
          <w:lang w:eastAsia="ar-SA"/>
        </w:rPr>
        <w:t>.</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It is therefore too early to say whether Belgian waters are in a good state as there were weaknesses in identifying what ''a good en</w:t>
      </w:r>
      <w:r>
        <w:rPr>
          <w:rFonts w:ascii="Calibri" w:eastAsia="Calibri" w:hAnsi="Calibri" w:cs="Times New Roman"/>
          <w:noProof/>
          <w:sz w:val="20"/>
          <w:lang w:eastAsia="ar-SA"/>
        </w:rPr>
        <w:t>vironmental status" is in the first place.</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Belgium also established a monitoring programme of its marine waters in 2014. However it seems that its monitoring programmes for descriptors apart from contaminants, contaminants in seafood and marine litter need</w:t>
      </w:r>
      <w:r>
        <w:rPr>
          <w:rFonts w:ascii="Calibri" w:eastAsia="Calibri" w:hAnsi="Calibri" w:cs="Times New Roman"/>
          <w:noProof/>
          <w:sz w:val="20"/>
          <w:lang w:eastAsia="ar-SA"/>
        </w:rPr>
        <w:t xml:space="preserve"> further refinement and development to be considered appropriate. In addition, part of the monitoring programme will not be fully operational before 2018 for a few of the descriptors (marine litter, underwater noise, seabed and mammals)</w:t>
      </w:r>
      <w:r>
        <w:rPr>
          <w:rFonts w:ascii="Calibri" w:eastAsia="Calibri" w:hAnsi="Calibri" w:cs="Times New Roman"/>
          <w:noProof/>
          <w:sz w:val="20"/>
          <w:vertAlign w:val="superscript"/>
          <w:lang w:eastAsia="ar-SA"/>
        </w:rPr>
        <w:footnoteReference w:id="99"/>
      </w:r>
      <w:r>
        <w:rPr>
          <w:rFonts w:ascii="Calibri" w:eastAsia="Calibri" w:hAnsi="Calibri" w:cs="Times New Roman"/>
          <w:noProof/>
          <w:sz w:val="20"/>
          <w:lang w:eastAsia="ar-SA"/>
        </w:rPr>
        <w:t>.</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Belgian</w:t>
      </w:r>
      <w:r>
        <w:rPr>
          <w:rFonts w:ascii="Calibri" w:eastAsia="Calibri" w:hAnsi="Calibri" w:cs="Times New Roman"/>
          <w:noProof/>
          <w:sz w:val="20"/>
          <w:lang w:val="en-US" w:eastAsia="ar-SA"/>
        </w:rPr>
        <w:t xml:space="preserve"> marine pr</w:t>
      </w:r>
      <w:r>
        <w:rPr>
          <w:rFonts w:ascii="Calibri" w:eastAsia="Calibri" w:hAnsi="Calibri" w:cs="Times New Roman"/>
          <w:noProof/>
          <w:sz w:val="20"/>
          <w:lang w:val="en-US" w:eastAsia="ar-SA"/>
        </w:rPr>
        <w:t>otected areas covered 1272.9 square kilometres of its marine waters in the Greater North Sea including the Kattegat and the English Channel</w:t>
      </w:r>
      <w:r>
        <w:rPr>
          <w:rFonts w:ascii="Calibri" w:eastAsia="Calibri" w:hAnsi="Calibri" w:cs="Times New Roman"/>
          <w:noProof/>
          <w:sz w:val="20"/>
          <w:vertAlign w:val="superscript"/>
          <w:lang w:val="en-US" w:eastAsia="ar-SA"/>
        </w:rPr>
        <w:footnoteReference w:id="100"/>
      </w:r>
      <w:r>
        <w:rPr>
          <w:rFonts w:ascii="Calibri" w:eastAsia="Calibri" w:hAnsi="Calibri" w:cs="Times New Roman"/>
          <w:noProof/>
          <w:sz w:val="20"/>
          <w:lang w:val="en-US" w:eastAsia="ar-SA"/>
        </w:rPr>
        <w:t>.</w:t>
      </w:r>
    </w:p>
    <w:p w:rsidR="0017500B" w:rsidRDefault="00390F61">
      <w:pPr>
        <w:widowControl w:val="0"/>
        <w:suppressAutoHyphens/>
        <w:spacing w:after="120" w:line="240" w:lineRule="auto"/>
        <w:jc w:val="both"/>
        <w:rPr>
          <w:rFonts w:ascii="Calibri" w:eastAsia="Calibri" w:hAnsi="Calibri" w:cs="Times New Roman"/>
          <w:noProof/>
          <w:color w:val="1F497D"/>
          <w:lang w:eastAsia="ar-SA"/>
        </w:rPr>
      </w:pPr>
      <w:r>
        <w:rPr>
          <w:rFonts w:ascii="Calibri" w:eastAsia="Calibri" w:hAnsi="Calibri" w:cs="Times New Roman"/>
          <w:noProof/>
          <w:sz w:val="20"/>
          <w:lang w:eastAsia="ar-SA"/>
        </w:rPr>
        <w:t>In its reports on the implementation of the MSFD</w:t>
      </w:r>
      <w:r>
        <w:rPr>
          <w:rFonts w:ascii="Calibri" w:eastAsia="Calibri" w:hAnsi="Calibri" w:cs="Times New Roman"/>
          <w:noProof/>
          <w:sz w:val="20"/>
          <w:vertAlign w:val="superscript"/>
          <w:lang w:eastAsia="ar-SA"/>
        </w:rPr>
        <w:footnoteReference w:id="101"/>
      </w:r>
      <w:r>
        <w:rPr>
          <w:rFonts w:ascii="Calibri" w:eastAsia="Calibri" w:hAnsi="Calibri" w:cs="Times New Roman"/>
          <w:noProof/>
          <w:sz w:val="20"/>
          <w:lang w:eastAsia="ar-SA"/>
        </w:rPr>
        <w:t xml:space="preserve">, the Commission provided guidance to assist Belgium. </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color w:val="1F497D"/>
          <w:lang w:eastAsia="ar-SA"/>
        </w:rPr>
        <w:t xml:space="preserve">Suggested </w:t>
      </w:r>
      <w:r>
        <w:rPr>
          <w:rFonts w:ascii="Calibri" w:eastAsia="Calibri" w:hAnsi="Calibri" w:cs="Times New Roman"/>
          <w:noProof/>
          <w:color w:val="1F497D"/>
          <w:lang w:eastAsia="ar-SA"/>
        </w:rPr>
        <w:t>action</w:t>
      </w:r>
    </w:p>
    <w:p w:rsidR="0017500B" w:rsidRDefault="00390F61">
      <w:pPr>
        <w:pStyle w:val="ListParagraph"/>
        <w:widowControl w:val="0"/>
        <w:numPr>
          <w:ilvl w:val="0"/>
          <w:numId w:val="41"/>
        </w:numPr>
        <w:suppressAutoHyphens/>
        <w:ind w:left="170" w:hanging="170"/>
        <w:rPr>
          <w:noProof/>
        </w:rPr>
      </w:pPr>
      <w:r>
        <w:rPr>
          <w:noProof/>
          <w:szCs w:val="20"/>
          <w:lang w:eastAsia="ar-SA"/>
        </w:rPr>
        <w:t xml:space="preserve">Continue to improve the definitions of GES, </w:t>
      </w:r>
      <w:r>
        <w:rPr>
          <w:noProof/>
        </w:rPr>
        <w:t>including through regional cooperation by using the work of the relevant Regional Sea Convention.</w:t>
      </w:r>
    </w:p>
    <w:p w:rsidR="0017500B" w:rsidRDefault="00390F61">
      <w:pPr>
        <w:pStyle w:val="ListParagraph"/>
        <w:widowControl w:val="0"/>
        <w:numPr>
          <w:ilvl w:val="0"/>
          <w:numId w:val="41"/>
        </w:numPr>
        <w:suppressAutoHyphens/>
        <w:ind w:left="170" w:hanging="170"/>
        <w:rPr>
          <w:noProof/>
          <w:szCs w:val="20"/>
          <w:lang w:eastAsia="ar-SA"/>
        </w:rPr>
      </w:pPr>
      <w:r>
        <w:rPr>
          <w:noProof/>
          <w:szCs w:val="20"/>
          <w:lang w:eastAsia="ar-SA"/>
        </w:rPr>
        <w:t xml:space="preserve">Identify and address knowledge gaps; </w:t>
      </w:r>
    </w:p>
    <w:p w:rsidR="0017500B" w:rsidRDefault="00390F61">
      <w:pPr>
        <w:pStyle w:val="ListParagraph"/>
        <w:widowControl w:val="0"/>
        <w:numPr>
          <w:ilvl w:val="0"/>
          <w:numId w:val="41"/>
        </w:numPr>
        <w:suppressAutoHyphens/>
        <w:ind w:left="170" w:hanging="170"/>
        <w:rPr>
          <w:noProof/>
          <w:szCs w:val="20"/>
          <w:lang w:eastAsia="ar-SA"/>
        </w:rPr>
      </w:pPr>
      <w:r>
        <w:rPr>
          <w:noProof/>
          <w:szCs w:val="20"/>
          <w:lang w:eastAsia="ar-SA"/>
        </w:rPr>
        <w:t xml:space="preserve">Ensure that all of its monitoring programme is implemented without delay and is appropriate to monitor progress towards its GES; </w:t>
      </w:r>
    </w:p>
    <w:p w:rsidR="0017500B" w:rsidRDefault="00390F61">
      <w:pPr>
        <w:pStyle w:val="ListParagraph"/>
        <w:widowControl w:val="0"/>
        <w:numPr>
          <w:ilvl w:val="0"/>
          <w:numId w:val="41"/>
        </w:numPr>
        <w:suppressAutoHyphens/>
        <w:ind w:left="170" w:hanging="170"/>
        <w:rPr>
          <w:noProof/>
          <w:szCs w:val="20"/>
          <w:lang w:eastAsia="ar-SA"/>
        </w:rPr>
      </w:pPr>
      <w:r>
        <w:rPr>
          <w:noProof/>
          <w:szCs w:val="20"/>
          <w:lang w:eastAsia="ar-SA"/>
        </w:rPr>
        <w:t>Continue to integrate existing monitoring programmes required under other EU legislation and to implement joint monitoring pro</w:t>
      </w:r>
      <w:r>
        <w:rPr>
          <w:noProof/>
          <w:szCs w:val="20"/>
          <w:lang w:eastAsia="ar-SA"/>
        </w:rPr>
        <w:t>grammes developed at (sub)regional level, for instance by the Regional Sea Convention (OSPAR).</w:t>
      </w:r>
    </w:p>
    <w:p w:rsidR="0017500B" w:rsidRDefault="00390F61">
      <w:pPr>
        <w:pStyle w:val="ListParagraph"/>
        <w:widowControl w:val="0"/>
        <w:numPr>
          <w:ilvl w:val="0"/>
          <w:numId w:val="41"/>
        </w:numPr>
        <w:suppressAutoHyphens/>
        <w:ind w:left="170" w:hanging="170"/>
        <w:rPr>
          <w:noProof/>
          <w:szCs w:val="20"/>
          <w:lang w:eastAsia="ar-SA"/>
        </w:rPr>
      </w:pPr>
      <w:r>
        <w:rPr>
          <w:noProof/>
          <w:szCs w:val="20"/>
          <w:lang w:eastAsia="ar-SA"/>
        </w:rPr>
        <w:t>Enhance comparability and consistency of monitoring methods within the Belgian marine region.</w:t>
      </w:r>
    </w:p>
    <w:p w:rsidR="0017500B" w:rsidRDefault="00390F61">
      <w:pPr>
        <w:pStyle w:val="ListParagraph"/>
        <w:widowControl w:val="0"/>
        <w:numPr>
          <w:ilvl w:val="0"/>
          <w:numId w:val="41"/>
        </w:numPr>
        <w:suppressAutoHyphens/>
        <w:ind w:left="170" w:hanging="170"/>
        <w:rPr>
          <w:noProof/>
          <w:lang w:eastAsia="ar-SA"/>
        </w:rPr>
      </w:pPr>
      <w:r>
        <w:rPr>
          <w:noProof/>
        </w:rPr>
        <w:t>Further develop approaches assessing (and quantifying) impacts from</w:t>
      </w:r>
      <w:r>
        <w:rPr>
          <w:noProof/>
        </w:rPr>
        <w:t xml:space="preserve"> the main pressures in order to lead to improved and more conclusive assessment results for 2018 reporting.</w:t>
      </w:r>
    </w:p>
    <w:p w:rsidR="0017500B" w:rsidRDefault="0017500B">
      <w:pPr>
        <w:widowControl w:val="0"/>
        <w:suppressAutoHyphens/>
        <w:spacing w:after="120" w:line="240" w:lineRule="auto"/>
        <w:jc w:val="both"/>
        <w:rPr>
          <w:rFonts w:ascii="Calibri" w:eastAsia="Calibri" w:hAnsi="Calibri" w:cs="Times New Roman"/>
          <w:noProof/>
          <w:sz w:val="20"/>
          <w:lang w:eastAsia="ar-SA"/>
        </w:rPr>
      </w:pPr>
    </w:p>
    <w:p w:rsidR="0017500B" w:rsidRDefault="0017500B">
      <w:pPr>
        <w:suppressAutoHyphens/>
        <w:spacing w:after="120" w:line="240" w:lineRule="auto"/>
        <w:jc w:val="both"/>
        <w:rPr>
          <w:rFonts w:ascii="Calibri" w:eastAsia="Calibri" w:hAnsi="Calibri" w:cs="Times New Roman"/>
          <w:noProof/>
          <w:sz w:val="20"/>
          <w:lang w:eastAsia="ar-SA"/>
        </w:rPr>
        <w:sectPr w:rsidR="0017500B">
          <w:headerReference w:type="even" r:id="rId69"/>
          <w:headerReference w:type="default" r:id="rId70"/>
          <w:footerReference w:type="even" r:id="rId71"/>
          <w:footerReference w:type="default" r:id="rId72"/>
          <w:headerReference w:type="first" r:id="rId73"/>
          <w:footerReference w:type="first" r:id="rId74"/>
          <w:type w:val="continuous"/>
          <w:pgSz w:w="11906" w:h="16838"/>
          <w:pgMar w:top="1440" w:right="1080" w:bottom="1440" w:left="1080" w:header="708" w:footer="708" w:gutter="0"/>
          <w:cols w:num="2" w:space="360"/>
          <w:docGrid w:linePitch="600" w:charSpace="40960"/>
        </w:sectPr>
      </w:pPr>
    </w:p>
    <w:p w:rsidR="0017500B" w:rsidRDefault="00390F61">
      <w:pPr>
        <w:pStyle w:val="Heading1"/>
        <w:rPr>
          <w:noProof/>
        </w:rPr>
      </w:pPr>
      <w:bookmarkStart w:id="13" w:name="_Toc469477494"/>
      <w:r>
        <w:rPr>
          <w:noProof/>
        </w:rPr>
        <w:t>Ensuring citizens' health and quality of life</w:t>
      </w:r>
      <w:bookmarkEnd w:id="13"/>
    </w:p>
    <w:p w:rsidR="0017500B" w:rsidRDefault="0017500B">
      <w:pPr>
        <w:suppressAutoHyphens/>
        <w:spacing w:after="120" w:line="240" w:lineRule="auto"/>
        <w:jc w:val="both"/>
        <w:rPr>
          <w:rFonts w:ascii="Calibri" w:eastAsia="Calibri" w:hAnsi="Calibri" w:cs="Times New Roman"/>
          <w:noProof/>
          <w:sz w:val="20"/>
          <w:lang w:eastAsia="ar-SA"/>
        </w:rPr>
        <w:sectPr w:rsidR="0017500B">
          <w:headerReference w:type="even" r:id="rId75"/>
          <w:headerReference w:type="default" r:id="rId76"/>
          <w:footerReference w:type="even" r:id="rId77"/>
          <w:footerReference w:type="default" r:id="rId78"/>
          <w:headerReference w:type="first" r:id="rId79"/>
          <w:footerReference w:type="first" r:id="rId80"/>
          <w:type w:val="continuous"/>
          <w:pgSz w:w="11906" w:h="16838"/>
          <w:pgMar w:top="1440" w:right="1080" w:bottom="1440" w:left="1080" w:header="708" w:footer="708" w:gutter="0"/>
          <w:cols w:space="720"/>
          <w:docGrid w:linePitch="600" w:charSpace="40960"/>
        </w:sectPr>
      </w:pPr>
    </w:p>
    <w:p w:rsidR="0017500B" w:rsidRDefault="00390F61">
      <w:pPr>
        <w:widowControl w:val="0"/>
        <w:suppressAutoHyphens/>
        <w:spacing w:after="120" w:line="240" w:lineRule="auto"/>
        <w:jc w:val="both"/>
        <w:outlineLvl w:val="1"/>
        <w:rPr>
          <w:rFonts w:ascii="Calibri" w:eastAsia="Calibri" w:hAnsi="Calibri" w:cs="Times New Roman"/>
          <w:b/>
          <w:noProof/>
          <w:color w:val="1F497D"/>
          <w:sz w:val="24"/>
          <w:lang w:eastAsia="ar-SA"/>
        </w:rPr>
      </w:pPr>
      <w:bookmarkStart w:id="14" w:name="_Toc469477495"/>
      <w:r>
        <w:rPr>
          <w:rFonts w:ascii="Calibri" w:eastAsia="Calibri" w:hAnsi="Calibri" w:cs="Times New Roman"/>
          <w:b/>
          <w:noProof/>
          <w:color w:val="1F497D"/>
          <w:sz w:val="24"/>
          <w:lang w:eastAsia="ar-SA"/>
        </w:rPr>
        <w:t>Air quality</w:t>
      </w:r>
      <w:bookmarkEnd w:id="14"/>
      <w:r>
        <w:rPr>
          <w:rFonts w:ascii="Calibri" w:eastAsia="Calibri" w:hAnsi="Calibri" w:cs="Times New Roman"/>
          <w:b/>
          <w:noProof/>
          <w:color w:val="1F497D"/>
          <w:sz w:val="24"/>
          <w:lang w:eastAsia="ar-SA"/>
        </w:rPr>
        <w:t xml:space="preserve"> </w:t>
      </w:r>
    </w:p>
    <w:tbl>
      <w:tblPr>
        <w:tblStyle w:val="TableGrid11"/>
        <w:tblpPr w:leftFromText="180" w:rightFromText="180" w:vertAnchor="text" w:horzAnchor="margin" w:tblpY="3161"/>
        <w:tblW w:w="1005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6"/>
      </w:tblGrid>
      <w:tr w:rsidR="0017500B">
        <w:trPr>
          <w:trHeight w:val="328"/>
        </w:trPr>
        <w:tc>
          <w:tcPr>
            <w:tcW w:w="10056" w:type="dxa"/>
          </w:tcPr>
          <w:p w:rsidR="0017500B" w:rsidRDefault="00390F61">
            <w:pPr>
              <w:spacing w:after="120"/>
              <w:jc w:val="both"/>
              <w:rPr>
                <w:rFonts w:cs="Times New Roman"/>
                <w:b/>
                <w:bCs/>
                <w:noProof/>
                <w:color w:val="1F497D" w:themeColor="text2"/>
                <w:sz w:val="20"/>
              </w:rPr>
            </w:pPr>
            <w:r>
              <w:rPr>
                <w:rFonts w:cs="Times New Roman"/>
                <w:b/>
                <w:bCs/>
                <w:noProof/>
                <w:color w:val="1F497D" w:themeColor="text2"/>
                <w:sz w:val="20"/>
              </w:rPr>
              <w:t>Figure 9: Attainment situation for PM10, NO2 and O3 in 2014</w:t>
            </w:r>
          </w:p>
        </w:tc>
      </w:tr>
      <w:tr w:rsidR="0017500B">
        <w:trPr>
          <w:trHeight w:val="4030"/>
        </w:trPr>
        <w:tc>
          <w:tcPr>
            <w:tcW w:w="10056" w:type="dxa"/>
          </w:tcPr>
          <w:p w:rsidR="0017500B" w:rsidRDefault="00390F61">
            <w:pPr>
              <w:spacing w:after="120"/>
              <w:jc w:val="both"/>
              <w:rPr>
                <w:rFonts w:cs="Times New Roman"/>
                <w:noProof/>
                <w:sz w:val="20"/>
              </w:rPr>
            </w:pPr>
            <w:r>
              <w:rPr>
                <w:rFonts w:cs="Times New Roman"/>
                <w:noProof/>
                <w:sz w:val="20"/>
                <w:lang w:eastAsia="en-GB"/>
              </w:rPr>
              <w:drawing>
                <wp:inline distT="0" distB="0" distL="0" distR="0" wp14:anchorId="65CDF57D" wp14:editId="294FB80B">
                  <wp:extent cx="6239436" cy="3083590"/>
                  <wp:effectExtent l="0" t="0" r="952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247647" cy="3087648"/>
                          </a:xfrm>
                          <a:prstGeom prst="rect">
                            <a:avLst/>
                          </a:prstGeom>
                          <a:noFill/>
                        </pic:spPr>
                      </pic:pic>
                    </a:graphicData>
                  </a:graphic>
                </wp:inline>
              </w:drawing>
            </w:r>
          </w:p>
        </w:tc>
      </w:tr>
    </w:tbl>
    <w:p w:rsidR="0017500B" w:rsidRDefault="00390F61">
      <w:pPr>
        <w:widowControl w:val="0"/>
        <w:shd w:val="clear" w:color="auto" w:fill="4F81BD"/>
        <w:suppressAutoHyphens/>
        <w:spacing w:after="120" w:line="240" w:lineRule="auto"/>
        <w:jc w:val="both"/>
        <w:rPr>
          <w:rFonts w:ascii="Calibri" w:eastAsia="Calibri" w:hAnsi="Calibri" w:cs="Times New Roman"/>
          <w:noProof/>
          <w:color w:val="FFFFFF"/>
          <w:sz w:val="20"/>
          <w:szCs w:val="20"/>
          <w:lang w:eastAsia="ar-SA"/>
        </w:rPr>
      </w:pPr>
      <w:r>
        <w:rPr>
          <w:rFonts w:ascii="Calibri" w:eastAsia="Calibri" w:hAnsi="Calibri" w:cs="Times New Roman"/>
          <w:noProof/>
          <w:color w:val="FFFFFF"/>
          <w:sz w:val="20"/>
          <w:szCs w:val="20"/>
          <w:lang w:eastAsia="ar-SA"/>
        </w:rPr>
        <w:t xml:space="preserve">The EU Clean Air Policy and legislation require that air quality in the Union is </w:t>
      </w:r>
      <w:r>
        <w:rPr>
          <w:rFonts w:ascii="Calibri" w:eastAsia="Calibri" w:hAnsi="Calibri" w:cs="Times New Roman"/>
          <w:noProof/>
          <w:color w:val="FFFFFF"/>
          <w:sz w:val="20"/>
          <w:szCs w:val="20"/>
          <w:lang w:eastAsia="ar-SA"/>
        </w:rPr>
        <w:t>significantly improved, moving closer to the WHO recommended levels. Air pollution and its impacts on ecosystems and biodiversity should be further reduced with the long-term aim of not exceeding critical loads and levels. This requires strengthening effor</w:t>
      </w:r>
      <w:r>
        <w:rPr>
          <w:rFonts w:ascii="Calibri" w:eastAsia="Calibri" w:hAnsi="Calibri" w:cs="Times New Roman"/>
          <w:noProof/>
          <w:color w:val="FFFFFF"/>
          <w:sz w:val="20"/>
          <w:szCs w:val="20"/>
          <w:lang w:eastAsia="ar-SA"/>
        </w:rPr>
        <w:t>ts to reach full compliance with Union air quality legislation and defining strategic targets and actions beyond 2020.</w:t>
      </w:r>
    </w:p>
    <w:p w:rsidR="0017500B" w:rsidRDefault="00390F61">
      <w:pPr>
        <w:widowControl w:val="0"/>
        <w:suppressAutoHyphens/>
        <w:spacing w:after="120" w:line="240" w:lineRule="auto"/>
        <w:jc w:val="both"/>
        <w:rPr>
          <w:rFonts w:ascii="Calibri" w:eastAsia="Calibri" w:hAnsi="Calibri" w:cs="Times New Roman"/>
          <w:noProof/>
          <w:sz w:val="20"/>
          <w:szCs w:val="20"/>
          <w:lang w:eastAsia="ar-SA"/>
        </w:rPr>
      </w:pPr>
      <w:r>
        <w:rPr>
          <w:rFonts w:ascii="Calibri" w:eastAsia="Calibri" w:hAnsi="Calibri" w:cs="Times New Roman"/>
          <w:noProof/>
          <w:sz w:val="20"/>
          <w:szCs w:val="20"/>
          <w:lang w:eastAsia="ar-SA"/>
        </w:rPr>
        <w:t>The EU has developed a comprehensive suite of air quality legislation</w:t>
      </w:r>
      <w:r>
        <w:rPr>
          <w:rFonts w:ascii="Calibri" w:eastAsia="Calibri" w:hAnsi="Calibri" w:cs="Times New Roman"/>
          <w:noProof/>
          <w:sz w:val="20"/>
          <w:szCs w:val="20"/>
          <w:vertAlign w:val="superscript"/>
          <w:lang w:eastAsia="ar-SA"/>
        </w:rPr>
        <w:footnoteReference w:id="102"/>
      </w:r>
      <w:r>
        <w:rPr>
          <w:rFonts w:ascii="Calibri" w:eastAsia="Calibri" w:hAnsi="Calibri" w:cs="Times New Roman"/>
          <w:noProof/>
          <w:sz w:val="20"/>
          <w:szCs w:val="20"/>
          <w:lang w:eastAsia="ar-SA"/>
        </w:rPr>
        <w:t>,</w:t>
      </w:r>
      <w:r>
        <w:rPr>
          <w:rFonts w:ascii="Calibri" w:eastAsia="Calibri" w:hAnsi="Calibri" w:cs="Times New Roman"/>
          <w:noProof/>
          <w:sz w:val="20"/>
          <w:szCs w:val="20"/>
          <w:lang w:val="en" w:eastAsia="ar-SA"/>
        </w:rPr>
        <w:t xml:space="preserve"> </w:t>
      </w:r>
      <w:r>
        <w:rPr>
          <w:rFonts w:ascii="Calibri" w:eastAsia="Calibri" w:hAnsi="Calibri" w:cs="Times New Roman"/>
          <w:noProof/>
          <w:sz w:val="20"/>
          <w:szCs w:val="20"/>
          <w:lang w:eastAsia="ar-SA"/>
        </w:rPr>
        <w:t>which establishes health-based standards and objectives for a num</w:t>
      </w:r>
      <w:r>
        <w:rPr>
          <w:rFonts w:ascii="Calibri" w:eastAsia="Calibri" w:hAnsi="Calibri" w:cs="Times New Roman"/>
          <w:noProof/>
          <w:sz w:val="20"/>
          <w:szCs w:val="20"/>
          <w:lang w:eastAsia="ar-SA"/>
        </w:rPr>
        <w:t>ber of air pollutants. As part of this, Member States are also required to ensure that up-to-date information on ambient concentrations of different air pollutants is routinely made available to the public. In addition, the National Emission Ceilings Direc</w:t>
      </w:r>
      <w:r>
        <w:rPr>
          <w:rFonts w:ascii="Calibri" w:eastAsia="Calibri" w:hAnsi="Calibri" w:cs="Times New Roman"/>
          <w:noProof/>
          <w:sz w:val="20"/>
          <w:szCs w:val="20"/>
          <w:lang w:eastAsia="ar-SA"/>
        </w:rPr>
        <w:t>tive provides for emission reductions at national level that should be achieved for main pollutants.</w:t>
      </w:r>
    </w:p>
    <w:p w:rsidR="0017500B" w:rsidRDefault="00390F61">
      <w:pPr>
        <w:widowControl w:val="0"/>
        <w:suppressAutoHyphens/>
        <w:spacing w:after="120" w:line="240" w:lineRule="auto"/>
        <w:jc w:val="both"/>
        <w:rPr>
          <w:rFonts w:ascii="Calibri" w:eastAsia="Calibri" w:hAnsi="Calibri" w:cs="Times New Roman"/>
          <w:noProof/>
          <w:sz w:val="20"/>
          <w:szCs w:val="20"/>
          <w:lang w:eastAsia="ar-SA"/>
        </w:rPr>
      </w:pPr>
      <w:r>
        <w:rPr>
          <w:rFonts w:ascii="Calibri" w:eastAsia="Calibri" w:hAnsi="Calibri" w:cs="Times New Roman"/>
          <w:noProof/>
          <w:sz w:val="20"/>
          <w:szCs w:val="20"/>
          <w:lang w:eastAsia="ar-SA"/>
        </w:rPr>
        <w:t>The emission of several air pollutants has decreased significantly in Belgium</w:t>
      </w:r>
      <w:r>
        <w:rPr>
          <w:rFonts w:ascii="Calibri" w:eastAsia="Calibri" w:hAnsi="Calibri" w:cs="Times New Roman"/>
          <w:noProof/>
          <w:sz w:val="20"/>
          <w:szCs w:val="20"/>
          <w:vertAlign w:val="superscript"/>
          <w:lang w:eastAsia="ar-SA"/>
        </w:rPr>
        <w:footnoteReference w:id="103"/>
      </w:r>
      <w:r>
        <w:rPr>
          <w:rFonts w:ascii="Calibri" w:eastAsia="Calibri" w:hAnsi="Calibri" w:cs="Times New Roman"/>
          <w:noProof/>
          <w:sz w:val="20"/>
          <w:szCs w:val="20"/>
          <w:lang w:eastAsia="ar-SA"/>
        </w:rPr>
        <w:t>. Reductions between 1990 and 2014 for sulphur oxides (-88%), ammonia (</w:t>
      </w:r>
      <w:r>
        <w:rPr>
          <w:rFonts w:ascii="Calibri" w:eastAsia="Calibri" w:hAnsi="Calibri" w:cs="Times New Roman"/>
          <w:noProof/>
          <w:sz w:val="20"/>
          <w:szCs w:val="20"/>
          <w:lang w:eastAsia="ar-SA"/>
        </w:rPr>
        <w:noBreakHyphen/>
        <w:t>44%),</w:t>
      </w:r>
      <w:r>
        <w:rPr>
          <w:rFonts w:ascii="Calibri" w:eastAsia="Calibri" w:hAnsi="Calibri" w:cs="Times New Roman"/>
          <w:noProof/>
          <w:sz w:val="20"/>
          <w:szCs w:val="20"/>
          <w:lang w:eastAsia="ar-SA"/>
        </w:rPr>
        <w:t xml:space="preserve"> as well as volatile organic compounds (-63%) ensure air emissions for these pollutants are within the currently applicable national emission ceilings</w:t>
      </w:r>
      <w:r>
        <w:rPr>
          <w:rFonts w:ascii="Calibri" w:eastAsia="Calibri" w:hAnsi="Calibri" w:cs="Times New Roman"/>
          <w:noProof/>
          <w:sz w:val="20"/>
          <w:szCs w:val="20"/>
          <w:vertAlign w:val="superscript"/>
          <w:lang w:eastAsia="ar-SA"/>
        </w:rPr>
        <w:footnoteReference w:id="104"/>
      </w:r>
      <w:r>
        <w:rPr>
          <w:rFonts w:ascii="Calibri" w:eastAsia="Calibri" w:hAnsi="Calibri" w:cs="Times New Roman"/>
          <w:noProof/>
          <w:sz w:val="20"/>
          <w:szCs w:val="20"/>
          <w:lang w:eastAsia="ar-SA"/>
        </w:rPr>
        <w:t>. Regarding nitrogen oxides, even if significant emission reductions have been recorded (-52%), emissions</w:t>
      </w:r>
      <w:r>
        <w:rPr>
          <w:rFonts w:ascii="Calibri" w:eastAsia="Calibri" w:hAnsi="Calibri" w:cs="Times New Roman"/>
          <w:noProof/>
          <w:sz w:val="20"/>
          <w:szCs w:val="20"/>
          <w:lang w:eastAsia="ar-SA"/>
        </w:rPr>
        <w:t xml:space="preserve"> for this pollutant are still 7% above current ceilings. It should be noted that the exceedance of the current ceilings for nitrogen oxides is partly due to the actual driving emissions of these pollutants from diesel vehicles.</w:t>
      </w:r>
    </w:p>
    <w:p w:rsidR="0017500B" w:rsidRDefault="00390F61">
      <w:pPr>
        <w:widowControl w:val="0"/>
        <w:suppressAutoHyphens/>
        <w:spacing w:after="120" w:line="240" w:lineRule="auto"/>
        <w:jc w:val="both"/>
        <w:rPr>
          <w:rFonts w:ascii="Calibri" w:eastAsia="Calibri" w:hAnsi="Calibri" w:cs="Times New Roman"/>
          <w:noProof/>
          <w:sz w:val="20"/>
          <w:szCs w:val="20"/>
          <w:lang w:eastAsia="ar-SA"/>
        </w:rPr>
      </w:pPr>
      <w:r>
        <w:rPr>
          <w:rFonts w:ascii="Calibri" w:eastAsia="Calibri" w:hAnsi="Calibri" w:cs="Times New Roman"/>
          <w:noProof/>
          <w:sz w:val="20"/>
          <w:szCs w:val="20"/>
          <w:lang w:eastAsia="ar-SA"/>
        </w:rPr>
        <w:t>At the same time, air qualit</w:t>
      </w:r>
      <w:r>
        <w:rPr>
          <w:rFonts w:ascii="Calibri" w:eastAsia="Calibri" w:hAnsi="Calibri" w:cs="Times New Roman"/>
          <w:noProof/>
          <w:sz w:val="20"/>
          <w:szCs w:val="20"/>
          <w:lang w:eastAsia="ar-SA"/>
        </w:rPr>
        <w:t>y in Belgium continues to give rise to human health concerns. For the year 2013, the European Environment Agency estimated that about 10,050 premature deaths were attributable to fine particulate matter concentrations</w:t>
      </w:r>
      <w:r>
        <w:rPr>
          <w:rFonts w:ascii="Calibri" w:eastAsia="Calibri" w:hAnsi="Calibri" w:cs="Times New Roman"/>
          <w:noProof/>
          <w:sz w:val="20"/>
          <w:szCs w:val="20"/>
          <w:vertAlign w:val="superscript"/>
          <w:lang w:eastAsia="ar-SA"/>
        </w:rPr>
        <w:footnoteReference w:id="105"/>
      </w:r>
      <w:r>
        <w:rPr>
          <w:rFonts w:ascii="Calibri" w:eastAsia="Calibri" w:hAnsi="Calibri" w:cs="Times New Roman"/>
          <w:noProof/>
          <w:sz w:val="20"/>
          <w:szCs w:val="20"/>
          <w:lang w:eastAsia="ar-SA"/>
        </w:rPr>
        <w:t>, 210 to ozone concentration</w:t>
      </w:r>
      <w:r>
        <w:rPr>
          <w:rFonts w:ascii="Calibri" w:eastAsia="Calibri" w:hAnsi="Calibri" w:cs="Times New Roman"/>
          <w:noProof/>
          <w:sz w:val="20"/>
          <w:szCs w:val="20"/>
          <w:vertAlign w:val="superscript"/>
          <w:lang w:eastAsia="ar-SA"/>
        </w:rPr>
        <w:footnoteReference w:id="106"/>
      </w:r>
      <w:r>
        <w:rPr>
          <w:rFonts w:ascii="Calibri" w:eastAsia="Calibri" w:hAnsi="Calibri" w:cs="Times New Roman"/>
          <w:noProof/>
          <w:sz w:val="20"/>
          <w:szCs w:val="20"/>
          <w:lang w:eastAsia="ar-SA"/>
        </w:rPr>
        <w:t xml:space="preserve"> and 2,32</w:t>
      </w:r>
      <w:r>
        <w:rPr>
          <w:rFonts w:ascii="Calibri" w:eastAsia="Calibri" w:hAnsi="Calibri" w:cs="Times New Roman"/>
          <w:noProof/>
          <w:sz w:val="20"/>
          <w:szCs w:val="20"/>
          <w:lang w:eastAsia="ar-SA"/>
        </w:rPr>
        <w:t>0 to nitrogen dioxide</w:t>
      </w:r>
      <w:r>
        <w:rPr>
          <w:rFonts w:ascii="Calibri" w:eastAsia="Calibri" w:hAnsi="Calibri" w:cs="Times New Roman"/>
          <w:noProof/>
          <w:sz w:val="20"/>
          <w:szCs w:val="20"/>
          <w:vertAlign w:val="superscript"/>
          <w:lang w:eastAsia="ar-SA"/>
        </w:rPr>
        <w:footnoteReference w:id="107"/>
      </w:r>
      <w:r>
        <w:rPr>
          <w:rFonts w:ascii="Calibri" w:eastAsia="Calibri" w:hAnsi="Calibri" w:cs="Times New Roman"/>
          <w:noProof/>
          <w:sz w:val="20"/>
          <w:szCs w:val="20"/>
          <w:lang w:eastAsia="ar-SA"/>
        </w:rPr>
        <w:t xml:space="preserve"> concentrations.</w:t>
      </w:r>
      <w:r>
        <w:rPr>
          <w:rFonts w:ascii="Calibri" w:eastAsia="Calibri" w:hAnsi="Calibri" w:cs="Times New Roman"/>
          <w:noProof/>
          <w:sz w:val="20"/>
          <w:szCs w:val="20"/>
          <w:vertAlign w:val="superscript"/>
          <w:lang w:eastAsia="ar-SA"/>
        </w:rPr>
        <w:footnoteReference w:id="108"/>
      </w:r>
      <w:r>
        <w:rPr>
          <w:rFonts w:ascii="Times New Roman" w:eastAsia="Calibri" w:hAnsi="Times New Roman" w:cs="Times New Roman"/>
          <w:noProof/>
          <w:sz w:val="20"/>
          <w:szCs w:val="20"/>
          <w:lang w:eastAsia="ar-SA"/>
        </w:rPr>
        <w:t xml:space="preserve"> </w:t>
      </w:r>
      <w:r>
        <w:rPr>
          <w:rFonts w:ascii="Calibri" w:eastAsia="Calibri" w:hAnsi="Calibri" w:cs="Times New Roman"/>
          <w:noProof/>
          <w:sz w:val="20"/>
          <w:szCs w:val="20"/>
          <w:lang w:eastAsia="ar-SA"/>
        </w:rPr>
        <w:t>This is due also to exceedances above the EU air quality standards such as shown in Figure 9</w:t>
      </w:r>
      <w:r>
        <w:rPr>
          <w:rFonts w:ascii="Calibri" w:eastAsia="Calibri" w:hAnsi="Calibri" w:cs="Times New Roman"/>
          <w:noProof/>
          <w:sz w:val="20"/>
          <w:szCs w:val="20"/>
          <w:vertAlign w:val="superscript"/>
          <w:lang w:eastAsia="ar-SA"/>
        </w:rPr>
        <w:footnoteReference w:id="109"/>
      </w:r>
      <w:r>
        <w:rPr>
          <w:rFonts w:ascii="Calibri" w:eastAsia="Calibri" w:hAnsi="Calibri" w:cs="Times New Roman"/>
          <w:noProof/>
          <w:sz w:val="20"/>
          <w:szCs w:val="20"/>
          <w:lang w:eastAsia="ar-SA"/>
        </w:rPr>
        <w:t xml:space="preserve">. </w:t>
      </w:r>
    </w:p>
    <w:p w:rsidR="0017500B" w:rsidRDefault="00390F61">
      <w:pPr>
        <w:widowControl w:val="0"/>
        <w:spacing w:after="120" w:line="240" w:lineRule="auto"/>
        <w:jc w:val="both"/>
        <w:rPr>
          <w:rFonts w:cs="Times New Roman"/>
          <w:noProof/>
          <w:sz w:val="20"/>
          <w:szCs w:val="20"/>
          <w:highlight w:val="yellow"/>
        </w:rPr>
      </w:pPr>
      <w:r>
        <w:rPr>
          <w:rFonts w:cs="Times New Roman"/>
          <w:noProof/>
          <w:sz w:val="20"/>
          <w:szCs w:val="20"/>
        </w:rPr>
        <w:t>For the year 2015, exceedances of binding limit values were reported for nitrogen dioxide (NO</w:t>
      </w:r>
      <w:r>
        <w:rPr>
          <w:rFonts w:cs="Times New Roman"/>
          <w:noProof/>
          <w:sz w:val="20"/>
          <w:szCs w:val="20"/>
          <w:vertAlign w:val="subscript"/>
        </w:rPr>
        <w:t>2</w:t>
      </w:r>
      <w:r>
        <w:rPr>
          <w:rFonts w:cs="Times New Roman"/>
          <w:noProof/>
          <w:sz w:val="20"/>
          <w:szCs w:val="20"/>
        </w:rPr>
        <w:t>) in two air quality zones</w:t>
      </w:r>
      <w:r>
        <w:rPr>
          <w:rFonts w:cs="Times New Roman"/>
          <w:noProof/>
          <w:sz w:val="20"/>
          <w:szCs w:val="20"/>
        </w:rPr>
        <w:t xml:space="preserve"> (Antwerp and Brussels). Furthermore, in 2015 for several air quality zones the long-term objectives regarding ozone concentration are not being met.</w:t>
      </w:r>
    </w:p>
    <w:p w:rsidR="0017500B" w:rsidRDefault="00390F61">
      <w:pPr>
        <w:widowControl w:val="0"/>
        <w:spacing w:after="120" w:line="240" w:lineRule="auto"/>
        <w:jc w:val="both"/>
        <w:rPr>
          <w:rFonts w:cs="Times New Roman"/>
          <w:noProof/>
          <w:sz w:val="20"/>
          <w:szCs w:val="20"/>
        </w:rPr>
      </w:pPr>
      <w:r>
        <w:rPr>
          <w:rFonts w:cs="Times New Roman"/>
          <w:noProof/>
          <w:sz w:val="20"/>
          <w:szCs w:val="20"/>
        </w:rPr>
        <w:t>The persistent breaches of these limit values (for NO</w:t>
      </w:r>
      <w:r>
        <w:rPr>
          <w:rFonts w:cs="Times New Roman"/>
          <w:noProof/>
          <w:sz w:val="20"/>
          <w:szCs w:val="20"/>
          <w:vertAlign w:val="subscript"/>
        </w:rPr>
        <w:t>2</w:t>
      </w:r>
      <w:r>
        <w:rPr>
          <w:rFonts w:cs="Times New Roman"/>
          <w:noProof/>
          <w:sz w:val="20"/>
          <w:szCs w:val="20"/>
        </w:rPr>
        <w:t xml:space="preserve">), which have severe negative effects on health and </w:t>
      </w:r>
      <w:r>
        <w:rPr>
          <w:rFonts w:cs="Times New Roman"/>
          <w:noProof/>
          <w:sz w:val="20"/>
          <w:szCs w:val="20"/>
        </w:rPr>
        <w:t xml:space="preserve">environment, are being followed up by the European Commission through infringement procedures covering all the Member States concerned, including Belgium since these breaches have severe negative effects on health and environment. The aim is that adequate </w:t>
      </w:r>
      <w:r>
        <w:rPr>
          <w:rFonts w:cs="Times New Roman"/>
          <w:noProof/>
          <w:sz w:val="20"/>
          <w:szCs w:val="20"/>
        </w:rPr>
        <w:t xml:space="preserve">measures are put in place to bring all zones into compliance as soon as possible. </w:t>
      </w:r>
    </w:p>
    <w:p w:rsidR="0017500B" w:rsidRDefault="00390F61">
      <w:pPr>
        <w:widowControl w:val="0"/>
        <w:spacing w:after="120" w:line="240" w:lineRule="auto"/>
        <w:jc w:val="both"/>
        <w:rPr>
          <w:rFonts w:cs="Times New Roman"/>
          <w:noProof/>
          <w:sz w:val="20"/>
          <w:szCs w:val="20"/>
        </w:rPr>
      </w:pPr>
      <w:r>
        <w:rPr>
          <w:rFonts w:cs="Times New Roman"/>
          <w:noProof/>
          <w:sz w:val="20"/>
          <w:szCs w:val="20"/>
        </w:rPr>
        <w:t>In the air quality zone of Engis, where PM</w:t>
      </w:r>
      <w:r>
        <w:rPr>
          <w:rFonts w:cs="Times New Roman"/>
          <w:noProof/>
          <w:sz w:val="20"/>
          <w:szCs w:val="20"/>
          <w:vertAlign w:val="subscript"/>
        </w:rPr>
        <w:t>10</w:t>
      </w:r>
      <w:r>
        <w:rPr>
          <w:rFonts w:cs="Times New Roman"/>
          <w:noProof/>
          <w:sz w:val="20"/>
          <w:szCs w:val="20"/>
        </w:rPr>
        <w:t xml:space="preserve"> limit values were not complied with up to 2014 included, a working group has been set up in 2015 (bringing together authorities,</w:t>
      </w:r>
      <w:r>
        <w:rPr>
          <w:rFonts w:cs="Times New Roman"/>
          <w:noProof/>
          <w:sz w:val="20"/>
          <w:szCs w:val="20"/>
        </w:rPr>
        <w:t xml:space="preserve"> main emitting plants and citizens) with the objective to reduce the impact of the main industrial activities on the ambient air quality, especially on the particulate matter concentration (PM</w:t>
      </w:r>
      <w:r>
        <w:rPr>
          <w:rFonts w:cs="Times New Roman"/>
          <w:noProof/>
          <w:sz w:val="20"/>
          <w:szCs w:val="20"/>
          <w:vertAlign w:val="subscript"/>
        </w:rPr>
        <w:t>10</w:t>
      </w:r>
      <w:r>
        <w:rPr>
          <w:rFonts w:cs="Times New Roman"/>
          <w:noProof/>
          <w:sz w:val="20"/>
          <w:szCs w:val="20"/>
        </w:rPr>
        <w:t xml:space="preserve">). </w:t>
      </w:r>
    </w:p>
    <w:p w:rsidR="0017500B" w:rsidRDefault="00390F61">
      <w:pPr>
        <w:widowControl w:val="0"/>
        <w:spacing w:after="120" w:line="240" w:lineRule="auto"/>
        <w:jc w:val="both"/>
        <w:rPr>
          <w:rFonts w:cs="Times New Roman"/>
          <w:noProof/>
          <w:sz w:val="20"/>
          <w:szCs w:val="20"/>
        </w:rPr>
      </w:pPr>
      <w:r>
        <w:rPr>
          <w:rFonts w:ascii="Calibri" w:eastAsia="Calibri" w:hAnsi="Calibri" w:cs="Times New Roman"/>
          <w:noProof/>
          <w:sz w:val="20"/>
          <w:szCs w:val="20"/>
          <w:lang w:eastAsia="ar-SA"/>
        </w:rPr>
        <w:t>It has been estimated that the health-related external cos</w:t>
      </w:r>
      <w:r>
        <w:rPr>
          <w:rFonts w:ascii="Calibri" w:eastAsia="Calibri" w:hAnsi="Calibri" w:cs="Times New Roman"/>
          <w:noProof/>
          <w:sz w:val="20"/>
          <w:szCs w:val="20"/>
          <w:lang w:eastAsia="ar-SA"/>
        </w:rPr>
        <w:t xml:space="preserve">ts from air pollution in Belgium are above EUR 8 billion/year (income adjusted, 2010), which include not only the intrinsic value of living a full health life but also direct costs to the economy. These direct economic costs relate to 2.5 million workdays </w:t>
      </w:r>
      <w:r>
        <w:rPr>
          <w:rFonts w:ascii="Calibri" w:eastAsia="Calibri" w:hAnsi="Calibri" w:cs="Times New Roman"/>
          <w:noProof/>
          <w:sz w:val="20"/>
          <w:szCs w:val="20"/>
          <w:lang w:eastAsia="ar-SA"/>
        </w:rPr>
        <w:t>lost each year due to sickness related to air pollution, with associated costs for employers of EUR 401 million/year (income adjusted, 2010), for healthcare of above EUR 32 million/year (income adjusted, 2010), and for agriculture (crop losses) of EUR 37 m</w:t>
      </w:r>
      <w:r>
        <w:rPr>
          <w:rFonts w:ascii="Calibri" w:eastAsia="Calibri" w:hAnsi="Calibri" w:cs="Times New Roman"/>
          <w:noProof/>
          <w:sz w:val="20"/>
          <w:szCs w:val="20"/>
          <w:lang w:eastAsia="ar-SA"/>
        </w:rPr>
        <w:t xml:space="preserve">illion/year </w:t>
      </w:r>
      <w:r>
        <w:rPr>
          <w:rFonts w:cs="Times New Roman"/>
          <w:noProof/>
          <w:sz w:val="20"/>
          <w:szCs w:val="20"/>
        </w:rPr>
        <w:t>(2010)</w:t>
      </w:r>
      <w:r>
        <w:rPr>
          <w:rFonts w:cs="Times New Roman"/>
          <w:noProof/>
          <w:sz w:val="20"/>
          <w:szCs w:val="20"/>
          <w:vertAlign w:val="superscript"/>
        </w:rPr>
        <w:footnoteReference w:id="110"/>
      </w:r>
      <w:r>
        <w:rPr>
          <w:rFonts w:cs="Times New Roman"/>
          <w:noProof/>
          <w:sz w:val="20"/>
          <w:szCs w:val="20"/>
        </w:rPr>
        <w:t>.</w:t>
      </w:r>
    </w:p>
    <w:p w:rsidR="0017500B" w:rsidRDefault="00390F61">
      <w:pPr>
        <w:widowControl w:val="0"/>
        <w:suppressAutoHyphens/>
        <w:spacing w:after="120" w:line="240" w:lineRule="auto"/>
        <w:jc w:val="both"/>
        <w:rPr>
          <w:rFonts w:ascii="Calibri" w:eastAsia="Calibri" w:hAnsi="Calibri" w:cs="Times New Roman"/>
          <w:noProof/>
          <w:szCs w:val="20"/>
          <w:lang w:eastAsia="ar-SA"/>
        </w:rPr>
      </w:pPr>
      <w:r>
        <w:rPr>
          <w:rFonts w:ascii="Calibri" w:eastAsia="Calibri" w:hAnsi="Calibri" w:cs="Times New Roman"/>
          <w:noProof/>
          <w:color w:val="1F497D"/>
          <w:szCs w:val="20"/>
          <w:lang w:eastAsia="ar-SA"/>
        </w:rPr>
        <w:t>Suggested action</w:t>
      </w:r>
    </w:p>
    <w:p w:rsidR="0017500B" w:rsidRDefault="00390F61">
      <w:pPr>
        <w:pStyle w:val="ListParagraph"/>
        <w:widowControl w:val="0"/>
        <w:numPr>
          <w:ilvl w:val="0"/>
          <w:numId w:val="48"/>
        </w:numPr>
        <w:suppressAutoHyphens/>
        <w:ind w:left="170" w:hanging="170"/>
        <w:rPr>
          <w:noProof/>
          <w:szCs w:val="20"/>
        </w:rPr>
      </w:pPr>
      <w:r>
        <w:rPr>
          <w:noProof/>
          <w:szCs w:val="20"/>
        </w:rPr>
        <w:t>Maintain downward emissions trends of air pollutants in order to achieve full compliance with currently applicable national emission ceilings and air quality limit values - and reduce adverse air pollution impacts on h</w:t>
      </w:r>
      <w:r>
        <w:rPr>
          <w:noProof/>
          <w:szCs w:val="20"/>
        </w:rPr>
        <w:t xml:space="preserve">ealth, environment and economy. </w:t>
      </w:r>
    </w:p>
    <w:p w:rsidR="0017500B" w:rsidRDefault="00390F61">
      <w:pPr>
        <w:pStyle w:val="ListParagraph"/>
        <w:widowControl w:val="0"/>
        <w:numPr>
          <w:ilvl w:val="0"/>
          <w:numId w:val="48"/>
        </w:numPr>
        <w:suppressAutoHyphens/>
        <w:ind w:left="170" w:hanging="170"/>
        <w:rPr>
          <w:noProof/>
          <w:szCs w:val="20"/>
        </w:rPr>
      </w:pPr>
      <w:r>
        <w:rPr>
          <w:noProof/>
          <w:szCs w:val="20"/>
        </w:rPr>
        <w:t>Reduce nitrogen oxide (NO</w:t>
      </w:r>
      <w:r>
        <w:rPr>
          <w:noProof/>
          <w:szCs w:val="20"/>
          <w:vertAlign w:val="subscript"/>
        </w:rPr>
        <w:t>x</w:t>
      </w:r>
      <w:r>
        <w:rPr>
          <w:noProof/>
          <w:szCs w:val="20"/>
        </w:rPr>
        <w:t>) emissions to comply with currently applicable national emission ceilings</w:t>
      </w:r>
      <w:r>
        <w:rPr>
          <w:noProof/>
          <w:vertAlign w:val="superscript"/>
        </w:rPr>
        <w:footnoteReference w:id="111"/>
      </w:r>
      <w:r>
        <w:rPr>
          <w:noProof/>
          <w:szCs w:val="20"/>
        </w:rPr>
        <w:t xml:space="preserve"> and/or to reduce nitrogen dioxide (NO</w:t>
      </w:r>
      <w:r>
        <w:rPr>
          <w:noProof/>
          <w:szCs w:val="20"/>
          <w:vertAlign w:val="subscript"/>
        </w:rPr>
        <w:t>2</w:t>
      </w:r>
      <w:r>
        <w:rPr>
          <w:noProof/>
          <w:szCs w:val="20"/>
        </w:rPr>
        <w:t>) (and ozone concentrations), inter alia, by reducing transport related emissions -</w:t>
      </w:r>
      <w:r>
        <w:rPr>
          <w:noProof/>
          <w:szCs w:val="20"/>
        </w:rPr>
        <w:t xml:space="preserve"> in particular in urban areas.</w:t>
      </w:r>
    </w:p>
    <w:p w:rsidR="0017500B" w:rsidRDefault="00390F61">
      <w:pPr>
        <w:pStyle w:val="ListParagraph"/>
        <w:widowControl w:val="0"/>
        <w:numPr>
          <w:ilvl w:val="0"/>
          <w:numId w:val="48"/>
        </w:numPr>
        <w:suppressAutoHyphens/>
        <w:ind w:left="170" w:hanging="170"/>
        <w:rPr>
          <w:noProof/>
          <w:szCs w:val="20"/>
        </w:rPr>
      </w:pPr>
      <w:r>
        <w:rPr>
          <w:noProof/>
          <w:szCs w:val="20"/>
        </w:rPr>
        <w:t>Reduce PM</w:t>
      </w:r>
      <w:r>
        <w:rPr>
          <w:noProof/>
          <w:szCs w:val="20"/>
          <w:vertAlign w:val="subscript"/>
        </w:rPr>
        <w:t>10</w:t>
      </w:r>
      <w:r>
        <w:rPr>
          <w:noProof/>
          <w:szCs w:val="20"/>
        </w:rPr>
        <w:t xml:space="preserve"> emission and concentration, inter alia, by reducing emissions related to energy and heat generation using solid fuels, to transport and to agriculture.</w:t>
      </w:r>
    </w:p>
    <w:p w:rsidR="0017500B" w:rsidRDefault="00390F61">
      <w:pPr>
        <w:widowControl w:val="0"/>
        <w:suppressAutoHyphens/>
        <w:spacing w:before="360" w:after="120" w:line="240" w:lineRule="auto"/>
        <w:jc w:val="both"/>
        <w:outlineLvl w:val="1"/>
        <w:rPr>
          <w:rFonts w:ascii="Calibri" w:eastAsia="Calibri" w:hAnsi="Calibri" w:cs="Times New Roman"/>
          <w:b/>
          <w:noProof/>
          <w:color w:val="1F497D"/>
          <w:sz w:val="24"/>
          <w:lang w:eastAsia="ar-SA"/>
        </w:rPr>
      </w:pPr>
      <w:bookmarkStart w:id="15" w:name="_Toc469477496"/>
      <w:r>
        <w:rPr>
          <w:rFonts w:ascii="Calibri" w:eastAsia="Calibri" w:hAnsi="Calibri" w:cs="Times New Roman"/>
          <w:b/>
          <w:noProof/>
          <w:color w:val="1F497D"/>
          <w:sz w:val="24"/>
          <w:lang w:eastAsia="ar-SA"/>
        </w:rPr>
        <w:t>Noise</w:t>
      </w:r>
      <w:bookmarkEnd w:id="15"/>
    </w:p>
    <w:p w:rsidR="0017500B" w:rsidRDefault="00390F61">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Environmental Noise Directive provides for a common</w:t>
      </w:r>
      <w:r>
        <w:rPr>
          <w:rFonts w:cs="Times New Roman"/>
          <w:noProof/>
          <w:color w:val="FFFFFF" w:themeColor="background1"/>
          <w:sz w:val="20"/>
        </w:rPr>
        <w:t xml:space="preserve"> approach for the avoidance, prevention and reduction of harmful effects due to exposure to environmental noise.</w:t>
      </w:r>
    </w:p>
    <w:p w:rsidR="0017500B" w:rsidRDefault="00390F61">
      <w:pPr>
        <w:widowControl w:val="0"/>
        <w:spacing w:after="120" w:line="240" w:lineRule="auto"/>
        <w:jc w:val="both"/>
        <w:rPr>
          <w:rFonts w:cs="Times New Roman"/>
          <w:noProof/>
          <w:sz w:val="20"/>
        </w:rPr>
      </w:pPr>
      <w:r>
        <w:rPr>
          <w:rFonts w:cs="Times New Roman"/>
          <w:noProof/>
          <w:sz w:val="20"/>
        </w:rPr>
        <w:t>Excessive noise is one of the main causes of health issues</w:t>
      </w:r>
      <w:r>
        <w:rPr>
          <w:rFonts w:eastAsia="Calibri" w:cs="Times New Roman"/>
          <w:noProof/>
          <w:sz w:val="20"/>
          <w:vertAlign w:val="superscript"/>
        </w:rPr>
        <w:footnoteReference w:id="112"/>
      </w:r>
      <w:r>
        <w:rPr>
          <w:rFonts w:cs="Times New Roman"/>
          <w:noProof/>
          <w:sz w:val="20"/>
        </w:rPr>
        <w:t xml:space="preserve">. To alleviate this, the EU </w:t>
      </w:r>
      <w:r>
        <w:rPr>
          <w:rFonts w:cs="Times New Roman"/>
          <w:i/>
          <w:noProof/>
          <w:sz w:val="20"/>
        </w:rPr>
        <w:t>acquis</w:t>
      </w:r>
      <w:r>
        <w:rPr>
          <w:rFonts w:cs="Times New Roman"/>
          <w:noProof/>
          <w:sz w:val="20"/>
        </w:rPr>
        <w:t xml:space="preserve"> sets out several requirements, including assessin</w:t>
      </w:r>
      <w:r>
        <w:rPr>
          <w:rFonts w:cs="Times New Roman"/>
          <w:noProof/>
          <w:sz w:val="20"/>
        </w:rPr>
        <w:t>g the exposure to environmental noise through noise mapping, ensuring that information on environmental noise and its effects is made available to the public, and adopting action plans with a view to preventing and reducing environmental noise where necess</w:t>
      </w:r>
      <w:r>
        <w:rPr>
          <w:rFonts w:cs="Times New Roman"/>
          <w:noProof/>
          <w:sz w:val="20"/>
        </w:rPr>
        <w:t>ary and to preserving the acoustic environment quality where it is good.</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Belgium's implementation of the Environmental Noise Directive</w:t>
      </w:r>
      <w:r>
        <w:rPr>
          <w:rFonts w:ascii="Calibri" w:eastAsia="Calibri" w:hAnsi="Calibri" w:cs="Times New Roman"/>
          <w:noProof/>
          <w:vertAlign w:val="superscript"/>
          <w:lang w:eastAsia="ar-SA"/>
        </w:rPr>
        <w:footnoteReference w:id="113"/>
      </w:r>
      <w:r>
        <w:rPr>
          <w:rFonts w:ascii="Calibri" w:eastAsia="Calibri" w:hAnsi="Calibri" w:cs="Times New Roman"/>
          <w:noProof/>
          <w:sz w:val="20"/>
          <w:lang w:eastAsia="ar-SA"/>
        </w:rPr>
        <w:t xml:space="preserve"> is significantly delayed. The noise mapping for the most recent reporting round, for the reference year 2011, has only b</w:t>
      </w:r>
      <w:r>
        <w:rPr>
          <w:rFonts w:ascii="Calibri" w:eastAsia="Calibri" w:hAnsi="Calibri" w:cs="Times New Roman"/>
          <w:noProof/>
          <w:sz w:val="20"/>
          <w:lang w:eastAsia="ar-SA"/>
        </w:rPr>
        <w:t>een completed for Flanders. The noise mapping for Brussels and the Walloon region has not been fully completed yet. With regard to action plans for noise management for the current period, these have been adopted for some agglomerations and part of Brussel</w:t>
      </w:r>
      <w:r>
        <w:rPr>
          <w:rFonts w:ascii="Calibri" w:eastAsia="Calibri" w:hAnsi="Calibri" w:cs="Times New Roman"/>
          <w:noProof/>
          <w:sz w:val="20"/>
          <w:lang w:eastAsia="ar-SA"/>
        </w:rPr>
        <w:t xml:space="preserve">s Airport but many are still missing. </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color w:val="1F497D"/>
          <w:lang w:eastAsia="ar-SA"/>
        </w:rPr>
        <w:t>Suggested action</w:t>
      </w:r>
    </w:p>
    <w:p w:rsidR="0017500B" w:rsidRDefault="00390F61">
      <w:pPr>
        <w:pStyle w:val="ListParagraph"/>
        <w:widowControl w:val="0"/>
        <w:numPr>
          <w:ilvl w:val="0"/>
          <w:numId w:val="43"/>
        </w:numPr>
        <w:suppressAutoHyphens/>
        <w:ind w:left="170" w:hanging="170"/>
        <w:rPr>
          <w:noProof/>
          <w:lang w:eastAsia="ar-SA"/>
        </w:rPr>
      </w:pPr>
      <w:r>
        <w:rPr>
          <w:noProof/>
          <w:lang w:eastAsia="ar-SA"/>
        </w:rPr>
        <w:t>Complete missing noise action plans and maps</w:t>
      </w:r>
    </w:p>
    <w:p w:rsidR="0017500B" w:rsidRDefault="00390F61">
      <w:pPr>
        <w:widowControl w:val="0"/>
        <w:suppressAutoHyphens/>
        <w:spacing w:before="360" w:after="120" w:line="240" w:lineRule="auto"/>
        <w:jc w:val="both"/>
        <w:outlineLvl w:val="1"/>
        <w:rPr>
          <w:rFonts w:ascii="Calibri" w:eastAsia="Calibri" w:hAnsi="Calibri" w:cs="Times New Roman"/>
          <w:b/>
          <w:noProof/>
          <w:color w:val="1F497D"/>
          <w:sz w:val="24"/>
          <w:lang w:eastAsia="ar-SA"/>
        </w:rPr>
      </w:pPr>
      <w:bookmarkStart w:id="16" w:name="_Toc469477497"/>
      <w:r>
        <w:rPr>
          <w:rFonts w:ascii="Calibri" w:eastAsia="Calibri" w:hAnsi="Calibri" w:cs="Times New Roman"/>
          <w:b/>
          <w:noProof/>
          <w:color w:val="1F497D"/>
          <w:sz w:val="24"/>
          <w:lang w:eastAsia="ar-SA"/>
        </w:rPr>
        <w:t>Water quality and management</w:t>
      </w:r>
      <w:bookmarkEnd w:id="16"/>
    </w:p>
    <w:p w:rsidR="0017500B" w:rsidRDefault="00390F61">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EU water policy and legislation require that the impact of pressures on transitional, coastal and fresh waters (including </w:t>
      </w:r>
      <w:r>
        <w:rPr>
          <w:rFonts w:cs="Times New Roman"/>
          <w:noProof/>
          <w:color w:val="FFFFFF" w:themeColor="background1"/>
          <w:sz w:val="20"/>
        </w:rPr>
        <w:t>surface and ground waters) is significantly reduced to achieve, maintain or enhance good status of water bodies, as defined by the Water Framework Directive; that citizens throughout the Union benefit from high standards for safe drinking and bathing water</w:t>
      </w:r>
      <w:r>
        <w:rPr>
          <w:rFonts w:cs="Times New Roman"/>
          <w:noProof/>
          <w:color w:val="FFFFFF" w:themeColor="background1"/>
          <w:sz w:val="20"/>
        </w:rPr>
        <w:t>; and that the nutrient cycle (nitrogen and phosphorus) is managed in a more sustainable and resource-efficient way.</w:t>
      </w:r>
    </w:p>
    <w:p w:rsidR="0017500B" w:rsidRDefault="00390F61">
      <w:pPr>
        <w:widowControl w:val="0"/>
        <w:shd w:val="clear" w:color="auto" w:fill="4F81BD" w:themeFill="accent1"/>
        <w:spacing w:after="120" w:line="240" w:lineRule="auto"/>
        <w:jc w:val="both"/>
        <w:rPr>
          <w:rFonts w:cs="Times New Roman"/>
          <w:noProof/>
          <w:color w:val="FFFFFF" w:themeColor="background1"/>
          <w:sz w:val="20"/>
          <w:lang w:val="en"/>
        </w:rPr>
      </w:pPr>
      <w:r>
        <w:rPr>
          <w:rFonts w:cs="Times New Roman"/>
          <w:noProof/>
          <w:color w:val="FFFFFF" w:themeColor="background1"/>
          <w:sz w:val="20"/>
        </w:rPr>
        <w:t>SDG 6 encourages countries to ensure availability and sustainable management of water and sanitation for all.</w:t>
      </w:r>
    </w:p>
    <w:p w:rsidR="0017500B" w:rsidRDefault="00390F61">
      <w:pPr>
        <w:widowControl w:val="0"/>
        <w:autoSpaceDE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 xml:space="preserve">The main overall objective of EU water policy and legislation is to ensure access to good quality water in sufficient quantity for all Europeans. The EU water </w:t>
      </w:r>
      <w:r>
        <w:rPr>
          <w:rFonts w:eastAsia="Times New Roman" w:cs="Times New Roman"/>
          <w:i/>
          <w:noProof/>
          <w:color w:val="000000"/>
          <w:sz w:val="20"/>
          <w:szCs w:val="20"/>
        </w:rPr>
        <w:t>acquis</w:t>
      </w:r>
      <w:r>
        <w:rPr>
          <w:rFonts w:eastAsia="Times New Roman" w:cs="Times New Roman"/>
          <w:noProof/>
          <w:color w:val="000000"/>
          <w:sz w:val="20"/>
          <w:szCs w:val="20"/>
          <w:vertAlign w:val="superscript"/>
        </w:rPr>
        <w:footnoteReference w:id="114"/>
      </w:r>
      <w:r>
        <w:rPr>
          <w:rFonts w:eastAsia="Times New Roman" w:cs="Times New Roman"/>
          <w:noProof/>
          <w:color w:val="000000"/>
          <w:sz w:val="20"/>
          <w:szCs w:val="20"/>
        </w:rPr>
        <w:t xml:space="preserve"> seeks to ensure good status of all water bodies across Europe by addressing pollution sou</w:t>
      </w:r>
      <w:r>
        <w:rPr>
          <w:rFonts w:eastAsia="Times New Roman" w:cs="Times New Roman"/>
          <w:noProof/>
          <w:color w:val="000000"/>
          <w:sz w:val="20"/>
          <w:szCs w:val="20"/>
        </w:rPr>
        <w:t xml:space="preserve">rces (from e.g. agriculture, urban areas and industrial activities), physical and hydrological modifications to water bodies) and the management of risks of flooding. </w:t>
      </w:r>
    </w:p>
    <w:p w:rsidR="0017500B" w:rsidRDefault="00390F61">
      <w:pPr>
        <w:widowControl w:val="0"/>
        <w:autoSpaceDE w:val="0"/>
        <w:spacing w:after="120" w:line="240" w:lineRule="auto"/>
        <w:jc w:val="both"/>
        <w:rPr>
          <w:rFonts w:cs="Times New Roman"/>
          <w:noProof/>
          <w:sz w:val="20"/>
        </w:rPr>
      </w:pPr>
      <w:r>
        <w:rPr>
          <w:rFonts w:cs="Times New Roman"/>
          <w:noProof/>
          <w:sz w:val="20"/>
        </w:rPr>
        <w:t xml:space="preserve">River Basin Management Plans (RBMPs) are a requirement of the Water Framework Directive </w:t>
      </w:r>
      <w:r>
        <w:rPr>
          <w:rFonts w:cs="Times New Roman"/>
          <w:noProof/>
          <w:sz w:val="20"/>
        </w:rPr>
        <w:t>and a means of achieving the protection, improvement and sustainable use of the water environment across Europe. This includes surface freshwaters such as lakes and rivers, groundwater, estuaries and coastal waters up to one nautical mile.</w:t>
      </w:r>
    </w:p>
    <w:p w:rsidR="0017500B" w:rsidRDefault="00390F61">
      <w:pPr>
        <w:widowControl w:val="0"/>
        <w:suppressAutoHyphens/>
        <w:autoSpaceDE w:val="0"/>
        <w:spacing w:after="120" w:line="240" w:lineRule="auto"/>
        <w:jc w:val="both"/>
        <w:rPr>
          <w:rFonts w:ascii="Calibri" w:eastAsia="Times New Roman" w:hAnsi="Calibri" w:cs="Times New Roman"/>
          <w:noProof/>
          <w:color w:val="000000"/>
          <w:sz w:val="20"/>
          <w:szCs w:val="20"/>
          <w:lang w:eastAsia="ar-SA"/>
        </w:rPr>
      </w:pPr>
      <w:r>
        <w:rPr>
          <w:rFonts w:ascii="Calibri" w:eastAsia="Times New Roman" w:hAnsi="Calibri" w:cs="Times New Roman"/>
          <w:iCs/>
          <w:noProof/>
          <w:color w:val="000000"/>
          <w:sz w:val="20"/>
          <w:szCs w:val="20"/>
          <w:lang w:eastAsia="ar-SA"/>
        </w:rPr>
        <w:t xml:space="preserve">Belgium has </w:t>
      </w:r>
      <w:r>
        <w:rPr>
          <w:rFonts w:ascii="Calibri" w:eastAsia="Times New Roman" w:hAnsi="Calibri" w:cs="Times New Roman"/>
          <w:iCs/>
          <w:noProof/>
          <w:color w:val="000000"/>
          <w:sz w:val="20"/>
          <w:szCs w:val="20"/>
          <w:lang w:eastAsia="ar-SA"/>
        </w:rPr>
        <w:t xml:space="preserve">provided information to the Commission from its second generation of RBMPs. The 2nd RBMP's have been approved by Flanders on 18.12.15 and by Wallonia on 28.04.16. However, as the Commission has not yet been able to validate this information for all Member </w:t>
      </w:r>
      <w:r>
        <w:rPr>
          <w:rFonts w:ascii="Calibri" w:eastAsia="Times New Roman" w:hAnsi="Calibri" w:cs="Times New Roman"/>
          <w:iCs/>
          <w:noProof/>
          <w:color w:val="000000"/>
          <w:sz w:val="20"/>
          <w:szCs w:val="20"/>
          <w:lang w:eastAsia="ar-SA"/>
        </w:rPr>
        <w:t>States it is not reported here</w:t>
      </w:r>
      <w:r>
        <w:rPr>
          <w:rFonts w:ascii="Calibri" w:eastAsia="Times New Roman" w:hAnsi="Calibri" w:cs="Times New Roman"/>
          <w:noProof/>
          <w:color w:val="000000"/>
          <w:sz w:val="20"/>
          <w:szCs w:val="20"/>
          <w:lang w:eastAsia="ar-SA"/>
        </w:rPr>
        <w:t>. Plans are still missing for the Brussels Region and Belgian coastal waters.</w:t>
      </w:r>
    </w:p>
    <w:p w:rsidR="0017500B" w:rsidRDefault="00390F61">
      <w:pPr>
        <w:widowControl w:val="0"/>
        <w:suppressAutoHyphens/>
        <w:autoSpaceDE w:val="0"/>
        <w:spacing w:after="120" w:line="240" w:lineRule="auto"/>
        <w:jc w:val="both"/>
        <w:rPr>
          <w:rFonts w:ascii="Calibri" w:eastAsia="Times New Roman" w:hAnsi="Calibri" w:cs="Times New Roman"/>
          <w:noProof/>
          <w:color w:val="000000"/>
          <w:sz w:val="20"/>
          <w:szCs w:val="20"/>
          <w:lang w:eastAsia="ar-SA"/>
        </w:rPr>
      </w:pPr>
      <w:r>
        <w:rPr>
          <w:rFonts w:ascii="Calibri" w:eastAsia="Times New Roman" w:hAnsi="Calibri" w:cs="Times New Roman"/>
          <w:noProof/>
          <w:color w:val="000000"/>
          <w:sz w:val="20"/>
          <w:szCs w:val="20"/>
          <w:lang w:eastAsia="ar-SA"/>
        </w:rPr>
        <w:t xml:space="preserve">In its first generation of RBMPs under the Water Framework Directive Belgium reported the status of 534 rivers, 18 lakes, 6 transitional, 2 coastal </w:t>
      </w:r>
      <w:r>
        <w:rPr>
          <w:rFonts w:ascii="Calibri" w:eastAsia="Times New Roman" w:hAnsi="Calibri" w:cs="Times New Roman"/>
          <w:noProof/>
          <w:color w:val="000000"/>
          <w:sz w:val="20"/>
          <w:szCs w:val="20"/>
          <w:lang w:eastAsia="ar-SA"/>
        </w:rPr>
        <w:t>and 80 groundwater bodies. Only 38% of natural surface water bodies achieve a good or better ecological status</w:t>
      </w:r>
      <w:r>
        <w:rPr>
          <w:rFonts w:ascii="Calibri" w:eastAsia="Times New Roman" w:hAnsi="Calibri" w:cs="Times New Roman"/>
          <w:noProof/>
          <w:color w:val="000000"/>
          <w:szCs w:val="20"/>
          <w:vertAlign w:val="superscript"/>
          <w:lang w:eastAsia="ar-SA"/>
        </w:rPr>
        <w:footnoteReference w:id="115"/>
      </w:r>
      <w:r>
        <w:rPr>
          <w:rFonts w:ascii="Calibri" w:eastAsia="Times New Roman" w:hAnsi="Calibri" w:cs="Times New Roman"/>
          <w:noProof/>
          <w:color w:val="000000"/>
          <w:sz w:val="20"/>
          <w:szCs w:val="20"/>
          <w:lang w:eastAsia="ar-SA"/>
        </w:rPr>
        <w:t xml:space="preserve"> and none of the heavily modified or artificial water bodies achieved a good or high ecological potential. Furthermore, 50% of surface water bodi</w:t>
      </w:r>
      <w:r>
        <w:rPr>
          <w:rFonts w:ascii="Calibri" w:eastAsia="Times New Roman" w:hAnsi="Calibri" w:cs="Times New Roman"/>
          <w:noProof/>
          <w:color w:val="000000"/>
          <w:sz w:val="20"/>
          <w:szCs w:val="20"/>
          <w:lang w:eastAsia="ar-SA"/>
        </w:rPr>
        <w:t>es (while the status of 29% is unknown), 14% of heavily modified and artificial water bodies</w:t>
      </w:r>
      <w:r>
        <w:rPr>
          <w:rFonts w:ascii="Calibri" w:eastAsia="Times New Roman" w:hAnsi="Calibri" w:cs="Times New Roman"/>
          <w:noProof/>
          <w:color w:val="000000"/>
          <w:szCs w:val="20"/>
          <w:vertAlign w:val="superscript"/>
          <w:lang w:eastAsia="ar-SA"/>
        </w:rPr>
        <w:footnoteReference w:id="116"/>
      </w:r>
      <w:r>
        <w:rPr>
          <w:rFonts w:ascii="Calibri" w:eastAsia="Times New Roman" w:hAnsi="Calibri" w:cs="Times New Roman"/>
          <w:noProof/>
          <w:color w:val="000000"/>
          <w:sz w:val="20"/>
          <w:szCs w:val="20"/>
          <w:lang w:eastAsia="ar-SA"/>
        </w:rPr>
        <w:t xml:space="preserve"> (45% unknown) and 45.0% of groundwater bodies achieved good chemical status</w:t>
      </w:r>
      <w:r>
        <w:rPr>
          <w:rFonts w:ascii="Calibri" w:eastAsia="Times New Roman" w:hAnsi="Calibri" w:cs="Times New Roman"/>
          <w:noProof/>
          <w:color w:val="000000"/>
          <w:szCs w:val="20"/>
          <w:vertAlign w:val="superscript"/>
          <w:lang w:eastAsia="ar-SA"/>
        </w:rPr>
        <w:footnoteReference w:id="117"/>
      </w:r>
      <w:r>
        <w:rPr>
          <w:rFonts w:ascii="Calibri" w:eastAsia="Times New Roman" w:hAnsi="Calibri" w:cs="Times New Roman"/>
          <w:noProof/>
          <w:color w:val="000000"/>
          <w:sz w:val="20"/>
          <w:szCs w:val="20"/>
          <w:lang w:eastAsia="ar-SA"/>
        </w:rPr>
        <w:t>. It is estimated that 81% of groundwater bodies are in good quantitative status</w:t>
      </w:r>
      <w:r>
        <w:rPr>
          <w:rFonts w:ascii="Calibri" w:eastAsia="Times New Roman" w:hAnsi="Calibri" w:cs="Times New Roman"/>
          <w:noProof/>
          <w:color w:val="000000"/>
          <w:szCs w:val="20"/>
          <w:vertAlign w:val="superscript"/>
          <w:lang w:eastAsia="ar-SA"/>
        </w:rPr>
        <w:footnoteReference w:id="118"/>
      </w:r>
      <w:r>
        <w:rPr>
          <w:rFonts w:ascii="Calibri" w:eastAsia="Times New Roman" w:hAnsi="Calibri" w:cs="Times New Roman"/>
          <w:noProof/>
          <w:color w:val="000000"/>
          <w:sz w:val="20"/>
          <w:szCs w:val="20"/>
          <w:lang w:eastAsia="ar-SA"/>
        </w:rPr>
        <w:t>.</w:t>
      </w:r>
    </w:p>
    <w:p w:rsidR="0017500B" w:rsidRDefault="00390F61">
      <w:pPr>
        <w:widowControl w:val="0"/>
        <w:suppressAutoHyphens/>
        <w:autoSpaceDE w:val="0"/>
        <w:spacing w:after="120" w:line="240" w:lineRule="auto"/>
        <w:jc w:val="both"/>
        <w:rPr>
          <w:rFonts w:ascii="Calibri" w:eastAsia="Times New Roman" w:hAnsi="Calibri" w:cs="Times New Roman"/>
          <w:noProof/>
          <w:color w:val="000000"/>
          <w:sz w:val="20"/>
          <w:szCs w:val="20"/>
          <w:lang w:eastAsia="ar-SA"/>
        </w:rPr>
      </w:pPr>
      <w:r>
        <w:rPr>
          <w:rFonts w:ascii="Calibri" w:eastAsia="Times New Roman" w:hAnsi="Calibri" w:cs="Times New Roman"/>
          <w:noProof/>
          <w:color w:val="000000"/>
          <w:sz w:val="20"/>
          <w:szCs w:val="20"/>
          <w:lang w:eastAsia="ar-SA"/>
        </w:rPr>
        <w:t>The</w:t>
      </w:r>
      <w:r>
        <w:rPr>
          <w:rFonts w:ascii="Calibri" w:eastAsia="Times New Roman" w:hAnsi="Calibri" w:cs="Times New Roman"/>
          <w:noProof/>
          <w:color w:val="000000"/>
          <w:sz w:val="20"/>
          <w:szCs w:val="20"/>
          <w:lang w:eastAsia="ar-SA"/>
        </w:rPr>
        <w:t xml:space="preserve"> main pressure on the Belgian surface waters is diffuse pollution that affects 72% of water bodies</w:t>
      </w:r>
      <w:r>
        <w:rPr>
          <w:rFonts w:ascii="Calibri" w:eastAsia="Times New Roman" w:hAnsi="Calibri" w:cs="Times New Roman"/>
          <w:noProof/>
          <w:color w:val="000000"/>
          <w:szCs w:val="20"/>
          <w:vertAlign w:val="superscript"/>
          <w:lang w:eastAsia="ar-SA"/>
        </w:rPr>
        <w:footnoteReference w:id="119"/>
      </w:r>
      <w:r>
        <w:rPr>
          <w:rFonts w:ascii="Calibri" w:eastAsia="Times New Roman" w:hAnsi="Calibri" w:cs="Times New Roman"/>
          <w:noProof/>
          <w:color w:val="000000"/>
          <w:sz w:val="20"/>
          <w:szCs w:val="20"/>
          <w:lang w:eastAsia="ar-SA"/>
        </w:rPr>
        <w:t>. Flow regulation and morphological alterations affect 47% followed by point sources of pollution that affect 44% of water bodies. There are some regional di</w:t>
      </w:r>
      <w:r>
        <w:rPr>
          <w:rFonts w:ascii="Calibri" w:eastAsia="Times New Roman" w:hAnsi="Calibri" w:cs="Times New Roman"/>
          <w:noProof/>
          <w:color w:val="000000"/>
          <w:sz w:val="20"/>
          <w:szCs w:val="20"/>
          <w:lang w:eastAsia="ar-SA"/>
        </w:rPr>
        <w:t xml:space="preserve">fferences, e.g. diffuse sources of pollution affect all water bodies in the Flemish Scheldt river basin district but only 43% in the Walloon Meuse river basin district. </w:t>
      </w:r>
    </w:p>
    <w:p w:rsidR="0017500B" w:rsidRDefault="00390F61">
      <w:pPr>
        <w:widowControl w:val="0"/>
        <w:suppressAutoHyphens/>
        <w:autoSpaceDE w:val="0"/>
        <w:spacing w:after="120" w:line="240" w:lineRule="auto"/>
        <w:jc w:val="both"/>
        <w:rPr>
          <w:rFonts w:ascii="Calibri" w:eastAsia="Times New Roman" w:hAnsi="Calibri" w:cs="Times New Roman"/>
          <w:noProof/>
          <w:color w:val="000000"/>
          <w:sz w:val="20"/>
          <w:szCs w:val="20"/>
          <w:lang w:eastAsia="ar-SA"/>
        </w:rPr>
      </w:pPr>
      <w:r>
        <w:rPr>
          <w:rFonts w:ascii="Calibri" w:eastAsia="Times New Roman" w:hAnsi="Calibri" w:cs="Times New Roman"/>
          <w:noProof/>
          <w:color w:val="000000"/>
          <w:sz w:val="20"/>
          <w:szCs w:val="20"/>
          <w:lang w:eastAsia="ar-SA"/>
        </w:rPr>
        <w:t>The Belgian RBMPs have certain deficiencies, such as on coordination between the regio</w:t>
      </w:r>
      <w:r>
        <w:rPr>
          <w:rFonts w:ascii="Calibri" w:eastAsia="Times New Roman" w:hAnsi="Calibri" w:cs="Times New Roman"/>
          <w:noProof/>
          <w:color w:val="000000"/>
          <w:sz w:val="20"/>
          <w:szCs w:val="20"/>
          <w:lang w:eastAsia="ar-SA"/>
        </w:rPr>
        <w:t>ns. The Belgian RBMPs have certain deficiencies as in particular the methods for status assessment are not fully developed</w:t>
      </w:r>
      <w:r>
        <w:rPr>
          <w:rFonts w:ascii="Calibri" w:eastAsia="Times New Roman" w:hAnsi="Calibri" w:cs="Times New Roman"/>
          <w:noProof/>
          <w:color w:val="000000"/>
          <w:szCs w:val="20"/>
          <w:vertAlign w:val="superscript"/>
          <w:lang w:eastAsia="ar-SA"/>
        </w:rPr>
        <w:footnoteReference w:id="120"/>
      </w:r>
      <w:r>
        <w:rPr>
          <w:rFonts w:ascii="Calibri" w:eastAsia="Times New Roman" w:hAnsi="Calibri" w:cs="Times New Roman"/>
          <w:noProof/>
          <w:color w:val="000000"/>
          <w:sz w:val="20"/>
          <w:szCs w:val="20"/>
          <w:lang w:eastAsia="ar-SA"/>
        </w:rPr>
        <w:t>. A number of exemptions were applied. The planned measures are expected to result in improvement of ecological and chemical status o</w:t>
      </w:r>
      <w:r>
        <w:rPr>
          <w:rFonts w:ascii="Calibri" w:eastAsia="Times New Roman" w:hAnsi="Calibri" w:cs="Times New Roman"/>
          <w:noProof/>
          <w:color w:val="000000"/>
          <w:sz w:val="20"/>
          <w:szCs w:val="20"/>
          <w:lang w:eastAsia="ar-SA"/>
        </w:rPr>
        <w:t>f surface water bodies by 15% and 21%, respectively. The measures should also bring improvement of ecological potential of artificial and heavily modified water bodies by 8% and chemical status by 3%. The chemical status of groundwater is expected to impro</w:t>
      </w:r>
      <w:r>
        <w:rPr>
          <w:rFonts w:ascii="Calibri" w:eastAsia="Times New Roman" w:hAnsi="Calibri" w:cs="Times New Roman"/>
          <w:noProof/>
          <w:color w:val="000000"/>
          <w:sz w:val="20"/>
          <w:szCs w:val="20"/>
          <w:lang w:eastAsia="ar-SA"/>
        </w:rPr>
        <w:t>ve by 3% and quantitative status by 1%.</w:t>
      </w:r>
    </w:p>
    <w:p w:rsidR="0017500B" w:rsidRDefault="00390F61">
      <w:pPr>
        <w:widowControl w:val="0"/>
        <w:suppressAutoHyphens/>
        <w:autoSpaceDE w:val="0"/>
        <w:spacing w:after="120" w:line="240" w:lineRule="auto"/>
        <w:jc w:val="both"/>
        <w:rPr>
          <w:rFonts w:ascii="Calibri" w:eastAsia="Calibri" w:hAnsi="Calibri" w:cs="Times New Roman"/>
          <w:noProof/>
          <w:sz w:val="20"/>
          <w:lang w:val="en-US" w:eastAsia="ar-SA"/>
        </w:rPr>
      </w:pPr>
      <w:r>
        <w:rPr>
          <w:rFonts w:ascii="Calibri" w:eastAsia="Times New Roman" w:hAnsi="Calibri" w:cs="Times New Roman"/>
          <w:noProof/>
          <w:color w:val="000000"/>
          <w:sz w:val="20"/>
          <w:szCs w:val="20"/>
          <w:lang w:eastAsia="ar-SA"/>
        </w:rPr>
        <w:t>Belgium makes intensive use of its available resources, which is partly due to the high input of cooling water for electricity production; this water is returned afterwards to the rivers.</w:t>
      </w:r>
    </w:p>
    <w:p w:rsidR="0017500B" w:rsidRDefault="00390F61">
      <w:pPr>
        <w:widowControl w:val="0"/>
        <w:suppressAutoHyphens/>
        <w:spacing w:after="120" w:line="240" w:lineRule="auto"/>
        <w:jc w:val="both"/>
        <w:rPr>
          <w:rFonts w:ascii="Calibri" w:eastAsia="Calibri" w:hAnsi="Calibri" w:cs="Times New Roman"/>
          <w:noProof/>
          <w:sz w:val="20"/>
          <w:lang w:val="en-US" w:eastAsia="ar-SA"/>
        </w:rPr>
      </w:pPr>
      <w:r>
        <w:rPr>
          <w:rFonts w:ascii="Calibri" w:eastAsia="Calibri" w:hAnsi="Calibri" w:cs="Times New Roman"/>
          <w:noProof/>
          <w:sz w:val="20"/>
          <w:lang w:val="en-US" w:eastAsia="ar-SA"/>
        </w:rPr>
        <w:t>As regards drinking water, B</w:t>
      </w:r>
      <w:r>
        <w:rPr>
          <w:rFonts w:ascii="Calibri" w:eastAsia="Calibri" w:hAnsi="Calibri" w:cs="Times New Roman"/>
          <w:noProof/>
          <w:sz w:val="20"/>
          <w:lang w:val="en-US" w:eastAsia="ar-SA"/>
        </w:rPr>
        <w:t>elgium reaches very high compliance rates of 99-100 % for the microbiological, chemical and indicator parameters laid down in the Drinking Water Directive</w:t>
      </w:r>
      <w:r>
        <w:rPr>
          <w:rFonts w:ascii="Calibri" w:eastAsia="Calibri" w:hAnsi="Calibri" w:cs="Times New Roman"/>
          <w:noProof/>
          <w:vertAlign w:val="superscript"/>
          <w:lang w:val="en-US" w:eastAsia="ar-SA"/>
        </w:rPr>
        <w:footnoteReference w:id="121"/>
      </w:r>
      <w:r>
        <w:rPr>
          <w:rFonts w:ascii="Calibri" w:eastAsia="Calibri" w:hAnsi="Calibri" w:cs="Times New Roman"/>
          <w:noProof/>
          <w:sz w:val="20"/>
          <w:lang w:val="en-US" w:eastAsia="ar-SA"/>
        </w:rPr>
        <w:t>.</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As shown in Figure 10, in 2015, in Belgium out of 113 bathing waters, 79.6% were of excellent quali</w:t>
      </w:r>
      <w:r>
        <w:rPr>
          <w:rFonts w:ascii="Calibri" w:eastAsia="Calibri" w:hAnsi="Calibri" w:cs="Times New Roman"/>
          <w:noProof/>
          <w:sz w:val="20"/>
          <w:lang w:eastAsia="ar-SA"/>
        </w:rPr>
        <w:t>ty, 14.2% of good quality and 3.5% of sufficient quality. One bathing water was of poor quality or non-compliant while it was not possible to assess the remaining two bathing waters</w:t>
      </w:r>
      <w:r>
        <w:rPr>
          <w:rFonts w:ascii="Calibri" w:eastAsia="Calibri" w:hAnsi="Calibri" w:cs="Times New Roman"/>
          <w:noProof/>
          <w:vertAlign w:val="superscript"/>
          <w:lang w:eastAsia="ar-SA"/>
        </w:rPr>
        <w:footnoteReference w:id="122"/>
      </w:r>
      <w:r>
        <w:rPr>
          <w:rFonts w:ascii="Calibri" w:eastAsia="Calibri" w:hAnsi="Calibri" w:cs="Times New Roman"/>
          <w:noProof/>
          <w:sz w:val="20"/>
          <w:lang w:eastAsia="ar-SA"/>
        </w:rPr>
        <w:t>.</w:t>
      </w:r>
    </w:p>
    <w:p w:rsidR="0017500B" w:rsidRDefault="0017500B">
      <w:pPr>
        <w:widowControl w:val="0"/>
        <w:suppressAutoHyphens/>
        <w:spacing w:after="120" w:line="240" w:lineRule="auto"/>
        <w:jc w:val="both"/>
        <w:rPr>
          <w:rFonts w:ascii="Calibri" w:eastAsia="Calibri" w:hAnsi="Calibri" w:cs="Times New Roman"/>
          <w:noProof/>
          <w:sz w:val="20"/>
          <w:lang w:eastAsia="ar-SA"/>
        </w:rPr>
      </w:pPr>
    </w:p>
    <w:p w:rsidR="0017500B" w:rsidRDefault="0017500B">
      <w:pPr>
        <w:widowControl w:val="0"/>
        <w:suppressAutoHyphens/>
        <w:spacing w:after="120" w:line="240" w:lineRule="auto"/>
        <w:jc w:val="both"/>
        <w:rPr>
          <w:rFonts w:ascii="Calibri" w:eastAsia="Calibri" w:hAnsi="Calibri" w:cs="Times New Roman"/>
          <w:noProof/>
          <w:sz w:val="20"/>
          <w:lang w:eastAsia="ar-SA"/>
        </w:rPr>
      </w:pPr>
    </w:p>
    <w:p w:rsidR="0017500B" w:rsidRDefault="0017500B">
      <w:pPr>
        <w:widowControl w:val="0"/>
        <w:suppressAutoHyphens/>
        <w:spacing w:after="120" w:line="240" w:lineRule="auto"/>
        <w:jc w:val="both"/>
        <w:rPr>
          <w:rFonts w:ascii="Calibri" w:eastAsia="Calibri" w:hAnsi="Calibri" w:cs="Times New Roman"/>
          <w:noProof/>
          <w:sz w:val="20"/>
          <w:lang w:eastAsia="ar-SA"/>
        </w:rPr>
      </w:pPr>
    </w:p>
    <w:p w:rsidR="0017500B" w:rsidRDefault="0017500B">
      <w:pPr>
        <w:widowControl w:val="0"/>
        <w:suppressAutoHyphens/>
        <w:spacing w:after="120" w:line="240" w:lineRule="auto"/>
        <w:jc w:val="both"/>
        <w:rPr>
          <w:rFonts w:ascii="Calibri" w:eastAsia="Calibri" w:hAnsi="Calibri" w:cs="Times New Roman"/>
          <w:noProof/>
          <w:sz w:val="20"/>
          <w:lang w:eastAsia="ar-SA"/>
        </w:rPr>
      </w:pPr>
    </w:p>
    <w:p w:rsidR="0017500B" w:rsidRDefault="0017500B">
      <w:pPr>
        <w:widowControl w:val="0"/>
        <w:suppressAutoHyphens/>
        <w:spacing w:after="120" w:line="240" w:lineRule="auto"/>
        <w:jc w:val="both"/>
        <w:rPr>
          <w:rFonts w:ascii="Calibri" w:eastAsia="Calibri" w:hAnsi="Calibri" w:cs="Times New Roman"/>
          <w:noProof/>
          <w:sz w:val="20"/>
          <w:lang w:eastAsia="ar-SA"/>
        </w:rPr>
      </w:pPr>
    </w:p>
    <w:p w:rsidR="0017500B" w:rsidRDefault="0017500B">
      <w:pPr>
        <w:widowControl w:val="0"/>
        <w:suppressAutoHyphens/>
        <w:spacing w:after="120" w:line="240" w:lineRule="auto"/>
        <w:jc w:val="both"/>
        <w:rPr>
          <w:rFonts w:ascii="Calibri" w:eastAsia="Calibri" w:hAnsi="Calibri" w:cs="Times New Roman"/>
          <w:noProof/>
          <w:sz w:val="20"/>
          <w:lang w:eastAsia="ar-SA"/>
        </w:rPr>
      </w:pPr>
    </w:p>
    <w:tbl>
      <w:tblPr>
        <w:tblW w:w="0" w:type="auto"/>
        <w:tblLayout w:type="fixed"/>
        <w:tblLook w:val="0000" w:firstRow="0" w:lastRow="0" w:firstColumn="0" w:lastColumn="0" w:noHBand="0" w:noVBand="0"/>
      </w:tblPr>
      <w:tblGrid>
        <w:gridCol w:w="4909"/>
      </w:tblGrid>
      <w:tr w:rsidR="0017500B">
        <w:tc>
          <w:tcPr>
            <w:tcW w:w="4909" w:type="dxa"/>
            <w:shd w:val="clear" w:color="auto" w:fill="auto"/>
          </w:tcPr>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b/>
                <w:noProof/>
                <w:color w:val="1F497D"/>
                <w:sz w:val="20"/>
                <w:lang w:eastAsia="ar-SA"/>
              </w:rPr>
              <w:t>Figure 10: Bathing water quality 2012 – 2015</w:t>
            </w:r>
            <w:r>
              <w:rPr>
                <w:rFonts w:ascii="Calibri" w:eastAsia="Calibri" w:hAnsi="Calibri" w:cs="Times New Roman"/>
                <w:b/>
                <w:noProof/>
                <w:color w:val="1F497D"/>
                <w:vertAlign w:val="superscript"/>
                <w:lang w:eastAsia="ar-SA"/>
              </w:rPr>
              <w:footnoteReference w:id="123"/>
            </w:r>
          </w:p>
        </w:tc>
      </w:tr>
      <w:tr w:rsidR="0017500B">
        <w:tc>
          <w:tcPr>
            <w:tcW w:w="4909" w:type="dxa"/>
            <w:shd w:val="clear" w:color="auto" w:fill="auto"/>
          </w:tcPr>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en-GB"/>
              </w:rPr>
              <w:drawing>
                <wp:inline distT="0" distB="0" distL="0" distR="0" wp14:anchorId="72544C98" wp14:editId="270B51D1">
                  <wp:extent cx="2945219" cy="2524950"/>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47535" cy="2526935"/>
                          </a:xfrm>
                          <a:prstGeom prst="rect">
                            <a:avLst/>
                          </a:prstGeom>
                          <a:noFill/>
                        </pic:spPr>
                      </pic:pic>
                    </a:graphicData>
                  </a:graphic>
                </wp:inline>
              </w:drawing>
            </w:r>
          </w:p>
        </w:tc>
      </w:tr>
    </w:tbl>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 xml:space="preserve">Belgium has </w:t>
      </w:r>
      <w:r>
        <w:rPr>
          <w:rFonts w:ascii="Calibri" w:eastAsia="Calibri" w:hAnsi="Calibri" w:cs="Times New Roman"/>
          <w:noProof/>
          <w:sz w:val="20"/>
          <w:lang w:eastAsia="ar-SA"/>
        </w:rPr>
        <w:t>encountered difficulties with the timely implementation of the Urban Waste Water Treatment Directive. Although the large cities now comply, concerns continue for small agglomerations in the Walloon region.  Overall in Belgium, 98% of the waste water is col</w:t>
      </w:r>
      <w:r>
        <w:rPr>
          <w:rFonts w:ascii="Calibri" w:eastAsia="Calibri" w:hAnsi="Calibri" w:cs="Times New Roman"/>
          <w:noProof/>
          <w:sz w:val="20"/>
          <w:lang w:eastAsia="ar-SA"/>
        </w:rPr>
        <w:t>lected, and 97.3% of the load collected is subject to secondary treatment. Finally, 82% of the waste water load collected is subject to more stringent treatment</w:t>
      </w:r>
      <w:r>
        <w:rPr>
          <w:rFonts w:ascii="Calibri" w:eastAsia="Calibri" w:hAnsi="Calibri" w:cs="Arial"/>
          <w:noProof/>
          <w:sz w:val="20"/>
          <w:lang w:eastAsia="ar-SA"/>
        </w:rPr>
        <w:t xml:space="preserve">. </w:t>
      </w:r>
      <w:r>
        <w:rPr>
          <w:rFonts w:ascii="Calibri" w:eastAsia="Calibri" w:hAnsi="Calibri" w:cs="Times New Roman"/>
          <w:noProof/>
          <w:sz w:val="20"/>
          <w:lang w:eastAsia="ar-SA"/>
        </w:rPr>
        <w:t>The estimated investment needed to ensure adequate treatment of the remaining agglomerations i</w:t>
      </w:r>
      <w:r>
        <w:rPr>
          <w:rFonts w:ascii="Calibri" w:eastAsia="Calibri" w:hAnsi="Calibri" w:cs="Times New Roman"/>
          <w:noProof/>
          <w:sz w:val="20"/>
          <w:lang w:eastAsia="ar-SA"/>
        </w:rPr>
        <w:t>s EUR 73 million</w:t>
      </w:r>
      <w:r>
        <w:rPr>
          <w:rFonts w:ascii="Calibri" w:eastAsia="Calibri" w:hAnsi="Calibri" w:cs="Times New Roman"/>
          <w:noProof/>
          <w:vertAlign w:val="superscript"/>
          <w:lang w:eastAsia="ar-SA"/>
        </w:rPr>
        <w:footnoteReference w:id="124"/>
      </w:r>
      <w:r>
        <w:rPr>
          <w:rFonts w:ascii="Calibri" w:eastAsia="Calibri" w:hAnsi="Calibri" w:cs="Times New Roman"/>
          <w:noProof/>
          <w:sz w:val="20"/>
          <w:lang w:eastAsia="ar-SA"/>
        </w:rPr>
        <w:t>.</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 xml:space="preserve">The </w:t>
      </w:r>
      <w:r>
        <w:rPr>
          <w:rFonts w:ascii="Calibri" w:eastAsia="Calibri" w:hAnsi="Calibri" w:cs="Times New Roman"/>
          <w:noProof/>
          <w:sz w:val="20"/>
          <w:u w:val="single"/>
          <w:lang w:eastAsia="ar-SA"/>
        </w:rPr>
        <w:t>i</w:t>
      </w:r>
      <w:r>
        <w:rPr>
          <w:rFonts w:ascii="Calibri" w:eastAsia="Calibri" w:hAnsi="Calibri" w:cs="Times New Roman"/>
          <w:noProof/>
          <w:sz w:val="20"/>
          <w:lang w:eastAsia="ar-SA"/>
        </w:rPr>
        <w:t>mplementation of the Nitrates Directive is done at regional level. The challenges relating to the agricultural use of nutrients are present on the whole Belgian territory,</w:t>
      </w:r>
      <w:r>
        <w:rPr>
          <w:rFonts w:ascii="Calibri" w:eastAsia="Calibri" w:hAnsi="Calibri" w:cs="Times New Roman"/>
          <w:i/>
          <w:noProof/>
          <w:sz w:val="20"/>
          <w:szCs w:val="20"/>
          <w:lang w:val="en-US" w:eastAsia="ar-SA"/>
        </w:rPr>
        <w:t xml:space="preserve"> </w:t>
      </w:r>
      <w:r>
        <w:rPr>
          <w:rFonts w:ascii="Calibri" w:eastAsia="Calibri" w:hAnsi="Calibri" w:cs="Times New Roman"/>
          <w:noProof/>
          <w:sz w:val="20"/>
          <w:szCs w:val="20"/>
          <w:lang w:val="en-US" w:eastAsia="ar-SA"/>
        </w:rPr>
        <w:t xml:space="preserve">except </w:t>
      </w:r>
      <w:r>
        <w:rPr>
          <w:rFonts w:ascii="Calibri" w:eastAsia="Calibri" w:hAnsi="Calibri" w:cs="Arial"/>
          <w:noProof/>
          <w:sz w:val="20"/>
          <w:lang w:eastAsia="ar-SA"/>
        </w:rPr>
        <w:t>in the Brussels-Capital Region where conventional agr</w:t>
      </w:r>
      <w:r>
        <w:rPr>
          <w:rFonts w:ascii="Calibri" w:eastAsia="Calibri" w:hAnsi="Calibri" w:cs="Arial"/>
          <w:noProof/>
          <w:sz w:val="20"/>
          <w:lang w:eastAsia="ar-SA"/>
        </w:rPr>
        <w:t>icultural activities are rather marginal</w:t>
      </w:r>
      <w:r>
        <w:rPr>
          <w:rFonts w:ascii="Calibri" w:eastAsia="Calibri" w:hAnsi="Calibri" w:cs="Times New Roman"/>
          <w:noProof/>
          <w:sz w:val="20"/>
          <w:lang w:eastAsia="ar-SA"/>
        </w:rPr>
        <w:t xml:space="preserve">. </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Although improvement has been made, agricultural pressures on water in Flanders remains high with eutrophication affecting most surface waters.  In Flanders, intensive animal rearing (poultry, pigs and cows) has r</w:t>
      </w:r>
      <w:r>
        <w:rPr>
          <w:rFonts w:ascii="Calibri" w:eastAsia="Calibri" w:hAnsi="Calibri" w:cs="Times New Roman"/>
          <w:noProof/>
          <w:sz w:val="20"/>
          <w:lang w:eastAsia="ar-SA"/>
        </w:rPr>
        <w:t>esulted in increasing agricultural pressures on water.  Therefore, Flanders has decided to apply the measures of its Action Programme to all the territory, extended with additional measures in focus areas where water quality monitoring shows a lack of suff</w:t>
      </w:r>
      <w:r>
        <w:rPr>
          <w:rFonts w:ascii="Calibri" w:eastAsia="Calibri" w:hAnsi="Calibri" w:cs="Times New Roman"/>
          <w:noProof/>
          <w:sz w:val="20"/>
          <w:lang w:eastAsia="ar-SA"/>
        </w:rPr>
        <w:t>icient improvement. Flanders benefits from derogation in the context of the Nitrates Directive</w:t>
      </w:r>
      <w:r>
        <w:rPr>
          <w:rFonts w:ascii="Calibri" w:eastAsia="Calibri" w:hAnsi="Calibri" w:cs="Times New Roman"/>
          <w:noProof/>
          <w:sz w:val="20"/>
          <w:vertAlign w:val="superscript"/>
          <w:lang w:eastAsia="ar-SA"/>
        </w:rPr>
        <w:footnoteReference w:id="125"/>
      </w:r>
      <w:r>
        <w:rPr>
          <w:rFonts w:ascii="Calibri" w:eastAsia="Calibri" w:hAnsi="Calibri" w:cs="Times New Roman"/>
          <w:noProof/>
          <w:sz w:val="20"/>
          <w:lang w:eastAsia="ar-SA"/>
        </w:rPr>
        <w:t xml:space="preserve">, relating to the maximum amount of nitrogen from livestock manure that can be applied on land. </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en-GB"/>
        </w:rPr>
        <w:drawing>
          <wp:inline distT="0" distB="0" distL="0" distR="0" wp14:anchorId="784E764B" wp14:editId="751D245D">
            <wp:extent cx="2977515" cy="44811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77515" cy="4481195"/>
                    </a:xfrm>
                    <a:prstGeom prst="rect">
                      <a:avLst/>
                    </a:prstGeom>
                    <a:solidFill>
                      <a:srgbClr val="FFFFFF"/>
                    </a:solidFill>
                    <a:ln>
                      <a:noFill/>
                    </a:ln>
                  </pic:spPr>
                </pic:pic>
              </a:graphicData>
            </a:graphic>
          </wp:inline>
        </w:drawing>
      </w:r>
      <w:r>
        <w:rPr>
          <w:rFonts w:ascii="Calibri" w:eastAsia="Calibri" w:hAnsi="Calibri" w:cs="Times New Roman"/>
          <w:noProof/>
          <w:sz w:val="20"/>
          <w:lang w:eastAsia="ar-SA"/>
        </w:rPr>
        <w:t>In Wallonia, the agricultural pressures slightly decreased in the recent years, as both manure use and mineral fertilizers use decreased. However water quality is still a challenge in some areas of the region. Around 76% of the total land area has been des</w:t>
      </w:r>
      <w:r>
        <w:rPr>
          <w:rFonts w:ascii="Calibri" w:eastAsia="Calibri" w:hAnsi="Calibri" w:cs="Times New Roman"/>
          <w:noProof/>
          <w:sz w:val="20"/>
          <w:lang w:eastAsia="ar-SA"/>
        </w:rPr>
        <w:t xml:space="preserve">ignated a </w:t>
      </w:r>
      <w:r>
        <w:rPr>
          <w:rFonts w:ascii="Calibri" w:eastAsia="Calibri" w:hAnsi="Calibri" w:cs="Times New Roman"/>
          <w:bCs/>
          <w:noProof/>
          <w:sz w:val="20"/>
          <w:lang w:eastAsia="ar-SA"/>
        </w:rPr>
        <w:t>Nitrate</w:t>
      </w:r>
      <w:r>
        <w:rPr>
          <w:rFonts w:ascii="Calibri" w:eastAsia="Calibri" w:hAnsi="Calibri" w:cs="Times New Roman"/>
          <w:noProof/>
          <w:sz w:val="20"/>
          <w:lang w:eastAsia="ar-SA"/>
        </w:rPr>
        <w:t xml:space="preserve"> Vulnerable Zone (NVZ). Concerns subsist as to the sufficiency of the Nitrates Action Programme in further lowering harmful concentrations in water. </w:t>
      </w:r>
    </w:p>
    <w:p w:rsidR="0017500B" w:rsidRDefault="00390F61">
      <w:pPr>
        <w:widowControl w:val="0"/>
        <w:suppressAutoHyphens/>
        <w:spacing w:after="120" w:line="240" w:lineRule="auto"/>
        <w:jc w:val="both"/>
        <w:rPr>
          <w:rFonts w:ascii="Calibri" w:eastAsia="Calibri" w:hAnsi="Calibri" w:cs="Times New Roman"/>
          <w:noProof/>
          <w:sz w:val="20"/>
          <w:shd w:val="clear" w:color="auto" w:fill="C0C0C0"/>
          <w:lang w:eastAsia="ar-SA"/>
        </w:rPr>
      </w:pPr>
      <w:r>
        <w:rPr>
          <w:rFonts w:ascii="Calibri" w:eastAsia="Calibri" w:hAnsi="Calibri" w:cs="Times New Roman"/>
          <w:noProof/>
          <w:sz w:val="20"/>
          <w:lang w:eastAsia="ar-SA"/>
        </w:rPr>
        <w:t>Between 2002 and 2013 10 floods were recorded</w:t>
      </w:r>
      <w:r>
        <w:rPr>
          <w:rFonts w:ascii="Calibri" w:eastAsia="Calibri" w:hAnsi="Calibri" w:cs="Times New Roman"/>
          <w:noProof/>
          <w:sz w:val="20"/>
          <w:vertAlign w:val="superscript"/>
          <w:lang w:eastAsia="ar-SA"/>
        </w:rPr>
        <w:footnoteReference w:id="126"/>
      </w:r>
      <w:r>
        <w:rPr>
          <w:rFonts w:ascii="Calibri" w:eastAsia="Calibri" w:hAnsi="Calibri" w:cs="Times New Roman"/>
          <w:noProof/>
          <w:sz w:val="20"/>
          <w:lang w:eastAsia="ar-SA"/>
        </w:rPr>
        <w:t>; Flood protection is well established with</w:t>
      </w:r>
      <w:r>
        <w:rPr>
          <w:rFonts w:ascii="Calibri" w:eastAsia="Calibri" w:hAnsi="Calibri" w:cs="Times New Roman"/>
          <w:noProof/>
          <w:sz w:val="20"/>
          <w:lang w:eastAsia="ar-SA"/>
        </w:rPr>
        <w:t xml:space="preserve"> most notably the SIGMA Plan II (includes a list of over 50 projects to manage flood protection and nature restoration of the Scheldt Estuary). In Flanders the LATIS tool has been developed with damages in an average year being an average of EUR 50-60 mill</w:t>
      </w:r>
      <w:r>
        <w:rPr>
          <w:rFonts w:ascii="Calibri" w:eastAsia="Calibri" w:hAnsi="Calibri" w:cs="Times New Roman"/>
          <w:noProof/>
          <w:sz w:val="20"/>
          <w:lang w:eastAsia="ar-SA"/>
        </w:rPr>
        <w:t>ion.  Detailed statistics on flooding in Belgium are available</w:t>
      </w:r>
      <w:r>
        <w:rPr>
          <w:rFonts w:ascii="Calibri" w:eastAsia="Calibri" w:hAnsi="Calibri" w:cs="Times New Roman"/>
          <w:noProof/>
          <w:sz w:val="20"/>
          <w:vertAlign w:val="superscript"/>
          <w:lang w:eastAsia="ar-SA"/>
        </w:rPr>
        <w:footnoteReference w:id="127"/>
      </w:r>
      <w:r>
        <w:rPr>
          <w:rFonts w:ascii="Calibri" w:eastAsia="Calibri" w:hAnsi="Calibri" w:cs="Times New Roman"/>
          <w:noProof/>
          <w:sz w:val="20"/>
          <w:lang w:eastAsia="ar-SA"/>
        </w:rPr>
        <w:t>.</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color w:val="1F497D"/>
          <w:lang w:eastAsia="ar-SA"/>
        </w:rPr>
        <w:t>Suggested action</w:t>
      </w:r>
    </w:p>
    <w:p w:rsidR="0017500B" w:rsidRDefault="00390F61">
      <w:pPr>
        <w:pStyle w:val="ListParagraph"/>
        <w:widowControl w:val="0"/>
        <w:numPr>
          <w:ilvl w:val="0"/>
          <w:numId w:val="43"/>
        </w:numPr>
        <w:suppressAutoHyphens/>
        <w:ind w:left="170" w:hanging="170"/>
        <w:rPr>
          <w:noProof/>
          <w:lang w:eastAsia="ar-SA"/>
        </w:rPr>
      </w:pPr>
      <w:r>
        <w:rPr>
          <w:noProof/>
          <w:lang w:eastAsia="ar-SA"/>
        </w:rPr>
        <w:t>Improve methods for status assessment and in particular the ecological status of surface waters. Exemptions should be better explained and justified in the RBMP</w:t>
      </w:r>
      <w:r>
        <w:rPr>
          <w:noProof/>
          <w:vertAlign w:val="superscript"/>
          <w:lang w:eastAsia="ar-SA"/>
        </w:rPr>
        <w:footnoteReference w:id="128"/>
      </w:r>
      <w:r>
        <w:rPr>
          <w:noProof/>
          <w:lang w:eastAsia="ar-SA"/>
        </w:rPr>
        <w:t>. Improve coo</w:t>
      </w:r>
      <w:r>
        <w:rPr>
          <w:noProof/>
          <w:lang w:eastAsia="ar-SA"/>
        </w:rPr>
        <w:t>rdination between water management authorities of the three administrative regions.</w:t>
      </w:r>
    </w:p>
    <w:p w:rsidR="0017500B" w:rsidRDefault="00390F61">
      <w:pPr>
        <w:pStyle w:val="ListParagraph"/>
        <w:widowControl w:val="0"/>
        <w:numPr>
          <w:ilvl w:val="0"/>
          <w:numId w:val="43"/>
        </w:numPr>
        <w:suppressAutoHyphens/>
        <w:ind w:left="170" w:hanging="170"/>
        <w:rPr>
          <w:noProof/>
          <w:lang w:eastAsia="ar-SA"/>
        </w:rPr>
      </w:pPr>
      <w:r>
        <w:rPr>
          <w:noProof/>
          <w:lang w:eastAsia="ar-SA"/>
        </w:rPr>
        <w:t>Ensure that the smaller agglomerations in Wallonia have adequate collection and wastewater treatment.</w:t>
      </w:r>
    </w:p>
    <w:p w:rsidR="0017500B" w:rsidRDefault="00390F61">
      <w:pPr>
        <w:pStyle w:val="ListParagraph"/>
        <w:widowControl w:val="0"/>
        <w:numPr>
          <w:ilvl w:val="0"/>
          <w:numId w:val="43"/>
        </w:numPr>
        <w:suppressAutoHyphens/>
        <w:ind w:left="170" w:hanging="170"/>
        <w:rPr>
          <w:noProof/>
          <w:lang w:eastAsia="ar-SA"/>
        </w:rPr>
      </w:pPr>
      <w:r>
        <w:rPr>
          <w:noProof/>
          <w:lang w:eastAsia="ar-SA"/>
        </w:rPr>
        <w:t xml:space="preserve">Ensure that water pollution, </w:t>
      </w:r>
      <w:r>
        <w:rPr>
          <w:i/>
          <w:noProof/>
          <w:lang w:eastAsia="ar-SA"/>
        </w:rPr>
        <w:t>inter alia</w:t>
      </w:r>
      <w:r>
        <w:rPr>
          <w:noProof/>
          <w:lang w:eastAsia="ar-SA"/>
        </w:rPr>
        <w:t xml:space="preserve"> by agriculture, is effectively</w:t>
      </w:r>
      <w:r>
        <w:rPr>
          <w:noProof/>
          <w:lang w:eastAsia="ar-SA"/>
        </w:rPr>
        <w:t xml:space="preserve"> addressed both under the Nitrates and the Water Framework Directive.</w:t>
      </w:r>
    </w:p>
    <w:p w:rsidR="0017500B" w:rsidRDefault="00390F61">
      <w:pPr>
        <w:widowControl w:val="0"/>
        <w:suppressAutoHyphens/>
        <w:spacing w:before="360" w:after="120" w:line="240" w:lineRule="auto"/>
        <w:jc w:val="both"/>
        <w:outlineLvl w:val="1"/>
        <w:rPr>
          <w:rFonts w:ascii="Calibri" w:eastAsia="Calibri" w:hAnsi="Calibri" w:cs="Times New Roman"/>
          <w:b/>
          <w:noProof/>
          <w:color w:val="FFFFFF"/>
          <w:sz w:val="24"/>
          <w:lang w:eastAsia="ar-SA"/>
        </w:rPr>
      </w:pPr>
      <w:bookmarkStart w:id="17" w:name="_Toc469477498"/>
      <w:r>
        <w:rPr>
          <w:rFonts w:ascii="Calibri" w:eastAsia="Calibri" w:hAnsi="Calibri" w:cs="Times New Roman"/>
          <w:b/>
          <w:noProof/>
          <w:color w:val="1F497D"/>
          <w:sz w:val="24"/>
          <w:lang w:eastAsia="ar-SA"/>
        </w:rPr>
        <w:t>Enhancing the sustainability of cities</w:t>
      </w:r>
      <w:bookmarkEnd w:id="17"/>
      <w:r>
        <w:rPr>
          <w:rFonts w:ascii="Calibri" w:eastAsia="Calibri" w:hAnsi="Calibri" w:cs="Times New Roman"/>
          <w:b/>
          <w:noProof/>
          <w:color w:val="1F497D"/>
          <w:sz w:val="24"/>
          <w:lang w:eastAsia="ar-SA"/>
        </w:rPr>
        <w:t xml:space="preserve"> </w:t>
      </w:r>
    </w:p>
    <w:p w:rsidR="0017500B" w:rsidRDefault="00390F61">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EU Policy on the urban environment encourages cities to implement policies for sustainable urban planning and design, including innovative approaches for urban public transport and mobility, sustainable buildings, energy efficiency and urban biodiversi</w:t>
      </w:r>
      <w:r>
        <w:rPr>
          <w:rFonts w:cs="Times New Roman"/>
          <w:noProof/>
          <w:color w:val="FFFFFF" w:themeColor="background1"/>
          <w:sz w:val="20"/>
        </w:rPr>
        <w:t xml:space="preserve">ty conservation. </w:t>
      </w:r>
    </w:p>
    <w:p w:rsidR="0017500B" w:rsidRDefault="00390F61">
      <w:pPr>
        <w:widowControl w:val="0"/>
        <w:shd w:val="clear" w:color="auto" w:fill="4F81BD" w:themeFill="accent1"/>
        <w:spacing w:after="120" w:line="240" w:lineRule="auto"/>
        <w:jc w:val="both"/>
        <w:rPr>
          <w:rFonts w:cs="Times New Roman"/>
          <w:i/>
          <w:noProof/>
          <w:color w:val="FFFFFF" w:themeColor="background1"/>
          <w:sz w:val="20"/>
        </w:rPr>
      </w:pPr>
      <w:r>
        <w:rPr>
          <w:rFonts w:cs="Times New Roman"/>
          <w:noProof/>
          <w:color w:val="FFFFFF" w:themeColor="background1"/>
          <w:sz w:val="20"/>
        </w:rPr>
        <w:t>SDG11 aims at making cities and human settlements inclusive, safe, resilient and sustainable.</w:t>
      </w:r>
    </w:p>
    <w:p w:rsidR="0017500B" w:rsidRDefault="00390F61">
      <w:pPr>
        <w:widowControl w:val="0"/>
        <w:spacing w:after="120" w:line="240" w:lineRule="auto"/>
        <w:jc w:val="both"/>
        <w:rPr>
          <w:rFonts w:cs="Times New Roman"/>
          <w:noProof/>
          <w:sz w:val="20"/>
        </w:rPr>
      </w:pPr>
      <w:r>
        <w:rPr>
          <w:rFonts w:cs="Times New Roman"/>
          <w:noProof/>
          <w:sz w:val="20"/>
        </w:rPr>
        <w:t>Europe is a Union of cities and towns; around 75% of the EU population are living in urban areas.</w:t>
      </w:r>
      <w:r>
        <w:rPr>
          <w:rFonts w:cs="Times New Roman"/>
          <w:noProof/>
          <w:sz w:val="20"/>
          <w:vertAlign w:val="superscript"/>
        </w:rPr>
        <w:footnoteReference w:id="129"/>
      </w:r>
      <w:r>
        <w:rPr>
          <w:rFonts w:cs="Times New Roman"/>
          <w:noProof/>
          <w:sz w:val="20"/>
        </w:rPr>
        <w:t xml:space="preserve"> The urban environment poses particular challe</w:t>
      </w:r>
      <w:r>
        <w:rPr>
          <w:rFonts w:cs="Times New Roman"/>
          <w:noProof/>
          <w:sz w:val="20"/>
        </w:rPr>
        <w:t xml:space="preserve">nges for the environment and human health, whilst also providing opportunities and efficiency gains in the use of resources. </w:t>
      </w:r>
    </w:p>
    <w:p w:rsidR="0017500B" w:rsidRDefault="00390F61">
      <w:pPr>
        <w:widowControl w:val="0"/>
        <w:spacing w:after="120" w:line="240" w:lineRule="auto"/>
        <w:jc w:val="both"/>
        <w:rPr>
          <w:rFonts w:cs="Times New Roman"/>
          <w:noProof/>
          <w:sz w:val="20"/>
        </w:rPr>
      </w:pPr>
      <w:r>
        <w:rPr>
          <w:rFonts w:cs="Times New Roman"/>
          <w:noProof/>
          <w:sz w:val="20"/>
        </w:rPr>
        <w:t>The Member States, European institutions, cities and stakeholders have prepared a new Urban Agenda for the EU (incorporating the S</w:t>
      </w:r>
      <w:r>
        <w:rPr>
          <w:rFonts w:cs="Times New Roman"/>
          <w:noProof/>
          <w:sz w:val="20"/>
        </w:rPr>
        <w:t>mart Cities initiative) to tackle these issues in a comprehensive way, including their connections with social and economic challenges. At the heart of this Urban Agenda will be the development of twelve partnerships on the identified urban challenges, inc</w:t>
      </w:r>
      <w:r>
        <w:rPr>
          <w:rFonts w:cs="Times New Roman"/>
          <w:noProof/>
          <w:sz w:val="20"/>
        </w:rPr>
        <w:t>luding air quality and housing</w:t>
      </w:r>
      <w:r>
        <w:rPr>
          <w:rFonts w:cs="Times New Roman"/>
          <w:noProof/>
          <w:sz w:val="20"/>
          <w:vertAlign w:val="superscript"/>
        </w:rPr>
        <w:footnoteReference w:id="130"/>
      </w:r>
      <w:r>
        <w:rPr>
          <w:rFonts w:cs="Times New Roman"/>
          <w:noProof/>
          <w:sz w:val="20"/>
        </w:rPr>
        <w:t xml:space="preserve">. </w:t>
      </w:r>
    </w:p>
    <w:p w:rsidR="0017500B" w:rsidRDefault="00390F61">
      <w:pPr>
        <w:widowControl w:val="0"/>
        <w:spacing w:after="120" w:line="240" w:lineRule="auto"/>
        <w:jc w:val="both"/>
        <w:rPr>
          <w:rFonts w:cs="Times New Roman"/>
          <w:noProof/>
          <w:sz w:val="20"/>
        </w:rPr>
      </w:pPr>
      <w:r>
        <w:rPr>
          <w:rFonts w:cs="Times New Roman"/>
          <w:noProof/>
          <w:sz w:val="20"/>
        </w:rPr>
        <w:t>The European Commission will launch a new EU benchmark system in 2017.</w:t>
      </w:r>
      <w:r>
        <w:rPr>
          <w:rFonts w:cs="Times New Roman"/>
          <w:noProof/>
          <w:sz w:val="20"/>
          <w:vertAlign w:val="superscript"/>
        </w:rPr>
        <w:footnoteReference w:id="131"/>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 xml:space="preserve">The EU stimulates green cities through awards and funding, such as the EU Green Capital Award aimed at cities with more than 100,000 inhabitants and the EU Green Leaf initiative aimed at cities and towns, with between 20,000 and 100,000 inhabitants. </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Indee</w:t>
      </w:r>
      <w:r>
        <w:rPr>
          <w:rFonts w:ascii="Calibri" w:eastAsia="Calibri" w:hAnsi="Calibri" w:cs="Times New Roman"/>
          <w:noProof/>
          <w:sz w:val="20"/>
          <w:lang w:eastAsia="ar-SA"/>
        </w:rPr>
        <w:t xml:space="preserve">d, the </w:t>
      </w:r>
      <w:r>
        <w:rPr>
          <w:rFonts w:ascii="Calibri" w:eastAsia="Calibri" w:hAnsi="Calibri" w:cs="Times New Roman"/>
          <w:noProof/>
          <w:sz w:val="20"/>
          <w:szCs w:val="20"/>
          <w:lang w:eastAsia="ar-SA"/>
        </w:rPr>
        <w:t>Brussels-Capital Region was among the four cities shortlisted as finalists in the 2015 competition and is a member of the Green Capital Network.</w:t>
      </w:r>
      <w:r>
        <w:rPr>
          <w:rFonts w:ascii="Calibri" w:eastAsia="Calibri" w:hAnsi="Calibri" w:cs="Times New Roman"/>
          <w:i/>
          <w:noProof/>
          <w:sz w:val="20"/>
          <w:szCs w:val="20"/>
          <w:lang w:eastAsia="ar-SA"/>
        </w:rPr>
        <w:t xml:space="preserve"> </w:t>
      </w:r>
      <w:r>
        <w:rPr>
          <w:rFonts w:ascii="Calibri" w:eastAsia="Calibri" w:hAnsi="Calibri" w:cs="Times New Roman"/>
          <w:noProof/>
          <w:color w:val="000000"/>
          <w:sz w:val="20"/>
          <w:szCs w:val="20"/>
          <w:lang w:val="en-US" w:eastAsia="ar-SA"/>
        </w:rPr>
        <w:t>The URBACT programme aims to promote sustainable integrated urban development and contribute to the deli</w:t>
      </w:r>
      <w:r>
        <w:rPr>
          <w:rFonts w:ascii="Calibri" w:eastAsia="Calibri" w:hAnsi="Calibri" w:cs="Times New Roman"/>
          <w:noProof/>
          <w:color w:val="000000"/>
          <w:sz w:val="20"/>
          <w:szCs w:val="20"/>
          <w:lang w:val="en-US" w:eastAsia="ar-SA"/>
        </w:rPr>
        <w:t xml:space="preserve">very of the Europe 2020 strategy. In the framework of the programme URBACT II, the Brussels-Capital Region has been lead partner of an URBACT Thematic Network </w:t>
      </w:r>
      <w:r>
        <w:rPr>
          <w:rFonts w:ascii="Calibri" w:eastAsia="Calibri" w:hAnsi="Calibri" w:cs="Times New Roman"/>
          <w:i/>
          <w:noProof/>
          <w:color w:val="000000"/>
          <w:sz w:val="20"/>
          <w:szCs w:val="20"/>
          <w:lang w:val="en-US" w:eastAsia="ar-SA"/>
        </w:rPr>
        <w:t>Sustainable Food in Urban Communities</w:t>
      </w:r>
      <w:r>
        <w:rPr>
          <w:rFonts w:ascii="Calibri" w:eastAsia="Calibri" w:hAnsi="Calibri" w:cs="Times New Roman"/>
          <w:noProof/>
          <w:color w:val="000000"/>
          <w:szCs w:val="20"/>
          <w:vertAlign w:val="superscript"/>
          <w:lang w:val="en-US" w:eastAsia="ar-SA"/>
        </w:rPr>
        <w:footnoteReference w:id="132"/>
      </w:r>
      <w:r>
        <w:rPr>
          <w:rFonts w:ascii="Calibri" w:eastAsia="Calibri" w:hAnsi="Calibri" w:cs="Times New Roman"/>
          <w:noProof/>
          <w:color w:val="000000"/>
          <w:sz w:val="20"/>
          <w:szCs w:val="20"/>
          <w:lang w:val="en-US" w:eastAsia="ar-SA"/>
        </w:rPr>
        <w:t>, in which 9 other European cities were involved.</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 xml:space="preserve">Belgium </w:t>
      </w:r>
      <w:r>
        <w:rPr>
          <w:rFonts w:ascii="Calibri" w:eastAsia="Calibri" w:hAnsi="Calibri" w:cs="Times New Roman"/>
          <w:noProof/>
          <w:sz w:val="20"/>
          <w:lang w:eastAsia="ar-SA"/>
        </w:rPr>
        <w:t xml:space="preserve">has allocated EUR 141.9 million or 15% of its ERDF allocation excluding technical assistance to sustainable urban development. The Operational Programme (OP) for Brussels is entirely included in this amount, while the OPs for Flanders and Wallonia contain </w:t>
      </w:r>
      <w:r>
        <w:rPr>
          <w:rFonts w:ascii="Calibri" w:eastAsia="Calibri" w:hAnsi="Calibri" w:cs="Times New Roman"/>
          <w:noProof/>
          <w:sz w:val="20"/>
          <w:lang w:eastAsia="ar-SA"/>
        </w:rPr>
        <w:t>urban axes.</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Belgium is Europe's most congested country in terms of hours wasted or delays especially around Antwerp and Brussels</w:t>
      </w:r>
      <w:r>
        <w:rPr>
          <w:rFonts w:ascii="Calibri" w:eastAsia="Calibri" w:hAnsi="Calibri" w:cs="Times New Roman"/>
          <w:noProof/>
          <w:sz w:val="20"/>
          <w:vertAlign w:val="superscript"/>
          <w:lang w:eastAsia="ar-SA"/>
        </w:rPr>
        <w:footnoteReference w:id="133"/>
      </w:r>
      <w:r>
        <w:rPr>
          <w:rFonts w:ascii="Calibri" w:eastAsia="Calibri" w:hAnsi="Calibri" w:cs="Times New Roman"/>
          <w:noProof/>
          <w:sz w:val="20"/>
          <w:lang w:eastAsia="ar-SA"/>
        </w:rPr>
        <w:t>,</w:t>
      </w:r>
      <w:r>
        <w:rPr>
          <w:rFonts w:ascii="Calibri" w:eastAsia="Calibri" w:hAnsi="Calibri" w:cs="Times New Roman"/>
          <w:noProof/>
          <w:sz w:val="20"/>
          <w:vertAlign w:val="superscript"/>
          <w:lang w:eastAsia="ar-SA"/>
        </w:rPr>
        <w:footnoteReference w:id="134"/>
      </w:r>
      <w:r>
        <w:rPr>
          <w:rFonts w:ascii="Calibri" w:eastAsia="Calibri" w:hAnsi="Calibri" w:cs="Times New Roman"/>
          <w:noProof/>
          <w:sz w:val="20"/>
          <w:lang w:eastAsia="ar-SA"/>
        </w:rPr>
        <w:t xml:space="preserve">. Road congestion generates higher fuel consumption and contributes to air pollution. In 2013, 78.5% of transport in Belgium </w:t>
      </w:r>
      <w:r>
        <w:rPr>
          <w:rFonts w:ascii="Calibri" w:eastAsia="Calibri" w:hAnsi="Calibri" w:cs="Times New Roman"/>
          <w:noProof/>
          <w:sz w:val="20"/>
          <w:lang w:eastAsia="ar-SA"/>
        </w:rPr>
        <w:t>was by private car</w:t>
      </w:r>
      <w:r>
        <w:rPr>
          <w:rFonts w:ascii="Calibri" w:eastAsia="Calibri" w:hAnsi="Calibri" w:cs="Times New Roman"/>
          <w:noProof/>
          <w:vertAlign w:val="superscript"/>
          <w:lang w:eastAsia="ar-SA"/>
        </w:rPr>
        <w:footnoteReference w:id="135"/>
      </w:r>
      <w:r>
        <w:rPr>
          <w:rFonts w:ascii="Calibri" w:eastAsia="Calibri" w:hAnsi="Calibri" w:cs="Times New Roman"/>
          <w:noProof/>
          <w:sz w:val="20"/>
          <w:lang w:eastAsia="ar-SA"/>
        </w:rPr>
        <w:t xml:space="preserve"> In Flanders 75% of commuters still use private car</w:t>
      </w:r>
      <w:r>
        <w:rPr>
          <w:rFonts w:ascii="Calibri" w:eastAsia="Calibri" w:hAnsi="Calibri" w:cs="Times New Roman"/>
          <w:noProof/>
          <w:sz w:val="20"/>
          <w:vertAlign w:val="superscript"/>
          <w:lang w:eastAsia="ar-SA"/>
        </w:rPr>
        <w:footnoteReference w:id="136"/>
      </w:r>
      <w:r>
        <w:rPr>
          <w:rFonts w:ascii="Calibri" w:eastAsia="Calibri" w:hAnsi="Calibri" w:cs="Times New Roman"/>
          <w:noProof/>
          <w:sz w:val="20"/>
          <w:lang w:eastAsia="ar-SA"/>
        </w:rPr>
        <w:t>. This has led to some mobility sharing mostly in Antwerp, Gent and Leuven</w:t>
      </w:r>
      <w:r>
        <w:rPr>
          <w:rFonts w:ascii="Calibri" w:eastAsia="Calibri" w:hAnsi="Calibri" w:cs="Times New Roman"/>
          <w:noProof/>
          <w:sz w:val="20"/>
          <w:vertAlign w:val="superscript"/>
          <w:lang w:eastAsia="ar-SA"/>
        </w:rPr>
        <w:footnoteReference w:id="137"/>
      </w:r>
      <w:r>
        <w:rPr>
          <w:rFonts w:ascii="Calibri" w:eastAsia="Calibri" w:hAnsi="Calibri" w:cs="Times New Roman"/>
          <w:noProof/>
          <w:sz w:val="20"/>
          <w:lang w:eastAsia="ar-SA"/>
        </w:rPr>
        <w:t>. Indeed, in Flanders several initiatives are taken to support cities become more sustainable</w:t>
      </w:r>
      <w:r>
        <w:rPr>
          <w:rFonts w:ascii="Calibri" w:eastAsia="Calibri" w:hAnsi="Calibri" w:cs="Times New Roman"/>
          <w:noProof/>
          <w:sz w:val="20"/>
          <w:vertAlign w:val="superscript"/>
          <w:lang w:eastAsia="ar-SA"/>
        </w:rPr>
        <w:footnoteReference w:id="138"/>
      </w:r>
      <w:r>
        <w:rPr>
          <w:rFonts w:ascii="Calibri" w:eastAsia="Calibri" w:hAnsi="Calibri" w:cs="Times New Roman"/>
          <w:noProof/>
          <w:sz w:val="20"/>
          <w:lang w:eastAsia="ar-SA"/>
        </w:rPr>
        <w:t>. Gent is propos</w:t>
      </w:r>
      <w:r>
        <w:rPr>
          <w:rFonts w:ascii="Calibri" w:eastAsia="Calibri" w:hAnsi="Calibri" w:cs="Times New Roman"/>
          <w:noProof/>
          <w:sz w:val="20"/>
          <w:lang w:eastAsia="ar-SA"/>
        </w:rPr>
        <w:t xml:space="preserve">ing to extend further its pedestrianized zone in 2017. </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In several cases, the intention to tackle congestion announced in the Federal and Regional government agreements still needs to be turned into tangible measures, even if some measures to improve the s</w:t>
      </w:r>
      <w:r>
        <w:rPr>
          <w:rFonts w:ascii="Calibri" w:eastAsia="Calibri" w:hAnsi="Calibri" w:cs="Times New Roman"/>
          <w:noProof/>
          <w:sz w:val="20"/>
          <w:lang w:eastAsia="ar-SA"/>
        </w:rPr>
        <w:t>ituation were taken, such as the kilometre-charge for lorries on all Belgian roads, and the extension of the car-free zone in central Brussels, and the green COBRACE</w:t>
      </w:r>
      <w:r>
        <w:rPr>
          <w:rStyle w:val="FootnoteReference"/>
          <w:rFonts w:ascii="Calibri" w:eastAsia="Calibri" w:hAnsi="Calibri" w:cs="Times New Roman"/>
          <w:noProof/>
          <w:sz w:val="20"/>
          <w:lang w:eastAsia="ar-SA"/>
        </w:rPr>
        <w:footnoteReference w:id="139"/>
      </w:r>
      <w:r>
        <w:rPr>
          <w:rFonts w:ascii="Calibri" w:eastAsia="Calibri" w:hAnsi="Calibri" w:cs="Times New Roman"/>
          <w:noProof/>
          <w:sz w:val="20"/>
          <w:lang w:eastAsia="ar-SA"/>
        </w:rPr>
        <w:t xml:space="preserve"> tax regarding excessive parking lots in office buildings.</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Brussels has seen a modal shift</w:t>
      </w:r>
      <w:r>
        <w:rPr>
          <w:rFonts w:ascii="Calibri" w:eastAsia="Calibri" w:hAnsi="Calibri" w:cs="Times New Roman"/>
          <w:noProof/>
          <w:sz w:val="20"/>
          <w:lang w:eastAsia="ar-SA"/>
        </w:rPr>
        <w:t xml:space="preserve"> in favour of public transport and bicycling with a reduction in use of private cars. Since 2000, car possession per household slightly decreased and is estimated at 0.7 per household. 35% of Brussels households have no car. Use of the metro increased by 6</w:t>
      </w:r>
      <w:r>
        <w:rPr>
          <w:rFonts w:ascii="Calibri" w:eastAsia="Calibri" w:hAnsi="Calibri" w:cs="Times New Roman"/>
          <w:noProof/>
          <w:sz w:val="20"/>
          <w:lang w:eastAsia="ar-SA"/>
        </w:rPr>
        <w:t>9% between 2000-12</w:t>
      </w:r>
      <w:r>
        <w:rPr>
          <w:rFonts w:ascii="Calibri" w:eastAsia="Calibri" w:hAnsi="Calibri" w:cs="Times New Roman"/>
          <w:noProof/>
          <w:sz w:val="20"/>
          <w:vertAlign w:val="superscript"/>
          <w:lang w:eastAsia="ar-SA"/>
        </w:rPr>
        <w:footnoteReference w:id="140"/>
      </w:r>
      <w:r>
        <w:rPr>
          <w:rFonts w:ascii="Calibri" w:eastAsia="Calibri" w:hAnsi="Calibri" w:cs="Times New Roman"/>
          <w:noProof/>
          <w:sz w:val="20"/>
          <w:lang w:eastAsia="ar-SA"/>
        </w:rPr>
        <w:t>. However, much passenger movement in Brussels is due to commuter traffic (56 % of the 650,000 jobs in Brussels), and 55% of this movement is by car (154, 000 cars)</w:t>
      </w:r>
      <w:r>
        <w:rPr>
          <w:rFonts w:ascii="Calibri" w:eastAsia="Calibri" w:hAnsi="Calibri" w:cs="Times New Roman"/>
          <w:noProof/>
          <w:sz w:val="20"/>
          <w:vertAlign w:val="superscript"/>
          <w:lang w:eastAsia="ar-SA"/>
        </w:rPr>
        <w:footnoteReference w:id="141"/>
      </w:r>
      <w:r>
        <w:rPr>
          <w:rFonts w:ascii="Calibri" w:eastAsia="Calibri" w:hAnsi="Calibri" w:cs="Times New Roman"/>
          <w:noProof/>
          <w:sz w:val="20"/>
          <w:lang w:eastAsia="ar-SA"/>
        </w:rPr>
        <w:t xml:space="preserve">.  This problem is being mainly addressed by investments in the RER and </w:t>
      </w:r>
      <w:r>
        <w:rPr>
          <w:rFonts w:ascii="Calibri" w:eastAsia="Calibri" w:hAnsi="Calibri" w:cs="Times New Roman"/>
          <w:noProof/>
          <w:sz w:val="20"/>
          <w:lang w:eastAsia="ar-SA"/>
        </w:rPr>
        <w:t xml:space="preserve">cycle-RER projects around the capital, park and ride schemes, and compulsory company mobility plans. </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color w:val="000000"/>
          <w:sz w:val="20"/>
          <w:szCs w:val="20"/>
          <w:lang w:val="en-US" w:eastAsia="ar-SA"/>
        </w:rPr>
        <w:t>With a strategic plan, Brussels develops a specific approach to optimize freight traffic and reduce emissions.</w:t>
      </w:r>
      <w:r>
        <w:rPr>
          <w:rFonts w:ascii="Calibri" w:eastAsia="Calibri" w:hAnsi="Calibri" w:cs="Times New Roman"/>
          <w:noProof/>
          <w:sz w:val="20"/>
          <w:lang w:eastAsia="ar-SA"/>
        </w:rPr>
        <w:t xml:space="preserve"> Bel RTL mentioned that according to the Bel</w:t>
      </w:r>
      <w:r>
        <w:rPr>
          <w:rFonts w:ascii="Calibri" w:eastAsia="Calibri" w:hAnsi="Calibri" w:cs="Times New Roman"/>
          <w:noProof/>
          <w:sz w:val="20"/>
          <w:lang w:eastAsia="ar-SA"/>
        </w:rPr>
        <w:t>gian Interregional Environment Agency (IRCEL), the number of soot particles in the air emitted by diesel engines had halved after the car-free day in Brussels on 18.09.16</w:t>
      </w:r>
      <w:r>
        <w:rPr>
          <w:rFonts w:ascii="Calibri" w:eastAsia="Calibri" w:hAnsi="Calibri" w:cs="Times New Roman"/>
          <w:noProof/>
          <w:color w:val="000000"/>
          <w:vertAlign w:val="superscript"/>
          <w:lang w:val="en-US" w:eastAsia="ar-SA"/>
        </w:rPr>
        <w:footnoteReference w:id="142"/>
      </w:r>
      <w:r>
        <w:rPr>
          <w:rFonts w:ascii="Calibri" w:eastAsia="Calibri" w:hAnsi="Calibri" w:cs="Times New Roman"/>
          <w:noProof/>
          <w:color w:val="000000"/>
          <w:sz w:val="20"/>
          <w:szCs w:val="20"/>
          <w:lang w:val="en-US" w:eastAsia="ar-SA"/>
        </w:rPr>
        <w:t xml:space="preserve">. </w:t>
      </w:r>
      <w:r>
        <w:rPr>
          <w:rFonts w:ascii="Calibri" w:eastAsia="Calibri" w:hAnsi="Calibri" w:cs="Times New Roman"/>
          <w:noProof/>
          <w:sz w:val="20"/>
          <w:lang w:eastAsia="ar-SA"/>
        </w:rPr>
        <w:t xml:space="preserve">The Trilogiport in Liege linked with the Albert Canal to Antwerp has brought </w:t>
      </w:r>
      <w:r>
        <w:rPr>
          <w:rFonts w:ascii="Calibri" w:eastAsia="Calibri" w:hAnsi="Calibri" w:cs="Times New Roman"/>
          <w:noProof/>
          <w:sz w:val="20"/>
          <w:lang w:eastAsia="ar-SA"/>
        </w:rPr>
        <w:t>environmental benefits.</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en-GB"/>
        </w:rPr>
        <w:drawing>
          <wp:inline distT="0" distB="0" distL="0" distR="0" wp14:anchorId="7A08ED0E" wp14:editId="437B3A3B">
            <wp:extent cx="2985135" cy="198755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85135" cy="1987550"/>
                    </a:xfrm>
                    <a:prstGeom prst="rect">
                      <a:avLst/>
                    </a:prstGeom>
                    <a:solidFill>
                      <a:srgbClr val="FFFFFF"/>
                    </a:solidFill>
                    <a:ln>
                      <a:noFill/>
                    </a:ln>
                  </pic:spPr>
                </pic:pic>
              </a:graphicData>
            </a:graphic>
          </wp:inline>
        </w:drawing>
      </w:r>
      <w:r>
        <w:rPr>
          <w:rFonts w:ascii="Calibri" w:eastAsia="Calibri" w:hAnsi="Calibri" w:cs="Times New Roman"/>
          <w:noProof/>
          <w:sz w:val="20"/>
          <w:lang w:eastAsia="ar-SA"/>
        </w:rPr>
        <w:t>Regarding urban green space, the Flemish ERDF OP foresees development of green urban infrastructure</w:t>
      </w:r>
      <w:r>
        <w:rPr>
          <w:rFonts w:ascii="Calibri" w:eastAsia="Calibri" w:hAnsi="Calibri" w:cs="Times New Roman"/>
          <w:noProof/>
          <w:sz w:val="20"/>
          <w:vertAlign w:val="superscript"/>
          <w:lang w:eastAsia="ar-SA"/>
        </w:rPr>
        <w:footnoteReference w:id="143"/>
      </w:r>
      <w:r>
        <w:rPr>
          <w:rFonts w:ascii="Calibri" w:eastAsia="Calibri" w:hAnsi="Calibri" w:cs="Times New Roman"/>
          <w:noProof/>
          <w:sz w:val="20"/>
          <w:lang w:eastAsia="ar-SA"/>
        </w:rPr>
        <w:t>.  Antwerp has the least urban green areas in Flanders</w:t>
      </w:r>
      <w:r>
        <w:rPr>
          <w:rFonts w:ascii="Calibri" w:eastAsia="Calibri" w:hAnsi="Calibri" w:cs="Times New Roman"/>
          <w:noProof/>
          <w:sz w:val="20"/>
          <w:vertAlign w:val="superscript"/>
          <w:lang w:eastAsia="ar-SA"/>
        </w:rPr>
        <w:footnoteReference w:id="144"/>
      </w:r>
      <w:r>
        <w:rPr>
          <w:rFonts w:ascii="Calibri" w:eastAsia="Calibri" w:hAnsi="Calibri" w:cs="Times New Roman"/>
          <w:noProof/>
          <w:sz w:val="20"/>
          <w:lang w:eastAsia="ar-SA"/>
        </w:rPr>
        <w:t>. Actions are being taken to remedy this situation with, for example, the de</w:t>
      </w:r>
      <w:r>
        <w:rPr>
          <w:rFonts w:ascii="Calibri" w:eastAsia="Calibri" w:hAnsi="Calibri" w:cs="Times New Roman"/>
          <w:noProof/>
          <w:sz w:val="20"/>
          <w:lang w:eastAsia="ar-SA"/>
        </w:rPr>
        <w:t>velopment of Park Spoor Noord in Antwerp co-financed by the ERDF</w:t>
      </w:r>
      <w:r>
        <w:rPr>
          <w:rFonts w:ascii="Calibri" w:eastAsia="Calibri" w:hAnsi="Calibri" w:cs="Times New Roman"/>
          <w:noProof/>
          <w:sz w:val="20"/>
          <w:vertAlign w:val="superscript"/>
          <w:lang w:eastAsia="ar-SA"/>
        </w:rPr>
        <w:footnoteReference w:id="145"/>
      </w:r>
      <w:r>
        <w:rPr>
          <w:rFonts w:ascii="Calibri" w:eastAsia="Calibri" w:hAnsi="Calibri" w:cs="Times New Roman"/>
          <w:noProof/>
          <w:sz w:val="20"/>
          <w:lang w:eastAsia="ar-SA"/>
        </w:rPr>
        <w:t>.  The Antwerp Port Authority has an objective for further economic development, achieving conservation objectives for species and habitats at the same time. Brussels itself possess large are</w:t>
      </w:r>
      <w:r>
        <w:rPr>
          <w:rFonts w:ascii="Calibri" w:eastAsia="Calibri" w:hAnsi="Calibri" w:cs="Times New Roman"/>
          <w:noProof/>
          <w:sz w:val="20"/>
          <w:lang w:eastAsia="ar-SA"/>
        </w:rPr>
        <w:t>as of green space, albeit concentrated in the south-east of the city, with little in the city centre. However, in application of the Brussels Nature Plan  2016-20, several projects that are using natural solutions for enhancing the urban environment are be</w:t>
      </w:r>
      <w:r>
        <w:rPr>
          <w:rFonts w:ascii="Calibri" w:eastAsia="Calibri" w:hAnsi="Calibri" w:cs="Times New Roman"/>
          <w:noProof/>
          <w:sz w:val="20"/>
          <w:lang w:eastAsia="ar-SA"/>
        </w:rPr>
        <w:t>ing implemented or under preparation, especially in the most dense areas of the city.</w:t>
      </w:r>
    </w:p>
    <w:p w:rsidR="0017500B" w:rsidRDefault="00390F61">
      <w:pPr>
        <w:widowControl w:val="0"/>
        <w:suppressAutoHyphens/>
        <w:spacing w:after="120" w:line="240" w:lineRule="auto"/>
        <w:jc w:val="both"/>
        <w:rPr>
          <w:rFonts w:ascii="Calibri" w:eastAsia="Calibri" w:hAnsi="Calibri" w:cs="Times New Roman"/>
          <w:bCs/>
          <w:noProof/>
          <w:sz w:val="20"/>
          <w:lang w:eastAsia="ar-SA"/>
        </w:rPr>
      </w:pPr>
      <w:r>
        <w:rPr>
          <w:rFonts w:ascii="Calibri" w:eastAsia="Calibri" w:hAnsi="Calibri" w:cs="Times New Roman"/>
          <w:noProof/>
          <w:sz w:val="20"/>
          <w:lang w:eastAsia="ar-SA"/>
        </w:rPr>
        <w:t>A consequence of energy use and traffic is on airborne particulate matter and nitrogen oxides. In Brussels between November 2009 and the end of March 2013, the annual lim</w:t>
      </w:r>
      <w:r>
        <w:rPr>
          <w:rFonts w:ascii="Calibri" w:eastAsia="Calibri" w:hAnsi="Calibri" w:cs="Times New Roman"/>
          <w:noProof/>
          <w:sz w:val="20"/>
          <w:lang w:eastAsia="ar-SA"/>
        </w:rPr>
        <w:t>it values for PM10 have been exceeded every year</w:t>
      </w:r>
      <w:r>
        <w:rPr>
          <w:rFonts w:ascii="Calibri" w:eastAsia="Calibri" w:hAnsi="Calibri" w:cs="Times New Roman"/>
          <w:noProof/>
          <w:sz w:val="20"/>
          <w:vertAlign w:val="superscript"/>
          <w:lang w:eastAsia="ar-SA"/>
        </w:rPr>
        <w:footnoteReference w:id="146"/>
      </w:r>
      <w:r>
        <w:rPr>
          <w:rFonts w:ascii="Calibri" w:eastAsia="Calibri" w:hAnsi="Calibri" w:cs="Times New Roman"/>
          <w:noProof/>
          <w:sz w:val="20"/>
          <w:lang w:eastAsia="ar-SA"/>
        </w:rPr>
        <w:t xml:space="preserve">. Whilst there have been improvements in PM levels in Brussels (compliance since 2014), NO2 however is a cause for concern. </w:t>
      </w:r>
      <w:r>
        <w:rPr>
          <w:rFonts w:ascii="Calibri" w:eastAsia="Calibri" w:hAnsi="Calibri" w:cs="Times New Roman"/>
          <w:noProof/>
          <w:sz w:val="20"/>
          <w:szCs w:val="20"/>
          <w:lang w:val="en-US" w:eastAsia="ar-SA"/>
        </w:rPr>
        <w:t>Since June 2016, the Brussels Region has had an Air-Climate-Energy Plan</w:t>
      </w:r>
      <w:r>
        <w:rPr>
          <w:rFonts w:ascii="Calibri" w:eastAsia="Calibri" w:hAnsi="Calibri" w:cs="Times New Roman"/>
          <w:noProof/>
          <w:sz w:val="20"/>
          <w:szCs w:val="20"/>
          <w:vertAlign w:val="superscript"/>
          <w:lang w:val="en-US" w:eastAsia="ar-SA"/>
        </w:rPr>
        <w:footnoteReference w:id="147"/>
      </w:r>
      <w:r>
        <w:rPr>
          <w:rFonts w:ascii="Calibri" w:eastAsia="Calibri" w:hAnsi="Calibri" w:cs="Times New Roman"/>
          <w:noProof/>
          <w:sz w:val="20"/>
          <w:szCs w:val="20"/>
          <w:lang w:val="en-US" w:eastAsia="ar-SA"/>
        </w:rPr>
        <w:t xml:space="preserve"> which addr</w:t>
      </w:r>
      <w:r>
        <w:rPr>
          <w:rFonts w:ascii="Calibri" w:eastAsia="Calibri" w:hAnsi="Calibri" w:cs="Times New Roman"/>
          <w:noProof/>
          <w:sz w:val="20"/>
          <w:szCs w:val="20"/>
          <w:lang w:val="en-US" w:eastAsia="ar-SA"/>
        </w:rPr>
        <w:t>esses NO2 and PM, and greenhouse gases emissions (but also climate change adaptation). This plan defines 64 measures in all related sectors (building, transport, economy, etc.). One of the most important measures of the plan, regarding air quality is the i</w:t>
      </w:r>
      <w:r>
        <w:rPr>
          <w:rFonts w:ascii="Calibri" w:eastAsia="Calibri" w:hAnsi="Calibri" w:cs="Times New Roman"/>
          <w:noProof/>
          <w:sz w:val="20"/>
          <w:szCs w:val="20"/>
          <w:lang w:val="en-US" w:eastAsia="ar-SA"/>
        </w:rPr>
        <w:t xml:space="preserve">mplementation of a low emission zone on the territory of Brussels-Capital Region as from 2018. It will help the Region to reach the EU NOx standards. </w:t>
      </w:r>
      <w:r>
        <w:rPr>
          <w:rFonts w:ascii="Calibri" w:eastAsia="Calibri" w:hAnsi="Calibri" w:cs="Times New Roman"/>
          <w:noProof/>
          <w:sz w:val="20"/>
          <w:lang w:eastAsia="ar-SA"/>
        </w:rPr>
        <w:t xml:space="preserve">Flanders has three plans, one for the whole territory, as well as more specific plans for the harbour and </w:t>
      </w:r>
      <w:r>
        <w:rPr>
          <w:rFonts w:ascii="Calibri" w:eastAsia="Calibri" w:hAnsi="Calibri" w:cs="Times New Roman"/>
          <w:noProof/>
          <w:sz w:val="20"/>
          <w:lang w:eastAsia="ar-SA"/>
        </w:rPr>
        <w:t>city of Antwerp and the Ghent region.</w:t>
      </w:r>
      <w:r>
        <w:rPr>
          <w:rFonts w:ascii="Calibri" w:eastAsia="Calibri" w:hAnsi="Calibri" w:cs="Times New Roman"/>
          <w:bCs/>
          <w:noProof/>
          <w:sz w:val="24"/>
          <w:szCs w:val="24"/>
          <w:lang w:eastAsia="ar-SA"/>
        </w:rPr>
        <w:t xml:space="preserve"> </w:t>
      </w:r>
      <w:r>
        <w:rPr>
          <w:rFonts w:ascii="Calibri" w:eastAsia="Calibri" w:hAnsi="Calibri" w:cs="Times New Roman"/>
          <w:bCs/>
          <w:noProof/>
          <w:sz w:val="20"/>
          <w:lang w:eastAsia="ar-SA"/>
        </w:rPr>
        <w:t xml:space="preserve">The Walloon Region has its </w:t>
      </w:r>
      <w:r>
        <w:rPr>
          <w:rFonts w:ascii="Calibri" w:eastAsia="Calibri" w:hAnsi="Calibri" w:cs="Times New Roman"/>
          <w:bCs/>
          <w:i/>
          <w:noProof/>
          <w:sz w:val="20"/>
          <w:lang w:eastAsia="ar-SA"/>
        </w:rPr>
        <w:t>Plan Air-Climat-Energie</w:t>
      </w:r>
      <w:r>
        <w:rPr>
          <w:rFonts w:ascii="Calibri" w:eastAsia="Calibri" w:hAnsi="Calibri" w:cs="Times New Roman"/>
          <w:bCs/>
          <w:noProof/>
          <w:sz w:val="20"/>
          <w:lang w:eastAsia="ar-SA"/>
        </w:rPr>
        <w:t xml:space="preserve"> 2016-22.</w:t>
      </w:r>
      <w:r>
        <w:rPr>
          <w:rFonts w:ascii="Calibri" w:eastAsia="Calibri" w:hAnsi="Calibri" w:cs="Times New Roman"/>
          <w:bCs/>
          <w:noProof/>
          <w:sz w:val="24"/>
          <w:szCs w:val="24"/>
          <w:lang w:eastAsia="ar-SA"/>
        </w:rPr>
        <w:t xml:space="preserve"> </w:t>
      </w:r>
      <w:r>
        <w:rPr>
          <w:rFonts w:ascii="Calibri" w:eastAsia="Calibri" w:hAnsi="Calibri" w:cs="Times New Roman"/>
          <w:bCs/>
          <w:noProof/>
          <w:sz w:val="20"/>
          <w:lang w:eastAsia="ar-SA"/>
        </w:rPr>
        <w:t xml:space="preserve">In both Flanders and Wallonia steps are being taken in certain cities (e.g. Antwerp) for introducing low emission zones. </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iCs/>
          <w:noProof/>
          <w:sz w:val="20"/>
          <w:lang w:eastAsia="ar-SA"/>
        </w:rPr>
        <w:t xml:space="preserve">In the Brussels region, more than </w:t>
      </w:r>
      <w:r>
        <w:rPr>
          <w:rFonts w:ascii="Calibri" w:eastAsia="Calibri" w:hAnsi="Calibri" w:cs="Times New Roman"/>
          <w:iCs/>
          <w:noProof/>
          <w:sz w:val="20"/>
          <w:lang w:eastAsia="ar-SA"/>
        </w:rPr>
        <w:t>137,000 tonnes of municipal waste were collected in view of reuse or recycling in 2014 at a rate of 40%</w:t>
      </w:r>
      <w:r>
        <w:rPr>
          <w:rStyle w:val="FootnoteReference"/>
          <w:rFonts w:ascii="Calibri" w:eastAsia="Calibri" w:hAnsi="Calibri" w:cs="Times New Roman"/>
          <w:iCs/>
          <w:noProof/>
          <w:sz w:val="20"/>
          <w:lang w:eastAsia="ar-SA"/>
        </w:rPr>
        <w:footnoteReference w:id="148"/>
      </w:r>
      <w:r>
        <w:rPr>
          <w:rFonts w:ascii="Calibri" w:eastAsia="Calibri" w:hAnsi="Calibri" w:cs="Times New Roman"/>
          <w:iCs/>
          <w:noProof/>
          <w:sz w:val="20"/>
          <w:lang w:eastAsia="ar-SA"/>
        </w:rPr>
        <w:t>.</w:t>
      </w:r>
      <w:r>
        <w:rPr>
          <w:rFonts w:ascii="Calibri" w:eastAsia="Calibri" w:hAnsi="Calibri" w:cs="Times New Roman"/>
          <w:noProof/>
          <w:sz w:val="20"/>
          <w:lang w:eastAsia="ar-SA"/>
        </w:rPr>
        <w:t>The EUR 5 million ERDF supported Ecopôle project in Brussels has targeted the creation of a social economy centre in the area of waste recovery</w:t>
      </w:r>
      <w:r>
        <w:rPr>
          <w:rFonts w:ascii="Calibri" w:eastAsia="Calibri" w:hAnsi="Calibri" w:cs="Times New Roman"/>
          <w:noProof/>
          <w:sz w:val="20"/>
          <w:vertAlign w:val="superscript"/>
          <w:lang w:eastAsia="ar-SA"/>
        </w:rPr>
        <w:footnoteReference w:id="149"/>
      </w:r>
      <w:r>
        <w:rPr>
          <w:rFonts w:ascii="Calibri" w:eastAsia="Calibri" w:hAnsi="Calibri" w:cs="Times New Roman"/>
          <w:noProof/>
          <w:sz w:val="20"/>
          <w:lang w:eastAsia="ar-SA"/>
        </w:rPr>
        <w:t xml:space="preserve">. </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Ther</w:t>
      </w:r>
      <w:r>
        <w:rPr>
          <w:rFonts w:ascii="Calibri" w:eastAsia="Calibri" w:hAnsi="Calibri" w:cs="Times New Roman"/>
          <w:noProof/>
          <w:sz w:val="20"/>
          <w:lang w:eastAsia="ar-SA"/>
        </w:rPr>
        <w:t>e have been several innovative projects to improve sustainability of cities. The Flemish Inter-Municipal Company for Water Supply (TMVW) on behalf of Gent reoriented its supplier's configuration and intake patterns. Furthermore, the climate adaptation plan</w:t>
      </w:r>
      <w:r>
        <w:rPr>
          <w:rFonts w:ascii="Calibri" w:eastAsia="Calibri" w:hAnsi="Calibri" w:cs="Times New Roman"/>
          <w:noProof/>
          <w:sz w:val="20"/>
          <w:lang w:eastAsia="ar-SA"/>
        </w:rPr>
        <w:t xml:space="preserve"> 2011-13 includes actions to reduce water supply such as the application of the water hierarchy in public areas, use of alternative grey water systems, and collecting rainwater</w:t>
      </w:r>
      <w:r>
        <w:rPr>
          <w:rFonts w:ascii="Calibri" w:eastAsia="Calibri" w:hAnsi="Calibri" w:cs="Times New Roman"/>
          <w:noProof/>
          <w:sz w:val="20"/>
          <w:vertAlign w:val="superscript"/>
          <w:lang w:eastAsia="ar-SA"/>
        </w:rPr>
        <w:footnoteReference w:id="150"/>
      </w:r>
      <w:r>
        <w:rPr>
          <w:rFonts w:ascii="Calibri" w:eastAsia="Calibri" w:hAnsi="Calibri" w:cs="Times New Roman"/>
          <w:noProof/>
          <w:sz w:val="20"/>
          <w:lang w:eastAsia="ar-SA"/>
        </w:rPr>
        <w:t>. Antwerp is preventing flooding due to heavy rain by measures to construct buf</w:t>
      </w:r>
      <w:r>
        <w:rPr>
          <w:rFonts w:ascii="Calibri" w:eastAsia="Calibri" w:hAnsi="Calibri" w:cs="Times New Roman"/>
          <w:noProof/>
          <w:sz w:val="20"/>
          <w:lang w:eastAsia="ar-SA"/>
        </w:rPr>
        <w:t>fer basins and clearing water courses, such as the Strategic Plan for Water Balance in the port area.  The city also implemented a Green Building Code with green roofs, rain wells and segregated systems</w:t>
      </w:r>
      <w:r>
        <w:rPr>
          <w:rFonts w:ascii="Calibri" w:eastAsia="Calibri" w:hAnsi="Calibri" w:cs="Times New Roman"/>
          <w:noProof/>
          <w:sz w:val="20"/>
          <w:vertAlign w:val="superscript"/>
          <w:lang w:eastAsia="ar-SA"/>
        </w:rPr>
        <w:footnoteReference w:id="151"/>
      </w:r>
      <w:r>
        <w:rPr>
          <w:rFonts w:ascii="Calibri" w:eastAsia="Calibri" w:hAnsi="Calibri" w:cs="Times New Roman"/>
          <w:noProof/>
          <w:sz w:val="20"/>
          <w:lang w:eastAsia="ar-SA"/>
        </w:rPr>
        <w:t xml:space="preserve">. </w:t>
      </w:r>
    </w:p>
    <w:p w:rsidR="0017500B" w:rsidRDefault="00390F61">
      <w:pPr>
        <w:widowControl w:val="0"/>
        <w:suppressAutoHyphens/>
        <w:spacing w:after="120" w:line="240" w:lineRule="auto"/>
        <w:jc w:val="both"/>
        <w:rPr>
          <w:rFonts w:ascii="Calibri" w:eastAsia="Calibri" w:hAnsi="Calibri" w:cs="Times New Roman"/>
          <w:noProof/>
          <w:sz w:val="20"/>
          <w:lang w:val="en" w:eastAsia="ar-SA"/>
        </w:rPr>
      </w:pPr>
      <w:r>
        <w:rPr>
          <w:rFonts w:ascii="Calibri" w:eastAsia="Calibri" w:hAnsi="Calibri" w:cs="Times New Roman"/>
          <w:noProof/>
          <w:sz w:val="20"/>
          <w:lang w:eastAsia="ar-SA"/>
        </w:rPr>
        <w:t xml:space="preserve">Regarding wastewater treatment, Brussels for many </w:t>
      </w:r>
      <w:r>
        <w:rPr>
          <w:rFonts w:ascii="Calibri" w:eastAsia="Calibri" w:hAnsi="Calibri" w:cs="Times New Roman"/>
          <w:noProof/>
          <w:sz w:val="20"/>
          <w:lang w:eastAsia="ar-SA"/>
        </w:rPr>
        <w:t>years did not have adequate wastewater treatment facilities. This is now financed with an European Investment Bank (EIB) loan</w:t>
      </w:r>
      <w:r>
        <w:rPr>
          <w:rFonts w:ascii="Calibri" w:eastAsia="Calibri" w:hAnsi="Calibri" w:cs="Times New Roman"/>
          <w:noProof/>
          <w:sz w:val="20"/>
          <w:vertAlign w:val="superscript"/>
          <w:lang w:eastAsia="ar-SA"/>
        </w:rPr>
        <w:footnoteReference w:id="152"/>
      </w:r>
      <w:r>
        <w:rPr>
          <w:rFonts w:ascii="Calibri" w:eastAsia="Calibri" w:hAnsi="Calibri" w:cs="Times New Roman"/>
          <w:noProof/>
          <w:sz w:val="20"/>
          <w:lang w:eastAsia="ar-SA"/>
        </w:rPr>
        <w:t>.</w:t>
      </w:r>
    </w:p>
    <w:p w:rsidR="0017500B" w:rsidRDefault="00390F61">
      <w:pPr>
        <w:widowControl w:val="0"/>
        <w:suppressAutoHyphens/>
        <w:spacing w:after="120" w:line="240" w:lineRule="auto"/>
        <w:jc w:val="both"/>
        <w:rPr>
          <w:rFonts w:ascii="Calibri" w:eastAsia="Calibri" w:hAnsi="Calibri" w:cs="Times New Roman"/>
          <w:noProof/>
          <w:color w:val="000000"/>
          <w:sz w:val="20"/>
          <w:szCs w:val="20"/>
          <w:lang w:eastAsia="ar-SA"/>
        </w:rPr>
      </w:pPr>
      <w:r>
        <w:rPr>
          <w:rFonts w:ascii="Calibri" w:eastAsia="Calibri" w:hAnsi="Calibri" w:cs="Times New Roman"/>
          <w:noProof/>
          <w:sz w:val="20"/>
          <w:lang w:val="en" w:eastAsia="ar-SA"/>
        </w:rPr>
        <w:t>The ERDF co-financed Brussels Greenbizz project, an "eco-friendly business incubator" aiming to support the circular economy, th</w:t>
      </w:r>
      <w:r>
        <w:rPr>
          <w:rFonts w:ascii="Calibri" w:eastAsia="Calibri" w:hAnsi="Calibri" w:cs="Times New Roman"/>
          <w:noProof/>
          <w:sz w:val="20"/>
          <w:lang w:val="en" w:eastAsia="ar-SA"/>
        </w:rPr>
        <w:t>e renovated Brussels abattoir including a pilot project on urban agriculture with a rooftop vegetable garden and the Charleroi Urban Distribution Centre where goods can be dropped off by heavy vehicles before being redistributed by light electric or less p</w:t>
      </w:r>
      <w:r>
        <w:rPr>
          <w:rFonts w:ascii="Calibri" w:eastAsia="Calibri" w:hAnsi="Calibri" w:cs="Times New Roman"/>
          <w:noProof/>
          <w:sz w:val="20"/>
          <w:lang w:val="en" w:eastAsia="ar-SA"/>
        </w:rPr>
        <w:t>olluting vehicles, have all been shortlisted as a REGIOSTAR 2016 finalists</w:t>
      </w:r>
      <w:r>
        <w:rPr>
          <w:rFonts w:ascii="Calibri" w:eastAsia="Calibri" w:hAnsi="Calibri" w:cs="Times New Roman"/>
          <w:noProof/>
          <w:sz w:val="20"/>
          <w:vertAlign w:val="superscript"/>
          <w:lang w:eastAsia="ar-SA"/>
        </w:rPr>
        <w:footnoteReference w:id="153"/>
      </w:r>
      <w:r>
        <w:rPr>
          <w:rFonts w:ascii="Calibri" w:eastAsia="Calibri" w:hAnsi="Calibri" w:cs="Times New Roman"/>
          <w:noProof/>
          <w:sz w:val="20"/>
          <w:lang w:eastAsia="ar-SA"/>
        </w:rPr>
        <w:t>.</w:t>
      </w:r>
    </w:p>
    <w:p w:rsidR="0017500B" w:rsidRDefault="00390F61">
      <w:pPr>
        <w:suppressAutoHyphens/>
        <w:spacing w:after="0" w:line="240" w:lineRule="auto"/>
        <w:jc w:val="both"/>
        <w:rPr>
          <w:rFonts w:ascii="Calibri" w:eastAsia="Calibri" w:hAnsi="Calibri" w:cs="Times New Roman"/>
          <w:noProof/>
          <w:color w:val="000000"/>
          <w:sz w:val="20"/>
          <w:szCs w:val="20"/>
          <w:lang w:val="en-US" w:eastAsia="ar-SA"/>
        </w:rPr>
      </w:pPr>
      <w:r>
        <w:rPr>
          <w:rFonts w:ascii="Calibri" w:eastAsia="Calibri" w:hAnsi="Calibri" w:cs="Times New Roman"/>
          <w:noProof/>
          <w:color w:val="000000"/>
          <w:sz w:val="20"/>
          <w:szCs w:val="20"/>
          <w:lang w:val="en-US" w:eastAsia="ar-SA"/>
        </w:rPr>
        <w:t xml:space="preserve">Regarding sustainable food, the government of the Brussels-Capital Regional adopted a strategy entitled "Good food, towards a more sustainable food system in Brussels Capital </w:t>
      </w:r>
      <w:r>
        <w:rPr>
          <w:rFonts w:ascii="Calibri" w:eastAsia="Calibri" w:hAnsi="Calibri" w:cs="Times New Roman"/>
          <w:noProof/>
          <w:color w:val="000000"/>
          <w:sz w:val="20"/>
          <w:szCs w:val="20"/>
          <w:lang w:val="en-US" w:eastAsia="ar-SA"/>
        </w:rPr>
        <w:t>Region"</w:t>
      </w:r>
      <w:r>
        <w:rPr>
          <w:rFonts w:ascii="Calibri" w:eastAsia="Calibri" w:hAnsi="Calibri" w:cs="Times New Roman"/>
          <w:noProof/>
          <w:color w:val="000000"/>
          <w:szCs w:val="20"/>
          <w:vertAlign w:val="superscript"/>
          <w:lang w:val="en-US" w:eastAsia="ar-SA"/>
        </w:rPr>
        <w:footnoteReference w:id="154"/>
      </w:r>
      <w:r>
        <w:rPr>
          <w:rFonts w:ascii="Calibri" w:eastAsia="Calibri" w:hAnsi="Calibri" w:cs="Times New Roman"/>
          <w:noProof/>
          <w:color w:val="000000"/>
          <w:sz w:val="20"/>
          <w:szCs w:val="20"/>
          <w:lang w:val="en-US" w:eastAsia="ar-SA"/>
        </w:rPr>
        <w:t xml:space="preserve"> in December 2015. The main priorities consist in developing local food production while respecting the environment and encouraging the innovation; raising awareness of citizens; reducing food waste, and; developing actions while taking into accoun</w:t>
      </w:r>
      <w:r>
        <w:rPr>
          <w:rFonts w:ascii="Calibri" w:eastAsia="Calibri" w:hAnsi="Calibri" w:cs="Times New Roman"/>
          <w:noProof/>
          <w:color w:val="000000"/>
          <w:sz w:val="20"/>
          <w:szCs w:val="20"/>
          <w:lang w:val="en-US" w:eastAsia="ar-SA"/>
        </w:rPr>
        <w:t xml:space="preserve">t social and multicultural specificities of the Brussels-Capital Region. </w:t>
      </w:r>
    </w:p>
    <w:p w:rsidR="0017500B" w:rsidRDefault="0017500B">
      <w:pPr>
        <w:suppressAutoHyphens/>
        <w:spacing w:after="0" w:line="240" w:lineRule="auto"/>
        <w:jc w:val="both"/>
        <w:rPr>
          <w:rFonts w:ascii="Calibri" w:eastAsia="Calibri" w:hAnsi="Calibri" w:cs="Times New Roman"/>
          <w:noProof/>
          <w:color w:val="000000"/>
          <w:sz w:val="20"/>
          <w:szCs w:val="20"/>
          <w:lang w:val="en-US" w:eastAsia="ar-SA"/>
        </w:rPr>
      </w:pP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color w:val="000000"/>
          <w:sz w:val="20"/>
          <w:szCs w:val="20"/>
          <w:lang w:val="en-US" w:eastAsia="ar-SA"/>
        </w:rPr>
        <w:t xml:space="preserve">The project </w:t>
      </w:r>
      <w:r>
        <w:rPr>
          <w:rFonts w:ascii="Calibri" w:eastAsia="Calibri" w:hAnsi="Calibri" w:cs="Times New Roman"/>
          <w:i/>
          <w:noProof/>
          <w:color w:val="000000"/>
          <w:sz w:val="20"/>
          <w:szCs w:val="20"/>
          <w:lang w:val="en-US" w:eastAsia="ar-SA"/>
        </w:rPr>
        <w:t>Boeren Bruxsel Paysans</w:t>
      </w:r>
      <w:r>
        <w:rPr>
          <w:rFonts w:ascii="Calibri" w:eastAsia="Calibri" w:hAnsi="Calibri" w:cs="Times New Roman"/>
          <w:i/>
          <w:noProof/>
          <w:color w:val="000000"/>
          <w:sz w:val="20"/>
          <w:szCs w:val="20"/>
          <w:vertAlign w:val="superscript"/>
          <w:lang w:val="en-US" w:eastAsia="ar-SA"/>
        </w:rPr>
        <w:footnoteReference w:id="155"/>
      </w:r>
      <w:r>
        <w:rPr>
          <w:rFonts w:ascii="Calibri" w:eastAsia="Calibri" w:hAnsi="Calibri" w:cs="Times New Roman"/>
          <w:noProof/>
          <w:color w:val="000000"/>
          <w:sz w:val="20"/>
          <w:szCs w:val="20"/>
          <w:lang w:val="en-US" w:eastAsia="ar-SA"/>
        </w:rPr>
        <w:t>, supported by the ERDF, aims at encouraging the transition of the Brussels-Capital Region towards a more sustainable food system by providing pro</w:t>
      </w:r>
      <w:r>
        <w:rPr>
          <w:rFonts w:ascii="Calibri" w:eastAsia="Calibri" w:hAnsi="Calibri" w:cs="Times New Roman"/>
          <w:noProof/>
          <w:color w:val="000000"/>
          <w:sz w:val="20"/>
          <w:szCs w:val="20"/>
          <w:lang w:val="en-US" w:eastAsia="ar-SA"/>
        </w:rPr>
        <w:t>duction, transformation and distribution spaces and infrastructure for fruit and vegetables grown on-site.</w:t>
      </w:r>
    </w:p>
    <w:p w:rsidR="0017500B" w:rsidRDefault="00390F61">
      <w:pPr>
        <w:widowControl w:val="0"/>
        <w:suppressAutoHyphens/>
        <w:spacing w:before="360" w:after="120" w:line="240" w:lineRule="auto"/>
        <w:jc w:val="both"/>
        <w:outlineLvl w:val="1"/>
        <w:rPr>
          <w:rFonts w:ascii="Calibri" w:eastAsia="Calibri" w:hAnsi="Calibri" w:cs="Times New Roman"/>
          <w:b/>
          <w:noProof/>
          <w:color w:val="1F497D"/>
          <w:sz w:val="24"/>
          <w:lang w:eastAsia="ar-SA"/>
        </w:rPr>
      </w:pPr>
      <w:bookmarkStart w:id="18" w:name="_Toc469477499"/>
      <w:r>
        <w:rPr>
          <w:rFonts w:ascii="Calibri" w:eastAsia="Calibri" w:hAnsi="Calibri" w:cs="Times New Roman"/>
          <w:b/>
          <w:noProof/>
          <w:color w:val="1F497D"/>
          <w:sz w:val="24"/>
          <w:lang w:eastAsia="ar-SA"/>
        </w:rPr>
        <w:t>International agreements</w:t>
      </w:r>
      <w:bookmarkEnd w:id="18"/>
      <w:r>
        <w:rPr>
          <w:rFonts w:ascii="Calibri" w:eastAsia="Calibri" w:hAnsi="Calibri" w:cs="Times New Roman"/>
          <w:b/>
          <w:noProof/>
          <w:color w:val="1F497D"/>
          <w:sz w:val="24"/>
          <w:lang w:eastAsia="ar-SA"/>
        </w:rPr>
        <w:t xml:space="preserve"> </w:t>
      </w:r>
    </w:p>
    <w:p w:rsidR="0017500B" w:rsidRDefault="00390F61">
      <w:pPr>
        <w:widowControl w:val="0"/>
        <w:shd w:val="clear" w:color="auto" w:fill="4F81BD" w:themeFill="accent1"/>
        <w:spacing w:after="120" w:line="240" w:lineRule="auto"/>
        <w:jc w:val="both"/>
        <w:rPr>
          <w:rFonts w:cstheme="minorHAnsi"/>
          <w:noProof/>
          <w:color w:val="1F497D" w:themeColor="text2"/>
          <w:szCs w:val="26"/>
        </w:rPr>
      </w:pPr>
      <w:r>
        <w:rPr>
          <w:rFonts w:cs="Times New Roman"/>
          <w:noProof/>
          <w:color w:val="FFFFFF" w:themeColor="background1"/>
          <w:sz w:val="20"/>
        </w:rPr>
        <w:t xml:space="preserve">The EU Treaties require that the Union policy on the environment promotes measures at the international level to deal with </w:t>
      </w:r>
      <w:r>
        <w:rPr>
          <w:rFonts w:cs="Times New Roman"/>
          <w:noProof/>
          <w:color w:val="FFFFFF" w:themeColor="background1"/>
          <w:sz w:val="20"/>
        </w:rPr>
        <w:t>regional or worldwide environmental problems.</w:t>
      </w:r>
    </w:p>
    <w:p w:rsidR="0017500B" w:rsidRDefault="00390F61">
      <w:pPr>
        <w:widowControl w:val="0"/>
        <w:spacing w:before="120" w:after="120" w:line="240" w:lineRule="auto"/>
        <w:jc w:val="both"/>
        <w:rPr>
          <w:rFonts w:cs="Times New Roman"/>
          <w:noProof/>
          <w:sz w:val="20"/>
        </w:rPr>
      </w:pPr>
      <w:r>
        <w:rPr>
          <w:rFonts w:cs="Times New Roman"/>
          <w:noProof/>
          <w:sz w:val="20"/>
        </w:rPr>
        <w:t>Most environmental problems have a transboundary nature and often a global scope and they can only be addressed effectively through international co-operation. International environmental agreements concluded b</w:t>
      </w:r>
      <w:r>
        <w:rPr>
          <w:rFonts w:cs="Times New Roman"/>
          <w:noProof/>
          <w:sz w:val="20"/>
        </w:rPr>
        <w:t>y the Union are binding upon the institutions of the Union and on its Member States. This requires the EU and the Member States to sign, ratify and effectively implement all relevant multilateral environmental agreements (MEAs) in a timely manner. This wil</w:t>
      </w:r>
      <w:r>
        <w:rPr>
          <w:rFonts w:cs="Times New Roman"/>
          <w:noProof/>
          <w:sz w:val="20"/>
        </w:rPr>
        <w:t>l also be an important contribution towards the achievement of the SDGs, which Member States committed to in 2015 and include many commitments contained already in legally binding agreements.</w:t>
      </w:r>
    </w:p>
    <w:p w:rsidR="0017500B" w:rsidRDefault="00390F61">
      <w:pPr>
        <w:widowControl w:val="0"/>
        <w:suppressAutoHyphens/>
        <w:spacing w:after="120" w:line="240" w:lineRule="auto"/>
        <w:jc w:val="both"/>
        <w:rPr>
          <w:rFonts w:cs="Times New Roman"/>
          <w:noProof/>
          <w:sz w:val="20"/>
        </w:rPr>
      </w:pPr>
      <w:r>
        <w:rPr>
          <w:rFonts w:cs="Times New Roman"/>
          <w:noProof/>
          <w:sz w:val="20"/>
        </w:rPr>
        <w:t>The fact that some Member States did not sign and/or ratify a nu</w:t>
      </w:r>
      <w:r>
        <w:rPr>
          <w:rFonts w:cs="Times New Roman"/>
          <w:noProof/>
          <w:sz w:val="20"/>
        </w:rPr>
        <w:t>mber of MEAs compromises environmental implementation, including within the Union, as well as the Union’s credibility in related negotiations and international meetings where supporting the participation of third countries to such agreements is an establis</w:t>
      </w:r>
      <w:r>
        <w:rPr>
          <w:rFonts w:cs="Times New Roman"/>
          <w:noProof/>
          <w:sz w:val="20"/>
        </w:rPr>
        <w:t>hed EU policy objective. In agreements where voting takes place it has a direct impact on the number of votes to be cast by the EU.</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Currently, Belgium has signed but not yet ratified the Protocol on Strategic Environmental Assessment to the Espoo Conventio</w:t>
      </w:r>
      <w:r>
        <w:rPr>
          <w:rFonts w:ascii="Calibri" w:eastAsia="Calibri" w:hAnsi="Calibri" w:cs="Times New Roman"/>
          <w:noProof/>
          <w:sz w:val="20"/>
          <w:lang w:eastAsia="ar-SA"/>
        </w:rPr>
        <w:t>n.</w:t>
      </w:r>
    </w:p>
    <w:p w:rsidR="0017500B" w:rsidRDefault="0017500B">
      <w:pPr>
        <w:widowControl w:val="0"/>
        <w:suppressAutoHyphens/>
        <w:spacing w:after="120" w:line="240" w:lineRule="auto"/>
        <w:jc w:val="both"/>
        <w:rPr>
          <w:rFonts w:ascii="Calibri" w:eastAsia="Calibri" w:hAnsi="Calibri" w:cs="Times New Roman"/>
          <w:noProof/>
          <w:sz w:val="20"/>
          <w:lang w:eastAsia="ar-SA"/>
        </w:rPr>
      </w:pPr>
    </w:p>
    <w:p w:rsidR="0017500B" w:rsidRDefault="0017500B">
      <w:pPr>
        <w:widowControl w:val="0"/>
        <w:suppressAutoHyphens/>
        <w:spacing w:after="120" w:line="240" w:lineRule="auto"/>
        <w:jc w:val="both"/>
        <w:rPr>
          <w:rFonts w:ascii="Calibri" w:eastAsia="Calibri" w:hAnsi="Calibri" w:cs="Times New Roman"/>
          <w:noProof/>
          <w:sz w:val="20"/>
          <w:lang w:eastAsia="ar-SA"/>
        </w:rPr>
      </w:pPr>
    </w:p>
    <w:p w:rsidR="0017500B" w:rsidRDefault="0017500B">
      <w:pPr>
        <w:suppressAutoHyphens/>
        <w:spacing w:after="120" w:line="240" w:lineRule="auto"/>
        <w:jc w:val="both"/>
        <w:rPr>
          <w:rFonts w:ascii="Calibri" w:eastAsia="Calibri" w:hAnsi="Calibri" w:cs="Times New Roman"/>
          <w:noProof/>
          <w:sz w:val="20"/>
          <w:lang w:eastAsia="ar-SA"/>
        </w:rPr>
        <w:sectPr w:rsidR="0017500B">
          <w:headerReference w:type="even" r:id="rId85"/>
          <w:headerReference w:type="default" r:id="rId86"/>
          <w:footerReference w:type="even" r:id="rId87"/>
          <w:footerReference w:type="default" r:id="rId88"/>
          <w:headerReference w:type="first" r:id="rId89"/>
          <w:footerReference w:type="first" r:id="rId90"/>
          <w:type w:val="continuous"/>
          <w:pgSz w:w="11906" w:h="16838"/>
          <w:pgMar w:top="1440" w:right="1080" w:bottom="1440" w:left="1080" w:header="708" w:footer="708" w:gutter="0"/>
          <w:cols w:num="2" w:space="360"/>
          <w:docGrid w:linePitch="600" w:charSpace="40960"/>
        </w:sectPr>
      </w:pPr>
    </w:p>
    <w:p w:rsidR="0017500B" w:rsidRDefault="00390F61">
      <w:pPr>
        <w:keepLines/>
        <w:widowControl w:val="0"/>
        <w:suppressAutoHyphens/>
        <w:spacing w:line="240" w:lineRule="auto"/>
        <w:jc w:val="center"/>
        <w:outlineLvl w:val="0"/>
        <w:rPr>
          <w:rFonts w:ascii="Calibri" w:eastAsia="MS Gothic" w:hAnsi="Calibri" w:cs="Times New Roman"/>
          <w:b/>
          <w:bCs/>
          <w:noProof/>
          <w:color w:val="1F497D"/>
          <w:sz w:val="32"/>
          <w:szCs w:val="28"/>
          <w:lang w:eastAsia="ar-SA"/>
        </w:rPr>
      </w:pPr>
      <w:bookmarkStart w:id="19" w:name="_Toc469477500"/>
      <w:r>
        <w:rPr>
          <w:rFonts w:ascii="Calibri" w:eastAsia="MS Gothic" w:hAnsi="Calibri" w:cs="Times New Roman"/>
          <w:b/>
          <w:bCs/>
          <w:noProof/>
          <w:color w:val="1F497D"/>
          <w:sz w:val="32"/>
          <w:szCs w:val="28"/>
          <w:lang w:eastAsia="ar-SA"/>
        </w:rPr>
        <w:t>Part II: Enabling Framework: Implementation Tools</w:t>
      </w:r>
      <w:bookmarkEnd w:id="19"/>
    </w:p>
    <w:p w:rsidR="0017500B" w:rsidRDefault="00390F61">
      <w:pPr>
        <w:pStyle w:val="Heading1"/>
        <w:rPr>
          <w:noProof/>
        </w:rPr>
        <w:sectPr w:rsidR="0017500B">
          <w:headerReference w:type="even" r:id="rId91"/>
          <w:headerReference w:type="default" r:id="rId92"/>
          <w:footerReference w:type="even" r:id="rId93"/>
          <w:footerReference w:type="default" r:id="rId94"/>
          <w:headerReference w:type="first" r:id="rId95"/>
          <w:footerReference w:type="first" r:id="rId96"/>
          <w:type w:val="continuous"/>
          <w:pgSz w:w="11906" w:h="16838"/>
          <w:pgMar w:top="1440" w:right="1440" w:bottom="1440" w:left="1440" w:header="708" w:footer="708" w:gutter="0"/>
          <w:cols w:space="720"/>
          <w:docGrid w:linePitch="600" w:charSpace="40960"/>
        </w:sectPr>
      </w:pPr>
      <w:bookmarkStart w:id="20" w:name="_Toc469477501"/>
      <w:r>
        <w:rPr>
          <w:noProof/>
        </w:rPr>
        <w:t>Market based instruments and investment</w:t>
      </w:r>
      <w:bookmarkEnd w:id="20"/>
      <w:r>
        <w:rPr>
          <w:noProof/>
        </w:rPr>
        <w:t xml:space="preserve"> </w:t>
      </w:r>
    </w:p>
    <w:p w:rsidR="0017500B" w:rsidRDefault="00390F61">
      <w:pPr>
        <w:widowControl w:val="0"/>
        <w:suppressAutoHyphens/>
        <w:spacing w:after="120" w:line="240" w:lineRule="auto"/>
        <w:jc w:val="both"/>
        <w:outlineLvl w:val="1"/>
        <w:rPr>
          <w:rFonts w:ascii="Calibri" w:eastAsia="Calibri" w:hAnsi="Calibri" w:cs="Times New Roman"/>
          <w:b/>
          <w:noProof/>
          <w:color w:val="1F497D"/>
          <w:sz w:val="24"/>
          <w:lang w:eastAsia="ar-SA"/>
        </w:rPr>
      </w:pPr>
      <w:bookmarkStart w:id="21" w:name="_Toc469477502"/>
      <w:r>
        <w:rPr>
          <w:rFonts w:ascii="Calibri" w:eastAsia="Calibri" w:hAnsi="Calibri" w:cs="Times New Roman"/>
          <w:b/>
          <w:noProof/>
          <w:color w:val="1F497D"/>
          <w:sz w:val="24"/>
          <w:lang w:eastAsia="ar-SA"/>
        </w:rPr>
        <w:t>Green taxation and environmentally harmful subsidies</w:t>
      </w:r>
      <w:bookmarkEnd w:id="21"/>
    </w:p>
    <w:p w:rsidR="0017500B" w:rsidRDefault="00390F61">
      <w:pPr>
        <w:widowControl w:val="0"/>
        <w:shd w:val="clear" w:color="auto" w:fill="4F81BD"/>
        <w:suppressAutoHyphens/>
        <w:spacing w:after="120" w:line="240" w:lineRule="auto"/>
        <w:jc w:val="both"/>
        <w:rPr>
          <w:rFonts w:ascii="Calibri" w:eastAsia="Calibri" w:hAnsi="Calibri" w:cs="Times New Roman"/>
          <w:noProof/>
          <w:color w:val="FFFFFF"/>
          <w:sz w:val="20"/>
          <w:lang w:eastAsia="ar-SA"/>
        </w:rPr>
      </w:pPr>
      <w:r>
        <w:rPr>
          <w:rFonts w:ascii="Calibri" w:eastAsia="Calibri" w:hAnsi="Calibri" w:cs="Times New Roman"/>
          <w:noProof/>
          <w:color w:val="FFFFFF"/>
          <w:sz w:val="20"/>
          <w:lang w:eastAsia="ar-SA"/>
        </w:rPr>
        <w:t>The Circular Economy Action Plan encourages the use of financial incentives and economic instruments, such as taxation to ensure that product prices better reflec</w:t>
      </w:r>
      <w:r>
        <w:rPr>
          <w:rFonts w:ascii="Calibri" w:eastAsia="Calibri" w:hAnsi="Calibri" w:cs="Times New Roman"/>
          <w:noProof/>
          <w:color w:val="FFFFFF"/>
          <w:sz w:val="20"/>
          <w:lang w:eastAsia="ar-SA"/>
        </w:rPr>
        <w:t>t environmental costs. The phasing out of environmentally harmful subsidies is monitored in the context of the European Semester and in national reform programmes submitted by Member States.</w:t>
      </w:r>
    </w:p>
    <w:p w:rsidR="0017500B" w:rsidRDefault="00390F61">
      <w:pPr>
        <w:widowControl w:val="0"/>
        <w:suppressAutoHyphens/>
        <w:spacing w:after="120" w:line="240" w:lineRule="auto"/>
        <w:jc w:val="both"/>
        <w:rPr>
          <w:rFonts w:ascii="Calibri" w:eastAsia="Times New Roman" w:hAnsi="Calibri" w:cs="Times New Roman"/>
          <w:noProof/>
          <w:sz w:val="20"/>
          <w:lang w:eastAsia="ar-SA"/>
        </w:rPr>
      </w:pPr>
      <w:r>
        <w:rPr>
          <w:rFonts w:ascii="Calibri" w:eastAsia="Calibri" w:hAnsi="Calibri" w:cs="Times New Roman"/>
          <w:noProof/>
          <w:sz w:val="20"/>
          <w:lang w:eastAsia="ar-SA"/>
        </w:rPr>
        <w:t xml:space="preserve">Taxing pollution and resource use can generate increased revenue </w:t>
      </w:r>
      <w:r>
        <w:rPr>
          <w:rFonts w:ascii="Calibri" w:eastAsia="Calibri" w:hAnsi="Calibri" w:cs="Times New Roman"/>
          <w:noProof/>
          <w:sz w:val="20"/>
          <w:lang w:eastAsia="ar-SA"/>
        </w:rPr>
        <w:t>and brings important social and environmental benefits.</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Times New Roman" w:hAnsi="Calibri" w:cs="Times New Roman"/>
          <w:noProof/>
          <w:sz w:val="20"/>
          <w:lang w:eastAsia="ar-SA"/>
        </w:rPr>
        <w:t>Belgium's revenues from environmentally related taxes are among the lowest in the EU. Environmental taxes amounted to</w:t>
      </w:r>
      <w:r>
        <w:rPr>
          <w:rFonts w:ascii="Calibri" w:eastAsia="Calibri" w:hAnsi="Calibri" w:cs="Times New Roman"/>
          <w:noProof/>
          <w:sz w:val="20"/>
          <w:lang w:eastAsia="ar-SA"/>
        </w:rPr>
        <w:t xml:space="preserve"> 2.05% of GDP in 2014 against an EU average of 2.46% and energy taxes to 1.23% of GDP against an EU average of 1.88%.</w:t>
      </w:r>
      <w:r>
        <w:rPr>
          <w:rFonts w:ascii="Calibri" w:eastAsia="Calibri" w:hAnsi="Calibri" w:cs="Times New Roman"/>
          <w:noProof/>
          <w:sz w:val="20"/>
          <w:vertAlign w:val="superscript"/>
          <w:lang w:eastAsia="ar-SA"/>
        </w:rPr>
        <w:footnoteReference w:id="156"/>
      </w:r>
      <w:r>
        <w:rPr>
          <w:rFonts w:ascii="Calibri" w:eastAsia="Calibri" w:hAnsi="Calibri" w:cs="Times New Roman"/>
          <w:noProof/>
          <w:sz w:val="20"/>
          <w:lang w:eastAsia="ar-SA"/>
        </w:rPr>
        <w:t xml:space="preserve"> In the same year environmental tax revenues accounted for 4.53% of total revenues from taxes and social-security contributions (EU 28 ave</w:t>
      </w:r>
      <w:r>
        <w:rPr>
          <w:rFonts w:ascii="Calibri" w:eastAsia="Calibri" w:hAnsi="Calibri" w:cs="Times New Roman"/>
          <w:noProof/>
          <w:sz w:val="20"/>
          <w:lang w:eastAsia="ar-SA"/>
        </w:rPr>
        <w:t>rage: 6.35%) as shown in Figure 11.</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Times New Roman" w:hAnsi="Calibri" w:cs="Times New Roman"/>
          <w:noProof/>
          <w:sz w:val="20"/>
          <w:lang w:eastAsia="ar-SA"/>
        </w:rPr>
        <w:t>A 2016 study suggests that there is considerable potential for shifting taxes from labour to environmental taxes</w:t>
      </w:r>
      <w:r>
        <w:rPr>
          <w:rFonts w:ascii="Calibri" w:eastAsia="Times New Roman" w:hAnsi="Calibri" w:cs="Times New Roman"/>
          <w:noProof/>
          <w:sz w:val="20"/>
          <w:vertAlign w:val="superscript"/>
          <w:lang w:eastAsia="ar-SA"/>
        </w:rPr>
        <w:footnoteReference w:id="157"/>
      </w:r>
      <w:r>
        <w:rPr>
          <w:rFonts w:ascii="Calibri" w:eastAsia="Times New Roman" w:hAnsi="Calibri" w:cs="Times New Roman"/>
          <w:noProof/>
          <w:sz w:val="20"/>
          <w:lang w:eastAsia="ar-SA"/>
        </w:rPr>
        <w:t>. Under a good practice scenario</w:t>
      </w:r>
      <w:r>
        <w:rPr>
          <w:rFonts w:ascii="Calibri" w:eastAsia="Times New Roman" w:hAnsi="Calibri" w:cs="Times New Roman"/>
          <w:noProof/>
          <w:sz w:val="20"/>
          <w:vertAlign w:val="superscript"/>
          <w:lang w:eastAsia="ar-SA"/>
        </w:rPr>
        <w:footnoteReference w:id="158"/>
      </w:r>
      <w:r>
        <w:rPr>
          <w:rFonts w:ascii="Calibri" w:eastAsia="Times New Roman" w:hAnsi="Calibri" w:cs="Times New Roman"/>
          <w:noProof/>
          <w:sz w:val="20"/>
          <w:lang w:eastAsia="ar-SA"/>
        </w:rPr>
        <w:t xml:space="preserve"> these could generate an additional EUR 3.45 billion by 2018, rising to EU</w:t>
      </w:r>
      <w:r>
        <w:rPr>
          <w:rFonts w:ascii="Calibri" w:eastAsia="Times New Roman" w:hAnsi="Calibri" w:cs="Times New Roman"/>
          <w:noProof/>
          <w:sz w:val="20"/>
          <w:lang w:eastAsia="ar-SA"/>
        </w:rPr>
        <w:t>R 6.96 billion by 2030 (both in real 2015 terms). This is equivalent to an increase by 0.8% and 1.35% of GDP in 2018 and 2030, respectively. The largest potential  source of revenue would come from increases in vehicle taxation. The suggested increase of v</w:t>
      </w:r>
      <w:r>
        <w:rPr>
          <w:rFonts w:ascii="Calibri" w:eastAsia="Times New Roman" w:hAnsi="Calibri" w:cs="Times New Roman"/>
          <w:noProof/>
          <w:sz w:val="20"/>
          <w:lang w:eastAsia="ar-SA"/>
        </w:rPr>
        <w:t>ehicle taxation could account for EUR 3.25 billion of additional revenue by 2030 (real 2015 terms), equivalent to 0.63% of GDP. The next largest contribution could come from proposed amendments to the taxes on transport fuels. This could account for EUR 1.</w:t>
      </w:r>
      <w:r>
        <w:rPr>
          <w:rFonts w:ascii="Calibri" w:eastAsia="Times New Roman" w:hAnsi="Calibri" w:cs="Times New Roman"/>
          <w:noProof/>
          <w:sz w:val="20"/>
          <w:lang w:eastAsia="ar-SA"/>
        </w:rPr>
        <w:t>36 billion of additional revenue in 2030 (real 2015 terms), equivalent to 0.27% of GDP. In 2015 the Flemish government conducted a study showing a so called ‘double dividend’ as a result of</w:t>
      </w:r>
      <w:r>
        <w:rPr>
          <w:rFonts w:ascii="Calibri" w:eastAsia="Calibri" w:hAnsi="Calibri" w:cs="Times New Roman"/>
          <w:noProof/>
          <w:sz w:val="20"/>
          <w:lang w:val="en-US" w:eastAsia="ar-SA"/>
        </w:rPr>
        <w:t xml:space="preserve"> greening of taxes and shifting the tax burden away from labour: en</w:t>
      </w:r>
      <w:r>
        <w:rPr>
          <w:rFonts w:ascii="Calibri" w:eastAsia="Calibri" w:hAnsi="Calibri" w:cs="Times New Roman"/>
          <w:noProof/>
          <w:sz w:val="20"/>
          <w:lang w:val="en-US" w:eastAsia="ar-SA"/>
        </w:rPr>
        <w:t>vironmental gains were made in combination with economic gains</w:t>
      </w:r>
      <w:r>
        <w:rPr>
          <w:rFonts w:ascii="Calibri" w:eastAsia="Calibri" w:hAnsi="Calibri" w:cs="Times New Roman"/>
          <w:noProof/>
          <w:vertAlign w:val="superscript"/>
          <w:lang w:val="en-US" w:eastAsia="ar-SA"/>
        </w:rPr>
        <w:footnoteReference w:id="159"/>
      </w:r>
      <w:r>
        <w:rPr>
          <w:rFonts w:ascii="Calibri" w:eastAsia="Calibri" w:hAnsi="Calibri" w:cs="Times New Roman"/>
          <w:noProof/>
          <w:sz w:val="20"/>
          <w:lang w:val="en-US" w:eastAsia="ar-SA"/>
        </w:rPr>
        <w:t>.</w:t>
      </w:r>
    </w:p>
    <w:p w:rsidR="0017500B" w:rsidRDefault="00390F61">
      <w:pPr>
        <w:widowControl w:val="0"/>
        <w:suppressAutoHyphens/>
        <w:spacing w:after="120" w:line="240" w:lineRule="auto"/>
        <w:jc w:val="both"/>
        <w:rPr>
          <w:rFonts w:ascii="Calibri" w:eastAsia="Calibri" w:hAnsi="Calibri" w:cs="Times New Roman"/>
          <w:b/>
          <w:noProof/>
          <w:color w:val="1F497D"/>
          <w:sz w:val="20"/>
          <w:lang w:eastAsia="ar-SA"/>
        </w:rPr>
      </w:pPr>
      <w:r>
        <w:rPr>
          <w:rFonts w:ascii="Calibri" w:eastAsia="Calibri" w:hAnsi="Calibri" w:cs="Times New Roman"/>
          <w:noProof/>
          <w:sz w:val="20"/>
          <w:lang w:val="en-US" w:eastAsia="ar-SA"/>
        </w:rPr>
        <w:t>The Brussels-Capital Region took some measures to adapt its fiscal policy as a tool for regional sustainable development of circular economy (e.g. fund to promote business model of circular e</w:t>
      </w:r>
      <w:r>
        <w:rPr>
          <w:rFonts w:ascii="Calibri" w:eastAsia="Calibri" w:hAnsi="Calibri" w:cs="Times New Roman"/>
          <w:noProof/>
          <w:sz w:val="20"/>
          <w:lang w:val="en-US" w:eastAsia="ar-SA"/>
        </w:rPr>
        <w:t xml:space="preserve">conomy for enterprises target). It plans to move further in that direction. </w:t>
      </w:r>
    </w:p>
    <w:tbl>
      <w:tblPr>
        <w:tblW w:w="0" w:type="auto"/>
        <w:tblLayout w:type="fixed"/>
        <w:tblLook w:val="0000" w:firstRow="0" w:lastRow="0" w:firstColumn="0" w:lastColumn="0" w:noHBand="0" w:noVBand="0"/>
      </w:tblPr>
      <w:tblGrid>
        <w:gridCol w:w="4909"/>
      </w:tblGrid>
      <w:tr w:rsidR="0017500B">
        <w:tc>
          <w:tcPr>
            <w:tcW w:w="4909" w:type="dxa"/>
            <w:shd w:val="clear" w:color="auto" w:fill="auto"/>
          </w:tcPr>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b/>
                <w:noProof/>
                <w:color w:val="1F497D"/>
                <w:sz w:val="20"/>
                <w:lang w:eastAsia="ar-SA"/>
              </w:rPr>
              <w:t>Figure 11: Environmental tax revenues percentage of total revenues from taxes and social contributions (excluding imputed social contributions) in 2014</w:t>
            </w:r>
            <w:r>
              <w:rPr>
                <w:rFonts w:ascii="Calibri" w:eastAsia="Calibri" w:hAnsi="Calibri" w:cs="Times New Roman"/>
                <w:b/>
                <w:noProof/>
                <w:color w:val="1F497D"/>
                <w:vertAlign w:val="superscript"/>
                <w:lang w:eastAsia="ar-SA"/>
              </w:rPr>
              <w:footnoteReference w:id="160"/>
            </w:r>
          </w:p>
        </w:tc>
      </w:tr>
      <w:tr w:rsidR="0017500B">
        <w:tc>
          <w:tcPr>
            <w:tcW w:w="4909" w:type="dxa"/>
            <w:shd w:val="clear" w:color="auto" w:fill="auto"/>
          </w:tcPr>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en-GB"/>
              </w:rPr>
              <w:drawing>
                <wp:inline distT="0" distB="0" distL="0" distR="0" wp14:anchorId="6975C4EB" wp14:editId="66106341">
                  <wp:extent cx="3092824" cy="4533280"/>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91894" cy="4531916"/>
                          </a:xfrm>
                          <a:prstGeom prst="rect">
                            <a:avLst/>
                          </a:prstGeom>
                          <a:noFill/>
                        </pic:spPr>
                      </pic:pic>
                    </a:graphicData>
                  </a:graphic>
                </wp:inline>
              </w:drawing>
            </w:r>
          </w:p>
        </w:tc>
      </w:tr>
    </w:tbl>
    <w:p w:rsidR="0017500B" w:rsidRDefault="00390F61">
      <w:pPr>
        <w:widowControl w:val="0"/>
        <w:suppressAutoHyphens/>
        <w:spacing w:before="120" w:after="120" w:line="240" w:lineRule="auto"/>
        <w:jc w:val="both"/>
        <w:rPr>
          <w:rFonts w:ascii="Calibri" w:eastAsia="Calibri" w:hAnsi="Calibri" w:cs="Times New Roman"/>
          <w:noProof/>
          <w:sz w:val="20"/>
          <w:szCs w:val="24"/>
          <w:lang w:eastAsia="ar-SA"/>
        </w:rPr>
      </w:pPr>
      <w:r>
        <w:rPr>
          <w:rFonts w:ascii="Calibri" w:eastAsia="Calibri" w:hAnsi="Calibri" w:cs="Times New Roman"/>
          <w:noProof/>
          <w:sz w:val="20"/>
          <w:szCs w:val="24"/>
          <w:lang w:eastAsia="ar-SA"/>
        </w:rPr>
        <w:t>Shifting taxation away</w:t>
      </w:r>
      <w:r>
        <w:rPr>
          <w:rFonts w:ascii="Calibri" w:eastAsia="Calibri" w:hAnsi="Calibri" w:cs="Times New Roman"/>
          <w:noProof/>
          <w:sz w:val="20"/>
          <w:szCs w:val="24"/>
          <w:lang w:eastAsia="ar-SA"/>
        </w:rPr>
        <w:t xml:space="preserve"> from labour towards taxes less harmful to growth remains a key challenge in Belgium, and has been recommended as a country specific recommendation (CSR) in 2012, 2013, 2014 and 2015 in the context of the European Semester. The tax-shift enacted by Belgium</w:t>
      </w:r>
      <w:r>
        <w:rPr>
          <w:rFonts w:ascii="Calibri" w:eastAsia="Calibri" w:hAnsi="Calibri" w:cs="Times New Roman"/>
          <w:noProof/>
          <w:sz w:val="20"/>
          <w:szCs w:val="24"/>
          <w:lang w:eastAsia="ar-SA"/>
        </w:rPr>
        <w:t xml:space="preserve"> in 2015 has only partially exploited the opportunities for environmental tax reform and removal of environmentally-harmful subsidies (EHS).</w:t>
      </w:r>
      <w:r>
        <w:rPr>
          <w:rFonts w:ascii="Calibri" w:eastAsia="Calibri" w:hAnsi="Calibri" w:cs="Times New Roman"/>
          <w:b/>
          <w:noProof/>
          <w:sz w:val="20"/>
          <w:szCs w:val="24"/>
          <w:lang w:eastAsia="ar-SA"/>
        </w:rPr>
        <w:t xml:space="preserve">  </w:t>
      </w:r>
      <w:r>
        <w:rPr>
          <w:rFonts w:ascii="Calibri" w:eastAsia="Calibri" w:hAnsi="Calibri" w:cs="Times New Roman"/>
          <w:noProof/>
          <w:sz w:val="20"/>
          <w:szCs w:val="24"/>
          <w:lang w:eastAsia="ar-SA"/>
        </w:rPr>
        <w:t>The most important positive changes have been the introduction of a kilometre-charge for lorries in all Belgian re</w:t>
      </w:r>
      <w:r>
        <w:rPr>
          <w:rFonts w:ascii="Calibri" w:eastAsia="Calibri" w:hAnsi="Calibri" w:cs="Times New Roman"/>
          <w:noProof/>
          <w:sz w:val="20"/>
          <w:szCs w:val="24"/>
          <w:lang w:eastAsia="ar-SA"/>
        </w:rPr>
        <w:t>gions and changes to vehicle circulation and road taxes in Flanders.</w:t>
      </w:r>
      <w:r>
        <w:rPr>
          <w:rFonts w:ascii="Calibri" w:eastAsia="Calibri" w:hAnsi="Calibri" w:cs="Times New Roman"/>
          <w:b/>
          <w:noProof/>
          <w:sz w:val="20"/>
          <w:szCs w:val="24"/>
          <w:lang w:eastAsia="ar-SA"/>
        </w:rPr>
        <w:t xml:space="preserve">  </w:t>
      </w:r>
      <w:r>
        <w:rPr>
          <w:rFonts w:ascii="Calibri" w:eastAsia="Calibri" w:hAnsi="Calibri" w:cs="Times New Roman"/>
          <w:noProof/>
          <w:sz w:val="20"/>
          <w:szCs w:val="24"/>
          <w:lang w:eastAsia="ar-SA"/>
        </w:rPr>
        <w:t>All three regions have measures in place or planned to dissuade the purchase of the most polluting cars. Flanders has ordered a study to examine the possibility of introducing a kilometr</w:t>
      </w:r>
      <w:r>
        <w:rPr>
          <w:rFonts w:ascii="Calibri" w:eastAsia="Calibri" w:hAnsi="Calibri" w:cs="Times New Roman"/>
          <w:noProof/>
          <w:sz w:val="20"/>
          <w:szCs w:val="24"/>
          <w:lang w:eastAsia="ar-SA"/>
        </w:rPr>
        <w:t>e-charge for passenger cars.</w:t>
      </w:r>
    </w:p>
    <w:p w:rsidR="0017500B" w:rsidRDefault="00390F61">
      <w:pPr>
        <w:widowControl w:val="0"/>
        <w:suppressAutoHyphens/>
        <w:spacing w:before="120" w:after="120" w:line="240" w:lineRule="auto"/>
        <w:jc w:val="both"/>
        <w:rPr>
          <w:rFonts w:ascii="Calibri" w:eastAsia="Calibri" w:hAnsi="Calibri" w:cs="Times New Roman"/>
          <w:noProof/>
          <w:sz w:val="20"/>
          <w:szCs w:val="24"/>
          <w:lang w:eastAsia="ar-SA"/>
        </w:rPr>
      </w:pPr>
      <w:r>
        <w:rPr>
          <w:rFonts w:ascii="Calibri" w:eastAsia="Calibri" w:hAnsi="Calibri" w:cs="Times New Roman"/>
          <w:noProof/>
          <w:sz w:val="20"/>
          <w:szCs w:val="24"/>
          <w:lang w:eastAsia="ar-SA"/>
        </w:rPr>
        <w:t>Two EHS stand out as being substantial in terms of their level and significance in their environmental impacts. They are the "diesel differential" (difference in the price of diesel versus petrol) and subsidies through the inco</w:t>
      </w:r>
      <w:r>
        <w:rPr>
          <w:rFonts w:ascii="Calibri" w:eastAsia="Calibri" w:hAnsi="Calibri" w:cs="Times New Roman"/>
          <w:noProof/>
          <w:sz w:val="20"/>
          <w:szCs w:val="24"/>
          <w:lang w:eastAsia="ar-SA"/>
        </w:rPr>
        <w:t>me or corporation tax treatment of company cars. The diesel differential in Belgium is around 70% (as a benchmark the UK has a figure of 100% meaning the same level of taxation for petrol and diesel cars, i.e. no diesel differential)</w:t>
      </w:r>
      <w:r>
        <w:rPr>
          <w:rFonts w:ascii="Calibri" w:eastAsia="Calibri" w:hAnsi="Calibri" w:cs="Times New Roman"/>
          <w:noProof/>
          <w:szCs w:val="24"/>
          <w:vertAlign w:val="superscript"/>
          <w:lang w:eastAsia="ar-SA"/>
        </w:rPr>
        <w:footnoteReference w:id="161"/>
      </w:r>
      <w:r>
        <w:rPr>
          <w:rFonts w:ascii="Calibri" w:eastAsia="Calibri" w:hAnsi="Calibri" w:cs="Times New Roman"/>
          <w:noProof/>
          <w:sz w:val="20"/>
          <w:szCs w:val="24"/>
          <w:lang w:eastAsia="ar-SA"/>
        </w:rPr>
        <w:t>. Excise duty on diese</w:t>
      </w:r>
      <w:r>
        <w:rPr>
          <w:rFonts w:ascii="Calibri" w:eastAsia="Calibri" w:hAnsi="Calibri" w:cs="Times New Roman"/>
          <w:noProof/>
          <w:sz w:val="20"/>
          <w:szCs w:val="24"/>
          <w:lang w:eastAsia="ar-SA"/>
        </w:rPr>
        <w:t>l was increased from November 2015</w:t>
      </w:r>
      <w:r>
        <w:rPr>
          <w:rFonts w:ascii="Calibri" w:eastAsia="Calibri" w:hAnsi="Calibri" w:cs="Times New Roman"/>
          <w:noProof/>
          <w:szCs w:val="24"/>
          <w:vertAlign w:val="superscript"/>
          <w:lang w:eastAsia="ar-SA"/>
        </w:rPr>
        <w:footnoteReference w:id="162"/>
      </w:r>
      <w:r>
        <w:rPr>
          <w:rFonts w:ascii="Calibri" w:eastAsia="Calibri" w:hAnsi="Calibri" w:cs="Times New Roman"/>
          <w:noProof/>
          <w:sz w:val="20"/>
          <w:szCs w:val="24"/>
          <w:lang w:eastAsia="ar-SA"/>
        </w:rPr>
        <w:t>. The intention of the government is to increase excises on diesel and reduce those on petrol between 2016 and 2018 achieving parity</w:t>
      </w:r>
      <w:r>
        <w:rPr>
          <w:rFonts w:ascii="Calibri" w:eastAsia="Calibri" w:hAnsi="Calibri" w:cs="Times New Roman"/>
          <w:noProof/>
          <w:sz w:val="20"/>
          <w:szCs w:val="24"/>
          <w:vertAlign w:val="superscript"/>
          <w:lang w:eastAsia="ar-SA"/>
        </w:rPr>
        <w:footnoteReference w:id="163"/>
      </w:r>
      <w:r>
        <w:rPr>
          <w:rFonts w:ascii="Calibri" w:eastAsia="Calibri" w:hAnsi="Calibri" w:cs="Times New Roman"/>
          <w:noProof/>
          <w:sz w:val="20"/>
          <w:szCs w:val="24"/>
          <w:lang w:eastAsia="ar-SA"/>
        </w:rPr>
        <w:t>.</w:t>
      </w:r>
    </w:p>
    <w:p w:rsidR="0017500B" w:rsidRDefault="00390F61">
      <w:pPr>
        <w:widowControl w:val="0"/>
        <w:suppressAutoHyphens/>
        <w:autoSpaceDE w:val="0"/>
        <w:spacing w:after="0" w:line="240" w:lineRule="auto"/>
        <w:jc w:val="both"/>
        <w:rPr>
          <w:rFonts w:ascii="Calibri" w:eastAsia="Calibri" w:hAnsi="Calibri" w:cs="Times New Roman"/>
          <w:noProof/>
          <w:sz w:val="20"/>
          <w:szCs w:val="24"/>
          <w:lang w:eastAsia="ar-SA"/>
        </w:rPr>
      </w:pPr>
      <w:r>
        <w:rPr>
          <w:rFonts w:ascii="Calibri" w:eastAsia="Calibri" w:hAnsi="Calibri" w:cs="Times New Roman"/>
          <w:noProof/>
          <w:sz w:val="20"/>
          <w:szCs w:val="24"/>
          <w:lang w:eastAsia="ar-SA"/>
        </w:rPr>
        <w:t>Despite past measures to further align the tax base for company cars to CO2 emissions,</w:t>
      </w:r>
      <w:r>
        <w:rPr>
          <w:rFonts w:ascii="Calibri" w:eastAsia="Calibri" w:hAnsi="Calibri" w:cs="Times New Roman"/>
          <w:noProof/>
          <w:sz w:val="20"/>
          <w:szCs w:val="24"/>
          <w:lang w:eastAsia="ar-SA"/>
        </w:rPr>
        <w:t xml:space="preserve"> the private use of these vehicles continues to be heavily subsidized. Based on country tax systems and different benchmark estimates, the favourable tax treatment represents almost EUR 3.75 billion in terms of revenue foregone. Of all OECD countries the t</w:t>
      </w:r>
      <w:r>
        <w:rPr>
          <w:rFonts w:ascii="Calibri" w:eastAsia="Calibri" w:hAnsi="Calibri" w:cs="Times New Roman"/>
          <w:noProof/>
          <w:sz w:val="20"/>
          <w:szCs w:val="24"/>
          <w:lang w:eastAsia="ar-SA"/>
        </w:rPr>
        <w:t>otal annual subsidy per car is highest in Belgium, at EUR 2,763 per year per car</w:t>
      </w:r>
      <w:r>
        <w:rPr>
          <w:rFonts w:ascii="Calibri" w:eastAsia="Calibri" w:hAnsi="Calibri" w:cs="Times New Roman"/>
          <w:noProof/>
          <w:sz w:val="20"/>
          <w:szCs w:val="24"/>
          <w:vertAlign w:val="superscript"/>
          <w:lang w:eastAsia="ar-SA"/>
        </w:rPr>
        <w:footnoteReference w:id="164"/>
      </w:r>
      <w:r>
        <w:rPr>
          <w:rFonts w:ascii="Calibri" w:eastAsia="Calibri" w:hAnsi="Calibri" w:cs="Times New Roman"/>
          <w:noProof/>
          <w:sz w:val="20"/>
          <w:szCs w:val="24"/>
          <w:lang w:eastAsia="ar-SA"/>
        </w:rPr>
        <w:t>. The OECD has picked up on this weakness in its November 2015 economic forecast for Belgium</w:t>
      </w:r>
      <w:r>
        <w:rPr>
          <w:rFonts w:ascii="Calibri" w:eastAsia="Calibri" w:hAnsi="Calibri" w:cs="Times New Roman"/>
          <w:noProof/>
          <w:sz w:val="20"/>
          <w:szCs w:val="24"/>
          <w:vertAlign w:val="superscript"/>
          <w:lang w:eastAsia="ar-SA"/>
        </w:rPr>
        <w:footnoteReference w:id="165"/>
      </w:r>
      <w:r>
        <w:rPr>
          <w:rFonts w:ascii="Calibri" w:eastAsia="Calibri" w:hAnsi="Calibri" w:cs="Times New Roman"/>
          <w:noProof/>
          <w:sz w:val="20"/>
          <w:szCs w:val="24"/>
          <w:lang w:eastAsia="ar-SA"/>
        </w:rPr>
        <w:t xml:space="preserve"> as impeding further progress to tackle congestion, air pollution and greenhouse g</w:t>
      </w:r>
      <w:r>
        <w:rPr>
          <w:rFonts w:ascii="Calibri" w:eastAsia="Calibri" w:hAnsi="Calibri" w:cs="Times New Roman"/>
          <w:noProof/>
          <w:sz w:val="20"/>
          <w:szCs w:val="24"/>
          <w:lang w:eastAsia="ar-SA"/>
        </w:rPr>
        <w:t>as emissions. A recent report indicates that in Belgium company cars are driven an extra 6,000 km a year and that the loss of welfare is EUR 905 million, representing 0.23% of GNP</w:t>
      </w:r>
      <w:r>
        <w:rPr>
          <w:rFonts w:ascii="Calibri" w:eastAsia="Calibri" w:hAnsi="Calibri" w:cs="Times New Roman"/>
          <w:noProof/>
          <w:szCs w:val="24"/>
          <w:vertAlign w:val="superscript"/>
          <w:lang w:eastAsia="ar-SA"/>
        </w:rPr>
        <w:footnoteReference w:id="166"/>
      </w:r>
      <w:r>
        <w:rPr>
          <w:rFonts w:ascii="Calibri" w:eastAsia="Calibri" w:hAnsi="Calibri" w:cs="Times New Roman"/>
          <w:noProof/>
          <w:sz w:val="20"/>
          <w:szCs w:val="24"/>
          <w:lang w:eastAsia="ar-SA"/>
        </w:rPr>
        <w:t>. Recently, the Federal Government has decided on a number of changes to the</w:t>
      </w:r>
      <w:r>
        <w:rPr>
          <w:rFonts w:ascii="Calibri" w:eastAsia="Calibri" w:hAnsi="Calibri" w:cs="Times New Roman"/>
          <w:noProof/>
          <w:sz w:val="20"/>
          <w:szCs w:val="24"/>
          <w:lang w:eastAsia="ar-SA"/>
        </w:rPr>
        <w:t xml:space="preserve"> company car system, which should enter into force by April 2017. The new framework will allow employees whose pay package includes a company car to opt (after agreement of their employer) for a mobility budget or an additional net pay instead.  The enviro</w:t>
      </w:r>
      <w:r>
        <w:rPr>
          <w:rFonts w:ascii="Calibri" w:eastAsia="Calibri" w:hAnsi="Calibri" w:cs="Times New Roman"/>
          <w:noProof/>
          <w:sz w:val="20"/>
          <w:szCs w:val="24"/>
          <w:lang w:eastAsia="ar-SA"/>
        </w:rPr>
        <w:t>nmental gains are also uncertain, but the government has expressed the will to see a substantial reduction in the number of salary cars.</w:t>
      </w:r>
      <w:r>
        <w:rPr>
          <w:rFonts w:ascii="Times New Roman" w:hAnsi="Times New Roman"/>
          <w:noProof/>
          <w:sz w:val="20"/>
        </w:rPr>
        <w:t xml:space="preserve">  </w:t>
      </w:r>
      <w:r>
        <w:rPr>
          <w:rFonts w:ascii="Calibri" w:eastAsia="Calibri" w:hAnsi="Calibri" w:cs="Times New Roman"/>
          <w:noProof/>
          <w:sz w:val="20"/>
          <w:szCs w:val="24"/>
          <w:lang w:eastAsia="ar-SA"/>
        </w:rPr>
        <w:t>Related to this, the government has also decided for less favourable tax deductions for employers of tank cards (up to</w:t>
      </w:r>
      <w:r>
        <w:rPr>
          <w:rFonts w:ascii="Calibri" w:eastAsia="Calibri" w:hAnsi="Calibri" w:cs="Times New Roman"/>
          <w:noProof/>
          <w:sz w:val="20"/>
          <w:szCs w:val="24"/>
          <w:lang w:eastAsia="ar-SA"/>
        </w:rPr>
        <w:t xml:space="preserve"> 250 euros per card).</w:t>
      </w:r>
    </w:p>
    <w:p w:rsidR="0017500B" w:rsidRDefault="00390F61">
      <w:pPr>
        <w:widowControl w:val="0"/>
        <w:suppressAutoHyphens/>
        <w:autoSpaceDE w:val="0"/>
        <w:spacing w:after="0" w:line="240" w:lineRule="auto"/>
        <w:jc w:val="both"/>
        <w:rPr>
          <w:rFonts w:ascii="Calibri" w:eastAsia="Calibri" w:hAnsi="Calibri" w:cs="Times New Roman"/>
          <w:noProof/>
          <w:sz w:val="20"/>
          <w:lang w:eastAsia="ar-SA"/>
        </w:rPr>
      </w:pPr>
      <w:r>
        <w:rPr>
          <w:rFonts w:ascii="Calibri" w:eastAsia="Calibri" w:hAnsi="Calibri" w:cs="Times New Roman"/>
          <w:noProof/>
          <w:sz w:val="20"/>
          <w:szCs w:val="24"/>
          <w:lang w:eastAsia="ar-SA"/>
        </w:rPr>
        <w:t xml:space="preserve">In March 2016, the Federal Minister for Energy, the Environment and Sustainable development announced the launch of a national debate on the role carbon taxation can play in promoting emission reductions </w:t>
      </w:r>
      <w:r>
        <w:rPr>
          <w:rFonts w:ascii="Calibri" w:eastAsia="Calibri" w:hAnsi="Calibri" w:cs="Times New Roman"/>
          <w:noProof/>
          <w:sz w:val="20"/>
          <w:lang w:eastAsia="ar-SA"/>
        </w:rPr>
        <w:t>and redirecting financial flow</w:t>
      </w:r>
      <w:r>
        <w:rPr>
          <w:rFonts w:ascii="Calibri" w:eastAsia="Calibri" w:hAnsi="Calibri" w:cs="Times New Roman"/>
          <w:noProof/>
          <w:sz w:val="20"/>
          <w:lang w:eastAsia="ar-SA"/>
        </w:rPr>
        <w:t>s towards a low-carbon climate-resilient society</w:t>
      </w:r>
      <w:r>
        <w:rPr>
          <w:rFonts w:ascii="Calibri" w:eastAsia="Calibri" w:hAnsi="Calibri" w:cs="Times New Roman"/>
          <w:noProof/>
          <w:sz w:val="20"/>
          <w:szCs w:val="24"/>
          <w:lang w:eastAsia="ar-SA"/>
        </w:rPr>
        <w:t xml:space="preserve">, </w:t>
      </w:r>
      <w:r>
        <w:rPr>
          <w:rFonts w:ascii="Calibri" w:eastAsia="Calibri" w:hAnsi="Calibri" w:cs="Times New Roman"/>
          <w:noProof/>
          <w:sz w:val="20"/>
          <w:lang w:eastAsia="ar-SA"/>
        </w:rPr>
        <w:t>as well as on the flanking measures that could be implemented to accompany a carbon tax. This initiative should run through 2016 and 2017 and aims at delivering concrete policy recommendations.</w:t>
      </w:r>
    </w:p>
    <w:p w:rsidR="0017500B" w:rsidRDefault="00390F61">
      <w:pPr>
        <w:widowControl w:val="0"/>
        <w:suppressAutoHyphens/>
        <w:spacing w:before="360" w:after="120" w:line="240" w:lineRule="auto"/>
        <w:jc w:val="both"/>
        <w:outlineLvl w:val="1"/>
        <w:rPr>
          <w:rFonts w:ascii="Calibri" w:eastAsia="Calibri" w:hAnsi="Calibri" w:cs="Times New Roman"/>
          <w:b/>
          <w:noProof/>
          <w:color w:val="1F497D"/>
          <w:sz w:val="24"/>
          <w:lang w:eastAsia="ar-SA"/>
        </w:rPr>
      </w:pPr>
      <w:bookmarkStart w:id="22" w:name="_Toc469477503"/>
      <w:r>
        <w:rPr>
          <w:rFonts w:ascii="Calibri" w:eastAsia="Calibri" w:hAnsi="Calibri" w:cs="Times New Roman"/>
          <w:b/>
          <w:noProof/>
          <w:color w:val="1F497D"/>
          <w:sz w:val="24"/>
          <w:lang w:eastAsia="ar-SA"/>
        </w:rPr>
        <w:t>Green Public</w:t>
      </w:r>
      <w:r>
        <w:rPr>
          <w:rFonts w:ascii="Calibri" w:eastAsia="Calibri" w:hAnsi="Calibri" w:cs="Times New Roman"/>
          <w:b/>
          <w:noProof/>
          <w:color w:val="1F497D"/>
          <w:sz w:val="24"/>
          <w:lang w:eastAsia="ar-SA"/>
        </w:rPr>
        <w:t xml:space="preserve"> Procurement</w:t>
      </w:r>
      <w:bookmarkEnd w:id="22"/>
      <w:r>
        <w:rPr>
          <w:rFonts w:ascii="Calibri" w:eastAsia="Calibri" w:hAnsi="Calibri" w:cs="Times New Roman"/>
          <w:b/>
          <w:noProof/>
          <w:color w:val="1F497D"/>
          <w:sz w:val="24"/>
          <w:lang w:eastAsia="ar-SA"/>
        </w:rPr>
        <w:t xml:space="preserve"> </w:t>
      </w:r>
    </w:p>
    <w:p w:rsidR="0017500B" w:rsidRDefault="00390F61">
      <w:pPr>
        <w:widowControl w:val="0"/>
        <w:shd w:val="clear" w:color="auto" w:fill="4F81BD" w:themeFill="accent1"/>
        <w:spacing w:before="240" w:after="120" w:line="240" w:lineRule="auto"/>
        <w:contextualSpacing/>
        <w:jc w:val="both"/>
        <w:rPr>
          <w:rFonts w:cs="Times New Roman"/>
          <w:noProof/>
          <w:color w:val="FFFFFF" w:themeColor="background1"/>
          <w:sz w:val="20"/>
        </w:rPr>
      </w:pPr>
      <w:r>
        <w:rPr>
          <w:rFonts w:cs="Times New Roman"/>
          <w:noProof/>
          <w:color w:val="FFFFFF" w:themeColor="background1"/>
          <w:sz w:val="20"/>
        </w:rPr>
        <w:t>The EU green public procurement policies encourage Member States to take further steps to reach the target of applying green procurement criteria to at least 50% of public tenders.</w:t>
      </w:r>
    </w:p>
    <w:p w:rsidR="0017500B" w:rsidRDefault="00390F61">
      <w:pPr>
        <w:widowControl w:val="0"/>
        <w:spacing w:after="120" w:line="240" w:lineRule="auto"/>
        <w:jc w:val="both"/>
        <w:rPr>
          <w:rFonts w:cs="Times New Roman"/>
          <w:noProof/>
          <w:sz w:val="20"/>
        </w:rPr>
      </w:pPr>
      <w:r>
        <w:rPr>
          <w:rFonts w:cs="Times New Roman"/>
          <w:noProof/>
          <w:sz w:val="20"/>
        </w:rPr>
        <w:t xml:space="preserve">Green Public Procurement (GPP) is a process whereby public authorities seek to procure goods, services and works with a reduced environmental impact throughout their life-cycle when compared to goods, services and works with the same primary function that </w:t>
      </w:r>
      <w:r>
        <w:rPr>
          <w:rFonts w:cs="Times New Roman"/>
          <w:noProof/>
          <w:sz w:val="20"/>
        </w:rPr>
        <w:t xml:space="preserve">would otherwise be procured. </w:t>
      </w:r>
    </w:p>
    <w:p w:rsidR="0017500B" w:rsidRDefault="00390F61">
      <w:pPr>
        <w:widowControl w:val="0"/>
        <w:spacing w:after="120" w:line="240" w:lineRule="auto"/>
        <w:jc w:val="both"/>
        <w:rPr>
          <w:rFonts w:cs="Times New Roman"/>
          <w:noProof/>
          <w:sz w:val="20"/>
        </w:rPr>
      </w:pPr>
      <w:r>
        <w:rPr>
          <w:rFonts w:cs="Times New Roman"/>
          <w:noProof/>
          <w:sz w:val="20"/>
        </w:rPr>
        <w:t>The purchasing power of public procurement equals to about EUR 1.8 trillion in the EU (approximately 14% of GDP). A substantial part of this money is spent on sectors with high environmental impact such as construction or tran</w:t>
      </w:r>
      <w:r>
        <w:rPr>
          <w:rFonts w:cs="Times New Roman"/>
          <w:noProof/>
          <w:sz w:val="20"/>
        </w:rPr>
        <w:t>sport, so GPP can help to significantly lower the impact of public spending and foster sustainable innovative businesses. The Commission has proposed EU GPP criteria</w:t>
      </w:r>
      <w:r>
        <w:rPr>
          <w:rFonts w:cs="Times New Roman"/>
          <w:noProof/>
          <w:sz w:val="20"/>
          <w:vertAlign w:val="superscript"/>
        </w:rPr>
        <w:footnoteReference w:id="167"/>
      </w:r>
      <w:r>
        <w:rPr>
          <w:rFonts w:cs="Times New Roman"/>
          <w:noProof/>
          <w:sz w:val="20"/>
        </w:rPr>
        <w:t>.</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 xml:space="preserve">In Belgium, since 2014 a detailed worked out strategy on sustainable public procurement </w:t>
      </w:r>
      <w:r>
        <w:rPr>
          <w:rFonts w:ascii="Calibri" w:eastAsia="Calibri" w:hAnsi="Calibri" w:cs="Times New Roman"/>
          <w:noProof/>
          <w:sz w:val="20"/>
          <w:lang w:eastAsia="ar-SA"/>
        </w:rPr>
        <w:t>(SPP) for the federal departments has been established, combining green and social aspects. Further specific regulations in the context of SPP exist for wood (2005), vehicles (2009 &amp; 2010) and energy efficiency (2013). Specific policy documents exist in th</w:t>
      </w:r>
      <w:r>
        <w:rPr>
          <w:rFonts w:ascii="Calibri" w:eastAsia="Calibri" w:hAnsi="Calibri" w:cs="Times New Roman"/>
          <w:noProof/>
          <w:sz w:val="20"/>
          <w:lang w:eastAsia="ar-SA"/>
        </w:rPr>
        <w:t>e three Belgian regions</w:t>
      </w:r>
      <w:r>
        <w:rPr>
          <w:rFonts w:ascii="Calibri" w:eastAsia="Calibri" w:hAnsi="Calibri" w:cs="Times New Roman"/>
          <w:noProof/>
          <w:vertAlign w:val="superscript"/>
          <w:lang w:eastAsia="ar-SA"/>
        </w:rPr>
        <w:footnoteReference w:id="168"/>
      </w:r>
      <w:r>
        <w:rPr>
          <w:rFonts w:ascii="Calibri" w:eastAsia="Calibri" w:hAnsi="Calibri" w:cs="Times New Roman"/>
          <w:noProof/>
          <w:sz w:val="20"/>
          <w:lang w:eastAsia="ar-SA"/>
        </w:rPr>
        <w:t xml:space="preserve"> and at federal level.</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GPP criteria are developed at the Federal and Flemish level through initiatives by several departments. In most of the cases the EU GPP criteria</w:t>
      </w:r>
      <w:r>
        <w:rPr>
          <w:rFonts w:ascii="Calibri" w:eastAsia="Calibri" w:hAnsi="Calibri" w:cs="Times New Roman"/>
          <w:noProof/>
          <w:vertAlign w:val="superscript"/>
          <w:lang w:eastAsia="ar-SA"/>
        </w:rPr>
        <w:footnoteReference w:id="169"/>
      </w:r>
      <w:r>
        <w:rPr>
          <w:rFonts w:ascii="Calibri" w:eastAsia="Calibri" w:hAnsi="Calibri" w:cs="Times New Roman"/>
          <w:noProof/>
          <w:sz w:val="20"/>
          <w:lang w:eastAsia="ar-SA"/>
        </w:rPr>
        <w:t xml:space="preserve"> are the start of the discussion at national level with the stak</w:t>
      </w:r>
      <w:r>
        <w:rPr>
          <w:rFonts w:ascii="Calibri" w:eastAsia="Calibri" w:hAnsi="Calibri" w:cs="Times New Roman"/>
          <w:noProof/>
          <w:sz w:val="20"/>
          <w:lang w:eastAsia="ar-SA"/>
        </w:rPr>
        <w:t>eholders. Federal GPP/sustainable criteria have been developed for about 70 product- and service groups.</w:t>
      </w:r>
      <w:r>
        <w:rPr>
          <w:rFonts w:ascii="Calibri" w:eastAsia="Calibri" w:hAnsi="Calibri" w:cs="Times New Roman"/>
          <w:noProof/>
          <w:vertAlign w:val="superscript"/>
          <w:lang w:eastAsia="ar-SA"/>
        </w:rPr>
        <w:footnoteReference w:id="170"/>
      </w:r>
      <w:r>
        <w:rPr>
          <w:rFonts w:ascii="Calibri" w:eastAsia="Calibri" w:hAnsi="Calibri" w:cs="Times New Roman"/>
          <w:noProof/>
          <w:sz w:val="20"/>
          <w:lang w:eastAsia="ar-SA"/>
        </w:rPr>
        <w:t xml:space="preserve"> </w:t>
      </w:r>
    </w:p>
    <w:p w:rsidR="0017500B" w:rsidRDefault="00390F61">
      <w:pPr>
        <w:widowControl w:val="0"/>
        <w:suppressAutoHyphens/>
        <w:spacing w:after="120" w:line="240" w:lineRule="auto"/>
        <w:jc w:val="both"/>
        <w:rPr>
          <w:rFonts w:ascii="Calibri" w:eastAsia="Calibri" w:hAnsi="Calibri" w:cs="Times New Roman"/>
          <w:noProof/>
          <w:sz w:val="20"/>
          <w:szCs w:val="20"/>
          <w:lang w:eastAsia="ar-SA"/>
        </w:rPr>
      </w:pPr>
      <w:r>
        <w:rPr>
          <w:rFonts w:ascii="Calibri" w:eastAsia="Calibri" w:hAnsi="Calibri" w:cs="Times New Roman"/>
          <w:noProof/>
          <w:sz w:val="20"/>
          <w:szCs w:val="20"/>
          <w:lang w:eastAsia="ar-SA"/>
        </w:rPr>
        <w:t xml:space="preserve">In Flanders there is a target of reaching 100% SPP at the level of the Flemish Region by 2020. The region has furthermore established a target to </w:t>
      </w:r>
      <w:r>
        <w:rPr>
          <w:rFonts w:ascii="Calibri" w:eastAsia="Calibri" w:hAnsi="Calibri" w:cs="Times New Roman"/>
          <w:noProof/>
          <w:sz w:val="20"/>
          <w:szCs w:val="20"/>
          <w:lang w:eastAsia="ar-SA"/>
        </w:rPr>
        <w:t>have procurement of 100% green electricity for the regions' buildings and also targets for the environmental performance of vehicles including electric/low emission cars.</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 xml:space="preserve">In the Brussels Capital Region targets are defined every third year. Targets by 2017 </w:t>
      </w:r>
      <w:r>
        <w:rPr>
          <w:rFonts w:ascii="Calibri" w:eastAsia="Calibri" w:hAnsi="Calibri" w:cs="Times New Roman"/>
          <w:noProof/>
          <w:sz w:val="20"/>
          <w:lang w:eastAsia="ar-SA"/>
        </w:rPr>
        <w:t>are: 20% of financial volume of public procurements, and 20% of the (number of) public procurement with environmental clauses.</w:t>
      </w:r>
      <w:r>
        <w:rPr>
          <w:rFonts w:ascii="Calibri" w:eastAsia="Calibri" w:hAnsi="Calibri" w:cs="Times New Roman"/>
          <w:noProof/>
          <w:vertAlign w:val="superscript"/>
          <w:lang w:eastAsia="ar-SA"/>
        </w:rPr>
        <w:footnoteReference w:id="171"/>
      </w:r>
      <w:r>
        <w:rPr>
          <w:rFonts w:ascii="Calibri" w:eastAsia="Calibri" w:hAnsi="Calibri" w:cs="Times New Roman"/>
          <w:i/>
          <w:noProof/>
          <w:sz w:val="20"/>
          <w:szCs w:val="20"/>
          <w:lang w:val="en-US" w:eastAsia="ar-SA"/>
        </w:rPr>
        <w:t xml:space="preserve"> </w:t>
      </w:r>
      <w:r>
        <w:rPr>
          <w:rFonts w:ascii="Calibri" w:eastAsia="Calibri" w:hAnsi="Calibri" w:cs="Times New Roman"/>
          <w:noProof/>
          <w:sz w:val="20"/>
          <w:szCs w:val="20"/>
          <w:lang w:val="en-US" w:eastAsia="ar-SA"/>
        </w:rPr>
        <w:t>For vehicles, Brussels has had a ban on diesel (cars and MPV), and targets for procurement of electric cars (minimum 15%  for th</w:t>
      </w:r>
      <w:r>
        <w:rPr>
          <w:rFonts w:ascii="Calibri" w:eastAsia="Calibri" w:hAnsi="Calibri" w:cs="Times New Roman"/>
          <w:noProof/>
          <w:sz w:val="20"/>
          <w:szCs w:val="20"/>
          <w:lang w:val="en-US" w:eastAsia="ar-SA"/>
        </w:rPr>
        <w:t>e local and 25% for the regional authorities) since 2015).</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 xml:space="preserve">According to a 2011 survey, Belgian authorities included at least one of the EU core green criteria in 81% of the GPP-relevant contracts, and 55% of the contracts included all the relevant EU core </w:t>
      </w:r>
      <w:r>
        <w:rPr>
          <w:rFonts w:ascii="Calibri" w:eastAsia="Calibri" w:hAnsi="Calibri" w:cs="Times New Roman"/>
          <w:noProof/>
          <w:sz w:val="20"/>
          <w:lang w:eastAsia="ar-SA"/>
        </w:rPr>
        <w:t>green criteria. Belgium was the best performer for both indicators</w:t>
      </w:r>
      <w:r>
        <w:rPr>
          <w:rFonts w:ascii="Calibri" w:eastAsia="Calibri" w:hAnsi="Calibri" w:cs="Times New Roman"/>
          <w:noProof/>
          <w:sz w:val="20"/>
          <w:vertAlign w:val="superscript"/>
          <w:lang w:eastAsia="ar-SA"/>
        </w:rPr>
        <w:footnoteReference w:id="172"/>
      </w:r>
      <w:r>
        <w:rPr>
          <w:rFonts w:ascii="Calibri" w:eastAsia="Calibri" w:hAnsi="Calibri" w:cs="Times New Roman"/>
          <w:noProof/>
          <w:sz w:val="20"/>
          <w:lang w:eastAsia="ar-SA"/>
        </w:rPr>
        <w:t>.</w:t>
      </w:r>
    </w:p>
    <w:p w:rsidR="0017500B" w:rsidRDefault="00390F61">
      <w:pPr>
        <w:widowControl w:val="0"/>
        <w:suppressAutoHyphens/>
        <w:spacing w:before="360" w:after="120" w:line="240" w:lineRule="auto"/>
        <w:jc w:val="both"/>
        <w:outlineLvl w:val="1"/>
        <w:rPr>
          <w:rFonts w:ascii="Calibri" w:eastAsia="Calibri" w:hAnsi="Calibri" w:cs="Times New Roman"/>
          <w:b/>
          <w:noProof/>
          <w:color w:val="1F497D"/>
          <w:sz w:val="24"/>
          <w:lang w:eastAsia="ar-SA"/>
        </w:rPr>
      </w:pPr>
      <w:bookmarkStart w:id="23" w:name="_Toc469477504"/>
      <w:r>
        <w:rPr>
          <w:rFonts w:ascii="Calibri" w:eastAsia="Calibri" w:hAnsi="Calibri" w:cs="Times New Roman"/>
          <w:b/>
          <w:noProof/>
          <w:color w:val="1F497D"/>
          <w:sz w:val="24"/>
          <w:lang w:eastAsia="ar-SA"/>
        </w:rPr>
        <w:t>Inv</w:t>
      </w:r>
      <w:r>
        <w:rPr>
          <w:rFonts w:ascii="Times New Roman" w:eastAsia="Calibri" w:hAnsi="Times New Roman" w:cstheme="minorHAnsi"/>
          <w:b/>
          <w:noProof/>
          <w:color w:val="1F497D"/>
          <w:sz w:val="24"/>
          <w:lang w:eastAsia="ar-SA"/>
        </w:rPr>
        <w:t>estm</w:t>
      </w:r>
      <w:r>
        <w:rPr>
          <w:rFonts w:ascii="Calibri" w:eastAsia="Calibri" w:hAnsi="Calibri" w:cs="Times New Roman"/>
          <w:b/>
          <w:noProof/>
          <w:color w:val="1F497D"/>
          <w:sz w:val="24"/>
          <w:lang w:eastAsia="ar-SA"/>
        </w:rPr>
        <w:t>ents: the contribution of EU funds</w:t>
      </w:r>
      <w:bookmarkEnd w:id="23"/>
      <w:r>
        <w:rPr>
          <w:rFonts w:ascii="Calibri" w:eastAsia="Calibri" w:hAnsi="Calibri" w:cs="Times New Roman"/>
          <w:b/>
          <w:noProof/>
          <w:color w:val="1F497D"/>
          <w:sz w:val="24"/>
          <w:lang w:eastAsia="ar-SA"/>
        </w:rPr>
        <w:t xml:space="preserve"> </w:t>
      </w:r>
    </w:p>
    <w:p w:rsidR="0017500B" w:rsidRDefault="00390F61">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European Structural and Investment Funds Regulations provide that Member States promote environment and climate objectives in their funding </w:t>
      </w:r>
      <w:r>
        <w:rPr>
          <w:rFonts w:cs="Times New Roman"/>
          <w:noProof/>
          <w:color w:val="FFFFFF" w:themeColor="background1"/>
          <w:sz w:val="20"/>
        </w:rPr>
        <w:t>strategies and programmes for economic, social and territorial cohesion, rural development and maritime policy, and reinforce the capacity of implementing bodies to deliver cost-effective and sustainable investments  in these areas.</w:t>
      </w:r>
    </w:p>
    <w:p w:rsidR="0017500B" w:rsidRDefault="00390F61">
      <w:pPr>
        <w:widowControl w:val="0"/>
        <w:suppressAutoHyphens/>
        <w:spacing w:after="120" w:line="240" w:lineRule="auto"/>
        <w:jc w:val="both"/>
        <w:rPr>
          <w:rFonts w:ascii="Calibri" w:eastAsia="Calibri" w:hAnsi="Calibri" w:cs="Times New Roman"/>
          <w:noProof/>
          <w:sz w:val="20"/>
          <w:szCs w:val="24"/>
          <w:lang w:eastAsia="ar-SA"/>
        </w:rPr>
      </w:pPr>
      <w:r>
        <w:rPr>
          <w:rFonts w:ascii="Calibri" w:eastAsia="Calibri" w:hAnsi="Calibri" w:cs="Times New Roman"/>
          <w:noProof/>
          <w:sz w:val="20"/>
          <w:szCs w:val="24"/>
          <w:lang w:eastAsia="ar-SA"/>
        </w:rPr>
        <w:t xml:space="preserve">Making good use of the </w:t>
      </w:r>
      <w:r>
        <w:rPr>
          <w:rFonts w:ascii="Calibri" w:eastAsia="Calibri" w:hAnsi="Calibri" w:cs="Times New Roman"/>
          <w:noProof/>
          <w:sz w:val="20"/>
          <w:szCs w:val="24"/>
          <w:lang w:eastAsia="ar-SA"/>
        </w:rPr>
        <w:t>European Structural and Investment Funds (ESIF)</w:t>
      </w:r>
      <w:r>
        <w:rPr>
          <w:rFonts w:ascii="Calibri" w:eastAsia="Calibri" w:hAnsi="Calibri" w:cs="Times New Roman"/>
          <w:noProof/>
          <w:vertAlign w:val="superscript"/>
          <w:lang w:eastAsia="ar-SA"/>
        </w:rPr>
        <w:footnoteReference w:id="173"/>
      </w:r>
      <w:r>
        <w:rPr>
          <w:rFonts w:ascii="Calibri" w:eastAsia="Calibri" w:hAnsi="Calibri" w:cs="Times New Roman"/>
          <w:noProof/>
          <w:sz w:val="20"/>
          <w:szCs w:val="24"/>
          <w:lang w:eastAsia="ar-SA"/>
        </w:rPr>
        <w:t xml:space="preserve"> is essential to achieve the environmental goals and integrate these into other policy areas. Other instruments such as the Horizon 2020, the LIFE programme and the EFSI</w:t>
      </w:r>
      <w:r>
        <w:rPr>
          <w:rFonts w:ascii="Calibri" w:eastAsia="Calibri" w:hAnsi="Calibri" w:cs="Times New Roman"/>
          <w:noProof/>
          <w:vertAlign w:val="superscript"/>
          <w:lang w:eastAsia="ar-SA"/>
        </w:rPr>
        <w:footnoteReference w:id="174"/>
      </w:r>
      <w:r>
        <w:rPr>
          <w:rFonts w:ascii="Calibri" w:eastAsia="Calibri" w:hAnsi="Calibri" w:cs="Times New Roman"/>
          <w:noProof/>
          <w:sz w:val="20"/>
          <w:szCs w:val="24"/>
          <w:lang w:eastAsia="ar-SA"/>
        </w:rPr>
        <w:t xml:space="preserve"> may also support implementation and s</w:t>
      </w:r>
      <w:r>
        <w:rPr>
          <w:rFonts w:ascii="Calibri" w:eastAsia="Calibri" w:hAnsi="Calibri" w:cs="Times New Roman"/>
          <w:noProof/>
          <w:sz w:val="20"/>
          <w:szCs w:val="24"/>
          <w:lang w:eastAsia="ar-SA"/>
        </w:rPr>
        <w:t>pread of best practice.</w:t>
      </w:r>
    </w:p>
    <w:p w:rsidR="0017500B" w:rsidRDefault="00390F61">
      <w:pPr>
        <w:widowControl w:val="0"/>
        <w:suppressAutoHyphens/>
        <w:spacing w:after="120" w:line="240" w:lineRule="auto"/>
        <w:jc w:val="both"/>
        <w:rPr>
          <w:rFonts w:ascii="Calibri" w:eastAsia="Calibri" w:hAnsi="Calibri" w:cs="Times New Roman"/>
          <w:noProof/>
          <w:sz w:val="20"/>
          <w:szCs w:val="24"/>
          <w:lang w:eastAsia="ar-SA"/>
        </w:rPr>
      </w:pPr>
      <w:r>
        <w:rPr>
          <w:rFonts w:ascii="Calibri" w:eastAsia="Calibri" w:hAnsi="Calibri" w:cs="Times New Roman"/>
          <w:noProof/>
          <w:sz w:val="20"/>
          <w:szCs w:val="24"/>
          <w:lang w:eastAsia="ar-SA"/>
        </w:rPr>
        <w:t>Belgium receives just over EUR 2 billion in total Cohesion Policy</w:t>
      </w:r>
      <w:r>
        <w:rPr>
          <w:rFonts w:ascii="Calibri" w:eastAsia="Calibri" w:hAnsi="Calibri" w:cs="Times New Roman"/>
          <w:noProof/>
          <w:sz w:val="20"/>
          <w:vertAlign w:val="superscript"/>
          <w:lang w:eastAsia="ar-SA"/>
        </w:rPr>
        <w:footnoteReference w:id="175"/>
      </w:r>
      <w:r>
        <w:rPr>
          <w:rFonts w:ascii="Calibri" w:eastAsia="Calibri" w:hAnsi="Calibri" w:cs="Times New Roman"/>
          <w:noProof/>
          <w:sz w:val="20"/>
          <w:szCs w:val="24"/>
          <w:vertAlign w:val="superscript"/>
          <w:lang w:eastAsia="ar-SA"/>
        </w:rPr>
        <w:t xml:space="preserve"> </w:t>
      </w:r>
      <w:r>
        <w:rPr>
          <w:rFonts w:ascii="Calibri" w:eastAsia="Calibri" w:hAnsi="Calibri" w:cs="Times New Roman"/>
          <w:noProof/>
          <w:sz w:val="20"/>
          <w:szCs w:val="24"/>
          <w:lang w:eastAsia="ar-SA"/>
        </w:rPr>
        <w:t>funding over 2014-20 period (current prices, including European Territorial Cooperation funding and the allocation for the Youth Employment Initiative, see Figure 12</w:t>
      </w:r>
      <w:r>
        <w:rPr>
          <w:rFonts w:ascii="Calibri" w:eastAsia="Calibri" w:hAnsi="Calibri" w:cs="Times New Roman"/>
          <w:noProof/>
          <w:sz w:val="20"/>
          <w:szCs w:val="24"/>
          <w:lang w:eastAsia="ar-SA"/>
        </w:rPr>
        <w:t>). Belgium also receives EUR 648 million for rural development and EUR 42 million for fisheries and the maritime sector. Cohesion policy is fully devolved to the Belgian regions. Part of Wallonia has transitional status and therefore receives a higher inte</w:t>
      </w:r>
      <w:r>
        <w:rPr>
          <w:rFonts w:ascii="Calibri" w:eastAsia="Calibri" w:hAnsi="Calibri" w:cs="Times New Roman"/>
          <w:noProof/>
          <w:sz w:val="20"/>
          <w:szCs w:val="24"/>
          <w:lang w:eastAsia="ar-SA"/>
        </w:rPr>
        <w:t>nsity of EU co-financing compared to the rest of the country. Environmental infrastructure cannot be financed from the ERDF in Belgium as it is a relatively rich country; however, EIB loans can be used for this purpose. National public funds in Belgium for</w:t>
      </w:r>
      <w:r>
        <w:rPr>
          <w:rFonts w:ascii="Calibri" w:eastAsia="Calibri" w:hAnsi="Calibri" w:cs="Times New Roman"/>
          <w:noProof/>
          <w:sz w:val="20"/>
          <w:szCs w:val="24"/>
          <w:lang w:eastAsia="ar-SA"/>
        </w:rPr>
        <w:t xml:space="preserve"> economic development are EUR 3.3 billion. </w:t>
      </w:r>
    </w:p>
    <w:tbl>
      <w:tblPr>
        <w:tblW w:w="0" w:type="auto"/>
        <w:tblLayout w:type="fixed"/>
        <w:tblLook w:val="0000" w:firstRow="0" w:lastRow="0" w:firstColumn="0" w:lastColumn="0" w:noHBand="0" w:noVBand="0"/>
      </w:tblPr>
      <w:tblGrid>
        <w:gridCol w:w="4909"/>
      </w:tblGrid>
      <w:tr w:rsidR="0017500B">
        <w:tc>
          <w:tcPr>
            <w:tcW w:w="4909" w:type="dxa"/>
            <w:shd w:val="clear" w:color="auto" w:fill="auto"/>
          </w:tcPr>
          <w:p w:rsidR="0017500B" w:rsidRDefault="00390F61">
            <w:pPr>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b/>
                <w:noProof/>
                <w:color w:val="1F497D"/>
                <w:sz w:val="20"/>
                <w:lang w:eastAsia="ar-SA"/>
              </w:rPr>
              <w:t xml:space="preserve">Figure 12: EU Structural </w:t>
            </w:r>
            <w:r>
              <w:rPr>
                <w:rFonts w:ascii="Calibri" w:eastAsia="Calibri" w:hAnsi="Calibri" w:cs="Times New Roman"/>
                <w:b/>
                <w:bCs/>
                <w:noProof/>
                <w:color w:val="1F497D"/>
                <w:sz w:val="20"/>
                <w:lang w:eastAsia="ar-SA"/>
              </w:rPr>
              <w:t xml:space="preserve">and </w:t>
            </w:r>
            <w:r>
              <w:rPr>
                <w:rFonts w:ascii="Calibri" w:eastAsia="Calibri" w:hAnsi="Calibri" w:cs="Times New Roman"/>
                <w:b/>
                <w:noProof/>
                <w:color w:val="1F497D"/>
                <w:sz w:val="20"/>
                <w:lang w:eastAsia="ar-SA"/>
              </w:rPr>
              <w:t>Investment Funds 2014-2020: Budget Belgium by theme, EUR billion</w:t>
            </w:r>
            <w:r>
              <w:rPr>
                <w:rFonts w:ascii="Calibri" w:eastAsia="Calibri" w:hAnsi="Calibri" w:cs="Times New Roman"/>
                <w:noProof/>
                <w:vertAlign w:val="superscript"/>
                <w:lang w:eastAsia="ar-SA"/>
              </w:rPr>
              <w:footnoteReference w:id="176"/>
            </w:r>
          </w:p>
        </w:tc>
      </w:tr>
      <w:tr w:rsidR="0017500B">
        <w:tc>
          <w:tcPr>
            <w:tcW w:w="4909" w:type="dxa"/>
            <w:shd w:val="clear" w:color="auto" w:fill="auto"/>
          </w:tcPr>
          <w:p w:rsidR="0017500B" w:rsidRDefault="00390F61">
            <w:pPr>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en-GB"/>
              </w:rPr>
              <w:drawing>
                <wp:inline distT="0" distB="0" distL="0" distR="0" wp14:anchorId="1DBCA66F" wp14:editId="6949A06D">
                  <wp:extent cx="3022600" cy="2607310"/>
                  <wp:effectExtent l="0" t="0" r="635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22600" cy="2607310"/>
                          </a:xfrm>
                          <a:prstGeom prst="rect">
                            <a:avLst/>
                          </a:prstGeom>
                          <a:solidFill>
                            <a:srgbClr val="FFFFFF"/>
                          </a:solidFill>
                          <a:ln>
                            <a:noFill/>
                          </a:ln>
                        </pic:spPr>
                      </pic:pic>
                    </a:graphicData>
                  </a:graphic>
                </wp:inline>
              </w:drawing>
            </w:r>
          </w:p>
        </w:tc>
      </w:tr>
    </w:tbl>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lang w:eastAsia="ar-SA"/>
        </w:rPr>
        <w:t xml:space="preserve">As mentioned earlier in this Country Report, Belgium faces environmental pressures in rural areas from on air, </w:t>
      </w:r>
      <w:r>
        <w:rPr>
          <w:rFonts w:ascii="Calibri" w:eastAsia="Calibri" w:hAnsi="Calibri" w:cs="Times New Roman"/>
          <w:noProof/>
          <w:sz w:val="20"/>
          <w:lang w:eastAsia="ar-SA"/>
        </w:rPr>
        <w:t>biodiversity and soil. The contribution of the two rural programmes is very diverse to cover environmental pressures. There is a high ambition level for Natura 2000 in the agri-environment and climate measures. However in Belgium, measures to reduce nitrat</w:t>
      </w:r>
      <w:r>
        <w:rPr>
          <w:rFonts w:ascii="Calibri" w:eastAsia="Calibri" w:hAnsi="Calibri" w:cs="Times New Roman"/>
          <w:noProof/>
          <w:sz w:val="20"/>
          <w:lang w:eastAsia="ar-SA"/>
        </w:rPr>
        <w:t>es and phosphate need to be reinforced to tackle Water Framework Directive issues.</w:t>
      </w:r>
    </w:p>
    <w:p w:rsidR="0017500B" w:rsidRDefault="00390F61">
      <w:pPr>
        <w:widowControl w:val="0"/>
        <w:suppressAutoHyphens/>
        <w:spacing w:after="120" w:line="240" w:lineRule="auto"/>
        <w:jc w:val="both"/>
        <w:rPr>
          <w:rFonts w:ascii="Calibri" w:eastAsia="Calibri" w:hAnsi="Calibri" w:cs="Times New Roman"/>
          <w:noProof/>
          <w:sz w:val="20"/>
          <w:szCs w:val="24"/>
          <w:lang w:eastAsia="ar-SA"/>
        </w:rPr>
      </w:pPr>
      <w:r>
        <w:rPr>
          <w:rFonts w:ascii="Calibri" w:eastAsia="Calibri" w:hAnsi="Calibri" w:cs="Times New Roman"/>
          <w:noProof/>
          <w:sz w:val="20"/>
          <w:szCs w:val="24"/>
          <w:lang w:eastAsia="ar-SA"/>
        </w:rPr>
        <w:t xml:space="preserve">Belgium has three ERDF OPs and four European Social Fund (ESF) OPs. There are also two European Agricultural Fund for Rural Development (EAFRD) and one European Maritime and Fisheries Fund (EMFF) OPs, making a total of 10 OPs for the ESIF. </w:t>
      </w:r>
    </w:p>
    <w:p w:rsidR="0017500B" w:rsidRDefault="00390F61">
      <w:pPr>
        <w:widowControl w:val="0"/>
        <w:suppressAutoHyphens/>
        <w:spacing w:after="120" w:line="240" w:lineRule="auto"/>
        <w:jc w:val="both"/>
        <w:rPr>
          <w:rFonts w:ascii="Calibri" w:eastAsia="Calibri" w:hAnsi="Calibri" w:cs="Times New Roman"/>
          <w:noProof/>
          <w:sz w:val="20"/>
          <w:szCs w:val="24"/>
          <w:lang w:eastAsia="ar-SA"/>
        </w:rPr>
      </w:pPr>
      <w:r>
        <w:rPr>
          <w:rFonts w:ascii="Calibri" w:eastAsia="Calibri" w:hAnsi="Calibri" w:cs="Times New Roman"/>
          <w:noProof/>
          <w:sz w:val="20"/>
          <w:szCs w:val="24"/>
          <w:lang w:eastAsia="ar-SA"/>
        </w:rPr>
        <w:t xml:space="preserve">With regard to </w:t>
      </w:r>
      <w:r>
        <w:rPr>
          <w:rFonts w:ascii="Calibri" w:eastAsia="Calibri" w:hAnsi="Calibri" w:cs="Times New Roman"/>
          <w:noProof/>
          <w:sz w:val="20"/>
          <w:szCs w:val="24"/>
          <w:lang w:eastAsia="ar-SA"/>
        </w:rPr>
        <w:t xml:space="preserve">estimation for specific environmental related categories of expenditure, the ERDF allocation is EUR 169 million which is over 17.7% of the total ERDF allocation. </w:t>
      </w:r>
    </w:p>
    <w:p w:rsidR="0017500B" w:rsidRDefault="00390F61">
      <w:pPr>
        <w:widowControl w:val="0"/>
        <w:suppressAutoHyphens/>
        <w:spacing w:after="120" w:line="240" w:lineRule="auto"/>
        <w:jc w:val="both"/>
        <w:rPr>
          <w:rFonts w:ascii="Calibri" w:eastAsia="Calibri" w:hAnsi="Calibri" w:cs="Times New Roman"/>
          <w:noProof/>
          <w:sz w:val="20"/>
          <w:szCs w:val="24"/>
          <w:lang w:eastAsia="ar-SA"/>
        </w:rPr>
      </w:pPr>
      <w:r>
        <w:rPr>
          <w:rFonts w:ascii="Calibri" w:eastAsia="Calibri" w:hAnsi="Calibri" w:cs="Times New Roman"/>
          <w:noProof/>
          <w:sz w:val="20"/>
          <w:szCs w:val="24"/>
          <w:lang w:eastAsia="ar-SA"/>
        </w:rPr>
        <w:t>For Wallonia, the ERDF will be used to encourage an industrial transition towards green growt</w:t>
      </w:r>
      <w:r>
        <w:rPr>
          <w:rFonts w:ascii="Calibri" w:eastAsia="Calibri" w:hAnsi="Calibri" w:cs="Times New Roman"/>
          <w:noProof/>
          <w:sz w:val="20"/>
          <w:szCs w:val="24"/>
          <w:lang w:eastAsia="ar-SA"/>
        </w:rPr>
        <w:t xml:space="preserve">h, eco-innovation, management of environmental performance, urban environmental improvement, reducing air and noise pollution, rehabilitation of contaminated land and reduction in soil sealing. </w:t>
      </w:r>
    </w:p>
    <w:p w:rsidR="0017500B" w:rsidRDefault="00390F61">
      <w:pPr>
        <w:widowControl w:val="0"/>
        <w:suppressAutoHyphens/>
        <w:spacing w:after="120" w:line="240" w:lineRule="auto"/>
        <w:jc w:val="both"/>
        <w:rPr>
          <w:rFonts w:ascii="Calibri" w:eastAsia="Calibri" w:hAnsi="Calibri" w:cs="Times New Roman"/>
          <w:noProof/>
          <w:sz w:val="20"/>
          <w:szCs w:val="24"/>
          <w:lang w:eastAsia="ar-SA"/>
        </w:rPr>
      </w:pPr>
      <w:r>
        <w:rPr>
          <w:rFonts w:ascii="Calibri" w:eastAsia="Calibri" w:hAnsi="Calibri" w:cs="Times New Roman"/>
          <w:noProof/>
          <w:sz w:val="20"/>
          <w:szCs w:val="24"/>
          <w:lang w:eastAsia="ar-SA"/>
        </w:rPr>
        <w:t>For Flanders, the ERDF will be used for reducing air and nois</w:t>
      </w:r>
      <w:r>
        <w:rPr>
          <w:rFonts w:ascii="Calibri" w:eastAsia="Calibri" w:hAnsi="Calibri" w:cs="Times New Roman"/>
          <w:noProof/>
          <w:sz w:val="20"/>
          <w:szCs w:val="24"/>
          <w:lang w:eastAsia="ar-SA"/>
        </w:rPr>
        <w:t>e pollution, rehabilitation of contaminated land and the re-use of old landfills (so called 'urban mining'). In addition there is horizontal objection for the better use of space by stimulating multi-functional use and rehabilitation of underused land. Eco</w:t>
      </w:r>
      <w:r>
        <w:rPr>
          <w:rFonts w:ascii="Calibri" w:eastAsia="Calibri" w:hAnsi="Calibri" w:cs="Times New Roman"/>
          <w:noProof/>
          <w:sz w:val="20"/>
          <w:szCs w:val="24"/>
          <w:lang w:eastAsia="ar-SA"/>
        </w:rPr>
        <w:t>-innovation is covered including circular economy.</w:t>
      </w:r>
    </w:p>
    <w:p w:rsidR="0017500B" w:rsidRDefault="00390F61">
      <w:pPr>
        <w:widowControl w:val="0"/>
        <w:suppressAutoHyphens/>
        <w:spacing w:after="120" w:line="240" w:lineRule="auto"/>
        <w:jc w:val="both"/>
        <w:rPr>
          <w:rFonts w:ascii="Calibri" w:eastAsia="Calibri" w:hAnsi="Calibri" w:cs="Times New Roman"/>
          <w:noProof/>
          <w:sz w:val="20"/>
          <w:lang w:eastAsia="ar-SA"/>
        </w:rPr>
      </w:pPr>
      <w:r>
        <w:rPr>
          <w:rFonts w:ascii="Calibri" w:eastAsia="Calibri" w:hAnsi="Calibri" w:cs="Times New Roman"/>
          <w:noProof/>
          <w:sz w:val="20"/>
          <w:szCs w:val="24"/>
          <w:lang w:eastAsia="ar-SA"/>
        </w:rPr>
        <w:t xml:space="preserve">For the Brussels Region, the ERDF is to be used </w:t>
      </w:r>
      <w:r>
        <w:rPr>
          <w:rFonts w:ascii="Calibri" w:eastAsia="Calibri" w:hAnsi="Calibri" w:cs="Times New Roman"/>
          <w:noProof/>
          <w:color w:val="000000"/>
          <w:sz w:val="20"/>
          <w:szCs w:val="20"/>
          <w:lang w:eastAsia="ar-SA"/>
        </w:rPr>
        <w:t>for supporting the development of a circular economy and a rational use of resources, encouraging the development of renewable energy, rehabilitating contami</w:t>
      </w:r>
      <w:r>
        <w:rPr>
          <w:rFonts w:ascii="Calibri" w:eastAsia="Calibri" w:hAnsi="Calibri" w:cs="Times New Roman"/>
          <w:noProof/>
          <w:color w:val="000000"/>
          <w:sz w:val="20"/>
          <w:szCs w:val="20"/>
          <w:lang w:eastAsia="ar-SA"/>
        </w:rPr>
        <w:t>nated land, and improving the energy performance of buildings.</w:t>
      </w:r>
      <w:r>
        <w:rPr>
          <w:rFonts w:ascii="Calibri" w:eastAsia="Calibri" w:hAnsi="Calibri" w:cs="Times New Roman"/>
          <w:noProof/>
          <w:color w:val="000000"/>
          <w:sz w:val="20"/>
          <w:lang w:eastAsia="ar-SA"/>
        </w:rPr>
        <w:t xml:space="preserve"> </w:t>
      </w:r>
      <w:r>
        <w:rPr>
          <w:rFonts w:ascii="Calibri" w:eastAsia="Calibri" w:hAnsi="Calibri" w:cs="Times New Roman"/>
          <w:noProof/>
          <w:sz w:val="20"/>
          <w:lang w:eastAsia="ar-SA"/>
        </w:rPr>
        <w:br w:type="page"/>
      </w:r>
    </w:p>
    <w:p w:rsidR="0017500B" w:rsidRDefault="0017500B">
      <w:pPr>
        <w:widowControl w:val="0"/>
        <w:suppressAutoHyphens/>
        <w:spacing w:after="120" w:line="240" w:lineRule="auto"/>
        <w:jc w:val="both"/>
        <w:rPr>
          <w:rFonts w:ascii="Calibri" w:eastAsia="Calibri" w:hAnsi="Calibri" w:cs="Times New Roman"/>
          <w:noProof/>
          <w:sz w:val="20"/>
          <w:lang w:eastAsia="ar-SA"/>
        </w:rPr>
        <w:sectPr w:rsidR="0017500B">
          <w:headerReference w:type="even" r:id="rId99"/>
          <w:headerReference w:type="default" r:id="rId100"/>
          <w:footerReference w:type="even" r:id="rId101"/>
          <w:footerReference w:type="default" r:id="rId102"/>
          <w:headerReference w:type="first" r:id="rId103"/>
          <w:footerReference w:type="first" r:id="rId104"/>
          <w:type w:val="continuous"/>
          <w:pgSz w:w="11906" w:h="16838"/>
          <w:pgMar w:top="1440" w:right="1080" w:bottom="1440" w:left="1080" w:header="708" w:footer="708" w:gutter="0"/>
          <w:cols w:num="2" w:space="360"/>
          <w:docGrid w:linePitch="600" w:charSpace="40960"/>
        </w:sectPr>
      </w:pPr>
    </w:p>
    <w:p w:rsidR="0017500B" w:rsidRDefault="00390F61">
      <w:pPr>
        <w:pStyle w:val="Heading1"/>
        <w:rPr>
          <w:noProof/>
        </w:rPr>
      </w:pPr>
      <w:bookmarkStart w:id="24" w:name="_Toc469477505"/>
      <w:r>
        <w:rPr>
          <w:noProof/>
        </w:rPr>
        <w:t>Effective governance and knowledge</w:t>
      </w:r>
      <w:bookmarkStart w:id="25" w:name="_Toc433798401"/>
      <w:bookmarkEnd w:id="24"/>
    </w:p>
    <w:p w:rsidR="0017500B" w:rsidRDefault="0017500B">
      <w:pPr>
        <w:spacing w:after="120" w:line="240" w:lineRule="auto"/>
        <w:jc w:val="both"/>
        <w:rPr>
          <w:rFonts w:ascii="Times New Roman" w:hAnsi="Times New Roman"/>
          <w:noProof/>
          <w:sz w:val="20"/>
        </w:rPr>
        <w:sectPr w:rsidR="0017500B">
          <w:headerReference w:type="even" r:id="rId105"/>
          <w:headerReference w:type="default" r:id="rId106"/>
          <w:footerReference w:type="even" r:id="rId107"/>
          <w:footerReference w:type="default" r:id="rId108"/>
          <w:headerReference w:type="first" r:id="rId109"/>
          <w:footerReference w:type="first" r:id="rId110"/>
          <w:pgSz w:w="11906" w:h="16838"/>
          <w:pgMar w:top="1440" w:right="1440" w:bottom="1440" w:left="1440" w:header="708" w:footer="708" w:gutter="0"/>
          <w:cols w:space="708"/>
          <w:docGrid w:linePitch="360"/>
        </w:sectPr>
      </w:pPr>
    </w:p>
    <w:p w:rsidR="0017500B" w:rsidRDefault="00390F61">
      <w:pPr>
        <w:widowControl w:val="0"/>
        <w:shd w:val="clear" w:color="auto" w:fill="4F81BD"/>
        <w:suppressAutoHyphens/>
        <w:spacing w:after="120" w:line="240" w:lineRule="auto"/>
        <w:jc w:val="both"/>
        <w:rPr>
          <w:rFonts w:eastAsia="Calibri" w:cstheme="minorHAnsi"/>
          <w:noProof/>
          <w:color w:val="FFFFFF"/>
          <w:sz w:val="20"/>
          <w:lang w:eastAsia="ar-SA"/>
        </w:rPr>
      </w:pPr>
      <w:r>
        <w:rPr>
          <w:rFonts w:eastAsia="Calibri" w:cstheme="minorHAnsi"/>
          <w:noProof/>
          <w:color w:val="FFFFFF"/>
          <w:sz w:val="20"/>
          <w:lang w:eastAsia="ar-SA"/>
        </w:rPr>
        <w:t>SDG 16 aims at providing access to justice and building effective, accountable and inclusive institutions at all levels. SDG 17 aims at better implementation, improving policy coordination and policy coherence, stim</w:t>
      </w:r>
      <w:r>
        <w:rPr>
          <w:rFonts w:eastAsia="Calibri" w:cstheme="minorHAnsi"/>
          <w:noProof/>
          <w:color w:val="FFFFFF"/>
          <w:sz w:val="20"/>
          <w:lang w:eastAsia="ar-SA"/>
        </w:rPr>
        <w:t>ulating science, technology and innovation, establishing partnerships and developing measurements of progress.</w:t>
      </w:r>
    </w:p>
    <w:p w:rsidR="0017500B" w:rsidRDefault="00390F61">
      <w:pPr>
        <w:widowControl w:val="0"/>
        <w:spacing w:after="120" w:line="240" w:lineRule="auto"/>
        <w:jc w:val="both"/>
        <w:rPr>
          <w:rFonts w:cstheme="minorHAnsi"/>
          <w:noProof/>
          <w:sz w:val="20"/>
        </w:rPr>
      </w:pPr>
      <w:r>
        <w:rPr>
          <w:rFonts w:cstheme="minorHAnsi"/>
          <w:noProof/>
          <w:sz w:val="20"/>
        </w:rPr>
        <w:t>Effective governance of EU environmental legislation and policies requires having an appropriate institutional framework, policy coherence and co</w:t>
      </w:r>
      <w:r>
        <w:rPr>
          <w:rFonts w:cstheme="minorHAnsi"/>
          <w:noProof/>
          <w:sz w:val="20"/>
        </w:rPr>
        <w:t>ordination, applying legal and non-legal instruments, engaging with non-governmental stakeholders, and having adequate levels of knowledge and skills</w:t>
      </w:r>
      <w:r>
        <w:rPr>
          <w:rFonts w:cstheme="minorHAnsi"/>
          <w:noProof/>
          <w:sz w:val="20"/>
          <w:vertAlign w:val="superscript"/>
        </w:rPr>
        <w:footnoteReference w:id="177"/>
      </w:r>
      <w:r>
        <w:rPr>
          <w:rFonts w:cstheme="minorHAnsi"/>
          <w:noProof/>
          <w:sz w:val="20"/>
        </w:rPr>
        <w:t>. Successful implementation depends, to a large extent, on central, regional and local government fulfilli</w:t>
      </w:r>
      <w:r>
        <w:rPr>
          <w:rFonts w:cstheme="minorHAnsi"/>
          <w:noProof/>
          <w:sz w:val="20"/>
        </w:rPr>
        <w:t>ng key legislative and administrative tasks, notably adoption of sound implementing legislation, co-ordinated action to meet environmental objectives and correct decision-making on matters such as industrial permits. Beyond fulfilment of these tasks, gover</w:t>
      </w:r>
      <w:r>
        <w:rPr>
          <w:rFonts w:cstheme="minorHAnsi"/>
          <w:noProof/>
          <w:sz w:val="20"/>
        </w:rPr>
        <w:t>nment must intervene to ensure day-to-day compliance by economic operators, utilities and individuals ("compliance assurance"). Civil society also has a role to play, including through legal action. To underpin the roles of all actors, it is crucial to col</w:t>
      </w:r>
      <w:r>
        <w:rPr>
          <w:rFonts w:cstheme="minorHAnsi"/>
          <w:noProof/>
          <w:sz w:val="20"/>
        </w:rPr>
        <w:t>lect and share knowledge and evidence on the state of the environment and on environmental pressures, drivers and impacts.</w:t>
      </w:r>
    </w:p>
    <w:p w:rsidR="0017500B" w:rsidRDefault="00390F61">
      <w:pPr>
        <w:widowControl w:val="0"/>
        <w:spacing w:after="120" w:line="240" w:lineRule="auto"/>
        <w:jc w:val="both"/>
        <w:rPr>
          <w:rFonts w:cs="Times New Roman"/>
          <w:noProof/>
          <w:sz w:val="20"/>
        </w:rPr>
      </w:pPr>
      <w:r>
        <w:rPr>
          <w:rFonts w:cs="Times New Roman"/>
          <w:noProof/>
          <w:sz w:val="20"/>
          <w:szCs w:val="20"/>
          <w:lang w:val="en-US"/>
        </w:rPr>
        <w:t xml:space="preserve">Equally, effective governance of EU environmental legislation and policies benefits from a dialogue within Member States and between </w:t>
      </w:r>
      <w:r>
        <w:rPr>
          <w:rFonts w:cs="Times New Roman"/>
          <w:noProof/>
          <w:sz w:val="20"/>
          <w:szCs w:val="20"/>
          <w:lang w:val="en-US"/>
        </w:rPr>
        <w:t xml:space="preserve">Member States and the Commission on whether the current EU environmental legislation is fit for purpose. Legislation can only be properly implemented when it takes into account experiences at Member State level with putting EU commitments into effect. The </w:t>
      </w:r>
      <w:r>
        <w:rPr>
          <w:rFonts w:cs="Times New Roman"/>
          <w:noProof/>
          <w:sz w:val="20"/>
          <w:szCs w:val="20"/>
          <w:lang w:val="en-US"/>
        </w:rPr>
        <w:t>Make it Work initiative, a Member State driven project, established in 2014, organizes a discussion on how the clarity, coherence and structure of EU environmental legislation can be improved, without lowering existing protection standards.</w:t>
      </w:r>
    </w:p>
    <w:p w:rsidR="0017500B" w:rsidRDefault="00390F61">
      <w:pPr>
        <w:widowControl w:val="0"/>
        <w:suppressAutoHyphens/>
        <w:spacing w:before="360" w:after="120" w:line="240" w:lineRule="auto"/>
        <w:jc w:val="both"/>
        <w:outlineLvl w:val="1"/>
        <w:rPr>
          <w:rFonts w:eastAsia="Calibri" w:cstheme="minorHAnsi"/>
          <w:b/>
          <w:noProof/>
          <w:color w:val="1F497D"/>
          <w:sz w:val="24"/>
          <w:lang w:eastAsia="ar-SA"/>
        </w:rPr>
      </w:pPr>
      <w:bookmarkStart w:id="26" w:name="_Toc456008526"/>
      <w:bookmarkStart w:id="27" w:name="_Toc469477506"/>
      <w:r>
        <w:rPr>
          <w:rFonts w:eastAsia="Calibri" w:cstheme="minorHAnsi"/>
          <w:b/>
          <w:noProof/>
          <w:color w:val="1F497D"/>
          <w:sz w:val="24"/>
          <w:lang w:eastAsia="ar-SA"/>
        </w:rPr>
        <w:t xml:space="preserve">Effective </w:t>
      </w:r>
      <w:r>
        <w:rPr>
          <w:rFonts w:eastAsia="Calibri" w:cstheme="minorHAnsi"/>
          <w:b/>
          <w:noProof/>
          <w:color w:val="1F497D"/>
          <w:sz w:val="24"/>
          <w:lang w:eastAsia="ar-SA"/>
        </w:rPr>
        <w:t>governance within federal, regional and local government</w:t>
      </w:r>
      <w:bookmarkEnd w:id="26"/>
      <w:bookmarkEnd w:id="27"/>
    </w:p>
    <w:bookmarkEnd w:id="25"/>
    <w:p w:rsidR="0017500B" w:rsidRDefault="00390F61">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Those involved in implementing environment legislation at Union, national, regional and local levels need to be equipped with the knowledge, tools and capacity to improve the delivery of benefits fro</w:t>
      </w:r>
      <w:r>
        <w:rPr>
          <w:rFonts w:cs="Times New Roman"/>
          <w:noProof/>
          <w:color w:val="FFFFFF" w:themeColor="background1"/>
          <w:sz w:val="20"/>
        </w:rPr>
        <w:t>m that legislation, and the governance of the enforcement process.</w:t>
      </w:r>
    </w:p>
    <w:p w:rsidR="0017500B" w:rsidRDefault="00390F61">
      <w:pPr>
        <w:widowControl w:val="0"/>
        <w:suppressAutoHyphens/>
        <w:spacing w:after="120" w:line="240" w:lineRule="auto"/>
        <w:jc w:val="both"/>
        <w:outlineLvl w:val="2"/>
        <w:rPr>
          <w:rFonts w:eastAsia="Calibri" w:cstheme="minorHAnsi"/>
          <w:b/>
          <w:noProof/>
          <w:color w:val="1F497D"/>
          <w:lang w:eastAsia="ar-SA"/>
        </w:rPr>
      </w:pPr>
      <w:bookmarkStart w:id="28" w:name="_Toc454792405"/>
      <w:bookmarkStart w:id="29" w:name="_Toc454792454"/>
      <w:bookmarkStart w:id="30" w:name="_Toc454899170"/>
      <w:bookmarkStart w:id="31" w:name="_Toc454984919"/>
      <w:bookmarkStart w:id="32" w:name="_Toc455589221"/>
      <w:bookmarkStart w:id="33" w:name="_Toc455750331"/>
      <w:bookmarkStart w:id="34" w:name="_Toc456008263"/>
      <w:r>
        <w:rPr>
          <w:rFonts w:eastAsia="Calibri" w:cstheme="minorHAnsi"/>
          <w:b/>
          <w:noProof/>
          <w:color w:val="1F497D"/>
          <w:lang w:eastAsia="ar-SA"/>
        </w:rPr>
        <w:t>Capacity to implement rules</w:t>
      </w:r>
      <w:bookmarkEnd w:id="28"/>
      <w:bookmarkEnd w:id="29"/>
      <w:bookmarkEnd w:id="30"/>
      <w:bookmarkEnd w:id="31"/>
      <w:bookmarkEnd w:id="32"/>
      <w:bookmarkEnd w:id="33"/>
      <w:bookmarkEnd w:id="34"/>
    </w:p>
    <w:p w:rsidR="0017500B" w:rsidRDefault="00390F61">
      <w:pPr>
        <w:widowControl w:val="0"/>
        <w:spacing w:after="120" w:line="240" w:lineRule="auto"/>
        <w:jc w:val="both"/>
        <w:rPr>
          <w:rFonts w:cs="Times New Roman"/>
          <w:noProof/>
          <w:color w:val="000000" w:themeColor="text1"/>
          <w:sz w:val="20"/>
        </w:rPr>
      </w:pPr>
      <w:r>
        <w:rPr>
          <w:rFonts w:cs="Times New Roman"/>
          <w:noProof/>
          <w:color w:val="000000" w:themeColor="text1"/>
          <w:sz w:val="20"/>
        </w:rPr>
        <w:t xml:space="preserve">It is crucial that federal, regional and local administrations have the necessary capacities and skills and training to carry out their own tasks and co-operate </w:t>
      </w:r>
      <w:r>
        <w:rPr>
          <w:rFonts w:cs="Times New Roman"/>
          <w:noProof/>
          <w:color w:val="000000" w:themeColor="text1"/>
          <w:sz w:val="20"/>
        </w:rPr>
        <w:t>and co-ordinate effectively with each other, within a system of multi-level governance.</w:t>
      </w:r>
    </w:p>
    <w:p w:rsidR="0017500B" w:rsidRDefault="00390F61">
      <w:pPr>
        <w:widowControl w:val="0"/>
        <w:spacing w:after="120" w:line="240" w:lineRule="auto"/>
        <w:jc w:val="both"/>
        <w:rPr>
          <w:rFonts w:cstheme="minorHAnsi"/>
          <w:noProof/>
          <w:color w:val="000000"/>
          <w:sz w:val="20"/>
        </w:rPr>
      </w:pPr>
      <w:r>
        <w:rPr>
          <w:rFonts w:cstheme="minorHAnsi"/>
          <w:noProof/>
          <w:color w:val="000000"/>
          <w:sz w:val="20"/>
        </w:rPr>
        <w:t>Being a federal country, environment to a large extent is the responsibility of the three regions (Flemish, Walloon and Brussels-Capital). The federal government only h</w:t>
      </w:r>
      <w:r>
        <w:rPr>
          <w:rFonts w:cstheme="minorHAnsi"/>
          <w:noProof/>
          <w:color w:val="000000"/>
          <w:sz w:val="20"/>
        </w:rPr>
        <w:t xml:space="preserve">as specific powers for environmental matters in marine areas under Belgian jurisdiction, military domains and railway embankments. The federal state remains responsible </w:t>
      </w:r>
      <w:r>
        <w:rPr>
          <w:rFonts w:cstheme="minorHAnsi"/>
          <w:noProof/>
          <w:sz w:val="20"/>
        </w:rPr>
        <w:t>for all competences which have not been explicitly devolved to the Regions (the so-call</w:t>
      </w:r>
      <w:r>
        <w:rPr>
          <w:rFonts w:cstheme="minorHAnsi"/>
          <w:noProof/>
          <w:sz w:val="20"/>
        </w:rPr>
        <w:t>ed “residual competences”). I</w:t>
      </w:r>
      <w:r>
        <w:rPr>
          <w:rFonts w:cstheme="minorHAnsi"/>
          <w:noProof/>
          <w:color w:val="000000"/>
          <w:sz w:val="20"/>
        </w:rPr>
        <w:t>t also has specific environmental competences in the field of product standards, radiation protection, CITES</w:t>
      </w:r>
      <w:r>
        <w:rPr>
          <w:rFonts w:cstheme="minorHAnsi"/>
          <w:noProof/>
          <w:color w:val="000000"/>
          <w:sz w:val="20"/>
          <w:vertAlign w:val="superscript"/>
        </w:rPr>
        <w:footnoteReference w:id="178"/>
      </w:r>
      <w:r>
        <w:rPr>
          <w:rFonts w:cstheme="minorHAnsi"/>
          <w:noProof/>
          <w:color w:val="000000"/>
          <w:sz w:val="20"/>
        </w:rPr>
        <w:t xml:space="preserve"> (trade in non-indigenous species); other competences related to the environment (development cooperation, finance, ec</w:t>
      </w:r>
      <w:r>
        <w:rPr>
          <w:rFonts w:cstheme="minorHAnsi"/>
          <w:noProof/>
          <w:color w:val="000000"/>
          <w:sz w:val="20"/>
        </w:rPr>
        <w:t>onomy, etc.), as well as action levers (public procurements, taxation, energy production and transmission, railways, etc.)</w:t>
      </w:r>
      <w:r>
        <w:rPr>
          <w:rFonts w:cstheme="minorHAnsi"/>
          <w:noProof/>
          <w:sz w:val="20"/>
          <w:vertAlign w:val="superscript"/>
        </w:rPr>
        <w:t xml:space="preserve"> </w:t>
      </w:r>
      <w:r>
        <w:rPr>
          <w:rFonts w:cstheme="minorHAnsi"/>
          <w:noProof/>
          <w:sz w:val="20"/>
          <w:vertAlign w:val="superscript"/>
        </w:rPr>
        <w:footnoteReference w:id="179"/>
      </w:r>
      <w:r>
        <w:rPr>
          <w:rFonts w:cstheme="minorHAnsi"/>
          <w:noProof/>
          <w:color w:val="000000"/>
          <w:sz w:val="20"/>
        </w:rPr>
        <w:t xml:space="preserve">. </w:t>
      </w:r>
    </w:p>
    <w:p w:rsidR="0017500B" w:rsidRDefault="00390F61">
      <w:pPr>
        <w:widowControl w:val="0"/>
        <w:spacing w:after="120" w:line="240" w:lineRule="auto"/>
        <w:jc w:val="both"/>
        <w:rPr>
          <w:rFonts w:cstheme="minorHAnsi"/>
          <w:noProof/>
          <w:sz w:val="20"/>
          <w:lang w:val="en-US"/>
        </w:rPr>
      </w:pPr>
      <w:r>
        <w:rPr>
          <w:rFonts w:cstheme="minorHAnsi"/>
          <w:noProof/>
          <w:sz w:val="20"/>
          <w:lang w:val="en-US"/>
        </w:rPr>
        <w:t xml:space="preserve">In order to prepare the coherent participation of Belgium in processes at EU and international level the federal authority and </w:t>
      </w:r>
      <w:r>
        <w:rPr>
          <w:rFonts w:cstheme="minorHAnsi"/>
          <w:noProof/>
          <w:sz w:val="20"/>
          <w:lang w:val="en-US"/>
        </w:rPr>
        <w:t>the Regions work intensively together within the Coordination Committee for International Environment Policy (CCIEP-CCPIE-CCIM)</w:t>
      </w:r>
      <w:r>
        <w:rPr>
          <w:rFonts w:cstheme="minorHAnsi"/>
          <w:noProof/>
          <w:sz w:val="20"/>
          <w:vertAlign w:val="superscript"/>
        </w:rPr>
        <w:footnoteReference w:id="180"/>
      </w:r>
      <w:r>
        <w:rPr>
          <w:rFonts w:cstheme="minorHAnsi"/>
          <w:noProof/>
          <w:sz w:val="20"/>
          <w:lang w:val="en-US"/>
        </w:rPr>
        <w:t xml:space="preserve">, which is managed by the federal administration. </w:t>
      </w:r>
    </w:p>
    <w:p w:rsidR="0017500B" w:rsidRDefault="00390F61">
      <w:pPr>
        <w:widowControl w:val="0"/>
        <w:spacing w:after="120" w:line="240" w:lineRule="auto"/>
        <w:jc w:val="both"/>
        <w:rPr>
          <w:rFonts w:cstheme="minorHAnsi"/>
          <w:noProof/>
          <w:sz w:val="20"/>
        </w:rPr>
      </w:pPr>
      <w:r>
        <w:rPr>
          <w:rFonts w:cstheme="minorHAnsi"/>
          <w:noProof/>
          <w:sz w:val="20"/>
        </w:rPr>
        <w:t>The federal state being liable for Belgium respecting its obligations under E</w:t>
      </w:r>
      <w:r>
        <w:rPr>
          <w:rFonts w:cstheme="minorHAnsi"/>
          <w:noProof/>
          <w:sz w:val="20"/>
        </w:rPr>
        <w:t>uropean and international law, has the power to substitute itself for the regions if those fail to comply with these obligations under international or European law</w:t>
      </w:r>
      <w:r>
        <w:rPr>
          <w:rFonts w:cstheme="minorHAnsi"/>
          <w:noProof/>
          <w:sz w:val="20"/>
          <w:vertAlign w:val="superscript"/>
        </w:rPr>
        <w:footnoteReference w:id="181"/>
      </w:r>
      <w:r>
        <w:rPr>
          <w:rFonts w:cstheme="minorHAnsi"/>
          <w:noProof/>
          <w:sz w:val="20"/>
        </w:rPr>
        <w:t xml:space="preserve">. However that possibility has exceptionally been used so far.  </w:t>
      </w:r>
    </w:p>
    <w:p w:rsidR="0017500B" w:rsidRDefault="00390F61">
      <w:pPr>
        <w:widowControl w:val="0"/>
        <w:spacing w:after="120" w:line="240" w:lineRule="auto"/>
        <w:jc w:val="both"/>
        <w:rPr>
          <w:rFonts w:cstheme="minorHAnsi"/>
          <w:noProof/>
          <w:sz w:val="20"/>
        </w:rPr>
      </w:pPr>
      <w:r>
        <w:rPr>
          <w:rFonts w:cstheme="minorHAnsi"/>
          <w:noProof/>
          <w:sz w:val="20"/>
        </w:rPr>
        <w:t>Federal and regional power</w:t>
      </w:r>
      <w:r>
        <w:rPr>
          <w:rFonts w:cstheme="minorHAnsi"/>
          <w:noProof/>
          <w:sz w:val="20"/>
        </w:rPr>
        <w:t>s being exclusive by nature, and not subject to any mutual hierarchy, matters of mixed competence, i.e. relating to the competences of multiple authorities (federal and/or regional) (which is often the case in policy areas such as climate change) and for p</w:t>
      </w:r>
      <w:r>
        <w:rPr>
          <w:rFonts w:cstheme="minorHAnsi"/>
          <w:noProof/>
          <w:sz w:val="20"/>
        </w:rPr>
        <w:t>olicy tools (public participation, indicators, SEA) are to a large extent also dealt with through ‘Cooperation Agreements’, agreed between the Federal and/or Regional Governments and subsequently enacted by federal and regional parliamentary assemblies. Al</w:t>
      </w:r>
      <w:r>
        <w:rPr>
          <w:rFonts w:cstheme="minorHAnsi"/>
          <w:noProof/>
          <w:sz w:val="20"/>
        </w:rPr>
        <w:t xml:space="preserve">l four levels have an environment minister. </w:t>
      </w:r>
      <w:r>
        <w:rPr>
          <w:rFonts w:cstheme="minorHAnsi"/>
          <w:noProof/>
          <w:sz w:val="20"/>
          <w:lang w:val="en-US"/>
        </w:rPr>
        <w:t>Implementation measures which need a common approach or distinct but coherent actions on the different levels are discussed within and decided by the Interministerial Conference for the Environment, which meets r</w:t>
      </w:r>
      <w:r>
        <w:rPr>
          <w:rFonts w:cstheme="minorHAnsi"/>
          <w:noProof/>
          <w:sz w:val="20"/>
          <w:lang w:val="en-US"/>
        </w:rPr>
        <w:t xml:space="preserve">egularly. </w:t>
      </w:r>
    </w:p>
    <w:p w:rsidR="0017500B" w:rsidRDefault="00390F61">
      <w:pPr>
        <w:widowControl w:val="0"/>
        <w:spacing w:after="120" w:line="240" w:lineRule="auto"/>
        <w:jc w:val="both"/>
        <w:rPr>
          <w:rFonts w:cstheme="minorHAnsi"/>
          <w:noProof/>
          <w:color w:val="000000"/>
          <w:sz w:val="20"/>
        </w:rPr>
      </w:pPr>
      <w:r>
        <w:rPr>
          <w:rFonts w:cstheme="minorHAnsi"/>
          <w:noProof/>
          <w:color w:val="000000"/>
          <w:sz w:val="20"/>
        </w:rPr>
        <w:t xml:space="preserve">The environmental agenda of the three regions and the federal government is dominated by the transposition and implementation of various recent EU Directives. One reason for some implementation delays is the evolving institutional framework and </w:t>
      </w:r>
      <w:r>
        <w:rPr>
          <w:rFonts w:cstheme="minorHAnsi"/>
          <w:noProof/>
          <w:color w:val="000000"/>
          <w:sz w:val="20"/>
        </w:rPr>
        <w:t>the coordination burden that this brings with the regions and the federal level.</w:t>
      </w:r>
    </w:p>
    <w:p w:rsidR="0017500B" w:rsidRDefault="00390F61">
      <w:pPr>
        <w:widowControl w:val="0"/>
        <w:spacing w:after="120" w:line="240" w:lineRule="auto"/>
        <w:jc w:val="both"/>
        <w:rPr>
          <w:rFonts w:cstheme="minorHAnsi"/>
          <w:noProof/>
          <w:color w:val="000000"/>
          <w:sz w:val="20"/>
        </w:rPr>
      </w:pPr>
      <w:r>
        <w:rPr>
          <w:rFonts w:cstheme="minorHAnsi"/>
          <w:noProof/>
          <w:color w:val="000000"/>
          <w:sz w:val="20"/>
          <w:lang w:eastAsia="en-GB"/>
        </w:rPr>
        <w:drawing>
          <wp:inline distT="0" distB="0" distL="0" distR="0" wp14:anchorId="489C66F7" wp14:editId="3326E4C1">
            <wp:extent cx="2985135" cy="198755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85135" cy="1987550"/>
                    </a:xfrm>
                    <a:prstGeom prst="rect">
                      <a:avLst/>
                    </a:prstGeom>
                    <a:noFill/>
                    <a:ln>
                      <a:noFill/>
                    </a:ln>
                  </pic:spPr>
                </pic:pic>
              </a:graphicData>
            </a:graphic>
          </wp:inline>
        </w:drawing>
      </w:r>
      <w:r>
        <w:rPr>
          <w:rFonts w:cstheme="minorHAnsi"/>
          <w:noProof/>
          <w:color w:val="000000"/>
          <w:sz w:val="20"/>
        </w:rPr>
        <w:t xml:space="preserve">Experience with enforcing the EU </w:t>
      </w:r>
      <w:r>
        <w:rPr>
          <w:rFonts w:cstheme="minorHAnsi"/>
          <w:i/>
          <w:noProof/>
          <w:color w:val="000000"/>
          <w:sz w:val="20"/>
        </w:rPr>
        <w:t>acquis</w:t>
      </w:r>
      <w:r>
        <w:rPr>
          <w:rFonts w:cstheme="minorHAnsi"/>
          <w:noProof/>
          <w:color w:val="000000"/>
          <w:sz w:val="20"/>
        </w:rPr>
        <w:t xml:space="preserve"> shows that Walloon and Brussels regions are relatively often asked to speed up their implementation efforts. This is maybe due to lack</w:t>
      </w:r>
      <w:r>
        <w:rPr>
          <w:rFonts w:cstheme="minorHAnsi"/>
          <w:noProof/>
          <w:color w:val="000000"/>
          <w:sz w:val="20"/>
        </w:rPr>
        <w:t>ing administrative capacity. However, it does not mean that the environmental ambition of these regions is any less as seen in their policy statements. The European Commission noted in the 2014 European Semester country report that cooperation and coordina</w:t>
      </w:r>
      <w:r>
        <w:rPr>
          <w:rFonts w:cstheme="minorHAnsi"/>
          <w:noProof/>
          <w:color w:val="000000"/>
          <w:sz w:val="20"/>
        </w:rPr>
        <w:t>tion between different levels is key for efficient public administration and that implementing the 6</w:t>
      </w:r>
      <w:r>
        <w:rPr>
          <w:rFonts w:cstheme="minorHAnsi"/>
          <w:noProof/>
          <w:color w:val="000000"/>
          <w:sz w:val="20"/>
          <w:vertAlign w:val="superscript"/>
        </w:rPr>
        <w:t>th</w:t>
      </w:r>
      <w:r>
        <w:rPr>
          <w:rFonts w:cstheme="minorHAnsi"/>
          <w:noProof/>
          <w:color w:val="000000"/>
          <w:sz w:val="20"/>
        </w:rPr>
        <w:t xml:space="preserve"> state reform is an opportunity and a challenge</w:t>
      </w:r>
      <w:r>
        <w:rPr>
          <w:rStyle w:val="FootnoteReference"/>
          <w:rFonts w:cstheme="minorHAnsi"/>
          <w:noProof/>
          <w:color w:val="000000"/>
          <w:sz w:val="20"/>
        </w:rPr>
        <w:footnoteReference w:id="182"/>
      </w:r>
      <w:r>
        <w:rPr>
          <w:rFonts w:cstheme="minorHAnsi"/>
          <w:noProof/>
          <w:color w:val="000000"/>
          <w:sz w:val="20"/>
        </w:rPr>
        <w:t>.</w:t>
      </w:r>
    </w:p>
    <w:p w:rsidR="0017500B" w:rsidRDefault="00390F61">
      <w:pPr>
        <w:widowControl w:val="0"/>
        <w:spacing w:after="120" w:line="240" w:lineRule="auto"/>
        <w:jc w:val="both"/>
        <w:rPr>
          <w:rFonts w:cstheme="minorHAnsi"/>
          <w:noProof/>
          <w:color w:val="000000"/>
          <w:sz w:val="20"/>
        </w:rPr>
      </w:pPr>
      <w:r>
        <w:rPr>
          <w:rFonts w:cstheme="minorHAnsi"/>
          <w:bCs/>
          <w:noProof/>
          <w:color w:val="000000"/>
          <w:sz w:val="20"/>
        </w:rPr>
        <w:t>Several measures have been presented at the different levels to simplify administrative procedures and r</w:t>
      </w:r>
      <w:r>
        <w:rPr>
          <w:rFonts w:cstheme="minorHAnsi"/>
          <w:bCs/>
          <w:noProof/>
          <w:color w:val="000000"/>
          <w:sz w:val="20"/>
        </w:rPr>
        <w:t>educe the reporting burden on businesses, particularly small ones.</w:t>
      </w:r>
      <w:r>
        <w:rPr>
          <w:rFonts w:cstheme="minorHAnsi"/>
          <w:b/>
          <w:bCs/>
          <w:noProof/>
          <w:color w:val="000000"/>
          <w:sz w:val="20"/>
        </w:rPr>
        <w:t xml:space="preserve"> </w:t>
      </w:r>
      <w:r>
        <w:rPr>
          <w:rFonts w:cstheme="minorHAnsi"/>
          <w:noProof/>
          <w:color w:val="000000"/>
          <w:sz w:val="20"/>
        </w:rPr>
        <w:t>A regulatory impact assessment (RIA), including an ‘SME test’, has been made mandatory for all federal draft regulations</w:t>
      </w:r>
      <w:r>
        <w:rPr>
          <w:rFonts w:cstheme="minorHAnsi"/>
          <w:noProof/>
          <w:color w:val="000000"/>
          <w:sz w:val="20"/>
          <w:vertAlign w:val="superscript"/>
        </w:rPr>
        <w:footnoteReference w:id="183"/>
      </w:r>
      <w:r>
        <w:rPr>
          <w:rFonts w:cstheme="minorHAnsi"/>
          <w:noProof/>
          <w:color w:val="000000"/>
          <w:sz w:val="20"/>
        </w:rPr>
        <w:t>. The RIA also tests for regulatory impacts on sustainable developme</w:t>
      </w:r>
      <w:r>
        <w:rPr>
          <w:rFonts w:cstheme="minorHAnsi"/>
          <w:noProof/>
          <w:color w:val="000000"/>
          <w:sz w:val="20"/>
        </w:rPr>
        <w:t>nt, including on air quality, biodiversity, climate change (mitigation and adaptation), mobility, energy, and natural resources</w:t>
      </w:r>
      <w:r>
        <w:rPr>
          <w:rFonts w:cstheme="minorHAnsi"/>
          <w:noProof/>
          <w:color w:val="000000"/>
          <w:sz w:val="20"/>
          <w:vertAlign w:val="superscript"/>
        </w:rPr>
        <w:footnoteReference w:id="184"/>
      </w:r>
      <w:r>
        <w:rPr>
          <w:rFonts w:cstheme="minorHAnsi"/>
          <w:noProof/>
          <w:color w:val="000000"/>
          <w:sz w:val="20"/>
        </w:rPr>
        <w:t>.</w:t>
      </w:r>
    </w:p>
    <w:p w:rsidR="0017500B" w:rsidRDefault="00390F61">
      <w:pPr>
        <w:widowControl w:val="0"/>
        <w:spacing w:after="120" w:line="240" w:lineRule="auto"/>
        <w:jc w:val="both"/>
        <w:rPr>
          <w:rFonts w:cstheme="minorHAnsi"/>
          <w:noProof/>
          <w:color w:val="1F497D"/>
          <w:sz w:val="20"/>
        </w:rPr>
      </w:pPr>
      <w:r>
        <w:rPr>
          <w:rFonts w:cstheme="minorHAnsi"/>
          <w:noProof/>
          <w:sz w:val="20"/>
        </w:rPr>
        <w:t xml:space="preserve">In some of the environmental cases where individuals or NGOs have gained access before the national courts over the past </w:t>
      </w:r>
      <w:r>
        <w:rPr>
          <w:rFonts w:cstheme="minorHAnsi"/>
          <w:noProof/>
          <w:sz w:val="20"/>
        </w:rPr>
        <w:t>years, the Belgian judges referred several requests for preliminary rulings to the EU Court of Justice. This represented a valuable contribution to the development of EU environment law, since preliminary rulings enable the Court of Justice to give a coher</w:t>
      </w:r>
      <w:r>
        <w:rPr>
          <w:rFonts w:cstheme="minorHAnsi"/>
          <w:noProof/>
          <w:sz w:val="20"/>
        </w:rPr>
        <w:t>ent interpretation of the EU law.</w:t>
      </w:r>
    </w:p>
    <w:p w:rsidR="0017500B" w:rsidRDefault="00390F61">
      <w:pPr>
        <w:widowControl w:val="0"/>
        <w:spacing w:after="120" w:line="240" w:lineRule="auto"/>
        <w:jc w:val="both"/>
        <w:rPr>
          <w:rFonts w:cstheme="minorHAnsi"/>
          <w:noProof/>
          <w:color w:val="000000"/>
          <w:sz w:val="20"/>
        </w:rPr>
      </w:pPr>
      <w:r>
        <w:rPr>
          <w:rFonts w:cstheme="minorHAnsi"/>
          <w:noProof/>
          <w:color w:val="000000"/>
          <w:sz w:val="20"/>
        </w:rPr>
        <w:t>The 2013 European Quality of Government Index gives Belgium a ranking 8th out of the 28 Member States with Flanders higher placed than Brussels and Wallonia</w:t>
      </w:r>
      <w:r>
        <w:rPr>
          <w:rFonts w:cstheme="minorHAnsi"/>
          <w:noProof/>
          <w:color w:val="000000"/>
          <w:sz w:val="20"/>
          <w:vertAlign w:val="superscript"/>
        </w:rPr>
        <w:footnoteReference w:id="185"/>
      </w:r>
      <w:r>
        <w:rPr>
          <w:rFonts w:cstheme="minorHAnsi"/>
          <w:noProof/>
          <w:color w:val="000000"/>
          <w:sz w:val="20"/>
        </w:rPr>
        <w:t>.</w:t>
      </w:r>
    </w:p>
    <w:p w:rsidR="0017500B" w:rsidRDefault="00390F61">
      <w:pPr>
        <w:widowControl w:val="0"/>
        <w:suppressAutoHyphens/>
        <w:spacing w:before="360" w:after="120" w:line="240" w:lineRule="auto"/>
        <w:jc w:val="both"/>
        <w:outlineLvl w:val="2"/>
        <w:rPr>
          <w:rFonts w:eastAsia="Calibri" w:cstheme="minorHAnsi"/>
          <w:b/>
          <w:noProof/>
          <w:color w:val="1F497D"/>
          <w:lang w:eastAsia="ar-SA"/>
        </w:rPr>
      </w:pPr>
      <w:r>
        <w:rPr>
          <w:rFonts w:eastAsia="Calibri" w:cstheme="minorHAnsi"/>
          <w:b/>
          <w:noProof/>
          <w:color w:val="1F497D"/>
          <w:lang w:eastAsia="ar-SA"/>
        </w:rPr>
        <w:t>Coordination and integration</w:t>
      </w:r>
    </w:p>
    <w:p w:rsidR="0017500B" w:rsidRDefault="00390F61">
      <w:pPr>
        <w:widowControl w:val="0"/>
        <w:spacing w:after="120" w:line="240" w:lineRule="auto"/>
        <w:jc w:val="both"/>
        <w:rPr>
          <w:rFonts w:cstheme="minorHAnsi"/>
          <w:noProof/>
          <w:color w:val="000000"/>
          <w:sz w:val="20"/>
        </w:rPr>
      </w:pPr>
      <w:r>
        <w:rPr>
          <w:rFonts w:cstheme="minorHAnsi"/>
          <w:noProof/>
          <w:color w:val="000000"/>
          <w:sz w:val="20"/>
        </w:rPr>
        <w:t>In certain areas the regions and t</w:t>
      </w:r>
      <w:r>
        <w:rPr>
          <w:rFonts w:cstheme="minorHAnsi"/>
          <w:noProof/>
          <w:color w:val="000000"/>
          <w:sz w:val="20"/>
        </w:rPr>
        <w:t>he federal level must conclude cooperation arrangements for implementing EU Directives (Seveso, REACH, EMAS, etc.). These agreements are effective cooperation tools. The aforementioned CCIEP provides co-ordination between the four Belgian entities competen</w:t>
      </w:r>
      <w:r>
        <w:rPr>
          <w:rFonts w:cstheme="minorHAnsi"/>
          <w:noProof/>
          <w:color w:val="000000"/>
          <w:sz w:val="20"/>
        </w:rPr>
        <w:t>t for environment since 1995 under the auspices of the Federal Environment ministry and organises also meetings with civil society and stakeholders. Coordination between the three regions is not always simple but there are also specific arrangements/struct</w:t>
      </w:r>
      <w:r>
        <w:rPr>
          <w:rFonts w:cstheme="minorHAnsi"/>
          <w:noProof/>
          <w:color w:val="000000"/>
          <w:sz w:val="20"/>
        </w:rPr>
        <w:t xml:space="preserve">ures like the Belgian Interregional Environment Agency (CELINE – IRCEL) and the Interregional Packaging Commission. </w:t>
      </w:r>
    </w:p>
    <w:p w:rsidR="0017500B" w:rsidRDefault="00390F61">
      <w:pPr>
        <w:widowControl w:val="0"/>
        <w:spacing w:after="120" w:line="240" w:lineRule="auto"/>
        <w:jc w:val="both"/>
        <w:rPr>
          <w:rFonts w:cstheme="minorHAnsi"/>
          <w:noProof/>
          <w:color w:val="000000"/>
          <w:sz w:val="20"/>
        </w:rPr>
      </w:pPr>
      <w:r>
        <w:rPr>
          <w:rFonts w:cstheme="minorHAnsi"/>
          <w:noProof/>
          <w:color w:val="000000"/>
          <w:sz w:val="20"/>
        </w:rPr>
        <w:t>The Interministerial Conference for the Environment</w:t>
      </w:r>
      <w:r>
        <w:rPr>
          <w:rFonts w:cstheme="minorHAnsi"/>
          <w:noProof/>
          <w:sz w:val="20"/>
          <w:vertAlign w:val="superscript"/>
          <w:lang w:val="en-US"/>
        </w:rPr>
        <w:footnoteReference w:id="186"/>
      </w:r>
      <w:r>
        <w:rPr>
          <w:rFonts w:cstheme="minorHAnsi"/>
          <w:noProof/>
          <w:sz w:val="20"/>
        </w:rPr>
        <w:t xml:space="preserve">, </w:t>
      </w:r>
      <w:r>
        <w:rPr>
          <w:rFonts w:cstheme="minorHAnsi"/>
          <w:noProof/>
          <w:color w:val="000000"/>
          <w:sz w:val="20"/>
        </w:rPr>
        <w:t>composed of regional and federal ministers whose portfolios include environment and n</w:t>
      </w:r>
      <w:r>
        <w:rPr>
          <w:rFonts w:cstheme="minorHAnsi"/>
          <w:noProof/>
          <w:color w:val="000000"/>
          <w:sz w:val="20"/>
        </w:rPr>
        <w:t>ature, takes decisions in cases that require a joint decision. The special act of 08.08.1980 on Institutional Reform lists specific topics in its remit</w:t>
      </w:r>
      <w:r>
        <w:rPr>
          <w:rFonts w:cstheme="minorHAnsi"/>
          <w:noProof/>
          <w:color w:val="00B050"/>
          <w:sz w:val="20"/>
          <w:lang w:val="en-US"/>
        </w:rPr>
        <w:t>.</w:t>
      </w:r>
    </w:p>
    <w:p w:rsidR="0017500B" w:rsidRDefault="00390F61">
      <w:pPr>
        <w:widowControl w:val="0"/>
        <w:spacing w:after="120" w:line="240" w:lineRule="auto"/>
        <w:jc w:val="both"/>
        <w:rPr>
          <w:rFonts w:cstheme="minorHAnsi"/>
          <w:noProof/>
          <w:sz w:val="20"/>
          <w:lang w:val="en-US"/>
        </w:rPr>
      </w:pPr>
      <w:r>
        <w:rPr>
          <w:rFonts w:cstheme="minorHAnsi"/>
          <w:noProof/>
          <w:sz w:val="20"/>
        </w:rPr>
        <w:t>There are sustainable development strategies for each of the regions and at the federal level. The nati</w:t>
      </w:r>
      <w:r>
        <w:rPr>
          <w:rFonts w:cstheme="minorHAnsi"/>
          <w:noProof/>
          <w:sz w:val="20"/>
        </w:rPr>
        <w:t xml:space="preserve">onal sustainable development strategy is also being updated by </w:t>
      </w:r>
      <w:r>
        <w:rPr>
          <w:rFonts w:cstheme="minorHAnsi"/>
          <w:noProof/>
          <w:sz w:val="20"/>
          <w:lang w:val="en-US"/>
        </w:rPr>
        <w:t>the inter-ministerial conference on sustainable development (IMCSD). This inter-ministerial conference was established in 2012 and is now revitalized due to the need of a coherent approach when</w:t>
      </w:r>
      <w:r>
        <w:rPr>
          <w:rFonts w:cstheme="minorHAnsi"/>
          <w:noProof/>
          <w:sz w:val="20"/>
          <w:lang w:val="en-US"/>
        </w:rPr>
        <w:t xml:space="preserve"> implementing the 2030 Agenda on Sustainable Development. It </w:t>
      </w:r>
      <w:r>
        <w:rPr>
          <w:rFonts w:cstheme="minorHAnsi"/>
          <w:noProof/>
          <w:sz w:val="20"/>
        </w:rPr>
        <w:t>gathers relevant ministers from the federal, regional and community levels and</w:t>
      </w:r>
      <w:r>
        <w:rPr>
          <w:rFonts w:cstheme="minorHAnsi"/>
          <w:noProof/>
          <w:sz w:val="20"/>
          <w:lang w:val="en-US"/>
        </w:rPr>
        <w:t xml:space="preserve"> was mandated to follow-up the implementation of the sustainable development agenda in Belgium. Technical working gro</w:t>
      </w:r>
      <w:r>
        <w:rPr>
          <w:rFonts w:cstheme="minorHAnsi"/>
          <w:noProof/>
          <w:sz w:val="20"/>
          <w:lang w:val="en-US"/>
        </w:rPr>
        <w:t>ups on ‘public procurements’, ‘international policy’, and of course the ‘national sustainable development strategy’ are set-up to prepare its decisions. The IMCSD ensures coherence and integration at vertical and horizontal levels.</w:t>
      </w:r>
    </w:p>
    <w:p w:rsidR="0017500B" w:rsidRDefault="00390F61">
      <w:pPr>
        <w:widowControl w:val="0"/>
        <w:spacing w:after="120" w:line="240" w:lineRule="auto"/>
        <w:jc w:val="both"/>
        <w:rPr>
          <w:rFonts w:cstheme="minorHAnsi"/>
          <w:noProof/>
          <w:sz w:val="20"/>
        </w:rPr>
      </w:pPr>
      <w:r>
        <w:rPr>
          <w:rFonts w:cstheme="minorHAnsi"/>
          <w:noProof/>
          <w:sz w:val="20"/>
          <w:lang w:val="en-US"/>
        </w:rPr>
        <w:t>With regard to the feder</w:t>
      </w:r>
      <w:r>
        <w:rPr>
          <w:rFonts w:cstheme="minorHAnsi"/>
          <w:noProof/>
          <w:sz w:val="20"/>
          <w:lang w:val="en-US"/>
        </w:rPr>
        <w:t xml:space="preserve">al level, there is also an administrative structure aimed at promoting sustainable development </w:t>
      </w:r>
      <w:r>
        <w:rPr>
          <w:rFonts w:cstheme="minorHAnsi"/>
          <w:noProof/>
          <w:sz w:val="20"/>
        </w:rPr>
        <w:t>(the Interdepartmental Commission for Sustainable Development (ICSD) grouping the sustainable development units of each administration).</w:t>
      </w:r>
      <w:r>
        <w:rPr>
          <w:rFonts w:cstheme="minorHAnsi"/>
          <w:i/>
          <w:iCs/>
          <w:noProof/>
          <w:sz w:val="20"/>
        </w:rPr>
        <w:t xml:space="preserve"> </w:t>
      </w:r>
      <w:r>
        <w:rPr>
          <w:rFonts w:cstheme="minorHAnsi"/>
          <w:noProof/>
          <w:sz w:val="20"/>
        </w:rPr>
        <w:t>As regards the civil soc</w:t>
      </w:r>
      <w:r>
        <w:rPr>
          <w:rFonts w:cstheme="minorHAnsi"/>
          <w:noProof/>
          <w:sz w:val="20"/>
        </w:rPr>
        <w:t>iety, their</w:t>
      </w:r>
      <w:r>
        <w:rPr>
          <w:rFonts w:cstheme="minorHAnsi"/>
          <w:i/>
          <w:iCs/>
          <w:noProof/>
          <w:sz w:val="20"/>
        </w:rPr>
        <w:t xml:space="preserve"> </w:t>
      </w:r>
      <w:r>
        <w:rPr>
          <w:rFonts w:cstheme="minorHAnsi"/>
          <w:noProof/>
          <w:sz w:val="20"/>
        </w:rPr>
        <w:t>representatives</w:t>
      </w:r>
      <w:r>
        <w:rPr>
          <w:rFonts w:cstheme="minorHAnsi"/>
          <w:noProof/>
          <w:sz w:val="20"/>
          <w:lang w:val="en-US"/>
        </w:rPr>
        <w:t xml:space="preserve"> are grouped in the Federal Council for Sustainable Development. </w:t>
      </w:r>
    </w:p>
    <w:p w:rsidR="0017500B" w:rsidRDefault="00390F61">
      <w:pPr>
        <w:widowControl w:val="0"/>
        <w:spacing w:after="120" w:line="240" w:lineRule="auto"/>
        <w:jc w:val="both"/>
        <w:rPr>
          <w:rFonts w:cstheme="minorHAnsi"/>
          <w:noProof/>
          <w:sz w:val="20"/>
        </w:rPr>
      </w:pPr>
      <w:r>
        <w:rPr>
          <w:rFonts w:cstheme="minorHAnsi"/>
          <w:noProof/>
          <w:sz w:val="20"/>
        </w:rPr>
        <w:t>The Federal Planning Bureau (FPB) publishes regularly reports to evaluate the progress towards sustainable development and to examine scenarios for the future. The</w:t>
      </w:r>
      <w:r>
        <w:rPr>
          <w:rFonts w:cstheme="minorHAnsi"/>
          <w:noProof/>
          <w:sz w:val="20"/>
        </w:rPr>
        <w:t>re is also a Federal Long-term Vision on Sustainable Development</w:t>
      </w:r>
      <w:r>
        <w:rPr>
          <w:rFonts w:cstheme="minorHAnsi"/>
          <w:noProof/>
          <w:sz w:val="20"/>
          <w:vertAlign w:val="superscript"/>
        </w:rPr>
        <w:footnoteReference w:id="187"/>
      </w:r>
      <w:r>
        <w:rPr>
          <w:rFonts w:cstheme="minorHAnsi"/>
          <w:noProof/>
          <w:sz w:val="20"/>
        </w:rPr>
        <w:t>, with 55 objectives, adopted by the federal government in 2013.</w:t>
      </w:r>
      <w:r>
        <w:rPr>
          <w:rFonts w:cstheme="minorHAnsi"/>
          <w:noProof/>
          <w:sz w:val="20"/>
          <w:vertAlign w:val="superscript"/>
        </w:rPr>
        <w:footnoteReference w:id="188"/>
      </w:r>
      <w:r>
        <w:rPr>
          <w:rFonts w:cstheme="minorHAnsi"/>
          <w:noProof/>
          <w:sz w:val="20"/>
        </w:rPr>
        <w:t xml:space="preserve"> The 2016 assessment</w:t>
      </w:r>
      <w:r>
        <w:rPr>
          <w:rFonts w:cstheme="minorHAnsi"/>
          <w:noProof/>
          <w:sz w:val="20"/>
          <w:vertAlign w:val="superscript"/>
        </w:rPr>
        <w:footnoteReference w:id="189"/>
      </w:r>
      <w:r>
        <w:rPr>
          <w:rFonts w:cstheme="minorHAnsi"/>
          <w:noProof/>
          <w:sz w:val="20"/>
        </w:rPr>
        <w:t xml:space="preserve"> focused on measuring progress towards the set of 17 SDG goals 2000-15 on the basis of 31 indicators, some of which are mentioned earlier in this Country Report.</w:t>
      </w:r>
    </w:p>
    <w:p w:rsidR="0017500B" w:rsidRDefault="00390F61">
      <w:pPr>
        <w:widowControl w:val="0"/>
        <w:spacing w:after="120" w:line="240" w:lineRule="auto"/>
        <w:jc w:val="both"/>
        <w:rPr>
          <w:rFonts w:cstheme="minorHAnsi"/>
          <w:noProof/>
          <w:sz w:val="20"/>
        </w:rPr>
      </w:pPr>
      <w:r>
        <w:rPr>
          <w:rFonts w:cstheme="minorHAnsi"/>
          <w:noProof/>
          <w:color w:val="000000"/>
          <w:sz w:val="20"/>
        </w:rPr>
        <w:t>Furthermore, there are various environment plans: in Flanders an Environmental Policy Plan (MI</w:t>
      </w:r>
      <w:r>
        <w:rPr>
          <w:rFonts w:cstheme="minorHAnsi"/>
          <w:noProof/>
          <w:color w:val="000000"/>
          <w:sz w:val="20"/>
        </w:rPr>
        <w:t>NA 4), in Wallonia and Brussels there are distinct Plans on Air-Climate-Energy, Waste etc. At the federal level there are plans on Biodiversity, Pesticide Reduction etc.</w:t>
      </w:r>
    </w:p>
    <w:p w:rsidR="0017500B" w:rsidRDefault="00390F61">
      <w:pPr>
        <w:widowControl w:val="0"/>
        <w:spacing w:after="120" w:line="240" w:lineRule="auto"/>
        <w:jc w:val="both"/>
        <w:rPr>
          <w:rFonts w:cstheme="minorHAnsi"/>
          <w:noProof/>
          <w:color w:val="000000"/>
          <w:sz w:val="20"/>
        </w:rPr>
      </w:pPr>
      <w:r>
        <w:rPr>
          <w:rFonts w:cstheme="minorHAnsi"/>
          <w:noProof/>
          <w:color w:val="000000"/>
          <w:sz w:val="20"/>
        </w:rPr>
        <w:t>The transposition of the revised EIA Directive</w:t>
      </w:r>
      <w:r>
        <w:rPr>
          <w:rFonts w:cstheme="minorHAnsi"/>
          <w:noProof/>
          <w:color w:val="000000"/>
          <w:sz w:val="20"/>
          <w:vertAlign w:val="superscript"/>
        </w:rPr>
        <w:footnoteReference w:id="190"/>
      </w:r>
      <w:r>
        <w:rPr>
          <w:rFonts w:cstheme="minorHAnsi"/>
          <w:noProof/>
          <w:color w:val="000000"/>
          <w:sz w:val="20"/>
          <w:vertAlign w:val="superscript"/>
        </w:rPr>
        <w:t xml:space="preserve"> </w:t>
      </w:r>
      <w:r>
        <w:rPr>
          <w:rFonts w:cstheme="minorHAnsi"/>
          <w:noProof/>
          <w:color w:val="000000"/>
          <w:sz w:val="20"/>
        </w:rPr>
        <w:t xml:space="preserve">will be an opportunity to streamline </w:t>
      </w:r>
      <w:r>
        <w:rPr>
          <w:rFonts w:cstheme="minorHAnsi"/>
          <w:noProof/>
          <w:color w:val="000000"/>
          <w:sz w:val="20"/>
        </w:rPr>
        <w:t>the regulatory framework on environmental assessments. The Commission encourages the streamlining of the environmental assessments because this approach reduces duplication and avoids unnecessary overlaps in environmental assessments applicable for a parti</w:t>
      </w:r>
      <w:r>
        <w:rPr>
          <w:rFonts w:cstheme="minorHAnsi"/>
          <w:noProof/>
          <w:color w:val="000000"/>
          <w:sz w:val="20"/>
        </w:rPr>
        <w:t>cular project. Moreover, streamlining helps reducing unnecessary administrative burden and accelerates decision-making, without compromising the quality of the environmental assessment procedure. The Commission has issued a guidance document in 2016</w:t>
      </w:r>
      <w:r>
        <w:rPr>
          <w:rFonts w:cstheme="minorHAnsi"/>
          <w:noProof/>
          <w:color w:val="000000"/>
          <w:sz w:val="20"/>
          <w:vertAlign w:val="superscript"/>
        </w:rPr>
        <w:footnoteReference w:id="191"/>
      </w:r>
      <w:r>
        <w:rPr>
          <w:rFonts w:cstheme="minorHAnsi"/>
          <w:noProof/>
          <w:color w:val="000000"/>
          <w:sz w:val="20"/>
          <w:vertAlign w:val="superscript"/>
        </w:rPr>
        <w:t xml:space="preserve"> </w:t>
      </w:r>
      <w:r>
        <w:rPr>
          <w:rFonts w:cstheme="minorHAnsi"/>
          <w:noProof/>
          <w:color w:val="000000"/>
          <w:sz w:val="20"/>
        </w:rPr>
        <w:t>regar</w:t>
      </w:r>
      <w:r>
        <w:rPr>
          <w:rFonts w:cstheme="minorHAnsi"/>
          <w:noProof/>
          <w:color w:val="000000"/>
          <w:sz w:val="20"/>
        </w:rPr>
        <w:t>ding the setting up of coordinated and/or joint procedures that are simultaneously subject to assessments under the EIA Directive, Habitats Directive, Water Framework Directive, and the Industrial Emissions Directive.</w:t>
      </w:r>
    </w:p>
    <w:p w:rsidR="0017500B" w:rsidRDefault="00390F61">
      <w:pPr>
        <w:widowControl w:val="0"/>
        <w:suppressAutoHyphens/>
        <w:spacing w:before="360" w:after="120" w:line="240" w:lineRule="auto"/>
        <w:jc w:val="both"/>
        <w:outlineLvl w:val="1"/>
        <w:rPr>
          <w:rFonts w:eastAsia="Calibri" w:cstheme="minorHAnsi"/>
          <w:b/>
          <w:noProof/>
          <w:color w:val="1F497D"/>
          <w:sz w:val="24"/>
          <w:lang w:eastAsia="ar-SA"/>
        </w:rPr>
      </w:pPr>
      <w:bookmarkStart w:id="35" w:name="_Toc456008527"/>
      <w:bookmarkStart w:id="36" w:name="_Toc469477507"/>
      <w:r>
        <w:rPr>
          <w:rFonts w:eastAsia="Calibri" w:cstheme="minorHAnsi"/>
          <w:b/>
          <w:noProof/>
          <w:color w:val="1F497D"/>
          <w:sz w:val="24"/>
          <w:lang w:eastAsia="ar-SA"/>
        </w:rPr>
        <w:t>Compliance assurance</w:t>
      </w:r>
      <w:bookmarkEnd w:id="35"/>
      <w:bookmarkEnd w:id="36"/>
    </w:p>
    <w:p w:rsidR="0017500B" w:rsidRDefault="00390F61">
      <w:pPr>
        <w:widowControl w:val="0"/>
        <w:shd w:val="clear" w:color="auto" w:fill="4F81BD"/>
        <w:suppressAutoHyphens/>
        <w:spacing w:after="120" w:line="240" w:lineRule="auto"/>
        <w:jc w:val="both"/>
        <w:rPr>
          <w:rFonts w:ascii="Calibri" w:eastAsia="Calibri" w:hAnsi="Calibri" w:cs="Times New Roman"/>
          <w:noProof/>
          <w:color w:val="FFFFFF"/>
          <w:sz w:val="20"/>
          <w:lang w:eastAsia="ar-SA"/>
        </w:rPr>
      </w:pPr>
      <w:r>
        <w:rPr>
          <w:rFonts w:ascii="Calibri" w:eastAsia="Calibri" w:hAnsi="Calibri" w:cs="Times New Roman"/>
          <w:noProof/>
          <w:color w:val="FFFFFF"/>
          <w:sz w:val="20"/>
          <w:lang w:eastAsia="ar-SA"/>
        </w:rPr>
        <w:t xml:space="preserve">EU law generally </w:t>
      </w:r>
      <w:r>
        <w:rPr>
          <w:rFonts w:ascii="Calibri" w:eastAsia="Calibri" w:hAnsi="Calibri" w:cs="Times New Roman"/>
          <w:noProof/>
          <w:color w:val="FFFFFF"/>
          <w:sz w:val="20"/>
          <w:lang w:eastAsia="ar-SA"/>
        </w:rPr>
        <w:t>and specific provisions on inspections, other checks, penalties and environmental liability help lay the basis for the systems Member States need to have in place to secure compliance with EU environmental rules.</w:t>
      </w:r>
    </w:p>
    <w:p w:rsidR="0017500B" w:rsidRDefault="00390F61">
      <w:pPr>
        <w:widowControl w:val="0"/>
        <w:spacing w:after="120" w:line="240" w:lineRule="auto"/>
        <w:jc w:val="both"/>
        <w:rPr>
          <w:rFonts w:cstheme="minorHAnsi"/>
          <w:noProof/>
          <w:sz w:val="20"/>
        </w:rPr>
      </w:pPr>
      <w:r>
        <w:rPr>
          <w:rFonts w:cstheme="minorHAnsi"/>
          <w:noProof/>
          <w:sz w:val="20"/>
        </w:rPr>
        <w:t>Public authorities help ensure accountabili</w:t>
      </w:r>
      <w:r>
        <w:rPr>
          <w:rFonts w:cstheme="minorHAnsi"/>
          <w:noProof/>
          <w:sz w:val="20"/>
        </w:rPr>
        <w:t>ty of duty-holders by monitoring and promoting compliance and by taking credible follow-up action (i.e. enforcement) when breaches occur or liabilities arise. Compliance monitoring can be done both on the initiative of authorities themselves and in respons</w:t>
      </w:r>
      <w:r>
        <w:rPr>
          <w:rFonts w:cstheme="minorHAnsi"/>
          <w:noProof/>
          <w:sz w:val="20"/>
        </w:rPr>
        <w:t>e to citizen complaints. It can involve using various kinds of checks, including inspections for permitted activities, surveillance for possible illegal activities, investigations for crimes and audits for systemic weaknesses. Similarly, there is a range o</w:t>
      </w:r>
      <w:r>
        <w:rPr>
          <w:rFonts w:cstheme="minorHAnsi"/>
          <w:noProof/>
          <w:sz w:val="20"/>
        </w:rPr>
        <w:t>f means to promote compliance, including awareness-raising campaigns, use of guidance documents and online information tools. Follow-up to breaches and liabilities can include administrative action (e.g. withdrawal of a permit), use of criminal law</w:t>
      </w:r>
      <w:r>
        <w:rPr>
          <w:rFonts w:cstheme="minorHAnsi"/>
          <w:noProof/>
          <w:sz w:val="20"/>
          <w:vertAlign w:val="superscript"/>
        </w:rPr>
        <w:footnoteReference w:id="192"/>
      </w:r>
      <w:r>
        <w:rPr>
          <w:rFonts w:cstheme="minorHAnsi"/>
          <w:noProof/>
          <w:sz w:val="20"/>
        </w:rPr>
        <w:t xml:space="preserve"> and ac</w:t>
      </w:r>
      <w:r>
        <w:rPr>
          <w:rFonts w:cstheme="minorHAnsi"/>
          <w:noProof/>
          <w:sz w:val="20"/>
        </w:rPr>
        <w:t>tion under liability law (e.g. required remediation after damage from an accident using liability rules) and contractual law (e.g. measures to require compliance with nature conservation contracts). Taken together, all of these interventions represent "com</w:t>
      </w:r>
      <w:r>
        <w:rPr>
          <w:rFonts w:cstheme="minorHAnsi"/>
          <w:noProof/>
          <w:sz w:val="20"/>
        </w:rPr>
        <w:t xml:space="preserve">pliance assurance" as shown in Figure 13. </w:t>
      </w:r>
    </w:p>
    <w:p w:rsidR="0017500B" w:rsidRDefault="00390F61">
      <w:pPr>
        <w:widowControl w:val="0"/>
        <w:spacing w:after="120" w:line="240" w:lineRule="auto"/>
        <w:jc w:val="both"/>
        <w:rPr>
          <w:rFonts w:cstheme="minorHAnsi"/>
          <w:noProof/>
          <w:sz w:val="20"/>
        </w:rPr>
      </w:pPr>
      <w:r>
        <w:rPr>
          <w:rFonts w:cstheme="minorHAnsi"/>
          <w:noProof/>
          <w:sz w:val="20"/>
        </w:rPr>
        <w:t>Best practice has moved towards a risk-based approach at strategic and operational levels in which the best mix of compliance monitoring, promotion and enforcement is directed at the most serious problems. Best pr</w:t>
      </w:r>
      <w:r>
        <w:rPr>
          <w:rFonts w:cstheme="minorHAnsi"/>
          <w:noProof/>
          <w:sz w:val="20"/>
        </w:rPr>
        <w:t>actice also recognises the need for coordination and cooperation between different authorities to ensure consistency, avoid duplication of work and reduce administrative burden. Active participation in established pan-European networks of inspectors, polic</w:t>
      </w:r>
      <w:r>
        <w:rPr>
          <w:rFonts w:cstheme="minorHAnsi"/>
          <w:noProof/>
          <w:sz w:val="20"/>
        </w:rPr>
        <w:t>e, prosecutors and judges, such as</w:t>
      </w:r>
      <w:r>
        <w:rPr>
          <w:rFonts w:cstheme="minorHAnsi"/>
          <w:i/>
          <w:noProof/>
          <w:sz w:val="20"/>
        </w:rPr>
        <w:t xml:space="preserve"> IMPEL</w:t>
      </w:r>
      <w:r>
        <w:rPr>
          <w:rFonts w:cstheme="minorHAnsi"/>
          <w:i/>
          <w:noProof/>
          <w:sz w:val="20"/>
          <w:vertAlign w:val="superscript"/>
        </w:rPr>
        <w:footnoteReference w:id="193"/>
      </w:r>
      <w:r>
        <w:rPr>
          <w:rFonts w:cstheme="minorHAnsi"/>
          <w:i/>
          <w:noProof/>
          <w:sz w:val="20"/>
        </w:rPr>
        <w:t>, EUFJE</w:t>
      </w:r>
      <w:r>
        <w:rPr>
          <w:rFonts w:cstheme="minorHAnsi"/>
          <w:i/>
          <w:noProof/>
          <w:sz w:val="20"/>
          <w:vertAlign w:val="superscript"/>
        </w:rPr>
        <w:footnoteReference w:id="194"/>
      </w:r>
      <w:r>
        <w:rPr>
          <w:rFonts w:cstheme="minorHAnsi"/>
          <w:i/>
          <w:noProof/>
          <w:sz w:val="20"/>
        </w:rPr>
        <w:t>, ENPE</w:t>
      </w:r>
      <w:r>
        <w:rPr>
          <w:rFonts w:cstheme="minorHAnsi"/>
          <w:i/>
          <w:noProof/>
          <w:sz w:val="20"/>
          <w:vertAlign w:val="superscript"/>
        </w:rPr>
        <w:footnoteReference w:id="195"/>
      </w:r>
      <w:r>
        <w:rPr>
          <w:rFonts w:cstheme="minorHAnsi"/>
          <w:i/>
          <w:noProof/>
          <w:sz w:val="20"/>
        </w:rPr>
        <w:t xml:space="preserve"> and EnviCrimeNet</w:t>
      </w:r>
      <w:r>
        <w:rPr>
          <w:rFonts w:cstheme="minorHAnsi"/>
          <w:i/>
          <w:noProof/>
          <w:sz w:val="20"/>
          <w:vertAlign w:val="superscript"/>
        </w:rPr>
        <w:footnoteReference w:id="196"/>
      </w:r>
      <w:r>
        <w:rPr>
          <w:rFonts w:cstheme="minorHAnsi"/>
          <w:noProof/>
          <w:sz w:val="20"/>
        </w:rPr>
        <w:t xml:space="preserve"> is a valuable tool for sharing experience and good practices.</w:t>
      </w:r>
    </w:p>
    <w:tbl>
      <w:tblPr>
        <w:tblW w:w="0" w:type="auto"/>
        <w:tblLook w:val="04A0" w:firstRow="1" w:lastRow="0" w:firstColumn="1" w:lastColumn="0" w:noHBand="0" w:noVBand="1"/>
      </w:tblPr>
      <w:tblGrid>
        <w:gridCol w:w="4905"/>
      </w:tblGrid>
      <w:tr w:rsidR="0017500B">
        <w:tc>
          <w:tcPr>
            <w:tcW w:w="4905" w:type="dxa"/>
          </w:tcPr>
          <w:p w:rsidR="0017500B" w:rsidRDefault="00390F61">
            <w:pPr>
              <w:widowControl w:val="0"/>
              <w:spacing w:after="120" w:line="240" w:lineRule="auto"/>
              <w:jc w:val="both"/>
              <w:rPr>
                <w:rFonts w:cstheme="minorHAnsi"/>
                <w:b/>
                <w:noProof/>
                <w:sz w:val="20"/>
                <w:szCs w:val="20"/>
              </w:rPr>
            </w:pPr>
            <w:r>
              <w:rPr>
                <w:rFonts w:cstheme="minorHAnsi"/>
                <w:b/>
                <w:noProof/>
                <w:color w:val="1F497D" w:themeColor="text2"/>
                <w:sz w:val="20"/>
                <w:szCs w:val="20"/>
              </w:rPr>
              <w:t>Figure 13: Environmental compliance assurance</w:t>
            </w:r>
          </w:p>
        </w:tc>
      </w:tr>
      <w:tr w:rsidR="0017500B">
        <w:tc>
          <w:tcPr>
            <w:tcW w:w="4905" w:type="dxa"/>
          </w:tcPr>
          <w:p w:rsidR="0017500B" w:rsidRDefault="00390F61">
            <w:pPr>
              <w:widowControl w:val="0"/>
              <w:spacing w:after="120" w:line="240" w:lineRule="auto"/>
              <w:jc w:val="both"/>
              <w:rPr>
                <w:rFonts w:cstheme="minorHAnsi"/>
                <w:noProof/>
                <w:sz w:val="20"/>
              </w:rPr>
            </w:pPr>
            <w:r>
              <w:rPr>
                <w:rFonts w:cstheme="minorHAnsi"/>
                <w:noProof/>
                <w:sz w:val="20"/>
                <w:lang w:eastAsia="en-GB"/>
              </w:rPr>
              <w:drawing>
                <wp:inline distT="0" distB="0" distL="0" distR="0" wp14:anchorId="76227D7A" wp14:editId="2434A875">
                  <wp:extent cx="2939415" cy="20783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939415" cy="2078355"/>
                          </a:xfrm>
                          <a:prstGeom prst="rect">
                            <a:avLst/>
                          </a:prstGeom>
                          <a:noFill/>
                          <a:ln>
                            <a:noFill/>
                          </a:ln>
                        </pic:spPr>
                      </pic:pic>
                    </a:graphicData>
                  </a:graphic>
                </wp:inline>
              </w:drawing>
            </w:r>
          </w:p>
        </w:tc>
      </w:tr>
    </w:tbl>
    <w:p w:rsidR="0017500B" w:rsidRDefault="00390F61">
      <w:pPr>
        <w:widowControl w:val="0"/>
        <w:spacing w:after="120" w:line="240" w:lineRule="auto"/>
        <w:jc w:val="both"/>
        <w:rPr>
          <w:rFonts w:cstheme="minorHAnsi"/>
          <w:noProof/>
          <w:sz w:val="20"/>
        </w:rPr>
      </w:pPr>
      <w:r>
        <w:rPr>
          <w:rFonts w:cstheme="minorHAnsi"/>
          <w:noProof/>
          <w:sz w:val="20"/>
        </w:rPr>
        <w:t xml:space="preserve">Currently, there exist a number of sectoral obligations on </w:t>
      </w:r>
      <w:r>
        <w:rPr>
          <w:rFonts w:cstheme="minorHAnsi"/>
          <w:noProof/>
          <w:sz w:val="20"/>
        </w:rPr>
        <w:t>inspections and the EU directive on environmental liability (ELD)</w:t>
      </w:r>
      <w:r>
        <w:rPr>
          <w:rFonts w:cstheme="minorHAnsi"/>
          <w:noProof/>
          <w:sz w:val="20"/>
          <w:vertAlign w:val="superscript"/>
        </w:rPr>
        <w:t xml:space="preserve"> </w:t>
      </w:r>
      <w:r>
        <w:rPr>
          <w:rFonts w:cstheme="minorHAnsi"/>
          <w:noProof/>
          <w:sz w:val="20"/>
          <w:vertAlign w:val="superscript"/>
        </w:rPr>
        <w:footnoteReference w:id="197"/>
      </w:r>
      <w:r>
        <w:rPr>
          <w:rFonts w:cstheme="minorHAnsi"/>
          <w:noProof/>
          <w:sz w:val="20"/>
        </w:rPr>
        <w:t xml:space="preserve"> provides a means of ensuring that the "polluter-pays principle" is applied when there are accidents and incidents that harm the environment. There is also publically available information </w:t>
      </w:r>
      <w:r>
        <w:rPr>
          <w:rFonts w:cstheme="minorHAnsi"/>
          <w:noProof/>
          <w:sz w:val="20"/>
        </w:rPr>
        <w:t xml:space="preserve">giving insights into existing strengths and weaknesses in each Member State. </w:t>
      </w:r>
    </w:p>
    <w:p w:rsidR="0017500B" w:rsidRDefault="00390F61">
      <w:pPr>
        <w:widowControl w:val="0"/>
        <w:spacing w:after="120" w:line="240" w:lineRule="auto"/>
        <w:jc w:val="both"/>
        <w:rPr>
          <w:rFonts w:cstheme="minorHAnsi"/>
          <w:noProof/>
          <w:sz w:val="20"/>
        </w:rPr>
      </w:pPr>
      <w:r>
        <w:rPr>
          <w:rFonts w:cstheme="minorHAnsi"/>
          <w:noProof/>
          <w:sz w:val="20"/>
        </w:rPr>
        <w:t>For each Member State, the following were therefore reviewed: use of risk-based compliance assurance; coordination and co-operation between authorities and participation in pan-E</w:t>
      </w:r>
      <w:r>
        <w:rPr>
          <w:rFonts w:cstheme="minorHAnsi"/>
          <w:noProof/>
          <w:sz w:val="20"/>
        </w:rPr>
        <w:t>uropean networks; and key aspects of implementation of the ELD based on the Commission's recently published implementation report and REFIT evaluation</w:t>
      </w:r>
      <w:r>
        <w:rPr>
          <w:rFonts w:cstheme="minorHAnsi"/>
          <w:noProof/>
          <w:sz w:val="20"/>
          <w:vertAlign w:val="superscript"/>
        </w:rPr>
        <w:footnoteReference w:id="198"/>
      </w:r>
      <w:r>
        <w:rPr>
          <w:rFonts w:cstheme="minorHAnsi"/>
          <w:noProof/>
          <w:sz w:val="20"/>
        </w:rPr>
        <w:t xml:space="preserve">. </w:t>
      </w:r>
    </w:p>
    <w:p w:rsidR="0017500B" w:rsidRDefault="00390F61">
      <w:pPr>
        <w:widowControl w:val="0"/>
        <w:spacing w:after="120" w:line="240" w:lineRule="auto"/>
        <w:jc w:val="both"/>
        <w:rPr>
          <w:rFonts w:cstheme="minorHAnsi"/>
          <w:noProof/>
          <w:sz w:val="20"/>
          <w:szCs w:val="20"/>
        </w:rPr>
      </w:pPr>
      <w:r>
        <w:rPr>
          <w:rFonts w:cstheme="minorHAnsi"/>
          <w:noProof/>
          <w:sz w:val="20"/>
          <w:szCs w:val="20"/>
        </w:rPr>
        <w:t>In Belgium, several important evidence-gathering and other measures have been taken to underpin a risk</w:t>
      </w:r>
      <w:r>
        <w:rPr>
          <w:rFonts w:cstheme="minorHAnsi"/>
          <w:noProof/>
          <w:sz w:val="20"/>
          <w:szCs w:val="20"/>
        </w:rPr>
        <w:t xml:space="preserve">-based approach to compliance assurance: </w:t>
      </w:r>
    </w:p>
    <w:p w:rsidR="0017500B" w:rsidRDefault="00390F61">
      <w:pPr>
        <w:widowControl w:val="0"/>
        <w:numPr>
          <w:ilvl w:val="0"/>
          <w:numId w:val="35"/>
        </w:numPr>
        <w:spacing w:after="0" w:line="240" w:lineRule="auto"/>
        <w:jc w:val="both"/>
        <w:rPr>
          <w:rFonts w:cstheme="minorHAnsi"/>
          <w:noProof/>
          <w:sz w:val="20"/>
          <w:szCs w:val="20"/>
        </w:rPr>
      </w:pPr>
      <w:r>
        <w:rPr>
          <w:rFonts w:cstheme="minorHAnsi"/>
          <w:noProof/>
          <w:sz w:val="20"/>
          <w:szCs w:val="20"/>
        </w:rPr>
        <w:t>Publication of detailed annual activities reports by the regional inspection bodies as well as annual environmental enforcement reports and priority notes on prosecution policy by the Flemish High Council of Enviro</w:t>
      </w:r>
      <w:r>
        <w:rPr>
          <w:rFonts w:cstheme="minorHAnsi"/>
          <w:noProof/>
          <w:sz w:val="20"/>
          <w:szCs w:val="20"/>
        </w:rPr>
        <w:t>nmental Enforcement, including a general evaluation of the regional environmental enforcement and recommendations for its improvement based on statistical data on inspections and prosecutions as well as on available resources</w:t>
      </w:r>
      <w:r>
        <w:rPr>
          <w:rFonts w:cstheme="minorHAnsi"/>
          <w:noProof/>
          <w:sz w:val="20"/>
          <w:szCs w:val="20"/>
          <w:vertAlign w:val="superscript"/>
        </w:rPr>
        <w:footnoteReference w:id="199"/>
      </w:r>
      <w:r>
        <w:rPr>
          <w:rFonts w:cstheme="minorHAnsi"/>
          <w:noProof/>
          <w:sz w:val="20"/>
          <w:szCs w:val="20"/>
        </w:rPr>
        <w:t>;</w:t>
      </w:r>
    </w:p>
    <w:p w:rsidR="0017500B" w:rsidRDefault="00390F61">
      <w:pPr>
        <w:widowControl w:val="0"/>
        <w:numPr>
          <w:ilvl w:val="0"/>
          <w:numId w:val="35"/>
        </w:numPr>
        <w:spacing w:after="0" w:line="240" w:lineRule="auto"/>
        <w:jc w:val="both"/>
        <w:rPr>
          <w:rFonts w:cstheme="minorHAnsi"/>
          <w:noProof/>
          <w:sz w:val="20"/>
          <w:szCs w:val="20"/>
        </w:rPr>
      </w:pPr>
      <w:r>
        <w:rPr>
          <w:rFonts w:cstheme="minorHAnsi"/>
          <w:noProof/>
          <w:color w:val="000000"/>
          <w:sz w:val="20"/>
          <w:szCs w:val="20"/>
          <w:lang w:val="en-US"/>
        </w:rPr>
        <w:t>Adoption of an annual “progr</w:t>
      </w:r>
      <w:r>
        <w:rPr>
          <w:rFonts w:cstheme="minorHAnsi"/>
          <w:noProof/>
          <w:color w:val="000000"/>
          <w:sz w:val="20"/>
          <w:szCs w:val="20"/>
          <w:lang w:val="en-US"/>
        </w:rPr>
        <w:t>am of inspection”, in accordance with  the Recommendation of the European Parliament and Council no. 2001/331/EC of 04/04/2001</w:t>
      </w:r>
      <w:r>
        <w:rPr>
          <w:rFonts w:cstheme="minorHAnsi"/>
          <w:noProof/>
          <w:color w:val="000000"/>
          <w:sz w:val="20"/>
          <w:szCs w:val="20"/>
          <w:vertAlign w:val="superscript"/>
          <w:lang w:val="en-US"/>
        </w:rPr>
        <w:footnoteReference w:id="200"/>
      </w:r>
      <w:r>
        <w:rPr>
          <w:rFonts w:cstheme="minorHAnsi"/>
          <w:noProof/>
          <w:color w:val="000000"/>
          <w:sz w:val="20"/>
          <w:szCs w:val="20"/>
          <w:lang w:val="en-US"/>
        </w:rPr>
        <w:t>.</w:t>
      </w:r>
    </w:p>
    <w:p w:rsidR="0017500B" w:rsidRDefault="00390F61">
      <w:pPr>
        <w:widowControl w:val="0"/>
        <w:numPr>
          <w:ilvl w:val="0"/>
          <w:numId w:val="35"/>
        </w:numPr>
        <w:spacing w:after="0" w:line="240" w:lineRule="auto"/>
        <w:jc w:val="both"/>
        <w:rPr>
          <w:rFonts w:cstheme="minorHAnsi"/>
          <w:noProof/>
          <w:sz w:val="20"/>
          <w:szCs w:val="20"/>
        </w:rPr>
      </w:pPr>
      <w:r>
        <w:rPr>
          <w:rFonts w:cstheme="minorHAnsi"/>
          <w:noProof/>
          <w:sz w:val="20"/>
          <w:szCs w:val="20"/>
        </w:rPr>
        <w:t xml:space="preserve">Use of protocols, model letters, electronic databases and agreements between different authorities to ensure uniform approach </w:t>
      </w:r>
      <w:r>
        <w:rPr>
          <w:rFonts w:cstheme="minorHAnsi"/>
          <w:noProof/>
          <w:sz w:val="20"/>
          <w:szCs w:val="20"/>
        </w:rPr>
        <w:t>and coordination</w:t>
      </w:r>
      <w:r>
        <w:rPr>
          <w:rFonts w:cstheme="minorHAnsi"/>
          <w:noProof/>
          <w:sz w:val="20"/>
          <w:szCs w:val="20"/>
          <w:vertAlign w:val="superscript"/>
        </w:rPr>
        <w:footnoteReference w:id="201"/>
      </w:r>
      <w:r>
        <w:rPr>
          <w:rFonts w:cstheme="minorHAnsi"/>
          <w:noProof/>
          <w:sz w:val="20"/>
          <w:szCs w:val="20"/>
        </w:rPr>
        <w:t>;</w:t>
      </w:r>
    </w:p>
    <w:p w:rsidR="0017500B" w:rsidRDefault="00390F61">
      <w:pPr>
        <w:widowControl w:val="0"/>
        <w:numPr>
          <w:ilvl w:val="0"/>
          <w:numId w:val="35"/>
        </w:numPr>
        <w:spacing w:after="0" w:line="240" w:lineRule="auto"/>
        <w:jc w:val="both"/>
        <w:rPr>
          <w:rFonts w:cstheme="minorHAnsi"/>
          <w:noProof/>
          <w:sz w:val="20"/>
          <w:szCs w:val="20"/>
        </w:rPr>
      </w:pPr>
      <w:r>
        <w:rPr>
          <w:rFonts w:cstheme="minorHAnsi"/>
          <w:noProof/>
          <w:sz w:val="20"/>
          <w:szCs w:val="20"/>
        </w:rPr>
        <w:t>Establishment of central unit within the federal judicial police specialised on combating serious environmental crime</w:t>
      </w:r>
      <w:r>
        <w:rPr>
          <w:rFonts w:cstheme="minorHAnsi"/>
          <w:noProof/>
          <w:sz w:val="20"/>
          <w:szCs w:val="20"/>
          <w:vertAlign w:val="superscript"/>
        </w:rPr>
        <w:footnoteReference w:id="202"/>
      </w:r>
      <w:r>
        <w:rPr>
          <w:rFonts w:cstheme="minorHAnsi"/>
          <w:noProof/>
          <w:sz w:val="20"/>
          <w:szCs w:val="20"/>
        </w:rPr>
        <w:t>.</w:t>
      </w:r>
    </w:p>
    <w:p w:rsidR="0017500B" w:rsidRDefault="00390F61">
      <w:pPr>
        <w:widowControl w:val="0"/>
        <w:numPr>
          <w:ilvl w:val="0"/>
          <w:numId w:val="35"/>
        </w:numPr>
        <w:spacing w:after="0" w:line="240" w:lineRule="auto"/>
        <w:jc w:val="both"/>
        <w:rPr>
          <w:rFonts w:cstheme="minorHAnsi"/>
          <w:noProof/>
          <w:sz w:val="20"/>
          <w:szCs w:val="20"/>
        </w:rPr>
      </w:pPr>
      <w:r>
        <w:rPr>
          <w:rFonts w:cstheme="minorHAnsi"/>
          <w:noProof/>
          <w:sz w:val="20"/>
          <w:szCs w:val="20"/>
        </w:rPr>
        <w:t>Adoption of a 2016-19 National Security Plan with a specific chapter on Environment</w:t>
      </w:r>
      <w:r>
        <w:rPr>
          <w:rFonts w:cstheme="minorHAnsi"/>
          <w:noProof/>
          <w:sz w:val="20"/>
          <w:szCs w:val="20"/>
          <w:vertAlign w:val="superscript"/>
        </w:rPr>
        <w:footnoteReference w:id="203"/>
      </w:r>
      <w:r>
        <w:rPr>
          <w:rFonts w:cstheme="minorHAnsi"/>
          <w:noProof/>
          <w:sz w:val="20"/>
          <w:szCs w:val="20"/>
        </w:rPr>
        <w:t>.</w:t>
      </w:r>
    </w:p>
    <w:p w:rsidR="0017500B" w:rsidRDefault="00390F61">
      <w:pPr>
        <w:widowControl w:val="0"/>
        <w:numPr>
          <w:ilvl w:val="0"/>
          <w:numId w:val="35"/>
        </w:numPr>
        <w:spacing w:after="0" w:line="240" w:lineRule="auto"/>
        <w:jc w:val="both"/>
        <w:rPr>
          <w:rFonts w:cstheme="minorHAnsi"/>
          <w:noProof/>
          <w:sz w:val="20"/>
          <w:szCs w:val="20"/>
        </w:rPr>
      </w:pPr>
      <w:r>
        <w:rPr>
          <w:rFonts w:cstheme="minorHAnsi"/>
          <w:noProof/>
          <w:color w:val="000000"/>
          <w:sz w:val="20"/>
          <w:szCs w:val="20"/>
        </w:rPr>
        <w:t xml:space="preserve">Adoption of a </w:t>
      </w:r>
      <w:r>
        <w:rPr>
          <w:rFonts w:cstheme="minorHAnsi"/>
          <w:noProof/>
          <w:color w:val="000000"/>
          <w:sz w:val="20"/>
          <w:szCs w:val="20"/>
          <w:lang w:val="en-US"/>
        </w:rPr>
        <w:t xml:space="preserve">new legislation </w:t>
      </w:r>
      <w:r>
        <w:rPr>
          <w:rFonts w:cstheme="minorHAnsi"/>
          <w:noProof/>
          <w:color w:val="000000"/>
          <w:sz w:val="20"/>
          <w:szCs w:val="20"/>
          <w:lang w:val="en-US"/>
        </w:rPr>
        <w:t>about the liability, inspection, prevention, identification and punishment of environmental offences</w:t>
      </w:r>
      <w:r>
        <w:rPr>
          <w:rFonts w:cstheme="minorHAnsi"/>
          <w:noProof/>
          <w:color w:val="000000"/>
          <w:sz w:val="20"/>
          <w:szCs w:val="20"/>
        </w:rPr>
        <w:t xml:space="preserve"> </w:t>
      </w:r>
      <w:r>
        <w:rPr>
          <w:rFonts w:cstheme="minorHAnsi"/>
          <w:noProof/>
          <w:color w:val="000000"/>
          <w:sz w:val="20"/>
          <w:szCs w:val="20"/>
          <w:lang w:val="en-US"/>
        </w:rPr>
        <w:t xml:space="preserve">by the Government of the Brussels-Capital Region </w:t>
      </w:r>
      <w:r>
        <w:rPr>
          <w:rFonts w:cstheme="minorHAnsi"/>
          <w:noProof/>
          <w:color w:val="000000"/>
          <w:sz w:val="20"/>
          <w:szCs w:val="20"/>
        </w:rPr>
        <w:t xml:space="preserve">in </w:t>
      </w:r>
      <w:r>
        <w:rPr>
          <w:rFonts w:cstheme="minorHAnsi"/>
          <w:noProof/>
          <w:color w:val="000000"/>
          <w:sz w:val="20"/>
          <w:szCs w:val="20"/>
          <w:lang w:val="en-US"/>
        </w:rPr>
        <w:t xml:space="preserve">2014, </w:t>
      </w:r>
      <w:r>
        <w:rPr>
          <w:rFonts w:cstheme="minorHAnsi"/>
          <w:bCs/>
          <w:noProof/>
          <w:color w:val="000000"/>
          <w:sz w:val="20"/>
          <w:szCs w:val="20"/>
        </w:rPr>
        <w:t xml:space="preserve">and related work to support its application including preparation of a </w:t>
      </w:r>
      <w:r>
        <w:rPr>
          <w:rFonts w:cstheme="minorHAnsi"/>
          <w:bCs/>
          <w:i/>
          <w:noProof/>
          <w:color w:val="000000"/>
          <w:sz w:val="20"/>
          <w:szCs w:val="20"/>
        </w:rPr>
        <w:t>vade mecum</w:t>
      </w:r>
      <w:r>
        <w:rPr>
          <w:rFonts w:cstheme="minorHAnsi"/>
          <w:bCs/>
          <w:noProof/>
          <w:color w:val="000000"/>
          <w:sz w:val="20"/>
          <w:szCs w:val="20"/>
        </w:rPr>
        <w:t xml:space="preserve"> for inspection </w:t>
      </w:r>
      <w:r>
        <w:rPr>
          <w:rFonts w:cstheme="minorHAnsi"/>
          <w:bCs/>
          <w:noProof/>
          <w:color w:val="000000"/>
          <w:sz w:val="20"/>
          <w:szCs w:val="20"/>
        </w:rPr>
        <w:t>officials, economic operators and other professionals and the general public</w:t>
      </w:r>
      <w:r>
        <w:rPr>
          <w:rFonts w:cstheme="minorHAnsi"/>
          <w:noProof/>
          <w:color w:val="000000"/>
          <w:sz w:val="20"/>
          <w:szCs w:val="20"/>
          <w:lang w:val="en-US"/>
        </w:rPr>
        <w:t>.</w:t>
      </w:r>
    </w:p>
    <w:p w:rsidR="0017500B" w:rsidRDefault="0017500B">
      <w:pPr>
        <w:widowControl w:val="0"/>
        <w:spacing w:after="0" w:line="240" w:lineRule="auto"/>
        <w:ind w:left="360"/>
        <w:jc w:val="both"/>
        <w:rPr>
          <w:rFonts w:cstheme="minorHAnsi"/>
          <w:i/>
          <w:noProof/>
          <w:sz w:val="20"/>
          <w:szCs w:val="20"/>
        </w:rPr>
      </w:pPr>
    </w:p>
    <w:p w:rsidR="0017500B" w:rsidRDefault="00390F61">
      <w:pPr>
        <w:widowControl w:val="0"/>
        <w:spacing w:after="120" w:line="240" w:lineRule="auto"/>
        <w:jc w:val="both"/>
        <w:rPr>
          <w:rFonts w:cstheme="minorHAnsi"/>
          <w:noProof/>
          <w:sz w:val="20"/>
        </w:rPr>
      </w:pPr>
      <w:r>
        <w:rPr>
          <w:rFonts w:cstheme="minorHAnsi"/>
          <w:noProof/>
          <w:sz w:val="20"/>
        </w:rPr>
        <w:t>Up-to-date information is lacking in relation to the following:</w:t>
      </w:r>
    </w:p>
    <w:p w:rsidR="0017500B" w:rsidRDefault="00390F61">
      <w:pPr>
        <w:widowControl w:val="0"/>
        <w:numPr>
          <w:ilvl w:val="0"/>
          <w:numId w:val="36"/>
        </w:numPr>
        <w:spacing w:after="0" w:line="240" w:lineRule="auto"/>
        <w:jc w:val="both"/>
        <w:rPr>
          <w:rFonts w:cstheme="minorHAnsi"/>
          <w:noProof/>
          <w:sz w:val="20"/>
          <w:szCs w:val="20"/>
        </w:rPr>
      </w:pPr>
      <w:r>
        <w:rPr>
          <w:rFonts w:cstheme="minorHAnsi"/>
          <w:noProof/>
          <w:sz w:val="20"/>
          <w:szCs w:val="20"/>
        </w:rPr>
        <w:t>The extent to which risk-based methods are used to direct compliance assurance in relation to specific problem-ar</w:t>
      </w:r>
      <w:r>
        <w:rPr>
          <w:rFonts w:cstheme="minorHAnsi"/>
          <w:noProof/>
          <w:sz w:val="20"/>
          <w:szCs w:val="20"/>
        </w:rPr>
        <w:t>eas highlighted elsewhere in this Country Report, i.e. the threats to protected habitat types and species, air quality breaches, the pressures on water quality from diffuse pollution</w:t>
      </w:r>
      <w:r>
        <w:rPr>
          <w:rFonts w:cstheme="minorHAnsi"/>
          <w:noProof/>
          <w:sz w:val="20"/>
          <w:szCs w:val="20"/>
          <w:vertAlign w:val="superscript"/>
        </w:rPr>
        <w:footnoteReference w:id="204"/>
      </w:r>
      <w:r>
        <w:rPr>
          <w:rFonts w:cstheme="minorHAnsi"/>
          <w:noProof/>
          <w:sz w:val="20"/>
          <w:szCs w:val="20"/>
        </w:rPr>
        <w:t xml:space="preserve"> and the deficit in urban waste-water treatment infrastructure in Walloni</w:t>
      </w:r>
      <w:r>
        <w:rPr>
          <w:rFonts w:cstheme="minorHAnsi"/>
          <w:noProof/>
          <w:sz w:val="20"/>
          <w:szCs w:val="20"/>
        </w:rPr>
        <w:t xml:space="preserve">a. </w:t>
      </w:r>
    </w:p>
    <w:p w:rsidR="0017500B" w:rsidRDefault="00390F61">
      <w:pPr>
        <w:widowControl w:val="0"/>
        <w:spacing w:before="240" w:after="120" w:line="240" w:lineRule="auto"/>
        <w:jc w:val="both"/>
        <w:rPr>
          <w:rFonts w:cstheme="minorHAnsi"/>
          <w:noProof/>
          <w:sz w:val="20"/>
        </w:rPr>
      </w:pPr>
      <w:r>
        <w:rPr>
          <w:rFonts w:cstheme="minorHAnsi"/>
          <w:noProof/>
          <w:sz w:val="20"/>
        </w:rPr>
        <w:t xml:space="preserve">Belgium very actively contributes to the work of IMPEL, EUFJE and ENPE. </w:t>
      </w:r>
    </w:p>
    <w:p w:rsidR="0017500B" w:rsidRDefault="00390F61">
      <w:pPr>
        <w:widowControl w:val="0"/>
        <w:spacing w:after="120" w:line="240" w:lineRule="auto"/>
        <w:jc w:val="both"/>
        <w:rPr>
          <w:rFonts w:cstheme="minorHAnsi"/>
          <w:noProof/>
          <w:sz w:val="20"/>
        </w:rPr>
      </w:pPr>
      <w:r>
        <w:rPr>
          <w:rFonts w:cstheme="minorHAnsi"/>
          <w:noProof/>
          <w:sz w:val="20"/>
        </w:rPr>
        <w:t>Although the Belgian authorities have carried out training on the ELD, little use has been made of it, with only one notification of environmental damage between 2007 and 2013. As</w:t>
      </w:r>
      <w:r>
        <w:rPr>
          <w:rFonts w:cstheme="minorHAnsi"/>
          <w:noProof/>
          <w:sz w:val="20"/>
        </w:rPr>
        <w:t xml:space="preserve"> regards financial security (to pay for remediation if an operator cannot), the available information indicates that there is little or no take-up of insurance. </w:t>
      </w:r>
    </w:p>
    <w:p w:rsidR="0017500B" w:rsidRDefault="00390F61">
      <w:pPr>
        <w:widowControl w:val="0"/>
        <w:suppressAutoHyphens/>
        <w:spacing w:after="120" w:line="240" w:lineRule="auto"/>
        <w:jc w:val="both"/>
        <w:outlineLvl w:val="3"/>
        <w:rPr>
          <w:rFonts w:eastAsia="Calibri" w:cstheme="minorHAnsi"/>
          <w:noProof/>
          <w:color w:val="1F497D"/>
          <w:szCs w:val="26"/>
          <w:lang w:eastAsia="ar-SA"/>
        </w:rPr>
      </w:pPr>
      <w:r>
        <w:rPr>
          <w:rFonts w:eastAsia="Calibri" w:cstheme="minorHAnsi"/>
          <w:noProof/>
          <w:color w:val="1F497D"/>
          <w:szCs w:val="26"/>
          <w:lang w:eastAsia="ar-SA"/>
        </w:rPr>
        <w:t>Suggested action</w:t>
      </w:r>
    </w:p>
    <w:p w:rsidR="0017500B" w:rsidRDefault="00390F61">
      <w:pPr>
        <w:pStyle w:val="ListParagraph"/>
        <w:widowControl w:val="0"/>
        <w:numPr>
          <w:ilvl w:val="0"/>
          <w:numId w:val="44"/>
        </w:numPr>
        <w:ind w:left="170" w:hanging="170"/>
        <w:rPr>
          <w:rFonts w:cstheme="minorHAnsi"/>
          <w:noProof/>
        </w:rPr>
      </w:pPr>
      <w:r>
        <w:rPr>
          <w:rFonts w:cstheme="minorHAnsi"/>
          <w:noProof/>
        </w:rPr>
        <w:t xml:space="preserve">Improve transparency on organisation and functioning of compliance assurance system and on how significant risks are addressed in particular in Wallonia and Brussels. </w:t>
      </w:r>
    </w:p>
    <w:p w:rsidR="0017500B" w:rsidRDefault="00390F61">
      <w:pPr>
        <w:pStyle w:val="ListParagraph"/>
        <w:widowControl w:val="0"/>
        <w:numPr>
          <w:ilvl w:val="0"/>
          <w:numId w:val="44"/>
        </w:numPr>
        <w:ind w:left="170" w:hanging="170"/>
        <w:rPr>
          <w:rFonts w:cstheme="minorHAnsi"/>
          <w:noProof/>
        </w:rPr>
      </w:pPr>
      <w:r>
        <w:rPr>
          <w:rFonts w:cstheme="minorHAnsi"/>
          <w:noProof/>
        </w:rPr>
        <w:t>Step up efforts in the implementation of the Environmental Liability Directive (ELD) wit</w:t>
      </w:r>
      <w:r>
        <w:rPr>
          <w:rFonts w:cstheme="minorHAnsi"/>
          <w:noProof/>
        </w:rPr>
        <w:t>h proactive initiatives, in particular by setting up a national register of ELD incidents. It should moreover take further steps to ensure an effective system of financial security for environmental liabilities (so that operators not only have insurance co</w:t>
      </w:r>
      <w:r>
        <w:rPr>
          <w:rFonts w:cstheme="minorHAnsi"/>
          <w:noProof/>
        </w:rPr>
        <w:t xml:space="preserve">ver available to them but actually take it up). </w:t>
      </w:r>
    </w:p>
    <w:p w:rsidR="0017500B" w:rsidRDefault="00390F61">
      <w:pPr>
        <w:widowControl w:val="0"/>
        <w:suppressAutoHyphens/>
        <w:spacing w:before="360" w:after="120" w:line="240" w:lineRule="auto"/>
        <w:jc w:val="both"/>
        <w:outlineLvl w:val="1"/>
        <w:rPr>
          <w:rFonts w:eastAsia="Calibri" w:cstheme="minorHAnsi"/>
          <w:b/>
          <w:noProof/>
          <w:color w:val="1F497D"/>
          <w:sz w:val="24"/>
          <w:lang w:eastAsia="ar-SA"/>
        </w:rPr>
      </w:pPr>
      <w:bookmarkStart w:id="37" w:name="_Toc439678163"/>
      <w:bookmarkStart w:id="38" w:name="_Toc456008528"/>
      <w:bookmarkStart w:id="39" w:name="_Toc469477508"/>
      <w:r>
        <w:rPr>
          <w:rFonts w:eastAsia="Calibri" w:cstheme="minorHAnsi"/>
          <w:b/>
          <w:noProof/>
          <w:color w:val="1F497D"/>
          <w:sz w:val="24"/>
          <w:lang w:eastAsia="ar-SA"/>
        </w:rPr>
        <w:t>Public participation and access to justice</w:t>
      </w:r>
      <w:bookmarkEnd w:id="37"/>
      <w:bookmarkEnd w:id="38"/>
      <w:bookmarkEnd w:id="39"/>
    </w:p>
    <w:p w:rsidR="0017500B" w:rsidRDefault="00390F61">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Aarhus Convention, related EU legislation on public participation and environmental impact assessment, and the case-law of the Court of Justice require that cit</w:t>
      </w:r>
      <w:r>
        <w:rPr>
          <w:rFonts w:cs="Times New Roman"/>
          <w:noProof/>
          <w:color w:val="FFFFFF" w:themeColor="background1"/>
          <w:sz w:val="20"/>
        </w:rPr>
        <w:t>izens and their associations should be able to participate in decision-making on projects and plans and should enjoy effective environmental access to justice.</w:t>
      </w:r>
    </w:p>
    <w:p w:rsidR="0017500B" w:rsidRDefault="00390F61">
      <w:pPr>
        <w:widowControl w:val="0"/>
        <w:spacing w:after="120" w:line="240" w:lineRule="auto"/>
        <w:jc w:val="both"/>
        <w:rPr>
          <w:rFonts w:cstheme="minorHAnsi"/>
          <w:noProof/>
          <w:sz w:val="20"/>
        </w:rPr>
      </w:pPr>
      <w:r>
        <w:rPr>
          <w:rFonts w:cstheme="minorHAnsi"/>
          <w:noProof/>
          <w:color w:val="000000"/>
          <w:sz w:val="20"/>
        </w:rPr>
        <w:t>Citizens can more effectively protect the environment if they can rely on the three "pillars" of</w:t>
      </w:r>
      <w:r>
        <w:rPr>
          <w:rFonts w:cstheme="minorHAnsi"/>
          <w:noProof/>
          <w:color w:val="000000"/>
          <w:sz w:val="20"/>
        </w:rPr>
        <w:t xml:space="preserve"> the</w:t>
      </w:r>
      <w:r>
        <w:rPr>
          <w:rFonts w:cstheme="minorHAnsi"/>
          <w:noProof/>
          <w:sz w:val="20"/>
        </w:rPr>
        <w:t xml:space="preserve"> Convention on Access to Information, Public Participation in Decision-making and Access to Justice in Environmental Matters ("the</w:t>
      </w:r>
      <w:r>
        <w:rPr>
          <w:rFonts w:cstheme="minorHAnsi"/>
          <w:b/>
          <w:noProof/>
          <w:sz w:val="20"/>
        </w:rPr>
        <w:t xml:space="preserve"> </w:t>
      </w:r>
      <w:r>
        <w:rPr>
          <w:rFonts w:cstheme="minorHAnsi"/>
          <w:noProof/>
          <w:color w:val="000000"/>
          <w:sz w:val="20"/>
        </w:rPr>
        <w:t xml:space="preserve">Aarhus Convention"). </w:t>
      </w:r>
      <w:r>
        <w:rPr>
          <w:rFonts w:cstheme="minorHAnsi"/>
          <w:noProof/>
          <w:sz w:val="20"/>
        </w:rPr>
        <w:t>Public participation in the administrative decision making process is an important element to ensure</w:t>
      </w:r>
      <w:r>
        <w:rPr>
          <w:rFonts w:cstheme="minorHAnsi"/>
          <w:noProof/>
          <w:sz w:val="20"/>
        </w:rPr>
        <w:t xml:space="preserve"> that the authority takes its decision on the best possible basis. The Commission intends to examine compliance with mandatory public participation requirements more systematically at a later stage.</w:t>
      </w:r>
    </w:p>
    <w:p w:rsidR="0017500B" w:rsidRDefault="00390F61">
      <w:pPr>
        <w:widowControl w:val="0"/>
        <w:spacing w:after="120" w:line="240" w:lineRule="auto"/>
        <w:jc w:val="both"/>
        <w:rPr>
          <w:rFonts w:cstheme="minorHAnsi"/>
          <w:noProof/>
          <w:sz w:val="20"/>
        </w:rPr>
      </w:pPr>
      <w:r>
        <w:rPr>
          <w:rFonts w:cstheme="minorHAnsi"/>
          <w:noProof/>
          <w:sz w:val="20"/>
        </w:rPr>
        <w:t>Access to justice in environmental matters is a set of gu</w:t>
      </w:r>
      <w:r>
        <w:rPr>
          <w:rFonts w:cstheme="minorHAnsi"/>
          <w:noProof/>
          <w:sz w:val="20"/>
        </w:rPr>
        <w:t>arantees that allows citizens and their associations to challenge acts or omissions of the public administration before a court. It is a tool for decentralised implementation of EU environmental law.</w:t>
      </w:r>
    </w:p>
    <w:p w:rsidR="0017500B" w:rsidRDefault="00390F61">
      <w:pPr>
        <w:widowControl w:val="0"/>
        <w:spacing w:after="120" w:line="240" w:lineRule="auto"/>
        <w:jc w:val="both"/>
        <w:rPr>
          <w:rFonts w:cstheme="minorHAnsi"/>
          <w:noProof/>
          <w:sz w:val="20"/>
        </w:rPr>
      </w:pPr>
      <w:r>
        <w:rPr>
          <w:rFonts w:cstheme="minorHAnsi"/>
          <w:noProof/>
          <w:sz w:val="20"/>
        </w:rPr>
        <w:t xml:space="preserve">For each Member State, two crucial elements for </w:t>
      </w:r>
      <w:r>
        <w:rPr>
          <w:rFonts w:cstheme="minorHAnsi"/>
          <w:noProof/>
          <w:sz w:val="20"/>
        </w:rPr>
        <w:t>effective access to justice have been systematically reviewed: the legal standing for the public, including NGOs and the extent to which prohibitive costs represent a barrier.</w:t>
      </w:r>
    </w:p>
    <w:p w:rsidR="0017500B" w:rsidRDefault="00390F61">
      <w:pPr>
        <w:widowControl w:val="0"/>
        <w:spacing w:after="120" w:line="240" w:lineRule="auto"/>
        <w:jc w:val="both"/>
        <w:rPr>
          <w:rFonts w:cstheme="minorHAnsi"/>
          <w:noProof/>
          <w:sz w:val="20"/>
          <w:szCs w:val="20"/>
        </w:rPr>
      </w:pPr>
      <w:r>
        <w:rPr>
          <w:rFonts w:cstheme="minorHAnsi"/>
          <w:noProof/>
          <w:sz w:val="20"/>
          <w:szCs w:val="20"/>
        </w:rPr>
        <w:t>The Belgian law provides for a number of judicial procedures which are available</w:t>
      </w:r>
      <w:r>
        <w:rPr>
          <w:rFonts w:cstheme="minorHAnsi"/>
          <w:noProof/>
          <w:sz w:val="20"/>
          <w:szCs w:val="20"/>
        </w:rPr>
        <w:t xml:space="preserve"> to individuals and NGOs to challenge acts and omissions of public authorities which contravene provisions of national and EU law relating to the environment. The interpretation of legal standing conditions by the courts for NGOs was now widened in accorda</w:t>
      </w:r>
      <w:r>
        <w:rPr>
          <w:rFonts w:cstheme="minorHAnsi"/>
          <w:noProof/>
          <w:sz w:val="20"/>
          <w:szCs w:val="20"/>
        </w:rPr>
        <w:t>nce with the findings of the Aarhus Convention Compliance Committee (Belgium ACCC/2005/11). Henceforth, the Council of State would no longer require the organisation to have a well-defined geographical area and an objective more specific than the general i</w:t>
      </w:r>
      <w:r>
        <w:rPr>
          <w:rFonts w:cstheme="minorHAnsi"/>
          <w:noProof/>
          <w:sz w:val="20"/>
          <w:szCs w:val="20"/>
        </w:rPr>
        <w:t>nterest of environmental protection to admit appeals of administrative acts with corresponding scopes. Under civil procedures the courts have reflected this development, which may matter for possible applications for interim reliefs against decisions contr</w:t>
      </w:r>
      <w:r>
        <w:rPr>
          <w:rFonts w:cstheme="minorHAnsi"/>
          <w:noProof/>
          <w:sz w:val="20"/>
          <w:szCs w:val="20"/>
        </w:rPr>
        <w:t>avening the law. This jurisprudence might reduce the serious obstacles NGOs faced in the past when they wished to challenge acts or omissions of public authorities which contravene environmental law in Belgium</w:t>
      </w:r>
      <w:r>
        <w:rPr>
          <w:rFonts w:cstheme="minorHAnsi"/>
          <w:noProof/>
          <w:sz w:val="20"/>
          <w:szCs w:val="20"/>
          <w:vertAlign w:val="superscript"/>
        </w:rPr>
        <w:footnoteReference w:id="205"/>
      </w:r>
      <w:r>
        <w:rPr>
          <w:rFonts w:cstheme="minorHAnsi"/>
          <w:noProof/>
          <w:sz w:val="20"/>
          <w:szCs w:val="20"/>
        </w:rPr>
        <w:t xml:space="preserve">. </w:t>
      </w:r>
    </w:p>
    <w:p w:rsidR="0017500B" w:rsidRDefault="00390F61">
      <w:pPr>
        <w:widowControl w:val="0"/>
        <w:suppressAutoHyphens/>
        <w:spacing w:after="120" w:line="240" w:lineRule="auto"/>
        <w:jc w:val="both"/>
        <w:outlineLvl w:val="3"/>
        <w:rPr>
          <w:rFonts w:eastAsia="Calibri" w:cstheme="minorHAnsi"/>
          <w:noProof/>
          <w:color w:val="1F497D"/>
          <w:szCs w:val="20"/>
          <w:lang w:eastAsia="ar-SA"/>
        </w:rPr>
      </w:pPr>
      <w:r>
        <w:rPr>
          <w:rFonts w:eastAsia="Calibri" w:cstheme="minorHAnsi"/>
          <w:noProof/>
          <w:color w:val="1F497D"/>
          <w:szCs w:val="26"/>
          <w:lang w:eastAsia="ar-SA"/>
        </w:rPr>
        <w:t>Suggested action</w:t>
      </w:r>
    </w:p>
    <w:p w:rsidR="0017500B" w:rsidRDefault="00390F61">
      <w:pPr>
        <w:pStyle w:val="ListParagraph"/>
        <w:widowControl w:val="0"/>
        <w:numPr>
          <w:ilvl w:val="0"/>
          <w:numId w:val="44"/>
        </w:numPr>
        <w:ind w:left="170" w:hanging="170"/>
        <w:rPr>
          <w:rFonts w:cstheme="minorHAnsi"/>
          <w:noProof/>
        </w:rPr>
      </w:pPr>
      <w:r>
        <w:rPr>
          <w:rFonts w:cstheme="minorHAnsi"/>
          <w:noProof/>
        </w:rPr>
        <w:t xml:space="preserve">Consolidate the standing </w:t>
      </w:r>
      <w:r>
        <w:rPr>
          <w:rFonts w:cstheme="minorHAnsi"/>
          <w:noProof/>
        </w:rPr>
        <w:t>of environmental NGOs to challenge acts or omissions of a public authority in all sectoral EU environmental laws, in full compliance with EU law as well as the Aarhus Convention, along the path opened by the Council of State.</w:t>
      </w:r>
    </w:p>
    <w:p w:rsidR="0017500B" w:rsidRDefault="0017500B">
      <w:pPr>
        <w:widowControl w:val="0"/>
        <w:rPr>
          <w:rFonts w:cstheme="minorHAnsi"/>
          <w:noProof/>
        </w:rPr>
      </w:pPr>
    </w:p>
    <w:p w:rsidR="0017500B" w:rsidRDefault="0017500B">
      <w:pPr>
        <w:widowControl w:val="0"/>
        <w:rPr>
          <w:rFonts w:cstheme="minorHAnsi"/>
          <w:noProof/>
        </w:rPr>
      </w:pPr>
    </w:p>
    <w:p w:rsidR="0017500B" w:rsidRDefault="0017500B">
      <w:pPr>
        <w:widowControl w:val="0"/>
        <w:rPr>
          <w:rFonts w:cstheme="minorHAnsi"/>
          <w:noProof/>
        </w:rPr>
      </w:pPr>
    </w:p>
    <w:p w:rsidR="0017500B" w:rsidRDefault="00390F61">
      <w:pPr>
        <w:widowControl w:val="0"/>
        <w:suppressAutoHyphens/>
        <w:spacing w:before="360" w:after="120" w:line="240" w:lineRule="auto"/>
        <w:jc w:val="both"/>
        <w:outlineLvl w:val="1"/>
        <w:rPr>
          <w:rFonts w:eastAsia="Calibri" w:cstheme="minorHAnsi"/>
          <w:b/>
          <w:noProof/>
          <w:color w:val="1F497D"/>
          <w:sz w:val="24"/>
          <w:lang w:eastAsia="ar-SA"/>
        </w:rPr>
      </w:pPr>
      <w:bookmarkStart w:id="40" w:name="_Toc456008529"/>
      <w:bookmarkStart w:id="41" w:name="_Toc469477509"/>
      <w:r>
        <w:rPr>
          <w:rFonts w:eastAsia="Calibri" w:cstheme="minorHAnsi"/>
          <w:b/>
          <w:noProof/>
          <w:color w:val="1F497D"/>
          <w:sz w:val="24"/>
          <w:lang w:eastAsia="ar-SA"/>
        </w:rPr>
        <w:t>Access to information, know</w:t>
      </w:r>
      <w:r>
        <w:rPr>
          <w:rFonts w:eastAsia="Calibri" w:cstheme="minorHAnsi"/>
          <w:b/>
          <w:noProof/>
          <w:color w:val="1F497D"/>
          <w:sz w:val="24"/>
          <w:lang w:eastAsia="ar-SA"/>
        </w:rPr>
        <w:t>ledge and evidence</w:t>
      </w:r>
      <w:bookmarkEnd w:id="40"/>
      <w:bookmarkEnd w:id="41"/>
    </w:p>
    <w:p w:rsidR="0017500B" w:rsidRDefault="00390F61">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Aarhus Convention and related EU legislation on access to information and the sharing of spatial data require that the public has access to clear information on the environment, including on how Union environmental law is being imple</w:t>
      </w:r>
      <w:r>
        <w:rPr>
          <w:rFonts w:cs="Times New Roman"/>
          <w:noProof/>
          <w:color w:val="FFFFFF" w:themeColor="background1"/>
          <w:sz w:val="20"/>
        </w:rPr>
        <w:t>mented.</w:t>
      </w:r>
    </w:p>
    <w:p w:rsidR="0017500B" w:rsidRDefault="00390F61">
      <w:pPr>
        <w:widowControl w:val="0"/>
        <w:spacing w:after="120" w:line="240" w:lineRule="auto"/>
        <w:jc w:val="both"/>
        <w:rPr>
          <w:rFonts w:cstheme="minorHAnsi"/>
          <w:noProof/>
          <w:sz w:val="20"/>
        </w:rPr>
      </w:pPr>
      <w:r>
        <w:rPr>
          <w:rFonts w:cstheme="minorHAnsi"/>
          <w:noProof/>
          <w:sz w:val="20"/>
        </w:rPr>
        <w:t>It is of crucial importance to public authorities, the public and business that environmental information is shared in an efficient and effective way. This covers reporting by businesses and public authorities and active dissemination to the public</w:t>
      </w:r>
      <w:r>
        <w:rPr>
          <w:rFonts w:cstheme="minorHAnsi"/>
          <w:noProof/>
          <w:sz w:val="20"/>
        </w:rPr>
        <w:t>, increasingly through electronic means.</w:t>
      </w:r>
    </w:p>
    <w:p w:rsidR="0017500B" w:rsidRDefault="00390F61">
      <w:pPr>
        <w:widowControl w:val="0"/>
        <w:spacing w:after="120" w:line="240" w:lineRule="auto"/>
        <w:jc w:val="both"/>
        <w:rPr>
          <w:rFonts w:cstheme="minorHAnsi"/>
          <w:noProof/>
          <w:sz w:val="20"/>
        </w:rPr>
      </w:pPr>
      <w:r>
        <w:rPr>
          <w:rFonts w:cstheme="minorHAnsi"/>
          <w:noProof/>
          <w:sz w:val="20"/>
        </w:rPr>
        <w:t>The three regions and the federal level publish on a regular basis environmental and sustainable development reports</w:t>
      </w:r>
      <w:r>
        <w:rPr>
          <w:rFonts w:cstheme="minorHAnsi"/>
          <w:noProof/>
          <w:sz w:val="20"/>
          <w:vertAlign w:val="superscript"/>
        </w:rPr>
        <w:footnoteReference w:id="206"/>
      </w:r>
      <w:r>
        <w:rPr>
          <w:rFonts w:cstheme="minorHAnsi"/>
          <w:noProof/>
          <w:sz w:val="20"/>
        </w:rPr>
        <w:t xml:space="preserve">. </w:t>
      </w:r>
    </w:p>
    <w:p w:rsidR="0017500B" w:rsidRDefault="00390F61">
      <w:pPr>
        <w:widowControl w:val="0"/>
        <w:spacing w:after="120" w:line="240" w:lineRule="auto"/>
        <w:jc w:val="both"/>
        <w:rPr>
          <w:rFonts w:cstheme="minorHAnsi"/>
          <w:noProof/>
          <w:sz w:val="20"/>
        </w:rPr>
      </w:pPr>
      <w:r>
        <w:rPr>
          <w:rFonts w:cstheme="minorHAnsi"/>
          <w:noProof/>
          <w:sz w:val="20"/>
        </w:rPr>
        <w:t>The Aarhus Convention</w:t>
      </w:r>
      <w:r>
        <w:rPr>
          <w:rFonts w:cstheme="minorHAnsi"/>
          <w:noProof/>
          <w:sz w:val="20"/>
          <w:vertAlign w:val="superscript"/>
        </w:rPr>
        <w:footnoteReference w:id="207"/>
      </w:r>
      <w:r>
        <w:rPr>
          <w:rFonts w:cstheme="minorHAnsi"/>
          <w:noProof/>
          <w:sz w:val="20"/>
        </w:rPr>
        <w:t>, the Access to Environmental Information Directive</w:t>
      </w:r>
      <w:r>
        <w:rPr>
          <w:rFonts w:cstheme="minorHAnsi"/>
          <w:noProof/>
          <w:sz w:val="20"/>
          <w:vertAlign w:val="superscript"/>
        </w:rPr>
        <w:footnoteReference w:id="208"/>
      </w:r>
      <w:r>
        <w:rPr>
          <w:rFonts w:cstheme="minorHAnsi"/>
          <w:noProof/>
          <w:sz w:val="20"/>
        </w:rPr>
        <w:t xml:space="preserve"> and the INSPIRE Dire</w:t>
      </w:r>
      <w:r>
        <w:rPr>
          <w:rFonts w:cstheme="minorHAnsi"/>
          <w:noProof/>
          <w:sz w:val="20"/>
        </w:rPr>
        <w:t>ctive</w:t>
      </w:r>
      <w:r>
        <w:rPr>
          <w:rFonts w:cstheme="minorHAnsi"/>
          <w:noProof/>
          <w:sz w:val="20"/>
          <w:vertAlign w:val="superscript"/>
        </w:rPr>
        <w:footnoteReference w:id="209"/>
      </w:r>
      <w:r>
        <w:rPr>
          <w:rFonts w:cstheme="minorHAnsi"/>
          <w:noProof/>
          <w:sz w:val="20"/>
        </w:rPr>
        <w:t xml:space="preserve"> together create a legal foundation for the sharing of environmental information between public authorities and with the public. They also represent the green part of the ongoing EU e-Government Action Plan</w:t>
      </w:r>
      <w:r>
        <w:rPr>
          <w:rFonts w:cstheme="minorHAnsi"/>
          <w:noProof/>
          <w:sz w:val="20"/>
          <w:vertAlign w:val="superscript"/>
        </w:rPr>
        <w:footnoteReference w:id="210"/>
      </w:r>
      <w:r>
        <w:rPr>
          <w:rFonts w:cstheme="minorHAnsi"/>
          <w:noProof/>
          <w:sz w:val="20"/>
        </w:rPr>
        <w:t>. The first two instruments create obligati</w:t>
      </w:r>
      <w:r>
        <w:rPr>
          <w:rFonts w:cstheme="minorHAnsi"/>
          <w:noProof/>
          <w:sz w:val="20"/>
        </w:rPr>
        <w:t>ons to provide information to the public, both on request and actively. The INSPIRE Directive is a pioneering instrument for electronic data-sharing between public authorities who can vary in their data-sharing policies, e.g. on whether access to data is f</w:t>
      </w:r>
      <w:r>
        <w:rPr>
          <w:rFonts w:cstheme="minorHAnsi"/>
          <w:noProof/>
          <w:sz w:val="20"/>
        </w:rPr>
        <w:t>or free. The INSPIRE Directive sets up a geoportal which indicates the level of shared spatial data in each Member State – i.e. data related to specific locations, such as air quality monitoring data. Amongst other benefits this data-sharing instrument can</w:t>
      </w:r>
      <w:r>
        <w:rPr>
          <w:rFonts w:cstheme="minorHAnsi"/>
          <w:noProof/>
          <w:sz w:val="20"/>
        </w:rPr>
        <w:t xml:space="preserve"> facilitate the public authorities' reporting obligations. </w:t>
      </w:r>
    </w:p>
    <w:p w:rsidR="0017500B" w:rsidRDefault="00390F61">
      <w:pPr>
        <w:widowControl w:val="0"/>
        <w:spacing w:after="120" w:line="240" w:lineRule="auto"/>
        <w:jc w:val="both"/>
        <w:rPr>
          <w:rFonts w:cstheme="minorHAnsi"/>
          <w:noProof/>
          <w:sz w:val="20"/>
        </w:rPr>
      </w:pPr>
      <w:r>
        <w:rPr>
          <w:rFonts w:cstheme="minorHAnsi"/>
          <w:noProof/>
          <w:sz w:val="20"/>
        </w:rPr>
        <w:t xml:space="preserve">For each Member State, the accessibility of environmental data (based on what the INSPIRE Directive envisages) as well as data-sharing policies ('open data') have been systematically reviewed. </w:t>
      </w:r>
    </w:p>
    <w:p w:rsidR="0017500B" w:rsidRDefault="00390F61">
      <w:pPr>
        <w:widowControl w:val="0"/>
        <w:spacing w:after="120" w:line="240" w:lineRule="auto"/>
        <w:jc w:val="both"/>
        <w:rPr>
          <w:rFonts w:cstheme="minorHAnsi"/>
          <w:noProof/>
          <w:sz w:val="20"/>
          <w:szCs w:val="20"/>
        </w:rPr>
      </w:pPr>
      <w:r>
        <w:rPr>
          <w:rFonts w:cstheme="minorHAnsi"/>
          <w:noProof/>
          <w:sz w:val="20"/>
          <w:szCs w:val="20"/>
        </w:rPr>
        <w:t>Be</w:t>
      </w:r>
      <w:r>
        <w:rPr>
          <w:rFonts w:cstheme="minorHAnsi"/>
          <w:noProof/>
          <w:sz w:val="20"/>
          <w:szCs w:val="20"/>
        </w:rPr>
        <w:t>lgium's performance on the implementation of the INSPIRE Directive as enabling framework to actively disseminate environmental information to the public leaves room for improvement. Belgium has indicated in the 3-yearly INSPIRE implementation report</w:t>
      </w:r>
      <w:r>
        <w:rPr>
          <w:rFonts w:cstheme="minorHAnsi"/>
          <w:noProof/>
          <w:sz w:val="20"/>
          <w:szCs w:val="20"/>
          <w:vertAlign w:val="superscript"/>
        </w:rPr>
        <w:footnoteReference w:id="211"/>
      </w:r>
      <w:r>
        <w:rPr>
          <w:rFonts w:cstheme="minorHAnsi"/>
          <w:noProof/>
          <w:sz w:val="20"/>
          <w:szCs w:val="20"/>
        </w:rPr>
        <w:t xml:space="preserve"> that </w:t>
      </w:r>
      <w:r>
        <w:rPr>
          <w:rFonts w:cstheme="minorHAnsi"/>
          <w:noProof/>
          <w:sz w:val="20"/>
          <w:szCs w:val="20"/>
        </w:rPr>
        <w:t>the necessary data-sharing policies allowing access and use of spatial data by national administrations, other Member States' administrations and EU institutions without procedural obstacles are not fully available or implemented. Belgium has no common mod</w:t>
      </w:r>
      <w:r>
        <w:rPr>
          <w:rFonts w:cstheme="minorHAnsi"/>
          <w:noProof/>
          <w:sz w:val="20"/>
          <w:szCs w:val="20"/>
        </w:rPr>
        <w:t>el for data sharing for the different administrative levels. Efforts and progress have been made on the different levels. Most regional data has been made accessible under regional open data licenses, but the national coordination of the different data-sha</w:t>
      </w:r>
      <w:r>
        <w:rPr>
          <w:rFonts w:cstheme="minorHAnsi"/>
          <w:noProof/>
          <w:sz w:val="20"/>
          <w:szCs w:val="20"/>
        </w:rPr>
        <w:t>ring policies still remains an obstacle. Assessments of monitoring reports</w:t>
      </w:r>
      <w:r>
        <w:rPr>
          <w:rFonts w:cstheme="minorHAnsi"/>
          <w:noProof/>
          <w:sz w:val="20"/>
          <w:szCs w:val="20"/>
          <w:vertAlign w:val="superscript"/>
        </w:rPr>
        <w:footnoteReference w:id="212"/>
      </w:r>
      <w:r>
        <w:rPr>
          <w:rFonts w:cstheme="minorHAnsi"/>
          <w:noProof/>
          <w:sz w:val="20"/>
          <w:szCs w:val="20"/>
        </w:rPr>
        <w:t xml:space="preserve"> issued by Belgium and the spatial information that Belgium has published on the INSPIRE geoportal</w:t>
      </w:r>
      <w:r>
        <w:rPr>
          <w:rFonts w:cstheme="minorHAnsi"/>
          <w:noProof/>
          <w:sz w:val="20"/>
          <w:szCs w:val="20"/>
          <w:vertAlign w:val="superscript"/>
        </w:rPr>
        <w:footnoteReference w:id="213"/>
      </w:r>
      <w:r>
        <w:rPr>
          <w:rFonts w:cstheme="minorHAnsi"/>
          <w:noProof/>
          <w:sz w:val="20"/>
          <w:szCs w:val="20"/>
        </w:rPr>
        <w:t xml:space="preserve"> indicate that not all spatial information needed for the evaluation and implement</w:t>
      </w:r>
      <w:r>
        <w:rPr>
          <w:rFonts w:cstheme="minorHAnsi"/>
          <w:noProof/>
          <w:sz w:val="20"/>
          <w:szCs w:val="20"/>
        </w:rPr>
        <w:t xml:space="preserve">ation of EU environmental law has been made available or is accessible. The identification of the missing spatial information and the links with environmental data required to be made available under the existing reporting and monitoring regulations of EU </w:t>
      </w:r>
      <w:r>
        <w:rPr>
          <w:rFonts w:cstheme="minorHAnsi"/>
          <w:noProof/>
          <w:sz w:val="20"/>
          <w:szCs w:val="20"/>
        </w:rPr>
        <w:t>environmental law is under way.</w:t>
      </w:r>
    </w:p>
    <w:p w:rsidR="0017500B" w:rsidRDefault="00390F61">
      <w:pPr>
        <w:widowControl w:val="0"/>
        <w:spacing w:after="120" w:line="240" w:lineRule="auto"/>
        <w:jc w:val="both"/>
        <w:rPr>
          <w:rFonts w:cstheme="minorHAnsi"/>
          <w:noProof/>
          <w:sz w:val="20"/>
          <w:szCs w:val="20"/>
        </w:rPr>
      </w:pPr>
      <w:r>
        <w:rPr>
          <w:rFonts w:eastAsia="Calibri" w:cstheme="minorHAnsi"/>
          <w:noProof/>
          <w:color w:val="1F497D"/>
          <w:szCs w:val="26"/>
          <w:lang w:eastAsia="ar-SA"/>
        </w:rPr>
        <w:t>Suggested action</w:t>
      </w:r>
    </w:p>
    <w:p w:rsidR="0017500B" w:rsidRDefault="00390F61">
      <w:pPr>
        <w:pStyle w:val="ListParagraph"/>
        <w:widowControl w:val="0"/>
        <w:numPr>
          <w:ilvl w:val="0"/>
          <w:numId w:val="44"/>
        </w:numPr>
        <w:ind w:left="170" w:hanging="170"/>
        <w:rPr>
          <w:rFonts w:cstheme="minorHAnsi"/>
          <w:noProof/>
        </w:rPr>
      </w:pPr>
      <w:r>
        <w:rPr>
          <w:rFonts w:cstheme="minorHAnsi"/>
          <w:noProof/>
        </w:rPr>
        <w:t xml:space="preserve">Critically review the effectiveness of Belgium's data policies and amend them, taking 'best practices' into consideration. </w:t>
      </w:r>
    </w:p>
    <w:p w:rsidR="0017500B" w:rsidRDefault="00390F61">
      <w:pPr>
        <w:pStyle w:val="ListParagraph"/>
        <w:widowControl w:val="0"/>
        <w:numPr>
          <w:ilvl w:val="0"/>
          <w:numId w:val="44"/>
        </w:numPr>
        <w:ind w:left="170" w:hanging="170"/>
        <w:rPr>
          <w:rFonts w:cstheme="minorHAnsi"/>
          <w:noProof/>
        </w:rPr>
      </w:pPr>
      <w:r>
        <w:rPr>
          <w:rFonts w:cstheme="minorHAnsi"/>
          <w:noProof/>
        </w:rPr>
        <w:t xml:space="preserve">Identify and document all spatial data sets required for the implementation of </w:t>
      </w:r>
      <w:r>
        <w:rPr>
          <w:rFonts w:cstheme="minorHAnsi"/>
          <w:noProof/>
        </w:rPr>
        <w:t>environmental law, and make the data and documentation at least accessible 'as is' to other public authorities and the public through the digital services foreseen in the INSPIRE Directive.</w:t>
      </w:r>
    </w:p>
    <w:p w:rsidR="0017500B" w:rsidRDefault="0017500B">
      <w:pPr>
        <w:widowControl w:val="0"/>
        <w:spacing w:after="120" w:line="240" w:lineRule="auto"/>
        <w:ind w:right="-230"/>
        <w:jc w:val="both"/>
        <w:rPr>
          <w:rFonts w:ascii="Times New Roman" w:hAnsi="Times New Roman"/>
          <w:noProof/>
          <w:sz w:val="20"/>
        </w:rPr>
      </w:pPr>
    </w:p>
    <w:p w:rsidR="0017500B" w:rsidRDefault="0017500B">
      <w:pPr>
        <w:widowControl w:val="0"/>
        <w:suppressLineNumbers/>
        <w:jc w:val="center"/>
        <w:rPr>
          <w:noProof/>
        </w:rPr>
      </w:pPr>
    </w:p>
    <w:sectPr w:rsidR="0017500B">
      <w:headerReference w:type="even" r:id="rId113"/>
      <w:headerReference w:type="default" r:id="rId114"/>
      <w:footerReference w:type="even" r:id="rId115"/>
      <w:footerReference w:type="default" r:id="rId116"/>
      <w:headerReference w:type="first" r:id="rId117"/>
      <w:footerReference w:type="first" r:id="rId118"/>
      <w:type w:val="continuous"/>
      <w:pgSz w:w="11906" w:h="16838"/>
      <w:pgMar w:top="1440" w:right="1080" w:bottom="1440" w:left="1080" w:header="708" w:footer="708" w:gutter="0"/>
      <w:cols w:num="2" w:space="36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00B" w:rsidRDefault="00390F61">
      <w:pPr>
        <w:spacing w:after="0" w:line="240" w:lineRule="auto"/>
      </w:pPr>
      <w:r>
        <w:separator/>
      </w:r>
    </w:p>
  </w:endnote>
  <w:endnote w:type="continuationSeparator" w:id="0">
    <w:p w:rsidR="0017500B" w:rsidRDefault="00390F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dvOTbc475f09">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F61" w:rsidRPr="00390F61" w:rsidRDefault="00390F61" w:rsidP="00390F6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390F61">
    <w:pPr>
      <w:pStyle w:val="Footer"/>
      <w:jc w:val="center"/>
      <w:rPr>
        <w:lang w:val="fr-BE"/>
      </w:rPr>
    </w:pPr>
    <w:r>
      <w:rPr>
        <w:lang w:val="fr-BE"/>
      </w:rPr>
      <w:t xml:space="preserve">Environmental Implementation Report 2016 – </w:t>
    </w:r>
    <w:r>
      <w:rPr>
        <w:lang w:val="fr-BE"/>
      </w:rPr>
      <w:t>Belgium</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390F61">
    <w:pPr>
      <w:pStyle w:val="Footer"/>
      <w:jc w:val="center"/>
      <w:rPr>
        <w:lang w:val="fr-BE"/>
      </w:rPr>
    </w:pPr>
    <w:r>
      <w:rPr>
        <w:lang w:val="fr-BE"/>
      </w:rPr>
      <w:t>Environmental Implementation Report 2016 – Belgium</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390F61">
    <w:pPr>
      <w:pStyle w:val="Footer"/>
      <w:jc w:val="center"/>
      <w:rPr>
        <w:lang w:val="fr-BE"/>
      </w:rPr>
    </w:pPr>
    <w:r>
      <w:rPr>
        <w:lang w:val="fr-BE"/>
      </w:rPr>
      <w:t>Environmental Implementation Report – Belgium</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F61" w:rsidRPr="00390F61" w:rsidRDefault="00390F61" w:rsidP="00390F61">
    <w:pPr>
      <w:pStyle w:val="FooterCoverPage"/>
      <w:rPr>
        <w:rFonts w:ascii="Arial" w:hAnsi="Arial" w:cs="Arial"/>
        <w:b/>
        <w:sz w:val="48"/>
      </w:rPr>
    </w:pPr>
    <w:r w:rsidRPr="00390F61">
      <w:rPr>
        <w:rFonts w:ascii="Arial" w:hAnsi="Arial" w:cs="Arial"/>
        <w:b/>
        <w:sz w:val="48"/>
      </w:rPr>
      <w:t>EN</w:t>
    </w:r>
    <w:r w:rsidRPr="00390F61">
      <w:rPr>
        <w:rFonts w:ascii="Arial" w:hAnsi="Arial" w:cs="Arial"/>
        <w:b/>
        <w:sz w:val="48"/>
      </w:rPr>
      <w:tab/>
    </w:r>
    <w:r w:rsidRPr="00390F61">
      <w:rPr>
        <w:rFonts w:ascii="Arial" w:hAnsi="Arial" w:cs="Arial"/>
        <w:b/>
        <w:sz w:val="48"/>
      </w:rPr>
      <w:tab/>
    </w:r>
    <w:fldSimple w:instr=" DOCVARIABLE &quot;LW_Confidence&quot; \* MERGEFORMAT ">
      <w:r>
        <w:t xml:space="preserve"> </w:t>
      </w:r>
    </w:fldSimple>
    <w:r w:rsidRPr="00390F61">
      <w:tab/>
    </w:r>
    <w:r w:rsidRPr="00390F61">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390F61">
    <w:pPr>
      <w:pStyle w:val="Footer"/>
      <w:jc w:val="center"/>
      <w:rPr>
        <w:lang w:val="fr-BE"/>
      </w:rPr>
    </w:pPr>
    <w:r>
      <w:rPr>
        <w:lang w:val="fr-BE"/>
      </w:rPr>
      <w:t>Environmental Implementation Report – Belgium</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390F61">
    <w:pPr>
      <w:pStyle w:val="Footer"/>
      <w:jc w:val="center"/>
      <w:rPr>
        <w:lang w:val="fr-BE"/>
      </w:rPr>
    </w:pPr>
    <w:r>
      <w:rPr>
        <w:lang w:val="fr-BE"/>
      </w:rPr>
      <w:t>Environmental Implementation Report - Belgium</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390F61">
    <w:pPr>
      <w:pStyle w:val="Footer"/>
      <w:jc w:val="center"/>
      <w:rPr>
        <w:lang w:val="fr-BE"/>
      </w:rPr>
    </w:pPr>
    <w:r>
      <w:rPr>
        <w:lang w:val="fr-BE"/>
      </w:rPr>
      <w:t>Environmental Implementation Report – Belgium</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390F61">
    <w:pPr>
      <w:pStyle w:val="Footer"/>
      <w:jc w:val="center"/>
      <w:rPr>
        <w:lang w:val="fr-BE"/>
      </w:rPr>
    </w:pPr>
    <w:r>
      <w:rPr>
        <w:lang w:val="fr-BE"/>
      </w:rPr>
      <w:t>Environmental Implementation Report – Belgium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F61" w:rsidRPr="00390F61" w:rsidRDefault="00390F61" w:rsidP="00390F61">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390F61">
    <w:pPr>
      <w:pStyle w:val="Footer"/>
      <w:jc w:val="center"/>
      <w:rPr>
        <w:lang w:val="fr-BE"/>
      </w:rPr>
    </w:pPr>
    <w:r>
      <w:rPr>
        <w:lang w:val="fr-BE"/>
      </w:rPr>
      <w:t>Environmental Implementation Report – Belgium</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390F61">
    <w:pPr>
      <w:pStyle w:val="Footer"/>
      <w:jc w:val="center"/>
      <w:rPr>
        <w:lang w:val="fr-BE"/>
      </w:rPr>
    </w:pPr>
    <w:r>
      <w:rPr>
        <w:lang w:val="fr-BE"/>
      </w:rPr>
      <w:t>Environmental Implementation Report – Belgium</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390F61">
    <w:pPr>
      <w:pStyle w:val="Footer"/>
      <w:jc w:val="center"/>
      <w:rPr>
        <w:lang w:val="fr-BE"/>
      </w:rPr>
    </w:pPr>
    <w:r>
      <w:rPr>
        <w:lang w:val="fr-BE"/>
      </w:rPr>
      <w:t>Environmental Implementation Report – Belgium</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390F61">
    <w:pPr>
      <w:pStyle w:val="Footer"/>
      <w:jc w:val="center"/>
      <w:rPr>
        <w:lang w:val="fr-BE"/>
      </w:rPr>
    </w:pPr>
    <w:r>
      <w:rPr>
        <w:lang w:val="fr-BE"/>
      </w:rPr>
      <w:t xml:space="preserve">Environmental Implementation </w:t>
    </w:r>
    <w:r>
      <w:rPr>
        <w:lang w:val="fr-BE"/>
      </w:rPr>
      <w:t>Report – Belgium</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390F61">
    <w:pPr>
      <w:pStyle w:val="Footer"/>
      <w:jc w:val="center"/>
      <w:rPr>
        <w:lang w:val="fr-BE"/>
      </w:rPr>
    </w:pPr>
    <w:r>
      <w:rPr>
        <w:lang w:val="fr-BE"/>
      </w:rPr>
      <w:t xml:space="preserve">Environmental Implementation Report – </w:t>
    </w:r>
    <w:r>
      <w:rPr>
        <w:lang w:val="fr-BE"/>
      </w:rPr>
      <w:t>Belgium</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390F61">
    <w:pPr>
      <w:pStyle w:val="Footer"/>
      <w:jc w:val="center"/>
      <w:rPr>
        <w:lang w:val="fr-BE"/>
      </w:rPr>
    </w:pPr>
    <w:r>
      <w:rPr>
        <w:lang w:val="fr-BE"/>
      </w:rPr>
      <w:t>Environmental Implementation Report – Belgium</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00B" w:rsidRDefault="00390F61">
      <w:pPr>
        <w:spacing w:after="0" w:line="240" w:lineRule="auto"/>
      </w:pPr>
      <w:r>
        <w:separator/>
      </w:r>
    </w:p>
  </w:footnote>
  <w:footnote w:type="continuationSeparator" w:id="0">
    <w:p w:rsidR="0017500B" w:rsidRDefault="00390F61">
      <w:pPr>
        <w:spacing w:after="0" w:line="240" w:lineRule="auto"/>
      </w:pPr>
      <w:r>
        <w:continuationSeparator/>
      </w:r>
    </w:p>
  </w:footnote>
  <w:footnote w:id="1">
    <w:p w:rsidR="0017500B" w:rsidRDefault="00390F61">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Communication "Delivering the benefits of EU environmental policies through a regular Environmental Implementation Review" (</w:t>
      </w:r>
      <w:hyperlink r:id="rId1" w:history="1">
        <w:r>
          <w:rPr>
            <w:rStyle w:val="Hyperlink"/>
            <w:rFonts w:asciiTheme="minorHAnsi" w:hAnsiTheme="minorHAnsi"/>
            <w:sz w:val="16"/>
            <w:szCs w:val="16"/>
          </w:rPr>
          <w:t>COM/2016/ 316 final</w:t>
        </w:r>
      </w:hyperlink>
      <w:r>
        <w:rPr>
          <w:rFonts w:asciiTheme="minorHAnsi" w:hAnsiTheme="minorHAnsi"/>
          <w:sz w:val="16"/>
          <w:szCs w:val="16"/>
        </w:rPr>
        <w:t>).</w:t>
      </w:r>
    </w:p>
  </w:footnote>
  <w:footnote w:id="2">
    <w:p w:rsidR="0017500B" w:rsidRDefault="00390F61">
      <w:pPr>
        <w:pStyle w:val="FootnoteText"/>
        <w:keepLines/>
        <w:widowControl w:val="0"/>
        <w:ind w:left="170" w:hanging="170"/>
        <w:mirrorIndents/>
        <w:outlineLvl w:val="4"/>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Decision No. 1386/2013/EU of 20 November 2013 on a General Union Environmental Action Programme to 2020 "</w:t>
      </w:r>
      <w:hyperlink r:id="rId2" w:history="1">
        <w:r>
          <w:rPr>
            <w:rStyle w:val="Hyperlink"/>
            <w:rFonts w:asciiTheme="minorHAnsi" w:hAnsiTheme="minorHAnsi"/>
            <w:sz w:val="16"/>
            <w:szCs w:val="16"/>
          </w:rPr>
          <w:t>Living well, within the limits of our planet</w:t>
        </w:r>
      </w:hyperlink>
      <w:r>
        <w:rPr>
          <w:rFonts w:asciiTheme="minorHAnsi" w:hAnsiTheme="minorHAnsi"/>
          <w:sz w:val="16"/>
          <w:szCs w:val="16"/>
        </w:rPr>
        <w:t>".</w:t>
      </w:r>
    </w:p>
  </w:footnote>
  <w:footnote w:id="3">
    <w:p w:rsidR="0017500B" w:rsidRDefault="00390F61">
      <w:pPr>
        <w:pStyle w:val="FootnoteText"/>
        <w:keepLines/>
        <w:widowControl w:val="0"/>
        <w:tabs>
          <w:tab w:val="left" w:pos="142"/>
        </w:tabs>
        <w:ind w:left="170" w:hanging="170"/>
        <w:mirrorIndents/>
        <w:outlineLvl w:val="4"/>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United Nations, 2015. </w:t>
      </w:r>
      <w:hyperlink r:id="rId3" w:history="1">
        <w:r>
          <w:rPr>
            <w:rStyle w:val="Hyperlink"/>
            <w:rFonts w:asciiTheme="minorHAnsi" w:hAnsiTheme="minorHAnsi"/>
            <w:sz w:val="16"/>
            <w:szCs w:val="16"/>
          </w:rPr>
          <w:t>The Sustainable Development Goals</w:t>
        </w:r>
      </w:hyperlink>
      <w:r>
        <w:rPr>
          <w:rFonts w:asciiTheme="minorHAnsi" w:hAnsiTheme="minorHAnsi"/>
          <w:sz w:val="16"/>
          <w:szCs w:val="16"/>
        </w:rPr>
        <w:t xml:space="preserve"> </w:t>
      </w:r>
    </w:p>
  </w:footnote>
  <w:footnote w:id="4">
    <w:p w:rsidR="0017500B" w:rsidRDefault="00390F61">
      <w:pPr>
        <w:pStyle w:val="FootnoteText"/>
        <w:keepLines/>
        <w:widowControl w:val="0"/>
        <w:ind w:left="170" w:hanging="170"/>
        <w:mirrorIndents/>
        <w:outlineLvl w:val="4"/>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This EIR report does not cover climate change, chemicals and energy.</w:t>
      </w:r>
    </w:p>
  </w:footnote>
  <w:footnote w:id="5">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ab/>
        <w:t xml:space="preserve"> European Commission, 2015. </w:t>
      </w:r>
      <w:hyperlink r:id="rId4" w:history="1">
        <w:r>
          <w:rPr>
            <w:rStyle w:val="Hyperlink"/>
            <w:rFonts w:asciiTheme="minorHAnsi" w:hAnsiTheme="minorHAnsi" w:cstheme="minorHAnsi"/>
            <w:sz w:val="16"/>
            <w:szCs w:val="16"/>
          </w:rPr>
          <w:t>Proposed Circular Economy Package</w:t>
        </w:r>
      </w:hyperlink>
    </w:p>
  </w:footnote>
  <w:footnote w:id="6">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ab/>
        <w:t xml:space="preserve"> Resource productivity is defined as the ratio between gross domestic product (GDP) and domestic material consumption (DMC).</w:t>
      </w:r>
    </w:p>
  </w:footnote>
  <w:footnote w:id="7">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ab/>
        <w:t xml:space="preserve"> </w:t>
      </w:r>
      <w:r>
        <w:rPr>
          <w:sz w:val="16"/>
          <w:szCs w:val="16"/>
        </w:rPr>
        <w:t xml:space="preserve">Eurostat, </w:t>
      </w:r>
      <w:hyperlink r:id="rId5" w:history="1">
        <w:r>
          <w:rPr>
            <w:rStyle w:val="Hyperlink"/>
            <w:rFonts w:cstheme="minorHAnsi"/>
            <w:sz w:val="16"/>
            <w:szCs w:val="16"/>
          </w:rPr>
          <w:t>Resource productivity</w:t>
        </w:r>
      </w:hyperlink>
      <w:r>
        <w:rPr>
          <w:rFonts w:cstheme="minorHAnsi"/>
          <w:sz w:val="16"/>
          <w:szCs w:val="16"/>
        </w:rPr>
        <w:t>,</w:t>
      </w:r>
      <w:r>
        <w:rPr>
          <w:rStyle w:val="Hyperlink"/>
          <w:rFonts w:cstheme="minorHAnsi"/>
          <w:sz w:val="16"/>
          <w:szCs w:val="16"/>
        </w:rPr>
        <w:t xml:space="preserve"> </w:t>
      </w:r>
      <w:r>
        <w:rPr>
          <w:rStyle w:val="Hyperlink"/>
          <w:rFonts w:cstheme="minorHAnsi"/>
          <w:color w:val="auto"/>
          <w:sz w:val="16"/>
          <w:szCs w:val="16"/>
          <w:u w:val="none"/>
        </w:rPr>
        <w:t>accessed October 2016</w:t>
      </w:r>
    </w:p>
  </w:footnote>
  <w:footnote w:id="8">
    <w:p w:rsidR="0017500B" w:rsidRDefault="00390F61">
      <w:pPr>
        <w:pStyle w:val="FootnoteText"/>
        <w:widowControl w:val="0"/>
        <w:ind w:left="170" w:hanging="170"/>
        <w:rPr>
          <w:rFonts w:asciiTheme="minorHAnsi" w:hAnsiTheme="minorHAnsi" w:cstheme="minorHAnsi"/>
          <w:sz w:val="16"/>
          <w:szCs w:val="16"/>
          <w:lang w:val="fr-BE"/>
        </w:rPr>
      </w:pPr>
      <w:r>
        <w:rPr>
          <w:rStyle w:val="FootnoteCharacters"/>
          <w:rFonts w:asciiTheme="minorHAnsi" w:hAnsiTheme="minorHAnsi" w:cstheme="minorHAnsi"/>
          <w:sz w:val="16"/>
          <w:szCs w:val="16"/>
        </w:rPr>
        <w:footnoteRef/>
      </w:r>
      <w:r>
        <w:rPr>
          <w:rFonts w:asciiTheme="minorHAnsi" w:hAnsiTheme="minorHAnsi" w:cstheme="minorHAnsi"/>
          <w:sz w:val="16"/>
          <w:szCs w:val="16"/>
          <w:lang w:val="fr-FR"/>
        </w:rPr>
        <w:tab/>
        <w:t xml:space="preserve"> </w:t>
      </w:r>
      <w:hyperlink r:id="rId6" w:history="1">
        <w:r>
          <w:rPr>
            <w:rStyle w:val="Hyperlink"/>
            <w:rFonts w:asciiTheme="minorHAnsi" w:hAnsiTheme="minorHAnsi" w:cstheme="minorHAnsi"/>
            <w:sz w:val="16"/>
            <w:szCs w:val="16"/>
            <w:lang w:val="fr-FR"/>
          </w:rPr>
          <w:t>Vers une Belgique Pionnière de l’Economie Circulaire</w:t>
        </w:r>
      </w:hyperlink>
    </w:p>
  </w:footnote>
  <w:footnote w:id="9">
    <w:p w:rsidR="0017500B" w:rsidRDefault="00390F6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r>
        <w:rPr>
          <w:sz w:val="16"/>
          <w:szCs w:val="16"/>
        </w:rPr>
        <w:t xml:space="preserve">Eurostat, </w:t>
      </w:r>
      <w:hyperlink r:id="rId7" w:history="1">
        <w:r>
          <w:rPr>
            <w:rStyle w:val="Hyperlink"/>
            <w:rFonts w:cstheme="minorHAnsi"/>
            <w:sz w:val="16"/>
            <w:szCs w:val="16"/>
          </w:rPr>
          <w:t>Resource productivity</w:t>
        </w:r>
      </w:hyperlink>
      <w:r>
        <w:rPr>
          <w:rFonts w:cstheme="minorHAnsi"/>
          <w:sz w:val="16"/>
          <w:szCs w:val="16"/>
        </w:rPr>
        <w:t>,</w:t>
      </w:r>
      <w:r>
        <w:rPr>
          <w:rStyle w:val="Hyperlink"/>
          <w:rFonts w:cstheme="minorHAnsi"/>
          <w:sz w:val="16"/>
          <w:szCs w:val="16"/>
          <w:u w:val="none"/>
        </w:rPr>
        <w:t xml:space="preserve"> </w:t>
      </w:r>
      <w:r>
        <w:rPr>
          <w:rStyle w:val="Hyperlink"/>
          <w:rFonts w:cstheme="minorHAnsi"/>
          <w:color w:val="auto"/>
          <w:sz w:val="16"/>
          <w:szCs w:val="16"/>
          <w:u w:val="none"/>
        </w:rPr>
        <w:t>accessed October 2016</w:t>
      </w:r>
    </w:p>
  </w:footnote>
  <w:footnote w:id="10">
    <w:p w:rsidR="0017500B" w:rsidRDefault="00390F61">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t xml:space="preserve"> </w:t>
      </w:r>
      <w:hyperlink r:id="rId8" w:history="1">
        <w:r>
          <w:rPr>
            <w:rStyle w:val="Hyperlink"/>
            <w:rFonts w:asciiTheme="minorHAnsi" w:hAnsiTheme="minorHAnsi"/>
            <w:sz w:val="16"/>
            <w:szCs w:val="16"/>
          </w:rPr>
          <w:t>Ensemble,faisons tourner l’économie</w:t>
        </w:r>
      </w:hyperlink>
      <w:r>
        <w:rPr>
          <w:rFonts w:asciiTheme="minorHAnsi" w:hAnsiTheme="minorHAnsi"/>
          <w:sz w:val="16"/>
          <w:szCs w:val="16"/>
        </w:rPr>
        <w:t xml:space="preserve"> &amp; </w:t>
      </w:r>
      <w:hyperlink r:id="rId9" w:history="1">
        <w:r>
          <w:rPr>
            <w:rStyle w:val="Hyperlink"/>
            <w:rFonts w:asciiTheme="minorHAnsi" w:hAnsiTheme="minorHAnsi"/>
            <w:sz w:val="16"/>
            <w:szCs w:val="16"/>
          </w:rPr>
          <w:t>Samen de economie doen d</w:t>
        </w:r>
        <w:r>
          <w:rPr>
            <w:rStyle w:val="Hyperlink"/>
            <w:rFonts w:asciiTheme="minorHAnsi" w:hAnsiTheme="minorHAnsi"/>
            <w:sz w:val="16"/>
            <w:szCs w:val="16"/>
          </w:rPr>
          <w:t>raaien</w:t>
        </w:r>
      </w:hyperlink>
      <w:r>
        <w:rPr>
          <w:rFonts w:asciiTheme="minorHAnsi" w:hAnsiTheme="minorHAnsi"/>
          <w:sz w:val="16"/>
          <w:szCs w:val="16"/>
        </w:rPr>
        <w:t xml:space="preserve"> </w:t>
      </w:r>
    </w:p>
  </w:footnote>
  <w:footnote w:id="11">
    <w:p w:rsidR="0017500B" w:rsidRDefault="00390F61">
      <w:pPr>
        <w:pStyle w:val="FootnoteText"/>
        <w:widowControl w:val="0"/>
        <w:ind w:left="170" w:hanging="170"/>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Oakdene Hollins, PwC and ICEDD </w:t>
      </w:r>
      <w:hyperlink r:id="rId10" w:history="1">
        <w:r>
          <w:rPr>
            <w:rStyle w:val="Hyperlink"/>
            <w:rFonts w:asciiTheme="minorHAnsi" w:hAnsiTheme="minorHAnsi" w:cstheme="minorHAnsi"/>
            <w:sz w:val="16"/>
            <w:szCs w:val="16"/>
          </w:rPr>
          <w:t>study on the Circular Economy in Belgium</w:t>
        </w:r>
      </w:hyperlink>
      <w:r>
        <w:rPr>
          <w:rFonts w:asciiTheme="minorHAnsi" w:hAnsiTheme="minorHAnsi" w:cstheme="minorHAnsi"/>
          <w:sz w:val="16"/>
          <w:szCs w:val="16"/>
        </w:rPr>
        <w:t xml:space="preserve"> </w:t>
      </w:r>
    </w:p>
  </w:footnote>
  <w:footnote w:id="12">
    <w:p w:rsidR="0017500B" w:rsidRDefault="00390F61">
      <w:pPr>
        <w:pStyle w:val="FootnoteText"/>
        <w:widowControl w:val="0"/>
        <w:tabs>
          <w:tab w:val="left" w:pos="284"/>
          <w:tab w:val="left" w:pos="567"/>
          <w:tab w:val="left" w:pos="851"/>
        </w:tabs>
        <w:ind w:left="170" w:hanging="170"/>
        <w:rPr>
          <w:rFonts w:asciiTheme="minorHAnsi" w:hAnsiTheme="minorHAnsi" w:cstheme="minorHAnsi"/>
          <w:sz w:val="16"/>
          <w:szCs w:val="16"/>
          <w:lang w:val="fr-BE"/>
        </w:rPr>
      </w:pPr>
      <w:r>
        <w:rPr>
          <w:rStyle w:val="FootnoteCharacters"/>
          <w:rFonts w:asciiTheme="minorHAnsi" w:hAnsiTheme="minorHAnsi" w:cstheme="minorHAnsi"/>
          <w:sz w:val="16"/>
          <w:szCs w:val="16"/>
        </w:rPr>
        <w:footnoteRef/>
      </w:r>
      <w:r>
        <w:rPr>
          <w:rFonts w:asciiTheme="minorHAnsi" w:hAnsiTheme="minorHAnsi" w:cstheme="minorHAnsi"/>
          <w:sz w:val="16"/>
          <w:szCs w:val="16"/>
          <w:lang w:val="fr-BE"/>
        </w:rPr>
        <w:t xml:space="preserve"> Media Planet, 2016. </w:t>
      </w:r>
      <w:hyperlink r:id="rId11" w:history="1">
        <w:r>
          <w:rPr>
            <w:rStyle w:val="Hyperlink"/>
            <w:rFonts w:asciiTheme="minorHAnsi" w:hAnsiTheme="minorHAnsi" w:cstheme="minorHAnsi"/>
            <w:sz w:val="16"/>
            <w:szCs w:val="16"/>
            <w:lang w:val="fr-BE"/>
          </w:rPr>
          <w:t>3 questions à Marie-Christine Marghem</w:t>
        </w:r>
      </w:hyperlink>
    </w:p>
  </w:footnote>
  <w:footnote w:id="13">
    <w:p w:rsidR="0017500B" w:rsidRDefault="00390F61">
      <w:pPr>
        <w:pStyle w:val="FootnoteText"/>
        <w:widowControl w:val="0"/>
        <w:ind w:left="170" w:hanging="170"/>
        <w:rPr>
          <w:rFonts w:asciiTheme="minorHAnsi" w:hAnsiTheme="minorHAnsi" w:cstheme="minorHAnsi"/>
          <w:sz w:val="16"/>
          <w:szCs w:val="16"/>
          <w:lang w:val="fr-BE"/>
        </w:rPr>
      </w:pPr>
      <w:r>
        <w:rPr>
          <w:rStyle w:val="FootnoteCharacters"/>
          <w:rFonts w:asciiTheme="minorHAnsi" w:hAnsiTheme="minorHAnsi" w:cstheme="minorHAnsi"/>
          <w:sz w:val="16"/>
          <w:szCs w:val="16"/>
        </w:rPr>
        <w:footnoteRef/>
      </w:r>
      <w:hyperlink r:id="rId12" w:history="1">
        <w:r>
          <w:rPr>
            <w:rStyle w:val="Hyperlink"/>
            <w:rFonts w:asciiTheme="minorHAnsi" w:hAnsiTheme="minorHAnsi" w:cstheme="minorHAnsi"/>
            <w:sz w:val="16"/>
            <w:szCs w:val="16"/>
            <w:lang w:val="fr-FR"/>
          </w:rPr>
          <w:t xml:space="preserve"> Conseil Central de </w:t>
        </w:r>
        <w:r>
          <w:rPr>
            <w:rStyle w:val="Hyperlink"/>
            <w:rFonts w:asciiTheme="minorHAnsi" w:hAnsiTheme="minorHAnsi" w:cstheme="minorHAnsi"/>
            <w:sz w:val="16"/>
            <w:szCs w:val="16"/>
            <w:lang w:val="fr-FR"/>
          </w:rPr>
          <w:t>l'economie</w:t>
        </w:r>
      </w:hyperlink>
      <w:r>
        <w:rPr>
          <w:rFonts w:asciiTheme="minorHAnsi" w:hAnsiTheme="minorHAnsi" w:cstheme="minorHAnsi"/>
          <w:sz w:val="16"/>
          <w:szCs w:val="16"/>
          <w:lang w:val="fr-FR"/>
        </w:rPr>
        <w:t xml:space="preserve"> (CEE), 24.02.16 opinion mentioned in the </w:t>
      </w:r>
      <w:hyperlink r:id="rId13" w:history="1">
        <w:r>
          <w:rPr>
            <w:rStyle w:val="Hyperlink"/>
            <w:rFonts w:asciiTheme="minorHAnsi" w:hAnsiTheme="minorHAnsi" w:cstheme="minorHAnsi"/>
            <w:sz w:val="16"/>
            <w:szCs w:val="16"/>
            <w:lang w:val="fr-FR"/>
          </w:rPr>
          <w:t>Programme National de Réforme</w:t>
        </w:r>
      </w:hyperlink>
      <w:r>
        <w:rPr>
          <w:rFonts w:asciiTheme="minorHAnsi" w:hAnsiTheme="minorHAnsi" w:cstheme="minorHAnsi"/>
          <w:sz w:val="16"/>
          <w:szCs w:val="16"/>
          <w:lang w:val="fr-FR"/>
        </w:rPr>
        <w:t>, April 2016, p.185</w:t>
      </w:r>
    </w:p>
  </w:footnote>
  <w:footnote w:id="14">
    <w:p w:rsidR="0017500B" w:rsidRDefault="00390F61">
      <w:pPr>
        <w:pStyle w:val="FootnoteText"/>
        <w:widowControl w:val="0"/>
        <w:ind w:left="170" w:hanging="170"/>
        <w:rPr>
          <w:rFonts w:asciiTheme="minorHAnsi" w:hAnsiTheme="minorHAnsi" w:cstheme="minorHAnsi"/>
          <w:sz w:val="16"/>
          <w:szCs w:val="16"/>
          <w:lang w:val="fr-BE"/>
        </w:rPr>
      </w:pPr>
      <w:r>
        <w:rPr>
          <w:rStyle w:val="FootnoteCharacters"/>
          <w:rFonts w:asciiTheme="minorHAnsi" w:hAnsiTheme="minorHAnsi" w:cstheme="minorHAnsi"/>
          <w:sz w:val="16"/>
          <w:szCs w:val="16"/>
        </w:rPr>
        <w:footnoteRef/>
      </w:r>
      <w:r>
        <w:rPr>
          <w:rFonts w:asciiTheme="minorHAnsi" w:hAnsiTheme="minorHAnsi" w:cstheme="minorHAnsi"/>
          <w:sz w:val="16"/>
          <w:szCs w:val="16"/>
          <w:lang w:val="fr-FR"/>
        </w:rPr>
        <w:t xml:space="preserve"> Conseil Féderal du Developpement  (FRDO), mentioned in the </w:t>
      </w:r>
      <w:hyperlink r:id="rId14" w:history="1">
        <w:r>
          <w:rPr>
            <w:rStyle w:val="Hyperlink"/>
            <w:rFonts w:asciiTheme="minorHAnsi" w:hAnsiTheme="minorHAnsi" w:cstheme="minorHAnsi"/>
            <w:sz w:val="16"/>
            <w:szCs w:val="16"/>
            <w:lang w:val="fr-FR"/>
          </w:rPr>
          <w:t>Programme National de Réforme</w:t>
        </w:r>
      </w:hyperlink>
      <w:r>
        <w:rPr>
          <w:rFonts w:asciiTheme="minorHAnsi" w:hAnsiTheme="minorHAnsi" w:cstheme="minorHAnsi"/>
          <w:sz w:val="16"/>
          <w:szCs w:val="16"/>
          <w:lang w:val="fr-FR"/>
        </w:rPr>
        <w:t>, April 2016, p.186</w:t>
      </w:r>
    </w:p>
  </w:footnote>
  <w:footnote w:id="15">
    <w:p w:rsidR="0017500B" w:rsidRDefault="00390F61">
      <w:pPr>
        <w:pStyle w:val="FootnoteText"/>
        <w:ind w:left="170" w:hanging="170"/>
        <w:rPr>
          <w:rFonts w:asciiTheme="minorHAnsi" w:hAnsiTheme="minorHAnsi"/>
          <w:sz w:val="16"/>
          <w:szCs w:val="16"/>
          <w:lang w:val="fr-BE"/>
        </w:rPr>
      </w:pPr>
      <w:r>
        <w:rPr>
          <w:rStyle w:val="FootnoteReference"/>
          <w:rFonts w:asciiTheme="minorHAnsi" w:hAnsiTheme="minorHAnsi"/>
          <w:sz w:val="16"/>
          <w:szCs w:val="16"/>
          <w:vertAlign w:val="baseline"/>
        </w:rPr>
        <w:footnoteRef/>
      </w:r>
      <w:r>
        <w:rPr>
          <w:rFonts w:asciiTheme="minorHAnsi" w:hAnsiTheme="minorHAnsi"/>
          <w:sz w:val="16"/>
          <w:szCs w:val="16"/>
          <w:lang w:val="fr-BE"/>
        </w:rPr>
        <w:t xml:space="preserve"> BENELUX, </w:t>
      </w:r>
      <w:hyperlink r:id="rId15" w:history="1">
        <w:r>
          <w:rPr>
            <w:rStyle w:val="Hyperlink"/>
            <w:rFonts w:asciiTheme="minorHAnsi" w:hAnsiTheme="minorHAnsi"/>
            <w:sz w:val="16"/>
            <w:szCs w:val="16"/>
            <w:lang w:val="fr-BE"/>
          </w:rPr>
          <w:t>Roundtable</w:t>
        </w:r>
      </w:hyperlink>
      <w:r>
        <w:rPr>
          <w:rFonts w:asciiTheme="minorHAnsi" w:hAnsiTheme="minorHAnsi"/>
          <w:sz w:val="16"/>
          <w:szCs w:val="16"/>
          <w:lang w:val="fr-BE"/>
        </w:rPr>
        <w:t xml:space="preserve"> 14.12.2015</w:t>
      </w:r>
    </w:p>
  </w:footnote>
  <w:footnote w:id="16">
    <w:p w:rsidR="0017500B" w:rsidRDefault="00390F61">
      <w:pPr>
        <w:pStyle w:val="FootnoteText"/>
        <w:rPr>
          <w:lang w:val="hu-HU"/>
        </w:rPr>
      </w:pPr>
      <w:r>
        <w:rPr>
          <w:rStyle w:val="FootnoteReference"/>
        </w:rPr>
        <w:footnoteRef/>
      </w:r>
      <w:r>
        <w:rPr>
          <w:lang w:val="fr-BE"/>
        </w:rPr>
        <w:t xml:space="preserve"> </w:t>
      </w:r>
      <w:r>
        <w:rPr>
          <w:lang w:val="hu-HU"/>
        </w:rPr>
        <w:t xml:space="preserve">Luxembourg Government, </w:t>
      </w:r>
      <w:hyperlink r:id="rId16" w:history="1">
        <w:r>
          <w:rPr>
            <w:rStyle w:val="Hyperlink"/>
            <w:lang w:val="hu-HU"/>
          </w:rPr>
          <w:t>Portail de l'environnement</w:t>
        </w:r>
      </w:hyperlink>
      <w:r>
        <w:rPr>
          <w:lang w:val="hu-HU"/>
        </w:rPr>
        <w:t>.</w:t>
      </w:r>
    </w:p>
  </w:footnote>
  <w:footnote w:id="17">
    <w:p w:rsidR="0017500B" w:rsidRDefault="00390F61">
      <w:pPr>
        <w:pStyle w:val="FootnoteText"/>
        <w:ind w:left="170" w:hanging="170"/>
        <w:rPr>
          <w:sz w:val="16"/>
          <w:szCs w:val="16"/>
        </w:rPr>
      </w:pPr>
      <w:r>
        <w:rPr>
          <w:rStyle w:val="FootnoteReference"/>
          <w:sz w:val="16"/>
          <w:szCs w:val="16"/>
          <w:vertAlign w:val="baseline"/>
        </w:rPr>
        <w:footnoteRef/>
      </w:r>
      <w:r>
        <w:rPr>
          <w:sz w:val="16"/>
          <w:szCs w:val="16"/>
        </w:rPr>
        <w:t xml:space="preserve"> Walloon government, </w:t>
      </w:r>
      <w:hyperlink r:id="rId17" w:history="1">
        <w:r>
          <w:rPr>
            <w:rStyle w:val="Hyperlink"/>
            <w:sz w:val="16"/>
            <w:szCs w:val="16"/>
          </w:rPr>
          <w:t xml:space="preserve">Plan Marshall </w:t>
        </w:r>
      </w:hyperlink>
      <w:r>
        <w:rPr>
          <w:sz w:val="16"/>
          <w:szCs w:val="16"/>
        </w:rPr>
        <w:t xml:space="preserve"> </w:t>
      </w:r>
    </w:p>
  </w:footnote>
  <w:footnote w:id="18">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Walloon gove</w:t>
      </w:r>
      <w:r>
        <w:rPr>
          <w:rFonts w:asciiTheme="minorHAnsi" w:hAnsiTheme="minorHAnsi" w:cstheme="minorHAnsi"/>
          <w:sz w:val="16"/>
          <w:szCs w:val="16"/>
        </w:rPr>
        <w:t xml:space="preserve">rnment, </w:t>
      </w:r>
      <w:hyperlink r:id="rId18" w:history="1">
        <w:r>
          <w:rPr>
            <w:rStyle w:val="Hyperlink"/>
            <w:rFonts w:asciiTheme="minorHAnsi" w:hAnsiTheme="minorHAnsi" w:cstheme="minorHAnsi"/>
            <w:sz w:val="16"/>
            <w:szCs w:val="16"/>
          </w:rPr>
          <w:t>declaration of Regional Policy</w:t>
        </w:r>
      </w:hyperlink>
      <w:r>
        <w:rPr>
          <w:rFonts w:asciiTheme="minorHAnsi" w:hAnsiTheme="minorHAnsi" w:cstheme="minorHAnsi"/>
          <w:sz w:val="16"/>
          <w:szCs w:val="16"/>
        </w:rPr>
        <w:t xml:space="preserve"> (DPR), p.22,24,83 &amp; 90</w:t>
      </w:r>
    </w:p>
  </w:footnote>
  <w:footnote w:id="19">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Walloon government, </w:t>
      </w:r>
      <w:hyperlink r:id="rId19" w:history="1">
        <w:r>
          <w:rPr>
            <w:rStyle w:val="Hyperlink"/>
            <w:rFonts w:asciiTheme="minorHAnsi" w:hAnsiTheme="minorHAnsi" w:cstheme="minorHAnsi"/>
            <w:sz w:val="16"/>
            <w:szCs w:val="16"/>
          </w:rPr>
          <w:t>c</w:t>
        </w:r>
        <w:r>
          <w:rPr>
            <w:rStyle w:val="Hyperlink"/>
            <w:rFonts w:asciiTheme="minorHAnsi" w:hAnsiTheme="minorHAnsi" w:cstheme="minorHAnsi"/>
            <w:sz w:val="16"/>
            <w:szCs w:val="16"/>
          </w:rPr>
          <w:t>ircular economy</w:t>
        </w:r>
      </w:hyperlink>
      <w:r>
        <w:rPr>
          <w:rFonts w:asciiTheme="minorHAnsi" w:hAnsiTheme="minorHAnsi" w:cstheme="minorHAnsi"/>
          <w:sz w:val="16"/>
          <w:szCs w:val="16"/>
        </w:rPr>
        <w:t xml:space="preserve"> </w:t>
      </w:r>
    </w:p>
  </w:footnote>
  <w:footnote w:id="20">
    <w:p w:rsidR="0017500B" w:rsidRPr="00390F61"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European Environment Agency, 2016. </w:t>
      </w:r>
      <w:hyperlink r:id="rId20" w:history="1">
        <w:r>
          <w:rPr>
            <w:rStyle w:val="Hyperlink"/>
            <w:rFonts w:asciiTheme="minorHAnsi" w:hAnsiTheme="minorHAnsi" w:cstheme="minorHAnsi"/>
            <w:sz w:val="16"/>
            <w:szCs w:val="16"/>
          </w:rPr>
          <w:t>More for less – material resource efficiency in Europe.</w:t>
        </w:r>
      </w:hyperlink>
      <w:r>
        <w:rPr>
          <w:rFonts w:asciiTheme="minorHAnsi" w:hAnsiTheme="minorHAnsi" w:cstheme="minorHAnsi"/>
          <w:i/>
          <w:sz w:val="16"/>
          <w:szCs w:val="16"/>
        </w:rPr>
        <w:t xml:space="preserve"> </w:t>
      </w:r>
      <w:r w:rsidRPr="00390F61">
        <w:rPr>
          <w:rFonts w:asciiTheme="minorHAnsi" w:hAnsiTheme="minorHAnsi" w:cstheme="minorHAnsi"/>
          <w:sz w:val="16"/>
          <w:szCs w:val="16"/>
        </w:rPr>
        <w:t>Belgium, p.9; Agence de stimulation économique, 2016</w:t>
      </w:r>
    </w:p>
  </w:footnote>
  <w:footnote w:id="21">
    <w:p w:rsidR="0017500B" w:rsidRPr="00390F61"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sidRPr="00390F61">
        <w:rPr>
          <w:rFonts w:asciiTheme="minorHAnsi" w:hAnsiTheme="minorHAnsi" w:cstheme="minorHAnsi"/>
          <w:sz w:val="16"/>
          <w:szCs w:val="16"/>
        </w:rPr>
        <w:t xml:space="preserve"> </w:t>
      </w:r>
      <w:hyperlink r:id="rId21" w:history="1">
        <w:r w:rsidRPr="00390F61">
          <w:rPr>
            <w:rStyle w:val="Hyperlink"/>
            <w:rFonts w:asciiTheme="minorHAnsi" w:hAnsiTheme="minorHAnsi" w:cstheme="minorHAnsi"/>
            <w:sz w:val="16"/>
            <w:szCs w:val="16"/>
          </w:rPr>
          <w:t>SuMMa</w:t>
        </w:r>
      </w:hyperlink>
      <w:r w:rsidRPr="00390F61">
        <w:rPr>
          <w:rFonts w:asciiTheme="minorHAnsi" w:hAnsiTheme="minorHAnsi" w:cstheme="minorHAnsi"/>
          <w:sz w:val="16"/>
          <w:szCs w:val="16"/>
        </w:rPr>
        <w:t>, p.1</w:t>
      </w:r>
    </w:p>
  </w:footnote>
  <w:footnote w:id="22">
    <w:p w:rsidR="0017500B" w:rsidRPr="00390F61" w:rsidRDefault="00390F6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sidRPr="00390F61">
        <w:rPr>
          <w:rFonts w:asciiTheme="minorHAnsi" w:hAnsiTheme="minorHAnsi"/>
          <w:sz w:val="16"/>
          <w:szCs w:val="16"/>
        </w:rPr>
        <w:t xml:space="preserve"> Flemish government, </w:t>
      </w:r>
      <w:hyperlink r:id="rId22" w:history="1">
        <w:r w:rsidRPr="00390F61">
          <w:rPr>
            <w:rStyle w:val="Hyperlink"/>
            <w:rFonts w:asciiTheme="minorHAnsi" w:hAnsiTheme="minorHAnsi"/>
            <w:sz w:val="16"/>
            <w:szCs w:val="16"/>
          </w:rPr>
          <w:t>Vision 2050</w:t>
        </w:r>
      </w:hyperlink>
    </w:p>
  </w:footnote>
  <w:footnote w:id="23">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European Environment Agency, 2016. </w:t>
      </w:r>
      <w:r>
        <w:rPr>
          <w:rFonts w:asciiTheme="minorHAnsi" w:hAnsiTheme="minorHAnsi" w:cstheme="minorHAnsi"/>
          <w:i/>
          <w:sz w:val="16"/>
          <w:szCs w:val="16"/>
        </w:rPr>
        <w:t xml:space="preserve">More for less – material resource efficiency in Europe. </w:t>
      </w:r>
      <w:hyperlink r:id="rId23" w:history="1">
        <w:r>
          <w:rPr>
            <w:rStyle w:val="Hyperlink"/>
            <w:rFonts w:asciiTheme="minorHAnsi" w:hAnsiTheme="minorHAnsi" w:cstheme="minorHAnsi"/>
            <w:sz w:val="16"/>
            <w:szCs w:val="16"/>
          </w:rPr>
          <w:t>Belgium Report</w:t>
        </w:r>
      </w:hyperlink>
      <w:r>
        <w:rPr>
          <w:rFonts w:asciiTheme="minorHAnsi" w:hAnsiTheme="minorHAnsi" w:cstheme="minorHAnsi"/>
          <w:sz w:val="16"/>
          <w:szCs w:val="16"/>
        </w:rPr>
        <w:t xml:space="preserve">, p.19 </w:t>
      </w:r>
    </w:p>
  </w:footnote>
  <w:footnote w:id="24">
    <w:p w:rsidR="0017500B" w:rsidRDefault="00390F61">
      <w:pPr>
        <w:widowControl w:val="0"/>
        <w:spacing w:after="0" w:line="240" w:lineRule="auto"/>
        <w:ind w:left="170" w:hanging="170"/>
        <w:rPr>
          <w:rFonts w:cstheme="minorHAnsi"/>
          <w:sz w:val="16"/>
          <w:szCs w:val="16"/>
        </w:rPr>
      </w:pPr>
      <w:r>
        <w:rPr>
          <w:rStyle w:val="FootnoteCharacters"/>
          <w:rFonts w:cstheme="minorHAnsi"/>
          <w:sz w:val="16"/>
          <w:szCs w:val="16"/>
        </w:rPr>
        <w:footnoteRef/>
      </w:r>
      <w:r>
        <w:rPr>
          <w:rFonts w:cstheme="minorHAnsi"/>
          <w:sz w:val="16"/>
          <w:szCs w:val="16"/>
        </w:rPr>
        <w:t xml:space="preserve"> European Commission,2014. </w:t>
      </w:r>
      <w:hyperlink r:id="rId24" w:history="1">
        <w:r>
          <w:rPr>
            <w:rStyle w:val="Hyperlink"/>
            <w:rFonts w:cstheme="minorHAnsi"/>
            <w:sz w:val="16"/>
            <w:szCs w:val="16"/>
          </w:rPr>
          <w:t>SUSPRO3: Generating growth through sustainable production methods</w:t>
        </w:r>
      </w:hyperlink>
      <w:r>
        <w:rPr>
          <w:rStyle w:val="Hyperlink"/>
          <w:rFonts w:cstheme="minorHAnsi"/>
          <w:sz w:val="16"/>
          <w:szCs w:val="16"/>
        </w:rPr>
        <w:t xml:space="preserve">; </w:t>
      </w:r>
      <w:r>
        <w:rPr>
          <w:rStyle w:val="Hyperlink"/>
          <w:rFonts w:cstheme="minorHAnsi"/>
          <w:color w:val="auto"/>
          <w:sz w:val="16"/>
          <w:szCs w:val="16"/>
          <w:u w:val="none"/>
        </w:rPr>
        <w:t>called SUSPRO3 as three elements – process, product &amp; profit.</w:t>
      </w:r>
    </w:p>
  </w:footnote>
  <w:footnote w:id="25">
    <w:p w:rsidR="0017500B" w:rsidRDefault="00390F61">
      <w:pPr>
        <w:pStyle w:val="FootnoteText"/>
        <w:widowControl w:val="0"/>
        <w:ind w:left="170" w:hanging="170"/>
        <w:rPr>
          <w:rFonts w:asciiTheme="minorHAnsi" w:hAnsiTheme="minorHAnsi" w:cstheme="minorHAnsi"/>
          <w:sz w:val="16"/>
          <w:szCs w:val="16"/>
          <w:lang w:val="fr-BE"/>
        </w:rPr>
      </w:pPr>
      <w:r>
        <w:rPr>
          <w:rStyle w:val="FootnoteCharacters"/>
          <w:rFonts w:asciiTheme="minorHAnsi" w:hAnsiTheme="minorHAnsi" w:cstheme="minorHAnsi"/>
          <w:sz w:val="16"/>
          <w:szCs w:val="16"/>
        </w:rPr>
        <w:footnoteRef/>
      </w:r>
      <w:r>
        <w:rPr>
          <w:rFonts w:asciiTheme="minorHAnsi" w:hAnsiTheme="minorHAnsi" w:cstheme="minorHAnsi"/>
          <w:sz w:val="16"/>
          <w:szCs w:val="16"/>
          <w:lang w:val="fr-BE"/>
        </w:rPr>
        <w:t xml:space="preserve"> BCR, </w:t>
      </w:r>
      <w:hyperlink r:id="rId25" w:history="1">
        <w:r>
          <w:rPr>
            <w:rStyle w:val="Hyperlink"/>
            <w:rFonts w:asciiTheme="minorHAnsi" w:hAnsiTheme="minorHAnsi" w:cstheme="minorHAnsi"/>
            <w:sz w:val="16"/>
            <w:szCs w:val="16"/>
            <w:lang w:val="fr-BE"/>
          </w:rPr>
          <w:t>Programme Régional en Economie Circulaire</w:t>
        </w:r>
      </w:hyperlink>
      <w:r>
        <w:rPr>
          <w:rFonts w:asciiTheme="minorHAnsi" w:hAnsiTheme="minorHAnsi" w:cstheme="minorHAnsi"/>
          <w:sz w:val="16"/>
          <w:szCs w:val="16"/>
          <w:lang w:val="fr-BE"/>
        </w:rPr>
        <w:t>, March 2016</w:t>
      </w:r>
    </w:p>
  </w:footnote>
  <w:footnote w:id="26">
    <w:p w:rsidR="0017500B" w:rsidRDefault="00390F61">
      <w:pPr>
        <w:pStyle w:val="FootnoteText"/>
        <w:widowControl w:val="0"/>
        <w:ind w:left="170" w:hanging="170"/>
        <w:rPr>
          <w:rFonts w:asciiTheme="minorHAnsi" w:hAnsiTheme="minorHAnsi" w:cstheme="minorHAnsi"/>
          <w:sz w:val="16"/>
          <w:szCs w:val="16"/>
          <w:lang w:val="fr-BE"/>
        </w:rPr>
      </w:pPr>
      <w:r>
        <w:rPr>
          <w:rStyle w:val="FootnoteCharacters"/>
          <w:rFonts w:asciiTheme="minorHAnsi" w:hAnsiTheme="minorHAnsi" w:cstheme="minorHAnsi"/>
          <w:sz w:val="16"/>
          <w:szCs w:val="16"/>
        </w:rPr>
        <w:footnoteRef/>
      </w:r>
      <w:r>
        <w:rPr>
          <w:rFonts w:asciiTheme="minorHAnsi" w:hAnsiTheme="minorHAnsi" w:cstheme="minorHAnsi"/>
          <w:sz w:val="16"/>
          <w:szCs w:val="16"/>
          <w:lang w:val="fr-BE"/>
        </w:rPr>
        <w:t xml:space="preserve"> </w:t>
      </w:r>
      <w:hyperlink r:id="rId26" w:history="1">
        <w:r>
          <w:rPr>
            <w:rStyle w:val="Hyperlink"/>
            <w:rFonts w:asciiTheme="minorHAnsi" w:hAnsiTheme="minorHAnsi" w:cstheme="minorHAnsi"/>
            <w:sz w:val="16"/>
            <w:szCs w:val="16"/>
            <w:lang w:val="fr-BE"/>
          </w:rPr>
          <w:t>Programme National de Réforme</w:t>
        </w:r>
      </w:hyperlink>
      <w:hyperlink r:id="rId27" w:history="1">
        <w:r>
          <w:rPr>
            <w:rStyle w:val="Hyperlink"/>
            <w:rFonts w:asciiTheme="minorHAnsi" w:hAnsiTheme="minorHAnsi" w:cstheme="minorHAnsi"/>
            <w:sz w:val="16"/>
            <w:szCs w:val="16"/>
            <w:lang w:val="fr-BE"/>
          </w:rPr>
          <w:t>e</w:t>
        </w:r>
      </w:hyperlink>
      <w:r>
        <w:rPr>
          <w:rFonts w:asciiTheme="minorHAnsi" w:hAnsiTheme="minorHAnsi" w:cstheme="minorHAnsi"/>
          <w:sz w:val="16"/>
          <w:szCs w:val="16"/>
          <w:lang w:val="fr-BE"/>
        </w:rPr>
        <w:t>, April 2016, p.55; p.66-7</w:t>
      </w:r>
    </w:p>
  </w:footnote>
  <w:footnote w:id="27">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European Commission, 2015. </w:t>
      </w:r>
      <w:hyperlink r:id="rId28" w:history="1">
        <w:r>
          <w:rPr>
            <w:rStyle w:val="Hyperlink"/>
            <w:rFonts w:asciiTheme="minorHAnsi" w:hAnsiTheme="minorHAnsi" w:cstheme="minorHAnsi"/>
            <w:sz w:val="16"/>
            <w:szCs w:val="16"/>
          </w:rPr>
          <w:t>Flash 426 Eu</w:t>
        </w:r>
        <w:r>
          <w:rPr>
            <w:rStyle w:val="Hyperlink"/>
            <w:rFonts w:asciiTheme="minorHAnsi" w:hAnsiTheme="minorHAnsi" w:cstheme="minorHAnsi"/>
            <w:sz w:val="16"/>
            <w:szCs w:val="16"/>
          </w:rPr>
          <w:t>robarometer</w:t>
        </w:r>
      </w:hyperlink>
      <w:r>
        <w:rPr>
          <w:rFonts w:asciiTheme="minorHAnsi" w:hAnsiTheme="minorHAnsi" w:cstheme="minorHAnsi"/>
          <w:sz w:val="16"/>
          <w:szCs w:val="16"/>
        </w:rPr>
        <w:t xml:space="preserve"> "SMEs, resource efficiency and green markets"</w:t>
      </w:r>
    </w:p>
  </w:footnote>
  <w:footnote w:id="28">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European Commission, 2015. </w:t>
      </w:r>
      <w:hyperlink r:id="rId29" w:history="1">
        <w:r>
          <w:rPr>
            <w:rStyle w:val="Hyperlink"/>
            <w:rFonts w:asciiTheme="minorHAnsi" w:hAnsiTheme="minorHAnsi" w:cstheme="minorHAnsi"/>
            <w:sz w:val="16"/>
            <w:szCs w:val="16"/>
          </w:rPr>
          <w:t>Flash 426 Eurobarometer</w:t>
        </w:r>
      </w:hyperlink>
      <w:r>
        <w:rPr>
          <w:rFonts w:asciiTheme="minorHAnsi" w:hAnsiTheme="minorHAnsi" w:cstheme="minorHAnsi"/>
          <w:sz w:val="16"/>
          <w:szCs w:val="16"/>
        </w:rPr>
        <w:t xml:space="preserve"> "SMEs, resource efficiency and green markets"</w:t>
      </w:r>
    </w:p>
  </w:footnote>
  <w:footnote w:id="29">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European Commission, 2</w:t>
      </w:r>
      <w:r>
        <w:rPr>
          <w:rFonts w:asciiTheme="minorHAnsi" w:hAnsiTheme="minorHAnsi" w:cstheme="minorHAnsi"/>
          <w:sz w:val="16"/>
          <w:szCs w:val="16"/>
        </w:rPr>
        <w:t xml:space="preserve">015. </w:t>
      </w:r>
      <w:hyperlink r:id="rId30" w:history="1">
        <w:r>
          <w:rPr>
            <w:rStyle w:val="Hyperlink"/>
            <w:rFonts w:asciiTheme="minorHAnsi" w:hAnsiTheme="minorHAnsi" w:cstheme="minorHAnsi"/>
            <w:sz w:val="16"/>
            <w:szCs w:val="16"/>
          </w:rPr>
          <w:t>Flash 426 Eurobarometer</w:t>
        </w:r>
      </w:hyperlink>
      <w:r>
        <w:rPr>
          <w:rFonts w:asciiTheme="minorHAnsi" w:hAnsiTheme="minorHAnsi" w:cstheme="minorHAnsi"/>
          <w:sz w:val="16"/>
          <w:szCs w:val="16"/>
        </w:rPr>
        <w:t xml:space="preserve"> "SMEs, resource efficiency and green markets"</w:t>
      </w:r>
    </w:p>
  </w:footnote>
  <w:footnote w:id="30">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The Flash 426 Eurobarometer defines "green job" as a job that directly deals with information, technolog</w:t>
      </w:r>
      <w:r>
        <w:rPr>
          <w:rFonts w:asciiTheme="minorHAnsi" w:hAnsiTheme="minorHAnsi" w:cstheme="minorHAnsi"/>
          <w:sz w:val="16"/>
          <w:szCs w:val="16"/>
        </w:rPr>
        <w:t>ies, or materials that preserves or restores environmental quality. This requires specialised skills, knowledge, training, or experience (e.g. verifying compliance with environmental legislation, monitoring resource efficiency within the company, promoting</w:t>
      </w:r>
      <w:r>
        <w:rPr>
          <w:rFonts w:asciiTheme="minorHAnsi" w:hAnsiTheme="minorHAnsi" w:cstheme="minorHAnsi"/>
          <w:sz w:val="16"/>
          <w:szCs w:val="16"/>
        </w:rPr>
        <w:t xml:space="preserve"> and selling green products and services).</w:t>
      </w:r>
    </w:p>
  </w:footnote>
  <w:footnote w:id="31">
    <w:p w:rsidR="0017500B" w:rsidRDefault="00390F61">
      <w:pPr>
        <w:pStyle w:val="FootnoteText"/>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In terms of Full Time Equivalents (FTE)</w:t>
      </w:r>
    </w:p>
  </w:footnote>
  <w:footnote w:id="32">
    <w:p w:rsidR="0017500B" w:rsidRDefault="00390F61">
      <w:pPr>
        <w:pStyle w:val="FootnoteText"/>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w:t>
      </w:r>
      <w:hyperlink r:id="rId31" w:history="1">
        <w:r>
          <w:rPr>
            <w:rStyle w:val="Hyperlink"/>
            <w:rFonts w:asciiTheme="minorHAnsi" w:hAnsiTheme="minorHAnsi" w:cstheme="minorHAnsi"/>
            <w:sz w:val="16"/>
            <w:szCs w:val="16"/>
          </w:rPr>
          <w:t>Cleantech Report 2015</w:t>
        </w:r>
      </w:hyperlink>
    </w:p>
  </w:footnote>
  <w:footnote w:id="33">
    <w:p w:rsidR="0017500B" w:rsidRDefault="00390F61">
      <w:pPr>
        <w:pStyle w:val="FootnoteText"/>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w:t>
      </w:r>
      <w:hyperlink r:id="rId32" w:history="1">
        <w:r>
          <w:rPr>
            <w:rStyle w:val="Hyperlink"/>
            <w:rFonts w:asciiTheme="minorHAnsi" w:hAnsiTheme="minorHAnsi" w:cstheme="minorHAnsi"/>
            <w:sz w:val="16"/>
            <w:szCs w:val="16"/>
          </w:rPr>
          <w:t>SuMMa</w:t>
        </w:r>
      </w:hyperlink>
      <w:r>
        <w:rPr>
          <w:rFonts w:asciiTheme="minorHAnsi" w:hAnsiTheme="minorHAnsi" w:cstheme="minorHAnsi"/>
          <w:sz w:val="16"/>
          <w:szCs w:val="16"/>
        </w:rPr>
        <w:t>, p.1</w:t>
      </w:r>
    </w:p>
  </w:footnote>
  <w:footnote w:id="34">
    <w:p w:rsidR="0017500B" w:rsidRDefault="00390F61">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33" w:history="1">
        <w:r>
          <w:rPr>
            <w:rStyle w:val="Hyperlink"/>
            <w:rFonts w:asciiTheme="minorHAnsi" w:hAnsiTheme="minorHAnsi"/>
            <w:sz w:val="16"/>
            <w:szCs w:val="16"/>
          </w:rPr>
          <w:t>Quick Win Ideas for SMEs</w:t>
        </w:r>
      </w:hyperlink>
    </w:p>
  </w:footnote>
  <w:footnote w:id="35">
    <w:p w:rsidR="0017500B" w:rsidRDefault="00390F61">
      <w:pPr>
        <w:pStyle w:val="FootnoteText"/>
        <w:widowControl w:val="0"/>
        <w:ind w:left="170" w:hanging="170"/>
        <w:rPr>
          <w:rFonts w:asciiTheme="minorHAnsi" w:hAnsiTheme="minorHAnsi" w:cstheme="minorHAnsi"/>
          <w:sz w:val="16"/>
          <w:szCs w:val="16"/>
          <w:lang w:val="nl-NL"/>
        </w:rPr>
      </w:pPr>
      <w:r>
        <w:rPr>
          <w:rStyle w:val="FootnoteCharacters"/>
          <w:rFonts w:asciiTheme="minorHAnsi" w:hAnsiTheme="minorHAnsi" w:cstheme="minorHAnsi"/>
          <w:sz w:val="16"/>
          <w:szCs w:val="16"/>
        </w:rPr>
        <w:footnoteRef/>
      </w:r>
      <w:r>
        <w:rPr>
          <w:rFonts w:asciiTheme="minorHAnsi" w:hAnsiTheme="minorHAnsi" w:cstheme="minorHAnsi"/>
          <w:sz w:val="16"/>
          <w:szCs w:val="16"/>
          <w:lang w:val="nl-NL"/>
        </w:rPr>
        <w:t xml:space="preserve">Flemish government, </w:t>
      </w:r>
      <w:hyperlink r:id="rId34" w:history="1">
        <w:r>
          <w:rPr>
            <w:rStyle w:val="Hyperlink"/>
            <w:rFonts w:asciiTheme="minorHAnsi" w:hAnsiTheme="minorHAnsi" w:cstheme="minorHAnsi"/>
            <w:sz w:val="16"/>
            <w:szCs w:val="16"/>
            <w:lang w:val="nl-NL"/>
          </w:rPr>
          <w:t>Duurzame ontwikkeling</w:t>
        </w:r>
      </w:hyperlink>
      <w:r>
        <w:rPr>
          <w:rFonts w:asciiTheme="minorHAnsi" w:hAnsiTheme="minorHAnsi" w:cstheme="minorHAnsi"/>
          <w:sz w:val="16"/>
          <w:szCs w:val="16"/>
          <w:lang w:val="nl-NL"/>
        </w:rPr>
        <w:t xml:space="preserve"> </w:t>
      </w:r>
    </w:p>
  </w:footnote>
  <w:footnote w:id="36">
    <w:p w:rsidR="0017500B" w:rsidRDefault="00390F61">
      <w:pPr>
        <w:pStyle w:val="FootnoteText"/>
        <w:ind w:left="170" w:hanging="170"/>
        <w:rPr>
          <w:rFonts w:asciiTheme="minorHAnsi" w:hAnsiTheme="minorHAnsi" w:cstheme="minorHAnsi"/>
          <w:sz w:val="16"/>
          <w:szCs w:val="16"/>
          <w:lang w:val="nl-NL"/>
        </w:rPr>
      </w:pPr>
      <w:r>
        <w:rPr>
          <w:rStyle w:val="FootnoteCharacters"/>
          <w:rFonts w:asciiTheme="minorHAnsi" w:hAnsiTheme="minorHAnsi" w:cstheme="minorHAnsi"/>
          <w:sz w:val="16"/>
          <w:szCs w:val="16"/>
        </w:rPr>
        <w:footnoteRef/>
      </w:r>
      <w:r>
        <w:rPr>
          <w:rFonts w:asciiTheme="minorHAnsi" w:hAnsiTheme="minorHAnsi" w:cstheme="minorHAnsi"/>
          <w:sz w:val="16"/>
          <w:szCs w:val="16"/>
          <w:lang w:val="nl-NL"/>
        </w:rPr>
        <w:t xml:space="preserve"> </w:t>
      </w:r>
      <w:hyperlink r:id="rId35" w:history="1">
        <w:r>
          <w:rPr>
            <w:rStyle w:val="Hyperlink"/>
            <w:rFonts w:asciiTheme="minorHAnsi" w:hAnsiTheme="minorHAnsi" w:cstheme="minorHAnsi"/>
            <w:sz w:val="16"/>
            <w:szCs w:val="16"/>
            <w:lang w:val="nl-NL"/>
          </w:rPr>
          <w:t>Milieu-Innovatie Platform (MIP)</w:t>
        </w:r>
      </w:hyperlink>
      <w:r>
        <w:rPr>
          <w:rFonts w:asciiTheme="minorHAnsi" w:hAnsiTheme="minorHAnsi" w:cstheme="minorHAnsi"/>
          <w:sz w:val="16"/>
          <w:szCs w:val="16"/>
          <w:lang w:val="nl-NL"/>
        </w:rPr>
        <w:t xml:space="preserve"> </w:t>
      </w:r>
    </w:p>
  </w:footnote>
  <w:footnote w:id="37">
    <w:p w:rsidR="0017500B" w:rsidRDefault="00390F61">
      <w:pPr>
        <w:pStyle w:val="FootnoteText"/>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Walloon Government</w:t>
      </w:r>
      <w:r>
        <w:rPr>
          <w:rStyle w:val="Hyperlink"/>
          <w:rFonts w:asciiTheme="minorHAnsi" w:hAnsiTheme="minorHAnsi" w:cstheme="minorHAnsi"/>
          <w:sz w:val="16"/>
          <w:szCs w:val="16"/>
          <w:u w:val="none"/>
        </w:rPr>
        <w:t xml:space="preserve">, </w:t>
      </w:r>
      <w:hyperlink r:id="rId36" w:history="1">
        <w:r>
          <w:rPr>
            <w:rStyle w:val="Hyperlink"/>
            <w:rFonts w:asciiTheme="minorHAnsi" w:hAnsiTheme="minorHAnsi" w:cstheme="minorHAnsi"/>
            <w:sz w:val="16"/>
            <w:szCs w:val="16"/>
          </w:rPr>
          <w:t>Gateway to Research and Technologies in Wallonia</w:t>
        </w:r>
      </w:hyperlink>
    </w:p>
  </w:footnote>
  <w:footnote w:id="38">
    <w:p w:rsidR="0017500B" w:rsidRDefault="00390F6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hyperlink r:id="rId37" w:history="1">
        <w:r>
          <w:rPr>
            <w:rStyle w:val="Hyperlink"/>
            <w:rFonts w:asciiTheme="minorHAnsi" w:hAnsiTheme="minorHAnsi"/>
            <w:sz w:val="16"/>
            <w:szCs w:val="16"/>
          </w:rPr>
          <w:t>Eco-innovation Observatory</w:t>
        </w:r>
      </w:hyperlink>
      <w:r>
        <w:rPr>
          <w:rFonts w:asciiTheme="minorHAnsi" w:hAnsiTheme="minorHAnsi"/>
          <w:sz w:val="16"/>
          <w:szCs w:val="16"/>
        </w:rPr>
        <w:t>: Eco-Innovation scoreboard 2015</w:t>
      </w:r>
    </w:p>
  </w:footnote>
  <w:footnote w:id="39">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ab/>
        <w:t xml:space="preserve"> Waste Man</w:t>
      </w:r>
      <w:r>
        <w:rPr>
          <w:rFonts w:asciiTheme="minorHAnsi" w:hAnsiTheme="minorHAnsi" w:cstheme="minorHAnsi"/>
          <w:sz w:val="16"/>
          <w:szCs w:val="16"/>
        </w:rPr>
        <w:t>agement Plans/Waste Prevention Programmes</w:t>
      </w:r>
    </w:p>
  </w:footnote>
  <w:footnote w:id="40">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ab/>
        <w:t xml:space="preserve"> Municipal waste consists of waste collected by or on behalf of municipal authorities, or directly by the private sector (business or private non-profit institutions) not on behalf of municipalities.</w:t>
      </w:r>
    </w:p>
  </w:footnote>
  <w:footnote w:id="41">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w:t>
      </w:r>
      <w:r>
        <w:rPr>
          <w:sz w:val="16"/>
          <w:szCs w:val="16"/>
        </w:rPr>
        <w:t xml:space="preserve">Eurostat, </w:t>
      </w:r>
      <w:hyperlink r:id="rId38" w:history="1">
        <w:r>
          <w:rPr>
            <w:rStyle w:val="Hyperlink"/>
            <w:sz w:val="16"/>
            <w:szCs w:val="16"/>
          </w:rPr>
          <w:t>Municipal waste and treatment, by type of treatment method,</w:t>
        </w:r>
      </w:hyperlink>
      <w:r>
        <w:rPr>
          <w:sz w:val="16"/>
          <w:szCs w:val="16"/>
        </w:rPr>
        <w:t xml:space="preserve"> accessed October 2016</w:t>
      </w:r>
    </w:p>
  </w:footnote>
  <w:footnote w:id="42">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hyperlink r:id="rId39" w:history="1">
        <w:r>
          <w:rPr>
            <w:rStyle w:val="Hyperlink"/>
            <w:rFonts w:asciiTheme="minorHAnsi" w:hAnsiTheme="minorHAnsi" w:cstheme="minorHAnsi"/>
            <w:sz w:val="16"/>
            <w:szCs w:val="16"/>
          </w:rPr>
          <w:tab/>
          <w:t>OVAM</w:t>
        </w:r>
      </w:hyperlink>
      <w:r>
        <w:rPr>
          <w:rFonts w:asciiTheme="minorHAnsi" w:hAnsiTheme="minorHAnsi" w:cstheme="minorHAnsi"/>
          <w:sz w:val="16"/>
          <w:szCs w:val="16"/>
        </w:rPr>
        <w:t>, 2015, p.9 which cites a figure of 491.46 kg/yr/inhabitant in 2014. To this for the year 2014, one must subtract 59,62 kg/inhabitant/year (row ‘bouw en sloopafval’ = construction and demolition</w:t>
      </w:r>
      <w:r>
        <w:rPr>
          <w:rFonts w:asciiTheme="minorHAnsi" w:hAnsiTheme="minorHAnsi" w:cstheme="minorHAnsi"/>
          <w:sz w:val="16"/>
          <w:szCs w:val="16"/>
        </w:rPr>
        <w:t xml:space="preserve"> waste) resulting in 431,84 kg/inhabitant/year.</w:t>
      </w:r>
      <w:hyperlink r:id="rId40" w:history="1"/>
    </w:p>
  </w:footnote>
  <w:footnote w:id="43">
    <w:p w:rsidR="0017500B" w:rsidRDefault="00390F61">
      <w:pPr>
        <w:pStyle w:val="FootnoteText"/>
        <w:widowControl w:val="0"/>
        <w:ind w:left="170" w:hanging="170"/>
        <w:rPr>
          <w:rFonts w:asciiTheme="minorHAnsi" w:hAnsiTheme="minorHAnsi" w:cstheme="minorHAnsi"/>
          <w:sz w:val="16"/>
          <w:szCs w:val="16"/>
          <w:lang w:val="fr-FR"/>
        </w:rPr>
      </w:pPr>
      <w:r>
        <w:rPr>
          <w:rStyle w:val="FootnoteCharacters"/>
          <w:rFonts w:asciiTheme="minorHAnsi" w:hAnsiTheme="minorHAnsi" w:cstheme="minorHAnsi"/>
          <w:sz w:val="16"/>
          <w:szCs w:val="16"/>
        </w:rPr>
        <w:footnoteRef/>
      </w:r>
      <w:r>
        <w:rPr>
          <w:rFonts w:asciiTheme="minorHAnsi" w:hAnsiTheme="minorHAnsi" w:cstheme="minorHAnsi"/>
          <w:sz w:val="16"/>
          <w:szCs w:val="16"/>
          <w:lang w:val="fr-BE"/>
        </w:rPr>
        <w:tab/>
        <w:t xml:space="preserve"> </w:t>
      </w:r>
      <w:r>
        <w:rPr>
          <w:rFonts w:asciiTheme="minorHAnsi" w:hAnsiTheme="minorHAnsi" w:cstheme="minorHAnsi"/>
          <w:sz w:val="16"/>
          <w:szCs w:val="16"/>
          <w:lang w:val="fr-FR"/>
        </w:rPr>
        <w:t>Wallon government</w:t>
      </w:r>
      <w:r>
        <w:rPr>
          <w:rFonts w:asciiTheme="minorHAnsi" w:hAnsiTheme="minorHAnsi" w:cstheme="minorHAnsi"/>
          <w:sz w:val="16"/>
          <w:szCs w:val="16"/>
          <w:lang w:val="fr-BE"/>
        </w:rPr>
        <w:t xml:space="preserve">, 2014. </w:t>
      </w:r>
      <w:hyperlink r:id="rId41" w:history="1">
        <w:r>
          <w:rPr>
            <w:rStyle w:val="Hyperlink"/>
            <w:rFonts w:asciiTheme="minorHAnsi" w:hAnsiTheme="minorHAnsi" w:cstheme="minorHAnsi"/>
            <w:sz w:val="16"/>
            <w:szCs w:val="16"/>
            <w:lang w:val="fr-FR"/>
          </w:rPr>
          <w:t>Génération de déchets municipaux</w:t>
        </w:r>
      </w:hyperlink>
      <w:r>
        <w:rPr>
          <w:rFonts w:asciiTheme="minorHAnsi" w:hAnsiTheme="minorHAnsi" w:cstheme="minorHAnsi"/>
          <w:sz w:val="16"/>
          <w:szCs w:val="16"/>
          <w:lang w:val="fr-FR"/>
        </w:rPr>
        <w:t xml:space="preserve"> </w:t>
      </w:r>
    </w:p>
  </w:footnote>
  <w:footnote w:id="44">
    <w:p w:rsidR="0017500B" w:rsidRDefault="00390F61">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r>
        <w:rPr>
          <w:sz w:val="16"/>
          <w:szCs w:val="16"/>
        </w:rPr>
        <w:t xml:space="preserve">Eurostat, </w:t>
      </w:r>
      <w:hyperlink r:id="rId42" w:history="1">
        <w:r>
          <w:rPr>
            <w:rStyle w:val="Hyperlink"/>
            <w:sz w:val="16"/>
            <w:szCs w:val="16"/>
          </w:rPr>
          <w:t>Municipal waste and treatment, by type of treatment method,</w:t>
        </w:r>
      </w:hyperlink>
      <w:r>
        <w:rPr>
          <w:sz w:val="16"/>
          <w:szCs w:val="16"/>
        </w:rPr>
        <w:t xml:space="preserve"> accessed October 2016</w:t>
      </w:r>
    </w:p>
  </w:footnote>
  <w:footnote w:id="45">
    <w:p w:rsidR="0017500B" w:rsidRDefault="00390F61">
      <w:pPr>
        <w:pStyle w:val="FootnoteText"/>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w:t>
      </w:r>
      <w:hyperlink r:id="rId43" w:history="1">
        <w:r>
          <w:rPr>
            <w:rStyle w:val="Hyperlink"/>
            <w:rFonts w:asciiTheme="minorHAnsi" w:hAnsiTheme="minorHAnsi" w:cstheme="minorHAnsi"/>
            <w:sz w:val="16"/>
            <w:szCs w:val="16"/>
          </w:rPr>
          <w:t>OVAM</w:t>
        </w:r>
        <w:r>
          <w:rPr>
            <w:rStyle w:val="Hyperlink"/>
            <w:rFonts w:asciiTheme="minorHAnsi" w:hAnsiTheme="minorHAnsi" w:cstheme="minorHAnsi"/>
            <w:sz w:val="16"/>
            <w:szCs w:val="16"/>
            <w:u w:val="none"/>
          </w:rPr>
          <w:t xml:space="preserve"> 2015</w:t>
        </w:r>
      </w:hyperlink>
      <w:r>
        <w:rPr>
          <w:rFonts w:asciiTheme="minorHAnsi" w:hAnsiTheme="minorHAnsi" w:cstheme="minorHAnsi"/>
          <w:sz w:val="16"/>
          <w:szCs w:val="16"/>
        </w:rPr>
        <w:t>, p.26</w:t>
      </w:r>
    </w:p>
  </w:footnote>
  <w:footnote w:id="46">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ab/>
        <w:t xml:space="preserve"> Member States may choose a different method than the one used by Eurostat (and referred to in this report) to calculate their recycling rates and track compliance with the 2020 target of 50% recycling of municipal waste.</w:t>
      </w:r>
    </w:p>
  </w:footnote>
  <w:footnote w:id="47">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ab/>
      </w:r>
      <w:r>
        <w:rPr>
          <w:rFonts w:asciiTheme="minorHAnsi" w:hAnsiTheme="minorHAnsi" w:cstheme="minorHAnsi"/>
          <w:sz w:val="16"/>
          <w:szCs w:val="16"/>
        </w:rPr>
        <w:t xml:space="preserve"> National sources: Flanders (</w:t>
      </w:r>
      <w:hyperlink r:id="rId44" w:history="1">
        <w:r>
          <w:rPr>
            <w:rStyle w:val="Hyperlink"/>
            <w:rFonts w:asciiTheme="minorHAnsi" w:hAnsiTheme="minorHAnsi" w:cstheme="minorHAnsi"/>
            <w:sz w:val="16"/>
            <w:szCs w:val="16"/>
          </w:rPr>
          <w:t>OVAM</w:t>
        </w:r>
      </w:hyperlink>
      <w:r>
        <w:rPr>
          <w:rFonts w:asciiTheme="minorHAnsi" w:hAnsiTheme="minorHAnsi" w:cstheme="minorHAnsi"/>
          <w:sz w:val="16"/>
          <w:szCs w:val="16"/>
        </w:rPr>
        <w:t xml:space="preserve"> 2015) over 70% (2014) of the household waste was subject to some form of material recovery while in Wal</w:t>
      </w:r>
      <w:r>
        <w:rPr>
          <w:rFonts w:asciiTheme="minorHAnsi" w:hAnsiTheme="minorHAnsi" w:cstheme="minorHAnsi"/>
          <w:sz w:val="16"/>
          <w:szCs w:val="16"/>
        </w:rPr>
        <w:t>lonia separate collection accounted for 60% (2012). However, these figures do not fit with ESTAT figures.</w:t>
      </w:r>
    </w:p>
  </w:footnote>
  <w:footnote w:id="48">
    <w:p w:rsidR="0017500B" w:rsidRDefault="00390F61">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w:t>
      </w:r>
      <w:r>
        <w:rPr>
          <w:sz w:val="16"/>
          <w:szCs w:val="16"/>
        </w:rPr>
        <w:t xml:space="preserve">Eurostat, </w:t>
      </w:r>
      <w:hyperlink r:id="rId45" w:history="1">
        <w:r>
          <w:rPr>
            <w:rStyle w:val="Hyperlink"/>
            <w:sz w:val="16"/>
            <w:szCs w:val="16"/>
          </w:rPr>
          <w:t xml:space="preserve">Recycling rate of </w:t>
        </w:r>
        <w:r>
          <w:rPr>
            <w:rStyle w:val="Hyperlink"/>
            <w:sz w:val="16"/>
            <w:szCs w:val="16"/>
          </w:rPr>
          <w:t>municipal waste</w:t>
        </w:r>
      </w:hyperlink>
      <w:r>
        <w:rPr>
          <w:sz w:val="16"/>
          <w:szCs w:val="16"/>
        </w:rPr>
        <w:t xml:space="preserve">, accessed </w:t>
      </w:r>
      <w:r>
        <w:rPr>
          <w:rStyle w:val="Hyperlink"/>
          <w:rFonts w:cstheme="minorHAnsi"/>
          <w:color w:val="auto"/>
          <w:sz w:val="16"/>
          <w:szCs w:val="16"/>
          <w:u w:val="none"/>
        </w:rPr>
        <w:t>October 2016</w:t>
      </w:r>
    </w:p>
  </w:footnote>
  <w:footnote w:id="49">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lang w:val="nl-NL"/>
        </w:rPr>
        <w:tab/>
        <w:t xml:space="preserve"> Hoogmartens, R., Eyckmans, J. &amp; Van Passel, S. 2016. </w:t>
      </w:r>
      <w:hyperlink r:id="rId46" w:history="1">
        <w:r>
          <w:rPr>
            <w:rStyle w:val="Hyperlink"/>
            <w:rFonts w:asciiTheme="minorHAnsi" w:hAnsiTheme="minorHAnsi" w:cstheme="minorHAnsi"/>
            <w:sz w:val="16"/>
            <w:szCs w:val="16"/>
          </w:rPr>
          <w:t>Landfill taxes and Enhanced Waste Management: Combining valuable practices with respect to future waste streams</w:t>
        </w:r>
      </w:hyperlink>
      <w:r>
        <w:rPr>
          <w:rFonts w:asciiTheme="minorHAnsi" w:hAnsiTheme="minorHAnsi" w:cstheme="minorHAnsi"/>
          <w:sz w:val="16"/>
          <w:szCs w:val="16"/>
        </w:rPr>
        <w:t xml:space="preserve">. </w:t>
      </w:r>
      <w:r>
        <w:rPr>
          <w:rFonts w:asciiTheme="minorHAnsi" w:hAnsiTheme="minorHAnsi" w:cstheme="minorHAnsi"/>
          <w:i/>
          <w:sz w:val="16"/>
          <w:szCs w:val="16"/>
        </w:rPr>
        <w:t>Waste Management</w:t>
      </w:r>
      <w:r>
        <w:rPr>
          <w:rFonts w:asciiTheme="minorHAnsi" w:hAnsiTheme="minorHAnsi" w:cstheme="minorHAnsi"/>
          <w:sz w:val="16"/>
          <w:szCs w:val="16"/>
        </w:rPr>
        <w:t xml:space="preserve">. </w:t>
      </w:r>
    </w:p>
  </w:footnote>
  <w:footnote w:id="50">
    <w:p w:rsidR="0017500B" w:rsidRDefault="00390F61">
      <w:pPr>
        <w:pStyle w:val="FootnoteText"/>
        <w:ind w:left="170" w:hanging="170"/>
        <w:rPr>
          <w:rFonts w:asciiTheme="minorHAnsi" w:hAnsiTheme="minorHAnsi" w:cstheme="minorHAnsi"/>
          <w:sz w:val="16"/>
          <w:szCs w:val="16"/>
        </w:rPr>
      </w:pPr>
      <w:r>
        <w:rPr>
          <w:rStyle w:val="FootnoteReference"/>
          <w:rFonts w:asciiTheme="minorHAnsi" w:hAnsiTheme="minorHAnsi" w:cstheme="minorHAnsi"/>
          <w:sz w:val="16"/>
          <w:szCs w:val="16"/>
          <w:vertAlign w:val="baseline"/>
        </w:rPr>
        <w:footnoteRef/>
      </w:r>
      <w:r>
        <w:rPr>
          <w:rFonts w:asciiTheme="minorHAnsi" w:hAnsiTheme="minorHAnsi" w:cstheme="minorHAnsi"/>
          <w:sz w:val="16"/>
          <w:szCs w:val="16"/>
        </w:rPr>
        <w:t xml:space="preserve"> </w:t>
      </w:r>
      <w:hyperlink r:id="rId47" w:history="1">
        <w:r>
          <w:rPr>
            <w:rStyle w:val="Hyperlink"/>
            <w:rFonts w:asciiTheme="minorHAnsi" w:hAnsiTheme="minorHAnsi" w:cstheme="minorHAnsi"/>
            <w:sz w:val="16"/>
            <w:szCs w:val="16"/>
          </w:rPr>
          <w:t>F</w:t>
        </w:r>
        <w:r>
          <w:rPr>
            <w:rStyle w:val="Hyperlink"/>
            <w:rFonts w:asciiTheme="minorHAnsi" w:hAnsiTheme="minorHAnsi" w:cstheme="minorHAnsi"/>
            <w:sz w:val="16"/>
            <w:szCs w:val="16"/>
          </w:rPr>
          <w:t>lemish government</w:t>
        </w:r>
      </w:hyperlink>
    </w:p>
  </w:footnote>
  <w:footnote w:id="51">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ab/>
        <w:t xml:space="preserve"> European Union, Proposal for a Directive on the landfill of waste, </w:t>
      </w:r>
      <w:hyperlink r:id="rId48" w:history="1">
        <w:r>
          <w:rPr>
            <w:rStyle w:val="Hyperlink"/>
            <w:rFonts w:asciiTheme="minorHAnsi" w:hAnsiTheme="minorHAnsi" w:cstheme="minorHAnsi"/>
            <w:sz w:val="16"/>
            <w:szCs w:val="16"/>
          </w:rPr>
          <w:t>COM/2015/0594</w:t>
        </w:r>
      </w:hyperlink>
      <w:hyperlink r:id="rId49" w:history="1"/>
      <w:hyperlink r:id="rId50" w:history="1"/>
    </w:p>
  </w:footnote>
  <w:footnote w:id="52">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ab/>
        <w:t xml:space="preserve"> Bio Intelligence service, 2011. </w:t>
      </w:r>
      <w:hyperlink r:id="rId51" w:history="1">
        <w:r>
          <w:rPr>
            <w:rStyle w:val="Hyperlink"/>
            <w:rFonts w:asciiTheme="minorHAnsi" w:hAnsiTheme="minorHAnsi" w:cstheme="minorHAnsi"/>
            <w:sz w:val="16"/>
            <w:szCs w:val="16"/>
          </w:rPr>
          <w:t xml:space="preserve">Implementing EU Waste </w:t>
        </w:r>
        <w:r>
          <w:rPr>
            <w:rStyle w:val="Hyperlink"/>
            <w:rFonts w:asciiTheme="minorHAnsi" w:hAnsiTheme="minorHAnsi" w:cstheme="minorHAnsi"/>
            <w:sz w:val="16"/>
            <w:szCs w:val="16"/>
          </w:rPr>
          <w:t>legislation for Green Growth</w:t>
        </w:r>
      </w:hyperlink>
      <w:hyperlink r:id="rId52" w:history="1"/>
      <w:r>
        <w:rPr>
          <w:rFonts w:asciiTheme="minorHAnsi" w:hAnsiTheme="minorHAnsi" w:cstheme="minorHAnsi"/>
          <w:sz w:val="16"/>
          <w:szCs w:val="16"/>
        </w:rPr>
        <w:t>, study for European Commission. The breakdown per country on job creation was made by the consultant on Commission demand but was</w:t>
      </w:r>
      <w:r>
        <w:rPr>
          <w:rFonts w:asciiTheme="minorHAnsi" w:hAnsiTheme="minorHAnsi" w:cstheme="minorHAnsi"/>
          <w:sz w:val="16"/>
          <w:szCs w:val="16"/>
        </w:rPr>
        <w:t xml:space="preserve"> not included in the published document.</w:t>
      </w:r>
      <w:r>
        <w:rPr>
          <w:rStyle w:val="Hyperlink"/>
          <w:rFonts w:asciiTheme="minorHAnsi" w:hAnsiTheme="minorHAnsi" w:cstheme="minorHAnsi"/>
          <w:sz w:val="16"/>
          <w:szCs w:val="16"/>
        </w:rPr>
        <w:t xml:space="preserve">  </w:t>
      </w:r>
    </w:p>
  </w:footnote>
  <w:footnote w:id="53">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ab/>
        <w:t xml:space="preserve"> European Commission, Roadmap to a Resource Efficient Europe, </w:t>
      </w:r>
      <w:hyperlink r:id="rId53" w:history="1">
        <w:r>
          <w:rPr>
            <w:rStyle w:val="Hyperlink"/>
            <w:rFonts w:asciiTheme="minorHAnsi" w:hAnsiTheme="minorHAnsi" w:cstheme="minorHAnsi"/>
            <w:sz w:val="16"/>
            <w:szCs w:val="16"/>
          </w:rPr>
          <w:t>COM(2011) 571</w:t>
        </w:r>
      </w:hyperlink>
      <w:hyperlink r:id="rId54" w:history="1">
        <w:r>
          <w:rPr>
            <w:rStyle w:val="Hyperlink"/>
            <w:rFonts w:asciiTheme="minorHAnsi" w:hAnsiTheme="minorHAnsi" w:cstheme="minorHAnsi"/>
            <w:sz w:val="16"/>
            <w:szCs w:val="16"/>
          </w:rPr>
          <w:t>COM(2011) 571</w:t>
        </w:r>
      </w:hyperlink>
      <w:r>
        <w:rPr>
          <w:rFonts w:asciiTheme="minorHAnsi" w:hAnsiTheme="minorHAnsi" w:cstheme="minorHAnsi"/>
          <w:sz w:val="16"/>
          <w:szCs w:val="16"/>
        </w:rPr>
        <w:t xml:space="preserve">, which </w:t>
      </w:r>
      <w:r>
        <w:rPr>
          <w:rFonts w:asciiTheme="minorHAnsi" w:hAnsiTheme="minorHAnsi" w:cstheme="minorHAnsi"/>
          <w:sz w:val="16"/>
          <w:szCs w:val="16"/>
          <w:lang w:val="en"/>
        </w:rPr>
        <w:t>outlines how we can transform Europe's economy into a sustainable one by 2050.</w:t>
      </w:r>
    </w:p>
  </w:footnote>
  <w:footnote w:id="54">
    <w:p w:rsidR="0017500B" w:rsidRDefault="00390F61">
      <w:pPr>
        <w:widowControl w:val="0"/>
        <w:spacing w:after="0" w:line="240" w:lineRule="auto"/>
        <w:ind w:left="170" w:hanging="170"/>
        <w:rPr>
          <w:rFonts w:cstheme="minorHAnsi"/>
          <w:sz w:val="16"/>
          <w:szCs w:val="16"/>
        </w:rPr>
      </w:pPr>
      <w:r>
        <w:rPr>
          <w:rStyle w:val="FootnoteCharacters"/>
          <w:rFonts w:cstheme="minorHAnsi"/>
          <w:sz w:val="16"/>
          <w:szCs w:val="16"/>
        </w:rPr>
        <w:footnoteRef/>
      </w:r>
      <w:r>
        <w:rPr>
          <w:rFonts w:cstheme="minorHAnsi"/>
          <w:sz w:val="16"/>
          <w:szCs w:val="16"/>
        </w:rPr>
        <w:tab/>
        <w:t xml:space="preserve"> Flemish government, 2010. </w:t>
      </w:r>
      <w:hyperlink r:id="rId55" w:history="1">
        <w:r>
          <w:rPr>
            <w:rStyle w:val="Hyperlink"/>
            <w:rFonts w:cstheme="minorHAnsi"/>
            <w:sz w:val="16"/>
            <w:szCs w:val="16"/>
          </w:rPr>
          <w:t>Closing the Circle, een demonstratie van Enhanced Landfill Mining</w:t>
        </w:r>
      </w:hyperlink>
      <w:r>
        <w:rPr>
          <w:rFonts w:cstheme="minorHAnsi"/>
          <w:sz w:val="16"/>
          <w:szCs w:val="16"/>
        </w:rPr>
        <w:t xml:space="preserve">   </w:t>
      </w:r>
    </w:p>
  </w:footnote>
  <w:footnote w:id="55">
    <w:p w:rsidR="0017500B" w:rsidRDefault="00390F61">
      <w:pPr>
        <w:pStyle w:val="FootnoteText"/>
        <w:widowControl w:val="0"/>
        <w:ind w:left="170" w:hanging="170"/>
        <w:outlineLvl w:val="4"/>
        <w:rPr>
          <w:rFonts w:asciiTheme="minorHAnsi" w:hAnsiTheme="minorHAnsi"/>
          <w:sz w:val="16"/>
          <w:szCs w:val="16"/>
          <w:lang w:val="en"/>
        </w:rPr>
      </w:pPr>
      <w:r>
        <w:rPr>
          <w:rStyle w:val="FootnoteReference"/>
          <w:rFonts w:asciiTheme="minorHAnsi" w:hAnsiTheme="minorHAnsi"/>
          <w:sz w:val="16"/>
          <w:szCs w:val="16"/>
          <w:vertAlign w:val="baseline"/>
        </w:rPr>
        <w:footnoteRef/>
      </w:r>
      <w:r>
        <w:rPr>
          <w:rFonts w:asciiTheme="minorHAnsi" w:hAnsiTheme="minorHAnsi"/>
          <w:sz w:val="16"/>
          <w:szCs w:val="16"/>
        </w:rPr>
        <w:t xml:space="preserve"> Sites of Community Importance (SCIs) are designated pursuant to the Habitats Directive whereas Special Areas of Protection (SPAs) are designated pursuant to the B</w:t>
      </w:r>
      <w:r>
        <w:rPr>
          <w:rFonts w:asciiTheme="minorHAnsi" w:hAnsiTheme="minorHAnsi"/>
          <w:sz w:val="16"/>
          <w:szCs w:val="16"/>
        </w:rPr>
        <w:t xml:space="preserve">irds Directive; figures of coverage do not add up due to the fact that some SCIs and SPAs overlap. Special Areas of Conservation (SACs) </w:t>
      </w:r>
      <w:r>
        <w:rPr>
          <w:rFonts w:asciiTheme="minorHAnsi" w:hAnsiTheme="minorHAnsi"/>
          <w:sz w:val="16"/>
          <w:szCs w:val="16"/>
          <w:lang w:val="en"/>
        </w:rPr>
        <w:t>means a SCI designated by the Member States.</w:t>
      </w:r>
    </w:p>
  </w:footnote>
  <w:footnote w:id="56">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ab/>
        <w:t xml:space="preserve"> Belgian National Focal Point to the Convention on Biological Diversity, </w:t>
      </w:r>
      <w:r>
        <w:rPr>
          <w:rFonts w:asciiTheme="minorHAnsi" w:hAnsiTheme="minorHAnsi" w:cstheme="minorHAnsi"/>
          <w:sz w:val="16"/>
          <w:szCs w:val="16"/>
        </w:rPr>
        <w:t xml:space="preserve">2013. </w:t>
      </w:r>
      <w:hyperlink r:id="rId56" w:history="1">
        <w:r>
          <w:rPr>
            <w:rStyle w:val="Hyperlink"/>
            <w:rFonts w:asciiTheme="minorHAnsi" w:hAnsiTheme="minorHAnsi" w:cstheme="minorHAnsi"/>
            <w:sz w:val="16"/>
            <w:szCs w:val="16"/>
          </w:rPr>
          <w:t>Biodiversity 2020 – Update of Belgium’s National Biodiversity Strategy</w:t>
        </w:r>
      </w:hyperlink>
      <w:r>
        <w:rPr>
          <w:rFonts w:asciiTheme="minorHAnsi" w:hAnsiTheme="minorHAnsi" w:cstheme="minorHAnsi"/>
          <w:sz w:val="16"/>
          <w:szCs w:val="16"/>
        </w:rPr>
        <w:t>. Royal Belgian Institute of Natural Sciences, Brussels</w:t>
      </w:r>
    </w:p>
  </w:footnote>
  <w:footnote w:id="57">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For each Member State, the Commission assesses whether the species and habitat types on Annexes I and II of the Habitats Directive, are sufficiently represented by the sites designated to date. This is expressed as a percentage of species and habitats for</w:t>
      </w:r>
      <w:r>
        <w:rPr>
          <w:rFonts w:asciiTheme="minorHAnsi" w:hAnsiTheme="minorHAnsi" w:cstheme="minorHAnsi"/>
          <w:sz w:val="16"/>
          <w:szCs w:val="16"/>
        </w:rPr>
        <w:t xml:space="preserve"> which further areas need to be designated in order to complete the network in that country. </w:t>
      </w:r>
      <w:hyperlink r:id="rId57" w:history="1">
        <w:r>
          <w:rPr>
            <w:rStyle w:val="Hyperlink"/>
            <w:rFonts w:asciiTheme="minorHAnsi" w:hAnsiTheme="minorHAnsi" w:cstheme="minorHAnsi"/>
            <w:sz w:val="16"/>
            <w:szCs w:val="16"/>
          </w:rPr>
          <w:t>The current data</w:t>
        </w:r>
      </w:hyperlink>
      <w:r>
        <w:rPr>
          <w:rFonts w:asciiTheme="minorHAnsi" w:hAnsiTheme="minorHAnsi" w:cstheme="minorHAnsi"/>
          <w:sz w:val="16"/>
          <w:szCs w:val="16"/>
        </w:rPr>
        <w:t>, which were assessed in 2014-2015, reflect the sit</w:t>
      </w:r>
      <w:r>
        <w:rPr>
          <w:rFonts w:asciiTheme="minorHAnsi" w:hAnsiTheme="minorHAnsi" w:cstheme="minorHAnsi"/>
          <w:sz w:val="16"/>
          <w:szCs w:val="16"/>
        </w:rPr>
        <w:t>uation up until December 2013.</w:t>
      </w:r>
    </w:p>
  </w:footnote>
  <w:footnote w:id="58">
    <w:p w:rsidR="0017500B" w:rsidRDefault="00390F61">
      <w:pPr>
        <w:pStyle w:val="FootnoteText"/>
        <w:ind w:left="170" w:hanging="170"/>
      </w:pPr>
      <w:r>
        <w:rPr>
          <w:rStyle w:val="FootnoteReference"/>
          <w:sz w:val="16"/>
          <w:szCs w:val="16"/>
          <w:vertAlign w:val="baseline"/>
        </w:rPr>
        <w:footnoteRef/>
      </w:r>
      <w:r>
        <w:rPr>
          <w:sz w:val="16"/>
          <w:szCs w:val="16"/>
        </w:rPr>
        <w:t xml:space="preserve"> The percentages in Figure 5 refer to percentages of the total number of assessments (one assessment covering 1 species or 1 habitat in a given biographical region with the Member State); if a habitat type or a species occur</w:t>
      </w:r>
      <w:r>
        <w:rPr>
          <w:sz w:val="16"/>
          <w:szCs w:val="16"/>
        </w:rPr>
        <w:t>s in more than 1 Biogeographic region within a given Member State, there will be as many individual assessments as there are Biogeographic regions with an occurrence of that species or habitat in this Member State.</w:t>
      </w:r>
    </w:p>
  </w:footnote>
  <w:footnote w:id="59">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ab/>
        <w:t xml:space="preserve"> European Commission internal assessmen</w:t>
      </w:r>
      <w:r>
        <w:rPr>
          <w:rFonts w:asciiTheme="minorHAnsi" w:hAnsiTheme="minorHAnsi" w:cstheme="minorHAnsi"/>
          <w:sz w:val="16"/>
          <w:szCs w:val="16"/>
        </w:rPr>
        <w:t>t.</w:t>
      </w:r>
    </w:p>
  </w:footnote>
  <w:footnote w:id="60">
    <w:p w:rsidR="0017500B" w:rsidRDefault="00390F61">
      <w:pPr>
        <w:pStyle w:val="FootnoteText"/>
        <w:ind w:left="170" w:hanging="170"/>
      </w:pPr>
      <w:r>
        <w:rPr>
          <w:rStyle w:val="FootnoteReference"/>
          <w:vertAlign w:val="baseline"/>
        </w:rPr>
        <w:footnoteRef/>
      </w:r>
      <w:r>
        <w:t xml:space="preserve"> </w:t>
      </w:r>
      <w:hyperlink r:id="rId58" w:history="1">
        <w:r>
          <w:rPr>
            <w:rStyle w:val="Hyperlink"/>
          </w:rPr>
          <w:t>Libre Belgique</w:t>
        </w:r>
      </w:hyperlink>
      <w:r>
        <w:rPr>
          <w:rStyle w:val="Hyperlink"/>
          <w:u w:val="none"/>
        </w:rPr>
        <w:t xml:space="preserve">, </w:t>
      </w:r>
      <w:r>
        <w:rPr>
          <w:rStyle w:val="Hyperlink"/>
          <w:color w:val="auto"/>
          <w:u w:val="none"/>
        </w:rPr>
        <w:t>notification 01.12.16, not yet published in the Belgian Official Journal. N.B. Wallonia has many</w:t>
      </w:r>
      <w:r>
        <w:rPr>
          <w:rStyle w:val="Hyperlink"/>
          <w:color w:val="auto"/>
          <w:u w:val="none"/>
        </w:rPr>
        <w:t xml:space="preserve"> more sites </w:t>
      </w:r>
      <w:r>
        <w:t>compared to Flanders as it opted for a more fine-grained network of SCIs, including a few larger sites and many smaller sites.</w:t>
      </w:r>
    </w:p>
    <w:p w:rsidR="0017500B" w:rsidRDefault="0017500B">
      <w:pPr>
        <w:pStyle w:val="FootnoteText"/>
        <w:ind w:left="170" w:hanging="170"/>
      </w:pPr>
    </w:p>
  </w:footnote>
  <w:footnote w:id="61">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ab/>
        <w:t xml:space="preserve"> </w:t>
      </w:r>
      <w:r>
        <w:rPr>
          <w:rFonts w:asciiTheme="minorHAnsi" w:hAnsiTheme="minorHAnsi" w:cstheme="minorHAnsi"/>
          <w:iCs/>
          <w:sz w:val="16"/>
          <w:szCs w:val="16"/>
        </w:rPr>
        <w:t>These figures show the percentage of biogeographical assessments in each category of conservation status for habi</w:t>
      </w:r>
      <w:r>
        <w:rPr>
          <w:rFonts w:asciiTheme="minorHAnsi" w:hAnsiTheme="minorHAnsi" w:cstheme="minorHAnsi"/>
          <w:iCs/>
          <w:sz w:val="16"/>
          <w:szCs w:val="16"/>
        </w:rPr>
        <w:t xml:space="preserve">tats and species </w:t>
      </w:r>
      <w:r>
        <w:rPr>
          <w:sz w:val="16"/>
          <w:szCs w:val="16"/>
        </w:rPr>
        <w:t>(one assessment covering 1 species or 1 habitat in a given biographical region with the Member State)</w:t>
      </w:r>
      <w:r>
        <w:rPr>
          <w:rFonts w:asciiTheme="minorHAnsi" w:hAnsiTheme="minorHAnsi" w:cstheme="minorHAnsi"/>
          <w:iCs/>
          <w:sz w:val="16"/>
          <w:szCs w:val="16"/>
        </w:rPr>
        <w:t xml:space="preserve">, respectively. The information is based on </w:t>
      </w:r>
      <w:r>
        <w:rPr>
          <w:rFonts w:asciiTheme="minorHAnsi" w:hAnsiTheme="minorHAnsi" w:cstheme="minorHAnsi"/>
          <w:sz w:val="16"/>
          <w:szCs w:val="16"/>
        </w:rPr>
        <w:t xml:space="preserve">Article 17 of the Habitats Directive reporting - </w:t>
      </w:r>
      <w:hyperlink r:id="rId59" w:history="1">
        <w:r>
          <w:rPr>
            <w:rStyle w:val="Hyperlink"/>
            <w:rFonts w:asciiTheme="minorHAnsi" w:hAnsiTheme="minorHAnsi" w:cstheme="minorHAnsi"/>
            <w:sz w:val="16"/>
            <w:szCs w:val="16"/>
          </w:rPr>
          <w:t>national summary of Belgium</w:t>
        </w:r>
      </w:hyperlink>
    </w:p>
  </w:footnote>
  <w:footnote w:id="62">
    <w:p w:rsidR="0017500B" w:rsidRDefault="00390F61">
      <w:pPr>
        <w:widowControl w:val="0"/>
        <w:spacing w:after="0" w:line="240" w:lineRule="auto"/>
        <w:ind w:left="170" w:hanging="170"/>
        <w:rPr>
          <w:rFonts w:cstheme="minorHAnsi"/>
          <w:sz w:val="16"/>
          <w:szCs w:val="16"/>
        </w:rPr>
      </w:pPr>
      <w:r>
        <w:rPr>
          <w:rStyle w:val="FootnoteCharacters"/>
          <w:rFonts w:cstheme="minorHAnsi"/>
          <w:sz w:val="16"/>
          <w:szCs w:val="16"/>
        </w:rPr>
        <w:footnoteRef/>
      </w:r>
      <w:r>
        <w:rPr>
          <w:rFonts w:cstheme="minorHAnsi"/>
          <w:sz w:val="16"/>
          <w:szCs w:val="16"/>
        </w:rPr>
        <w:t xml:space="preserve"> The core of the ‘Article 17’ report is the assessment of conservation status of the habitats and species targeted by the Habitats Directive.</w:t>
      </w:r>
    </w:p>
  </w:footnote>
  <w:footnote w:id="63">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ab/>
        <w:t xml:space="preserve"> Conservation status is asse</w:t>
      </w:r>
      <w:r>
        <w:rPr>
          <w:rFonts w:asciiTheme="minorHAnsi" w:hAnsiTheme="minorHAnsi" w:cstheme="minorHAnsi"/>
          <w:sz w:val="16"/>
          <w:szCs w:val="16"/>
        </w:rPr>
        <w:t>ssed using a standard methodology as being either ‘favourable’, ‘unfavourable-inadequate’ and ‘unfavourable-bad’, based on four parameters as defined in Article 1 of the Habitats Directive.</w:t>
      </w:r>
    </w:p>
  </w:footnote>
  <w:footnote w:id="64">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Please note that a direct comparison between 2007 and 2013 data is complicated by the fact that Bulgaria and Romania were not covered by the 2007 reporting cycle, that the ‘unknown’ assessments have strongly diminished particularly for species, and that s</w:t>
      </w:r>
      <w:r>
        <w:rPr>
          <w:rFonts w:asciiTheme="minorHAnsi" w:hAnsiTheme="minorHAnsi" w:cstheme="minorHAnsi"/>
          <w:sz w:val="16"/>
          <w:szCs w:val="16"/>
        </w:rPr>
        <w:t>ome reported changes are not genuine as they result from improved data / monitoring methods.</w:t>
      </w:r>
    </w:p>
  </w:footnote>
  <w:footnote w:id="65">
    <w:p w:rsidR="0017500B" w:rsidRDefault="00390F61">
      <w:pPr>
        <w:pStyle w:val="FootnoteText"/>
        <w:widowControl w:val="0"/>
        <w:ind w:left="170" w:hanging="170"/>
        <w:rPr>
          <w:rFonts w:asciiTheme="minorHAnsi" w:hAnsiTheme="minorHAnsi" w:cstheme="minorHAnsi"/>
          <w:sz w:val="16"/>
          <w:szCs w:val="16"/>
          <w:lang w:val="fr-BE"/>
        </w:rPr>
      </w:pPr>
      <w:r>
        <w:rPr>
          <w:rStyle w:val="FootnoteCharacters"/>
          <w:rFonts w:asciiTheme="minorHAnsi" w:hAnsiTheme="minorHAnsi" w:cstheme="minorHAnsi"/>
          <w:sz w:val="16"/>
          <w:szCs w:val="16"/>
        </w:rPr>
        <w:footnoteRef/>
      </w:r>
      <w:r>
        <w:rPr>
          <w:rFonts w:asciiTheme="minorHAnsi" w:hAnsiTheme="minorHAnsi" w:cstheme="minorHAnsi"/>
          <w:sz w:val="16"/>
          <w:szCs w:val="16"/>
          <w:lang w:val="hu-HU"/>
        </w:rPr>
        <w:tab/>
        <w:t xml:space="preserve">Walloon government. </w:t>
      </w:r>
      <w:hyperlink r:id="rId60" w:history="1">
        <w:r>
          <w:rPr>
            <w:rStyle w:val="Hyperlink"/>
            <w:rFonts w:asciiTheme="minorHAnsi" w:hAnsiTheme="minorHAnsi" w:cstheme="minorHAnsi"/>
            <w:sz w:val="16"/>
            <w:szCs w:val="16"/>
            <w:lang w:val="hu-HU"/>
          </w:rPr>
          <w:t>La biodiversité en Wallonie</w:t>
        </w:r>
      </w:hyperlink>
    </w:p>
  </w:footnote>
  <w:footnote w:id="66">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ab/>
        <w:t xml:space="preserve"> Article 12 of the Birds Directive </w:t>
      </w:r>
      <w:r>
        <w:rPr>
          <w:rFonts w:asciiTheme="minorHAnsi" w:hAnsiTheme="minorHAnsi" w:cstheme="minorHAnsi"/>
          <w:sz w:val="16"/>
          <w:szCs w:val="16"/>
        </w:rPr>
        <w:t xml:space="preserve">reporting - </w:t>
      </w:r>
      <w:hyperlink r:id="rId61" w:history="1">
        <w:r>
          <w:rPr>
            <w:rStyle w:val="Hyperlink"/>
            <w:rFonts w:asciiTheme="minorHAnsi" w:hAnsiTheme="minorHAnsi" w:cstheme="minorHAnsi"/>
            <w:sz w:val="16"/>
            <w:szCs w:val="16"/>
          </w:rPr>
          <w:t>national summary of Belgium</w:t>
        </w:r>
      </w:hyperlink>
    </w:p>
  </w:footnote>
  <w:footnote w:id="67">
    <w:p w:rsidR="0017500B" w:rsidRDefault="00390F61">
      <w:pPr>
        <w:pStyle w:val="FootnoteText"/>
        <w:ind w:left="170" w:hanging="170"/>
      </w:pPr>
      <w:r>
        <w:rPr>
          <w:rStyle w:val="FootnoteReference"/>
          <w:vertAlign w:val="baseline"/>
        </w:rPr>
        <w:footnoteRef/>
      </w:r>
      <w:r>
        <w:t xml:space="preserve"> Flemish government, </w:t>
      </w:r>
      <w:hyperlink r:id="rId62" w:history="1">
        <w:r>
          <w:rPr>
            <w:rStyle w:val="Hyperlink"/>
          </w:rPr>
          <w:t>Programmatische Aanpak Stikstof</w:t>
        </w:r>
      </w:hyperlink>
      <w:r>
        <w:t xml:space="preserve"> </w:t>
      </w:r>
    </w:p>
  </w:footnote>
  <w:footnote w:id="68">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lang w:val="hu-HU"/>
        </w:rPr>
        <w:tab/>
        <w:t>European Commissio</w:t>
      </w:r>
      <w:r>
        <w:rPr>
          <w:rFonts w:asciiTheme="minorHAnsi" w:hAnsiTheme="minorHAnsi" w:cstheme="minorHAnsi"/>
          <w:sz w:val="16"/>
          <w:szCs w:val="16"/>
          <w:lang w:val="hu-HU"/>
        </w:rPr>
        <w:t xml:space="preserve">n, </w:t>
      </w:r>
      <w:hyperlink r:id="rId63" w:history="1">
        <w:r>
          <w:rPr>
            <w:rStyle w:val="Hyperlink"/>
            <w:rFonts w:asciiTheme="minorHAnsi" w:hAnsiTheme="minorHAnsi" w:cstheme="minorHAnsi"/>
            <w:sz w:val="16"/>
            <w:szCs w:val="16"/>
            <w:lang w:val="hu-HU"/>
          </w:rPr>
          <w:t>BNIP - Belgian Nature Integrated Project</w:t>
        </w:r>
      </w:hyperlink>
    </w:p>
  </w:footnote>
  <w:footnote w:id="69">
    <w:p w:rsidR="0017500B" w:rsidRDefault="00390F61">
      <w:pPr>
        <w:pStyle w:val="FootnoteText"/>
        <w:ind w:left="170" w:hanging="170"/>
      </w:pPr>
      <w:r>
        <w:rPr>
          <w:rStyle w:val="FootnoteReference"/>
          <w:vertAlign w:val="baseline"/>
        </w:rPr>
        <w:footnoteRef/>
      </w:r>
      <w:r>
        <w:t xml:space="preserve"> Walloon government, </w:t>
      </w:r>
      <w:hyperlink r:id="rId64" w:history="1">
        <w:r>
          <w:rPr>
            <w:rStyle w:val="Hyperlink"/>
          </w:rPr>
          <w:t>Haut Ardennne restoration</w:t>
        </w:r>
      </w:hyperlink>
      <w:r>
        <w:t xml:space="preserve"> </w:t>
      </w:r>
    </w:p>
  </w:footnote>
  <w:footnote w:id="70">
    <w:p w:rsidR="0017500B" w:rsidRDefault="00390F61">
      <w:pPr>
        <w:pStyle w:val="FootnoteText"/>
        <w:ind w:left="170" w:hanging="170"/>
        <w:rPr>
          <w:szCs w:val="18"/>
        </w:rPr>
      </w:pPr>
      <w:r>
        <w:rPr>
          <w:rStyle w:val="FootnoteReference"/>
          <w:vertAlign w:val="baseline"/>
        </w:rPr>
        <w:footnoteRef/>
      </w:r>
      <w:r>
        <w:t xml:space="preserve"> Walloon government, </w:t>
      </w:r>
      <w:hyperlink r:id="rId65" w:history="1">
        <w:r>
          <w:rPr>
            <w:rStyle w:val="Hyperlink"/>
          </w:rPr>
          <w:t>Habitats Directive Article 17 reporting</w:t>
        </w:r>
      </w:hyperlink>
    </w:p>
  </w:footnote>
  <w:footnote w:id="71">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lang w:val="hu-HU"/>
        </w:rPr>
        <w:tab/>
        <w:t xml:space="preserve">Belgian Biodiversity Platform, 2013-14. </w:t>
      </w:r>
      <w:hyperlink r:id="rId66" w:history="1">
        <w:r>
          <w:rPr>
            <w:rStyle w:val="Hyperlink"/>
            <w:rFonts w:asciiTheme="minorHAnsi" w:hAnsiTheme="minorHAnsi" w:cstheme="minorHAnsi"/>
            <w:sz w:val="16"/>
            <w:szCs w:val="16"/>
            <w:lang w:val="hu-HU"/>
          </w:rPr>
          <w:t>Belgian MAES Working Group</w:t>
        </w:r>
      </w:hyperlink>
    </w:p>
  </w:footnote>
  <w:footnote w:id="72">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ab/>
        <w:t xml:space="preserve">Gembloux Agro-Bio Tech - Université de Liège, 2014.  </w:t>
      </w:r>
      <w:hyperlink r:id="rId67" w:history="1">
        <w:r>
          <w:rPr>
            <w:rStyle w:val="Hyperlink"/>
            <w:rFonts w:asciiTheme="minorHAnsi" w:hAnsiTheme="minorHAnsi" w:cstheme="minorHAnsi"/>
            <w:sz w:val="16"/>
            <w:szCs w:val="16"/>
          </w:rPr>
          <w:t>Le BEES Christmas Market en vidéo</w:t>
        </w:r>
      </w:hyperlink>
      <w:r>
        <w:rPr>
          <w:rFonts w:asciiTheme="minorHAnsi" w:hAnsiTheme="minorHAnsi" w:cstheme="minorHAnsi"/>
          <w:sz w:val="16"/>
          <w:szCs w:val="16"/>
        </w:rPr>
        <w:t xml:space="preserve"> </w:t>
      </w:r>
    </w:p>
  </w:footnote>
  <w:footnote w:id="73">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ab/>
        <w:t xml:space="preserve">Flemish government, </w:t>
      </w:r>
      <w:hyperlink r:id="rId68" w:history="1">
        <w:r>
          <w:rPr>
            <w:rStyle w:val="Hyperlink"/>
            <w:rFonts w:asciiTheme="minorHAnsi" w:hAnsiTheme="minorHAnsi" w:cstheme="minorHAnsi"/>
            <w:sz w:val="16"/>
            <w:szCs w:val="16"/>
          </w:rPr>
          <w:t>Flanders Regional Ecosystem Assessment - State and Trends Synthesis Report</w:t>
        </w:r>
      </w:hyperlink>
      <w:r>
        <w:rPr>
          <w:rFonts w:asciiTheme="minorHAnsi" w:hAnsiTheme="minorHAnsi" w:cstheme="minorHAnsi"/>
          <w:sz w:val="16"/>
          <w:szCs w:val="16"/>
        </w:rPr>
        <w:t xml:space="preserve">. (See in </w:t>
      </w:r>
      <w:hyperlink r:id="rId69" w:history="1">
        <w:r>
          <w:rPr>
            <w:rStyle w:val="Hyperlink"/>
            <w:rFonts w:asciiTheme="minorHAnsi" w:hAnsiTheme="minorHAnsi" w:cstheme="minorHAnsi"/>
            <w:sz w:val="16"/>
            <w:szCs w:val="16"/>
          </w:rPr>
          <w:t>Dutch</w:t>
        </w:r>
      </w:hyperlink>
      <w:r>
        <w:rPr>
          <w:rFonts w:asciiTheme="minorHAnsi" w:hAnsiTheme="minorHAnsi" w:cstheme="minorHAnsi"/>
          <w:sz w:val="16"/>
          <w:szCs w:val="16"/>
        </w:rPr>
        <w:t xml:space="preserve">) </w:t>
      </w:r>
    </w:p>
  </w:footnote>
  <w:footnote w:id="74">
    <w:p w:rsidR="0017500B" w:rsidRDefault="00390F61">
      <w:pPr>
        <w:pStyle w:val="FootnoteText"/>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ab/>
        <w:t xml:space="preserve"> </w:t>
      </w:r>
      <w:hyperlink r:id="rId70" w:history="1">
        <w:r>
          <w:rPr>
            <w:rStyle w:val="Hyperlink"/>
            <w:rFonts w:asciiTheme="minorHAnsi" w:hAnsiTheme="minorHAnsi" w:cstheme="minorHAnsi"/>
            <w:sz w:val="16"/>
            <w:szCs w:val="16"/>
          </w:rPr>
          <w:t>Nature Value Explorer</w:t>
        </w:r>
      </w:hyperlink>
      <w:r>
        <w:rPr>
          <w:rFonts w:asciiTheme="minorHAnsi" w:hAnsiTheme="minorHAnsi" w:cstheme="minorHAnsi"/>
          <w:sz w:val="16"/>
          <w:szCs w:val="16"/>
        </w:rPr>
        <w:t xml:space="preserve"> </w:t>
      </w:r>
    </w:p>
  </w:footnote>
  <w:footnote w:id="75">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ab/>
        <w:t>Ecosystem services are benefits provided by nature such as food, clean water and pollination on which human society depends.</w:t>
      </w:r>
    </w:p>
  </w:footnote>
  <w:footnote w:id="76">
    <w:p w:rsidR="0017500B" w:rsidRDefault="00390F61">
      <w:pPr>
        <w:pStyle w:val="FootnoteText"/>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ab/>
        <w:t xml:space="preserve">University of Antwerp, </w:t>
      </w:r>
      <w:hyperlink r:id="rId71" w:history="1">
        <w:r>
          <w:rPr>
            <w:rStyle w:val="Hyperlink"/>
            <w:rFonts w:asciiTheme="minorHAnsi" w:hAnsiTheme="minorHAnsi" w:cstheme="minorHAnsi"/>
            <w:sz w:val="16"/>
            <w:szCs w:val="16"/>
          </w:rPr>
          <w:t>ECOPLAN</w:t>
        </w:r>
      </w:hyperlink>
      <w:r>
        <w:rPr>
          <w:rFonts w:asciiTheme="minorHAnsi" w:hAnsiTheme="minorHAnsi" w:cstheme="minorHAnsi"/>
          <w:sz w:val="16"/>
          <w:szCs w:val="16"/>
        </w:rPr>
        <w:t xml:space="preserve"> </w:t>
      </w:r>
    </w:p>
  </w:footnote>
  <w:footnote w:id="77">
    <w:p w:rsidR="0017500B" w:rsidRDefault="00390F61">
      <w:pPr>
        <w:pStyle w:val="FootnoteText"/>
        <w:widowControl w:val="0"/>
        <w:ind w:left="170" w:hanging="170"/>
        <w:rPr>
          <w:sz w:val="16"/>
          <w:szCs w:val="16"/>
        </w:rPr>
      </w:pPr>
      <w:r>
        <w:rPr>
          <w:rStyle w:val="FootnoteReference"/>
          <w:sz w:val="16"/>
          <w:szCs w:val="16"/>
          <w:vertAlign w:val="baseline"/>
        </w:rPr>
        <w:footnoteRef/>
      </w:r>
      <w:r>
        <w:rPr>
          <w:sz w:val="16"/>
          <w:szCs w:val="16"/>
        </w:rPr>
        <w:t xml:space="preserve"> European Union, Green Infrastructure — Enhancing Europe’s Natural Capital, </w:t>
      </w:r>
      <w:hyperlink r:id="rId72" w:history="1">
        <w:r>
          <w:rPr>
            <w:rStyle w:val="Hyperlink"/>
            <w:sz w:val="16"/>
            <w:szCs w:val="16"/>
          </w:rPr>
          <w:t>COM/2013/0249</w:t>
        </w:r>
      </w:hyperlink>
    </w:p>
  </w:footnote>
  <w:footnote w:id="78">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ab/>
        <w:t xml:space="preserve">Belgium, 2014. </w:t>
      </w:r>
      <w:hyperlink r:id="rId73" w:history="1">
        <w:r>
          <w:rPr>
            <w:rStyle w:val="Hyperlink"/>
            <w:rFonts w:asciiTheme="minorHAnsi" w:hAnsiTheme="minorHAnsi" w:cstheme="minorHAnsi"/>
            <w:sz w:val="16"/>
            <w:szCs w:val="16"/>
          </w:rPr>
          <w:t>Fifth National Report to the CBD</w:t>
        </w:r>
      </w:hyperlink>
    </w:p>
  </w:footnote>
  <w:footnote w:id="79">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ab/>
        <w:t xml:space="preserve">Schweitzer J-P., Mutafoglu K., ten Brink P., Paquel K., Illes A., Gitti G., Kettunen M., Twigger-Ross C., Baker J., Kuipers Y., Emonts M., Tyrväinen L., Hujala T., and Ojala A., 2016. </w:t>
      </w:r>
      <w:hyperlink r:id="rId74" w:history="1">
        <w:r>
          <w:rPr>
            <w:rStyle w:val="Hyperlink"/>
            <w:rFonts w:asciiTheme="minorHAnsi" w:hAnsiTheme="minorHAnsi" w:cstheme="minorHAnsi"/>
            <w:iCs/>
            <w:sz w:val="16"/>
            <w:szCs w:val="16"/>
          </w:rPr>
          <w:t>The Health and Social Benefits of Nature and Biodiversity Protection</w:t>
        </w:r>
        <w:r>
          <w:rPr>
            <w:rStyle w:val="Hyperlink"/>
            <w:rFonts w:asciiTheme="minorHAnsi" w:hAnsiTheme="minorHAnsi" w:cstheme="minorHAnsi"/>
            <w:sz w:val="16"/>
            <w:szCs w:val="16"/>
          </w:rPr>
          <w:t xml:space="preserve">: </w:t>
        </w:r>
        <w:r>
          <w:rPr>
            <w:rStyle w:val="Hyperlink"/>
            <w:rFonts w:asciiTheme="minorHAnsi" w:hAnsiTheme="minorHAnsi" w:cstheme="minorHAnsi"/>
            <w:iCs/>
            <w:sz w:val="16"/>
            <w:szCs w:val="16"/>
          </w:rPr>
          <w:t xml:space="preserve">Annex 1: </w:t>
        </w:r>
        <w:r>
          <w:rPr>
            <w:rStyle w:val="Hyperlink"/>
            <w:rFonts w:asciiTheme="minorHAnsi" w:hAnsiTheme="minorHAnsi" w:cstheme="minorHAnsi"/>
            <w:iCs/>
            <w:sz w:val="16"/>
            <w:szCs w:val="16"/>
          </w:rPr>
          <w:t>20 Cases</w:t>
        </w:r>
      </w:hyperlink>
      <w:r>
        <w:rPr>
          <w:rFonts w:asciiTheme="minorHAnsi" w:hAnsiTheme="minorHAnsi" w:cstheme="minorHAnsi"/>
          <w:iCs/>
          <w:sz w:val="16"/>
          <w:szCs w:val="16"/>
        </w:rPr>
        <w:t>..</w:t>
      </w:r>
      <w:r>
        <w:rPr>
          <w:rFonts w:asciiTheme="minorHAnsi" w:hAnsiTheme="minorHAnsi" w:cstheme="minorHAnsi"/>
          <w:i/>
          <w:iCs/>
          <w:sz w:val="16"/>
          <w:szCs w:val="16"/>
        </w:rPr>
        <w:t xml:space="preserve"> </w:t>
      </w:r>
      <w:r>
        <w:rPr>
          <w:rFonts w:asciiTheme="minorHAnsi" w:hAnsiTheme="minorHAnsi" w:cstheme="minorHAnsi"/>
          <w:sz w:val="16"/>
          <w:szCs w:val="16"/>
        </w:rPr>
        <w:t>Report for the European Commission, Institute for European Environmental Policy, London/Brussels</w:t>
      </w:r>
    </w:p>
  </w:footnote>
  <w:footnote w:id="80">
    <w:p w:rsidR="0017500B" w:rsidRDefault="00390F61">
      <w:pPr>
        <w:pStyle w:val="FootnoteText"/>
        <w:ind w:left="170" w:hanging="170"/>
        <w:rPr>
          <w:rFonts w:asciiTheme="minorHAnsi" w:hAnsiTheme="minorHAnsi" w:cstheme="minorHAnsi"/>
          <w:sz w:val="16"/>
          <w:szCs w:val="16"/>
          <w:lang w:val="fr-FR"/>
        </w:rPr>
      </w:pPr>
      <w:r>
        <w:rPr>
          <w:rStyle w:val="FootnoteCharacters"/>
          <w:rFonts w:asciiTheme="minorHAnsi" w:hAnsiTheme="minorHAnsi" w:cstheme="minorHAnsi"/>
          <w:sz w:val="16"/>
          <w:szCs w:val="16"/>
        </w:rPr>
        <w:footnoteRef/>
      </w:r>
      <w:r>
        <w:rPr>
          <w:rFonts w:asciiTheme="minorHAnsi" w:hAnsiTheme="minorHAnsi" w:cstheme="minorHAnsi"/>
          <w:sz w:val="16"/>
          <w:szCs w:val="16"/>
          <w:lang w:val="fr-FR"/>
        </w:rPr>
        <w:tab/>
        <w:t xml:space="preserve">Walloon government, </w:t>
      </w:r>
      <w:hyperlink r:id="rId75" w:history="1">
        <w:r>
          <w:rPr>
            <w:rStyle w:val="Hyperlink"/>
            <w:rFonts w:asciiTheme="minorHAnsi" w:hAnsiTheme="minorHAnsi" w:cstheme="minorHAnsi"/>
            <w:sz w:val="16"/>
            <w:szCs w:val="16"/>
            <w:lang w:val="fr-FR"/>
          </w:rPr>
          <w:t>Réseau Wallonie Nature</w:t>
        </w:r>
      </w:hyperlink>
      <w:r>
        <w:rPr>
          <w:rFonts w:asciiTheme="minorHAnsi" w:hAnsiTheme="minorHAnsi" w:cstheme="minorHAnsi"/>
          <w:sz w:val="16"/>
          <w:szCs w:val="16"/>
          <w:lang w:val="fr-FR"/>
        </w:rPr>
        <w:t xml:space="preserve"> </w:t>
      </w:r>
    </w:p>
  </w:footnote>
  <w:footnote w:id="81">
    <w:p w:rsidR="0017500B" w:rsidRDefault="00390F61">
      <w:pPr>
        <w:pStyle w:val="FootnoteText"/>
        <w:ind w:left="170" w:hanging="170"/>
        <w:rPr>
          <w:lang w:val="fr-FR"/>
        </w:rPr>
      </w:pPr>
      <w:r>
        <w:rPr>
          <w:rStyle w:val="FootnoteReference"/>
          <w:vertAlign w:val="baseline"/>
        </w:rPr>
        <w:footnoteRef/>
      </w:r>
      <w:hyperlink r:id="rId76" w:history="1">
        <w:r>
          <w:rPr>
            <w:rStyle w:val="Hyperlink"/>
            <w:lang w:val="fr-FR"/>
          </w:rPr>
          <w:t>BIODIBAP</w:t>
        </w:r>
      </w:hyperlink>
      <w:r>
        <w:rPr>
          <w:lang w:val="fr-FR"/>
        </w:rPr>
        <w:t xml:space="preserve"> </w:t>
      </w:r>
    </w:p>
  </w:footnote>
  <w:footnote w:id="82">
    <w:p w:rsidR="0017500B" w:rsidRDefault="00390F61">
      <w:pPr>
        <w:pStyle w:val="FootnoteText"/>
        <w:ind w:left="170" w:hanging="170"/>
        <w:rPr>
          <w:lang w:val="fr-BE"/>
        </w:rPr>
      </w:pPr>
      <w:r>
        <w:rPr>
          <w:rStyle w:val="FootnoteReference"/>
          <w:vertAlign w:val="baseline"/>
        </w:rPr>
        <w:footnoteRef/>
      </w:r>
      <w:r>
        <w:rPr>
          <w:lang w:val="fr-BE"/>
        </w:rPr>
        <w:t xml:space="preserve"> BCR, </w:t>
      </w:r>
      <w:hyperlink r:id="rId77" w:history="1">
        <w:r>
          <w:rPr>
            <w:rStyle w:val="Hyperlink"/>
            <w:lang w:val="fr-BE"/>
          </w:rPr>
          <w:t>Plan régional nature 2016-2020 en Région de Bruxelles-Capitale</w:t>
        </w:r>
      </w:hyperlink>
      <w:r>
        <w:rPr>
          <w:lang w:val="fr-BE"/>
        </w:rPr>
        <w:t xml:space="preserve">. </w:t>
      </w:r>
    </w:p>
  </w:footnote>
  <w:footnote w:id="83">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ab/>
        <w:t xml:space="preserve"> </w:t>
      </w:r>
      <w:r>
        <w:rPr>
          <w:sz w:val="16"/>
          <w:szCs w:val="16"/>
        </w:rPr>
        <w:t>European Environment Agency. Land cover 2012 and changes country analysis</w:t>
      </w:r>
      <w:r>
        <w:rPr>
          <w:rStyle w:val="Hyperlink"/>
          <w:sz w:val="16"/>
          <w:szCs w:val="16"/>
          <w:u w:val="none"/>
        </w:rPr>
        <w:t xml:space="preserve"> </w:t>
      </w:r>
      <w:r>
        <w:rPr>
          <w:rStyle w:val="Hyperlink"/>
          <w:color w:val="auto"/>
          <w:sz w:val="16"/>
          <w:szCs w:val="16"/>
          <w:u w:val="none"/>
        </w:rPr>
        <w:t>[publication forthcoming]</w:t>
      </w:r>
    </w:p>
  </w:footnote>
  <w:footnote w:id="84">
    <w:p w:rsidR="0017500B" w:rsidRDefault="00390F61">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Environment Agency </w:t>
      </w:r>
      <w:hyperlink r:id="rId78" w:history="1">
        <w:r>
          <w:rPr>
            <w:rStyle w:val="Hyperlink"/>
            <w:rFonts w:asciiTheme="minorHAnsi" w:hAnsiTheme="minorHAnsi"/>
            <w:sz w:val="16"/>
            <w:szCs w:val="16"/>
          </w:rPr>
          <w:t>Draft results of CORINE Land Cover</w:t>
        </w:r>
        <w:r>
          <w:rPr>
            <w:rStyle w:val="Hyperlink"/>
            <w:rFonts w:asciiTheme="minorHAnsi" w:hAnsiTheme="minorHAnsi"/>
            <w:sz w:val="16"/>
            <w:szCs w:val="16"/>
          </w:rPr>
          <w:t xml:space="preserve"> (CLC) inventory 2012</w:t>
        </w:r>
      </w:hyperlink>
      <w:r>
        <w:rPr>
          <w:rStyle w:val="Hyperlink"/>
          <w:rFonts w:asciiTheme="minorHAnsi" w:hAnsiTheme="minorHAnsi"/>
          <w:color w:val="auto"/>
          <w:sz w:val="16"/>
          <w:szCs w:val="16"/>
          <w:u w:val="none"/>
        </w:rPr>
        <w:t>;</w:t>
      </w:r>
      <w:r>
        <w:rPr>
          <w:rStyle w:val="Hyperlink"/>
          <w:rFonts w:asciiTheme="minorHAnsi" w:hAnsiTheme="minorHAnsi"/>
          <w:sz w:val="16"/>
          <w:szCs w:val="16"/>
        </w:rPr>
        <w:t xml:space="preserve"> </w:t>
      </w:r>
      <w:r>
        <w:rPr>
          <w:rFonts w:asciiTheme="minorHAnsi" w:hAnsiTheme="minorHAnsi"/>
          <w:sz w:val="16"/>
          <w:szCs w:val="16"/>
        </w:rPr>
        <w:t>mean annual land take 2006-12 as a % of 2006 artificial land.</w:t>
      </w:r>
    </w:p>
  </w:footnote>
  <w:footnote w:id="85">
    <w:p w:rsidR="0017500B" w:rsidRDefault="00390F61">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The Belgian authorities have informed the Commission that for Wallonia in the </w:t>
      </w:r>
      <w:hyperlink r:id="rId79" w:history="1">
        <w:r>
          <w:rPr>
            <w:rStyle w:val="Hyperlink"/>
            <w:rFonts w:asciiTheme="minorHAnsi" w:hAnsiTheme="minorHAnsi"/>
            <w:sz w:val="16"/>
            <w:szCs w:val="16"/>
          </w:rPr>
          <w:t>Tableau de Bord de l’Environnement 2014</w:t>
        </w:r>
      </w:hyperlink>
      <w:r>
        <w:rPr>
          <w:rFonts w:asciiTheme="minorHAnsi" w:hAnsiTheme="minorHAnsi"/>
          <w:sz w:val="16"/>
          <w:szCs w:val="16"/>
        </w:rPr>
        <w:t xml:space="preserve"> for Wallonia the figure is 17 km2/an (1700 ha) with an increase in built-up land of 37,6% over 28 years.</w:t>
      </w:r>
    </w:p>
  </w:footnote>
  <w:footnote w:id="86">
    <w:p w:rsidR="0017500B" w:rsidRDefault="00390F61">
      <w:pPr>
        <w:pStyle w:val="FootnoteText"/>
        <w:ind w:left="170" w:hanging="170"/>
      </w:pPr>
      <w:r>
        <w:rPr>
          <w:rStyle w:val="FootnoteReference"/>
          <w:vertAlign w:val="baseline"/>
        </w:rPr>
        <w:footnoteRef/>
      </w:r>
      <w:r>
        <w:t xml:space="preserve"> Eurostat, </w:t>
      </w:r>
      <w:hyperlink r:id="rId80" w:history="1">
        <w:r>
          <w:rPr>
            <w:rStyle w:val="Hyperlink"/>
          </w:rPr>
          <w:t>Population Density</w:t>
        </w:r>
      </w:hyperlink>
    </w:p>
  </w:footnote>
  <w:footnote w:id="87">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European Environment Agency, 2016. </w:t>
      </w:r>
      <w:hyperlink r:id="rId81" w:history="1">
        <w:r>
          <w:rPr>
            <w:rStyle w:val="Hyperlink"/>
            <w:rFonts w:asciiTheme="minorHAnsi" w:hAnsiTheme="minorHAnsi" w:cstheme="minorHAnsi"/>
            <w:sz w:val="16"/>
            <w:szCs w:val="16"/>
          </w:rPr>
          <w:t>Impervio</w:t>
        </w:r>
        <w:r>
          <w:rPr>
            <w:rStyle w:val="Hyperlink"/>
            <w:rFonts w:asciiTheme="minorHAnsi" w:hAnsiTheme="minorHAnsi" w:cstheme="minorHAnsi"/>
            <w:sz w:val="16"/>
            <w:szCs w:val="16"/>
          </w:rPr>
          <w:t>usness and imperviousness change</w:t>
        </w:r>
      </w:hyperlink>
      <w:hyperlink r:id="rId82" w:history="1">
        <w:r>
          <w:rPr>
            <w:rStyle w:val="Hyperlink"/>
            <w:rFonts w:asciiTheme="minorHAnsi" w:hAnsiTheme="minorHAnsi" w:cstheme="minorHAnsi"/>
            <w:sz w:val="16"/>
            <w:szCs w:val="16"/>
          </w:rPr>
          <w:t xml:space="preserve"> </w:t>
        </w:r>
      </w:hyperlink>
    </w:p>
  </w:footnote>
  <w:footnote w:id="88">
    <w:p w:rsidR="0017500B" w:rsidRDefault="00390F61">
      <w:pPr>
        <w:pStyle w:val="FootnoteText"/>
        <w:ind w:left="170" w:hanging="170"/>
        <w:rPr>
          <w:rFonts w:asciiTheme="minorHAnsi" w:hAnsiTheme="minorHAnsi" w:cstheme="minorHAnsi"/>
          <w:sz w:val="16"/>
          <w:szCs w:val="16"/>
        </w:rPr>
      </w:pPr>
      <w:r>
        <w:rPr>
          <w:rStyle w:val="FootnoteReference"/>
          <w:rFonts w:asciiTheme="minorHAnsi" w:hAnsiTheme="minorHAnsi" w:cstheme="minorHAnsi"/>
          <w:sz w:val="16"/>
          <w:szCs w:val="16"/>
          <w:vertAlign w:val="baseline"/>
        </w:rPr>
        <w:footnoteRef/>
      </w:r>
      <w:r>
        <w:rPr>
          <w:rFonts w:asciiTheme="minorHAnsi" w:hAnsiTheme="minorHAnsi" w:cstheme="minorHAnsi"/>
          <w:sz w:val="16"/>
          <w:szCs w:val="16"/>
        </w:rPr>
        <w:t xml:space="preserve"> </w:t>
      </w:r>
      <w:hyperlink r:id="rId83" w:history="1">
        <w:r>
          <w:rPr>
            <w:rStyle w:val="Hyperlink"/>
            <w:rFonts w:asciiTheme="minorHAnsi" w:hAnsiTheme="minorHAnsi" w:cstheme="minorHAnsi"/>
            <w:sz w:val="16"/>
            <w:szCs w:val="16"/>
          </w:rPr>
          <w:t>Duurzaamheidsmeter Wijken Vlaanderen</w:t>
        </w:r>
      </w:hyperlink>
      <w:r>
        <w:rPr>
          <w:rFonts w:asciiTheme="minorHAnsi" w:hAnsiTheme="minorHAnsi" w:cstheme="minorHAnsi"/>
          <w:sz w:val="16"/>
          <w:szCs w:val="16"/>
        </w:rPr>
        <w:t xml:space="preserve">, 2016 / Appel à projet </w:t>
      </w:r>
      <w:hyperlink r:id="rId84" w:history="1">
        <w:r>
          <w:rPr>
            <w:rStyle w:val="Hyperlink"/>
            <w:rFonts w:asciiTheme="minorHAnsi" w:hAnsiTheme="minorHAnsi" w:cstheme="minorHAnsi"/>
            <w:sz w:val="16"/>
            <w:szCs w:val="16"/>
          </w:rPr>
          <w:t>Quartiers Nouveaux Wallonie</w:t>
        </w:r>
      </w:hyperlink>
      <w:r>
        <w:rPr>
          <w:rFonts w:asciiTheme="minorHAnsi" w:hAnsiTheme="minorHAnsi" w:cstheme="minorHAnsi"/>
          <w:sz w:val="16"/>
          <w:szCs w:val="16"/>
        </w:rPr>
        <w:t xml:space="preserve"> 2016 / </w:t>
      </w:r>
      <w:hyperlink r:id="rId85" w:history="1">
        <w:r>
          <w:rPr>
            <w:rStyle w:val="Hyperlink"/>
            <w:rFonts w:asciiTheme="minorHAnsi" w:hAnsiTheme="minorHAnsi" w:cstheme="minorHAnsi"/>
            <w:sz w:val="16"/>
            <w:szCs w:val="16"/>
          </w:rPr>
          <w:t>Mémento des quartiers durables Bruxelles 2009</w:t>
        </w:r>
      </w:hyperlink>
      <w:r>
        <w:rPr>
          <w:rFonts w:asciiTheme="minorHAnsi" w:hAnsiTheme="minorHAnsi" w:cstheme="minorHAnsi"/>
          <w:sz w:val="16"/>
          <w:szCs w:val="16"/>
        </w:rPr>
        <w:t>, update ongoing</w:t>
      </w:r>
    </w:p>
  </w:footnote>
  <w:footnote w:id="89">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ab/>
      </w:r>
      <w:r>
        <w:rPr>
          <w:sz w:val="16"/>
          <w:szCs w:val="16"/>
        </w:rPr>
        <w:t>Eurostat,</w:t>
      </w:r>
      <w:hyperlink r:id="rId86" w:history="1">
        <w:r>
          <w:rPr>
            <w:rStyle w:val="Hyperlink"/>
            <w:sz w:val="16"/>
            <w:szCs w:val="16"/>
          </w:rPr>
          <w:t xml:space="preserve"> S</w:t>
        </w:r>
        <w:r>
          <w:rPr>
            <w:rStyle w:val="Hyperlink"/>
            <w:sz w:val="16"/>
            <w:szCs w:val="16"/>
          </w:rPr>
          <w:t>oil water erosion rate</w:t>
        </w:r>
      </w:hyperlink>
      <w:r>
        <w:rPr>
          <w:sz w:val="16"/>
          <w:szCs w:val="16"/>
        </w:rPr>
        <w:t>, Figure 2, accessed November 2016</w:t>
      </w:r>
    </w:p>
  </w:footnote>
  <w:footnote w:id="90">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87" w:history="1">
        <w:r>
          <w:rPr>
            <w:rStyle w:val="Hyperlink"/>
            <w:rFonts w:asciiTheme="minorHAnsi" w:hAnsiTheme="minorHAnsi" w:cstheme="minorHAnsi"/>
            <w:sz w:val="16"/>
            <w:szCs w:val="16"/>
          </w:rPr>
          <w:t>ERDF OP Brussels 2014-20</w:t>
        </w:r>
      </w:hyperlink>
      <w:r>
        <w:rPr>
          <w:rFonts w:asciiTheme="minorHAnsi" w:hAnsiTheme="minorHAnsi" w:cstheme="minorHAnsi"/>
          <w:sz w:val="16"/>
          <w:szCs w:val="16"/>
        </w:rPr>
        <w:t>, p.8</w:t>
      </w:r>
    </w:p>
  </w:footnote>
  <w:footnote w:id="91">
    <w:p w:rsidR="0017500B" w:rsidRDefault="00390F61">
      <w:pPr>
        <w:pStyle w:val="FootnoteText"/>
        <w:ind w:left="170" w:hanging="170"/>
        <w:rPr>
          <w:rFonts w:asciiTheme="minorHAnsi" w:hAnsiTheme="minorHAnsi" w:cstheme="minorHAnsi"/>
          <w:sz w:val="16"/>
          <w:szCs w:val="16"/>
        </w:rPr>
      </w:pPr>
      <w:r>
        <w:rPr>
          <w:rStyle w:val="FootnoteReference"/>
          <w:rFonts w:asciiTheme="minorHAnsi" w:hAnsiTheme="minorHAnsi" w:cstheme="minorHAnsi"/>
          <w:sz w:val="16"/>
          <w:szCs w:val="16"/>
          <w:vertAlign w:val="baseline"/>
        </w:rPr>
        <w:footnoteRef/>
      </w:r>
      <w:r>
        <w:t xml:space="preserve"> BCR, </w:t>
      </w:r>
      <w:hyperlink r:id="rId88" w:history="1">
        <w:r>
          <w:rPr>
            <w:rStyle w:val="Hyperlink"/>
            <w:rFonts w:asciiTheme="minorHAnsi" w:hAnsiTheme="minorHAnsi" w:cstheme="minorHAnsi"/>
            <w:sz w:val="16"/>
            <w:szCs w:val="16"/>
          </w:rPr>
          <w:t>Soil inventory</w:t>
        </w:r>
      </w:hyperlink>
    </w:p>
  </w:footnote>
  <w:footnote w:id="92">
    <w:p w:rsidR="0017500B" w:rsidRDefault="00390F61">
      <w:pPr>
        <w:pStyle w:val="FootnoteText"/>
        <w:ind w:left="170" w:hanging="170"/>
        <w:rPr>
          <w:rFonts w:asciiTheme="minorHAnsi" w:hAnsiTheme="minorHAnsi" w:cstheme="minorHAnsi"/>
          <w:sz w:val="16"/>
          <w:szCs w:val="16"/>
        </w:rPr>
      </w:pPr>
      <w:r>
        <w:rPr>
          <w:rStyle w:val="FootnoteReference"/>
          <w:rFonts w:asciiTheme="minorHAnsi" w:hAnsiTheme="minorHAnsi" w:cstheme="minorHAnsi"/>
          <w:sz w:val="16"/>
          <w:szCs w:val="16"/>
          <w:vertAlign w:val="baseline"/>
        </w:rPr>
        <w:footnoteRef/>
      </w:r>
      <w:r>
        <w:rPr>
          <w:rFonts w:asciiTheme="minorHAnsi" w:hAnsiTheme="minorHAnsi" w:cstheme="minorHAnsi"/>
          <w:sz w:val="16"/>
          <w:szCs w:val="16"/>
        </w:rPr>
        <w:t xml:space="preserve"> BCR, </w:t>
      </w:r>
      <w:hyperlink r:id="rId89" w:history="1">
        <w:r>
          <w:rPr>
            <w:rStyle w:val="Hyperlink"/>
            <w:rFonts w:asciiTheme="minorHAnsi" w:hAnsiTheme="minorHAnsi" w:cstheme="minorHAnsi"/>
            <w:sz w:val="16"/>
            <w:szCs w:val="16"/>
          </w:rPr>
          <w:t>Soil map</w:t>
        </w:r>
      </w:hyperlink>
    </w:p>
  </w:footnote>
  <w:footnote w:id="93">
    <w:p w:rsidR="0017500B" w:rsidRDefault="00390F61">
      <w:pPr>
        <w:pStyle w:val="FootnoteText"/>
      </w:pPr>
      <w:r>
        <w:rPr>
          <w:rStyle w:val="FootnoteReference"/>
        </w:rPr>
        <w:footnoteRef/>
      </w:r>
      <w:r>
        <w:t xml:space="preserve"> BCR 2016, </w:t>
      </w:r>
      <w:hyperlink r:id="rId90" w:history="1">
        <w:r>
          <w:rPr>
            <w:rStyle w:val="Hyperlink"/>
          </w:rPr>
          <w:t>Etat de l'environnement rapport</w:t>
        </w:r>
      </w:hyperlink>
      <w:r>
        <w:t xml:space="preserve"> </w:t>
      </w:r>
    </w:p>
  </w:footnote>
  <w:footnote w:id="94">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ab/>
        <w:t xml:space="preserve"> European Commission, 2016. The Investment Plan for Europe – state of play Belgium ; </w:t>
      </w:r>
      <w:hyperlink r:id="rId91" w:history="1">
        <w:r>
          <w:rPr>
            <w:rStyle w:val="Hyperlink"/>
            <w:rFonts w:asciiTheme="minorHAnsi" w:hAnsiTheme="minorHAnsi" w:cstheme="minorHAnsi"/>
            <w:sz w:val="16"/>
            <w:szCs w:val="16"/>
          </w:rPr>
          <w:t>Ginkgo Advisor</w:t>
        </w:r>
      </w:hyperlink>
    </w:p>
  </w:footnote>
  <w:footnote w:id="95">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ab/>
      </w:r>
      <w:r>
        <w:rPr>
          <w:rFonts w:asciiTheme="minorHAnsi" w:hAnsiTheme="minorHAnsi" w:cstheme="minorHAnsi"/>
          <w:sz w:val="16"/>
          <w:szCs w:val="16"/>
        </w:rPr>
        <w:t xml:space="preserve"> European Union, </w:t>
      </w:r>
      <w:hyperlink r:id="rId92" w:history="1">
        <w:r>
          <w:rPr>
            <w:rStyle w:val="Hyperlink"/>
            <w:rFonts w:asciiTheme="minorHAnsi" w:hAnsiTheme="minorHAnsi" w:cstheme="minorHAnsi"/>
            <w:sz w:val="16"/>
            <w:szCs w:val="16"/>
          </w:rPr>
          <w:t>Marine Strategy Framework Directive 2008/56/EC</w:t>
        </w:r>
      </w:hyperlink>
      <w:r>
        <w:rPr>
          <w:rFonts w:asciiTheme="minorHAnsi" w:hAnsiTheme="minorHAnsi" w:cstheme="minorHAnsi"/>
          <w:sz w:val="16"/>
          <w:szCs w:val="16"/>
        </w:rPr>
        <w:t xml:space="preserve"> </w:t>
      </w:r>
    </w:p>
  </w:footnote>
  <w:footnote w:id="96">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The MSFD defines Good Environmental Status (GES) in Article 3 as: “The environmental status of marine waters where these provide ecologically diverse and dynamic oceans and seas which are clean, healthy and productive” </w:t>
      </w:r>
    </w:p>
  </w:footnote>
  <w:footnote w:id="97">
    <w:p w:rsidR="0017500B" w:rsidRDefault="00390F61">
      <w:pPr>
        <w:pStyle w:val="FootnoteText"/>
        <w:widowControl w:val="0"/>
        <w:ind w:left="170" w:hanging="170"/>
        <w:rPr>
          <w:rFonts w:asciiTheme="minorHAnsi" w:hAnsiTheme="minorHAnsi" w:cstheme="minorHAnsi"/>
          <w:sz w:val="16"/>
          <w:szCs w:val="16"/>
          <w:lang w:val="fr-BE"/>
        </w:rPr>
      </w:pPr>
      <w:r>
        <w:rPr>
          <w:rStyle w:val="FootnoteCharacters"/>
          <w:rFonts w:asciiTheme="minorHAnsi" w:hAnsiTheme="minorHAnsi" w:cstheme="minorHAnsi"/>
          <w:sz w:val="16"/>
          <w:szCs w:val="16"/>
        </w:rPr>
        <w:footnoteRef/>
      </w:r>
      <w:r>
        <w:rPr>
          <w:rFonts w:asciiTheme="minorHAnsi" w:hAnsiTheme="minorHAnsi" w:cstheme="minorHAnsi"/>
          <w:sz w:val="16"/>
          <w:szCs w:val="16"/>
          <w:lang w:val="fr-FR"/>
        </w:rPr>
        <w:tab/>
        <w:t xml:space="preserve">FBP, 2016. </w:t>
      </w:r>
      <w:hyperlink r:id="rId93" w:history="1">
        <w:r>
          <w:rPr>
            <w:rStyle w:val="Hyperlink"/>
            <w:rFonts w:asciiTheme="minorHAnsi" w:hAnsiTheme="minorHAnsi" w:cstheme="minorHAnsi"/>
            <w:sz w:val="16"/>
            <w:szCs w:val="16"/>
            <w:lang w:val="fr-BE"/>
          </w:rPr>
          <w:t>Progrès vers les objectifs de développement durable de l'ONU</w:t>
        </w:r>
      </w:hyperlink>
    </w:p>
  </w:footnote>
  <w:footnote w:id="98">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ab/>
        <w:t xml:space="preserve"> Commission Staff Working Document Accompanying the Commission Report on "The first phase of implementation of the Marine Strateg</w:t>
      </w:r>
      <w:r>
        <w:rPr>
          <w:rFonts w:asciiTheme="minorHAnsi" w:hAnsiTheme="minorHAnsi" w:cstheme="minorHAnsi"/>
          <w:sz w:val="16"/>
          <w:szCs w:val="16"/>
        </w:rPr>
        <w:t>y Framework Directive (2008/56/EC) - The European Commission's assessment and guidance" (</w:t>
      </w:r>
      <w:hyperlink r:id="rId94" w:history="1">
        <w:r>
          <w:rPr>
            <w:rStyle w:val="Hyperlink"/>
            <w:rFonts w:asciiTheme="minorHAnsi" w:hAnsiTheme="minorHAnsi" w:cstheme="minorHAnsi"/>
            <w:sz w:val="16"/>
            <w:szCs w:val="16"/>
          </w:rPr>
          <w:t>SWD(2014) 049 final</w:t>
        </w:r>
      </w:hyperlink>
      <w:r>
        <w:rPr>
          <w:rFonts w:asciiTheme="minorHAnsi" w:hAnsiTheme="minorHAnsi" w:cstheme="minorHAnsi"/>
          <w:sz w:val="16"/>
          <w:szCs w:val="16"/>
        </w:rPr>
        <w:t xml:space="preserve"> and </w:t>
      </w:r>
      <w:hyperlink r:id="rId95" w:history="1">
        <w:r>
          <w:rPr>
            <w:rStyle w:val="Hyperlink"/>
            <w:rFonts w:asciiTheme="minorHAnsi" w:hAnsiTheme="minorHAnsi" w:cstheme="minorHAnsi"/>
            <w:sz w:val="16"/>
            <w:szCs w:val="16"/>
          </w:rPr>
          <w:t>COM(2014)097 final</w:t>
        </w:r>
      </w:hyperlink>
      <w:r>
        <w:rPr>
          <w:rFonts w:asciiTheme="minorHAnsi" w:hAnsiTheme="minorHAnsi" w:cstheme="minorHAnsi"/>
          <w:sz w:val="16"/>
          <w:szCs w:val="16"/>
        </w:rPr>
        <w:t>)</w:t>
      </w:r>
      <w:hyperlink r:id="rId96" w:history="1">
        <w:r>
          <w:rPr>
            <w:rStyle w:val="Hyperlink"/>
            <w:rFonts w:asciiTheme="minorHAnsi" w:hAnsiTheme="minorHAnsi" w:cstheme="minorHAnsi"/>
            <w:sz w:val="16"/>
            <w:szCs w:val="16"/>
          </w:rPr>
          <w:t>SWD(2014) 049 final</w:t>
        </w:r>
      </w:hyperlink>
      <w:r>
        <w:rPr>
          <w:rFonts w:asciiTheme="minorHAnsi" w:hAnsiTheme="minorHAnsi" w:cstheme="minorHAnsi"/>
          <w:sz w:val="16"/>
          <w:szCs w:val="16"/>
        </w:rPr>
        <w:t xml:space="preserve"> and </w:t>
      </w:r>
      <w:hyperlink r:id="rId97" w:history="1">
        <w:r>
          <w:rPr>
            <w:rStyle w:val="Hyperlink"/>
            <w:rFonts w:asciiTheme="minorHAnsi" w:hAnsiTheme="minorHAnsi" w:cstheme="minorHAnsi"/>
            <w:sz w:val="16"/>
            <w:szCs w:val="16"/>
          </w:rPr>
          <w:t>COM(2014)097 final</w:t>
        </w:r>
      </w:hyperlink>
      <w:r>
        <w:rPr>
          <w:rFonts w:asciiTheme="minorHAnsi" w:hAnsiTheme="minorHAnsi" w:cstheme="minorHAnsi"/>
          <w:sz w:val="16"/>
          <w:szCs w:val="16"/>
        </w:rPr>
        <w:t>)</w:t>
      </w:r>
    </w:p>
  </w:footnote>
  <w:footnote w:id="99">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HAnsi" w:hAnsiTheme="minorHAnsi" w:cs="Calibri"/>
          <w:sz w:val="22"/>
          <w:szCs w:val="16"/>
        </w:rPr>
        <w:t xml:space="preserve"> </w:t>
      </w:r>
      <w:r>
        <w:rPr>
          <w:rFonts w:asciiTheme="minorHAnsi" w:hAnsiTheme="minorHAnsi" w:cstheme="minorHAnsi"/>
          <w:sz w:val="16"/>
          <w:szCs w:val="16"/>
        </w:rPr>
        <w:t>Commission Sta</w:t>
      </w:r>
      <w:r>
        <w:rPr>
          <w:rFonts w:asciiTheme="minorHAnsi" w:hAnsiTheme="minorHAnsi" w:cstheme="minorHAnsi"/>
          <w:sz w:val="16"/>
          <w:szCs w:val="16"/>
        </w:rPr>
        <w:t>ff Working Document Accompanying the Commission Report assessing Member States' monitoring programmes under the Marine Strategy Framework Directive (COM(2017)3 and SWD(2017)1 final)</w:t>
      </w:r>
    </w:p>
  </w:footnote>
  <w:footnote w:id="100">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2012 Data provided by the European Environmental Agency to the European </w:t>
      </w:r>
      <w:r>
        <w:rPr>
          <w:rFonts w:asciiTheme="minorHAnsi" w:hAnsiTheme="minorHAnsi" w:cstheme="minorHAnsi"/>
          <w:sz w:val="16"/>
          <w:szCs w:val="16"/>
        </w:rPr>
        <w:t>Commission – Not published</w:t>
      </w:r>
    </w:p>
  </w:footnote>
  <w:footnote w:id="101">
    <w:p w:rsidR="0017500B" w:rsidRDefault="00390F61">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Commission Staff Working Document Accompanying the Commission Report on "The first phase of implementation of the Marine Strategy Framework Directive (2008/56/EC) - The European Commission's assessment and guidance" (</w:t>
      </w:r>
      <w:hyperlink r:id="rId98" w:history="1">
        <w:r>
          <w:rPr>
            <w:rStyle w:val="Hyperlink"/>
            <w:rFonts w:asciiTheme="minorHAnsi" w:hAnsiTheme="minorHAnsi" w:cstheme="minorHAnsi"/>
            <w:sz w:val="16"/>
            <w:szCs w:val="16"/>
          </w:rPr>
          <w:t>SWD(2014) 049 final</w:t>
        </w:r>
      </w:hyperlink>
      <w:hyperlink r:id="rId99" w:history="1">
        <w:r>
          <w:rPr>
            <w:rStyle w:val="Hyperlink"/>
            <w:rFonts w:asciiTheme="minorHAnsi" w:hAnsiTheme="minorHAnsi" w:cstheme="minorHAnsi"/>
            <w:sz w:val="16"/>
            <w:szCs w:val="16"/>
          </w:rPr>
          <w:t>SWD(2014) 049 final</w:t>
        </w:r>
      </w:hyperlink>
      <w:r>
        <w:rPr>
          <w:rStyle w:val="Hyperlink"/>
          <w:rFonts w:asciiTheme="minorHAnsi" w:hAnsiTheme="minorHAnsi" w:cstheme="minorHAnsi"/>
          <w:sz w:val="16"/>
          <w:szCs w:val="16"/>
        </w:rPr>
        <w:t xml:space="preserve"> </w:t>
      </w:r>
      <w:r>
        <w:rPr>
          <w:rFonts w:asciiTheme="minorHAnsi" w:hAnsiTheme="minorHAnsi" w:cstheme="minorHAnsi"/>
          <w:sz w:val="16"/>
          <w:szCs w:val="16"/>
        </w:rPr>
        <w:t>&amp;.</w:t>
      </w:r>
      <w:r>
        <w:rPr>
          <w:rFonts w:asciiTheme="minorHAnsi" w:eastAsiaTheme="minorHAnsi" w:hAnsiTheme="minorHAnsi" w:cs="Calibri"/>
          <w:sz w:val="22"/>
          <w:szCs w:val="16"/>
        </w:rPr>
        <w:t xml:space="preserve"> </w:t>
      </w:r>
      <w:r>
        <w:rPr>
          <w:rFonts w:asciiTheme="minorHAnsi" w:hAnsiTheme="minorHAnsi" w:cstheme="minorHAnsi"/>
          <w:sz w:val="16"/>
          <w:szCs w:val="16"/>
        </w:rPr>
        <w:t>Commission Staff Working Document Accompanying the Commission Report assessing Member States' monitoring programmes under the Marine Strategy Framework Directive (COM(2017)3 and SWD(20</w:t>
      </w:r>
      <w:r>
        <w:rPr>
          <w:rFonts w:asciiTheme="minorHAnsi" w:hAnsiTheme="minorHAnsi" w:cstheme="minorHAnsi"/>
          <w:sz w:val="16"/>
          <w:szCs w:val="16"/>
        </w:rPr>
        <w:t>17)1 final)</w:t>
      </w:r>
    </w:p>
  </w:footnote>
  <w:footnote w:id="102">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European Commission, 2016. </w:t>
      </w:r>
      <w:hyperlink r:id="rId100" w:history="1">
        <w:r>
          <w:rPr>
            <w:rStyle w:val="Hyperlink"/>
            <w:rFonts w:asciiTheme="minorHAnsi" w:hAnsiTheme="minorHAnsi" w:cstheme="minorHAnsi"/>
            <w:sz w:val="16"/>
            <w:szCs w:val="16"/>
          </w:rPr>
          <w:t>Air Quality Standards</w:t>
        </w:r>
      </w:hyperlink>
    </w:p>
  </w:footnote>
  <w:footnote w:id="103">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sz w:val="16"/>
          <w:szCs w:val="16"/>
        </w:rPr>
        <w:t xml:space="preserve"> See </w:t>
      </w:r>
      <w:hyperlink r:id="rId101" w:history="1">
        <w:r>
          <w:rPr>
            <w:rStyle w:val="Hyperlink"/>
            <w:sz w:val="16"/>
            <w:szCs w:val="16"/>
          </w:rPr>
          <w:t>EIONET Central Data Repository</w:t>
        </w:r>
      </w:hyperlink>
      <w:r>
        <w:rPr>
          <w:sz w:val="16"/>
          <w:szCs w:val="16"/>
        </w:rPr>
        <w:t xml:space="preserve"> and </w:t>
      </w:r>
      <w:hyperlink r:id="rId102" w:history="1">
        <w:r>
          <w:rPr>
            <w:rStyle w:val="Hyperlink"/>
            <w:sz w:val="16"/>
            <w:szCs w:val="16"/>
          </w:rPr>
          <w:t>Air pollutant emissions data viewer (NEC Directive)</w:t>
        </w:r>
      </w:hyperlink>
    </w:p>
  </w:footnote>
  <w:footnote w:id="104">
    <w:p w:rsidR="0017500B" w:rsidRDefault="00390F61">
      <w:pPr>
        <w:pStyle w:val="FootnoteText"/>
        <w:widowControl w:val="0"/>
        <w:ind w:left="170" w:hanging="170"/>
        <w:rPr>
          <w:rFonts w:asciiTheme="minorHAnsi" w:hAnsi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hAnsiTheme="minorHAnsi"/>
          <w:sz w:val="16"/>
          <w:szCs w:val="16"/>
        </w:rPr>
        <w:t>The current national emission ceilings apply since 2010 (</w:t>
      </w:r>
      <w:hyperlink r:id="rId103" w:history="1">
        <w:r>
          <w:rPr>
            <w:rFonts w:asciiTheme="minorHAnsi" w:hAnsiTheme="minorHAnsi"/>
            <w:color w:val="0000FF"/>
            <w:sz w:val="16"/>
            <w:szCs w:val="16"/>
            <w:u w:val="single"/>
          </w:rPr>
          <w:t>Directive 2001/81/EC</w:t>
        </w:r>
      </w:hyperlink>
      <w:r>
        <w:rPr>
          <w:rFonts w:asciiTheme="minorHAnsi" w:hAnsiTheme="minorHAnsi"/>
          <w:sz w:val="16"/>
          <w:szCs w:val="16"/>
        </w:rPr>
        <w:t xml:space="preserve">); revised ceilings for 2020 and 2030 have been set by </w:t>
      </w:r>
      <w:hyperlink r:id="rId104" w:history="1">
        <w:r>
          <w:rPr>
            <w:rFonts w:asciiTheme="minorHAnsi" w:hAnsiTheme="minorHAnsi"/>
            <w:color w:val="0000FF"/>
            <w:sz w:val="16"/>
            <w:szCs w:val="16"/>
            <w:u w:val="single"/>
          </w:rPr>
          <w:t>Directive (EU) 2016/2284</w:t>
        </w:r>
      </w:hyperlink>
      <w:r>
        <w:rPr>
          <w:rFonts w:asciiTheme="minorHAnsi" w:hAnsiTheme="minorHAnsi"/>
          <w:sz w:val="16"/>
          <w:szCs w:val="16"/>
        </w:rPr>
        <w:t xml:space="preserve"> on the reduction of</w:t>
      </w:r>
      <w:r>
        <w:rPr>
          <w:rFonts w:asciiTheme="minorHAnsi" w:hAnsiTheme="minorHAnsi"/>
          <w:sz w:val="16"/>
          <w:szCs w:val="16"/>
        </w:rPr>
        <w:t xml:space="preserve"> national emissions of certain atmospheric pollutants, amending Directive 2003/35/EC and repealing Directive 2001/81/EC.</w:t>
      </w:r>
    </w:p>
  </w:footnote>
  <w:footnote w:id="105">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Particulate matter (PM) is a mixture of aerosol particles (solid and liquid) covering a wide range of sizes and chemical compositions</w:t>
      </w:r>
      <w:r>
        <w:rPr>
          <w:rFonts w:asciiTheme="minorHAnsi" w:hAnsiTheme="minorHAnsi" w:cstheme="minorHAnsi"/>
          <w:sz w:val="16"/>
          <w:szCs w:val="16"/>
        </w:rPr>
        <w:t>. PM10 (PM2.5) refers to particles with a diameter of 10 (2.5) micrometres or less. PM is emitted from many human sources, including combustion.</w:t>
      </w:r>
    </w:p>
  </w:footnote>
  <w:footnote w:id="106">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Low level ozone is produced by photochemical action on pollution and it is also a greenhouse gas.</w:t>
      </w:r>
    </w:p>
  </w:footnote>
  <w:footnote w:id="107">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NOx is emitted during fuel combustion e.g. from industrial facilities and the road transport sector. NOx is a group of gases comprising nitrogen monoxide (NO) and nitrogen dioxide (NO2).</w:t>
      </w:r>
    </w:p>
  </w:footnote>
  <w:footnote w:id="108">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European Environment Agency, 2016. </w:t>
      </w:r>
      <w:hyperlink r:id="rId105" w:history="1">
        <w:r>
          <w:rPr>
            <w:rStyle w:val="Hyperlink"/>
            <w:sz w:val="16"/>
            <w:szCs w:val="16"/>
            <w:lang w:eastAsia="en-GB"/>
          </w:rPr>
          <w:t>Air Quality in Europe – 2016 Report</w:t>
        </w:r>
      </w:hyperlink>
      <w:r>
        <w:rPr>
          <w:rFonts w:asciiTheme="minorHAnsi" w:hAnsiTheme="minorHAnsi" w:cstheme="minorHAnsi"/>
          <w:sz w:val="16"/>
          <w:szCs w:val="16"/>
        </w:rPr>
        <w:t xml:space="preserve">. (Table 10.2, p.60, please see details in this report as regards the underpinning methodology). The newspaper </w:t>
      </w:r>
      <w:r>
        <w:rPr>
          <w:rFonts w:asciiTheme="minorHAnsi" w:hAnsiTheme="minorHAnsi" w:cstheme="minorHAnsi"/>
          <w:i/>
          <w:sz w:val="16"/>
          <w:szCs w:val="16"/>
        </w:rPr>
        <w:t>Le Soir</w:t>
      </w:r>
      <w:r>
        <w:rPr>
          <w:rFonts w:asciiTheme="minorHAnsi" w:hAnsiTheme="minorHAnsi" w:cstheme="minorHAnsi"/>
          <w:sz w:val="16"/>
          <w:szCs w:val="16"/>
        </w:rPr>
        <w:t xml:space="preserve"> noted (30.04-01.05.2016) that the deaths from NO2 of</w:t>
      </w:r>
      <w:r>
        <w:rPr>
          <w:rFonts w:asciiTheme="minorHAnsi" w:hAnsiTheme="minorHAnsi" w:cstheme="minorHAnsi"/>
          <w:sz w:val="16"/>
          <w:szCs w:val="16"/>
        </w:rPr>
        <w:t xml:space="preserve"> 2300 per year were almost four times the number from fatal road accidents.</w:t>
      </w:r>
    </w:p>
  </w:footnote>
  <w:footnote w:id="109">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Based on European Environment Agency, 2016. </w:t>
      </w:r>
      <w:hyperlink r:id="rId106" w:history="1">
        <w:r>
          <w:rPr>
            <w:rStyle w:val="Hyperlink"/>
            <w:sz w:val="16"/>
            <w:szCs w:val="16"/>
            <w:lang w:eastAsia="en-GB"/>
          </w:rPr>
          <w:t>Air Quality in Europe – 2016 Report</w:t>
        </w:r>
      </w:hyperlink>
      <w:r>
        <w:rPr>
          <w:rFonts w:asciiTheme="minorHAnsi" w:hAnsiTheme="minorHAnsi" w:cstheme="minorHAnsi"/>
          <w:sz w:val="16"/>
          <w:szCs w:val="16"/>
        </w:rPr>
        <w:t>. (Figures 4.1, 5.</w:t>
      </w:r>
      <w:r>
        <w:rPr>
          <w:rFonts w:asciiTheme="minorHAnsi" w:hAnsiTheme="minorHAnsi" w:cstheme="minorHAnsi"/>
          <w:sz w:val="16"/>
          <w:szCs w:val="16"/>
        </w:rPr>
        <w:t>1 and 6.1)</w:t>
      </w:r>
    </w:p>
  </w:footnote>
  <w:footnote w:id="110">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All figures in this paragraph are based on the </w:t>
      </w:r>
      <w:hyperlink r:id="rId107" w:history="1">
        <w:r>
          <w:rPr>
            <w:rStyle w:val="Hyperlink"/>
            <w:rFonts w:asciiTheme="minorHAnsi" w:hAnsiTheme="minorHAnsi" w:cstheme="minorHAnsi"/>
            <w:sz w:val="16"/>
            <w:szCs w:val="16"/>
          </w:rPr>
          <w:t>Impact Assessment</w:t>
        </w:r>
      </w:hyperlink>
      <w:r>
        <w:rPr>
          <w:rFonts w:asciiTheme="minorHAnsi" w:hAnsiTheme="minorHAnsi" w:cstheme="minorHAnsi"/>
          <w:sz w:val="16"/>
          <w:szCs w:val="16"/>
        </w:rPr>
        <w:t xml:space="preserve"> for the European Commission Integrated Clean Air Package (2013)</w:t>
      </w:r>
    </w:p>
  </w:footnote>
  <w:footnote w:id="111">
    <w:p w:rsidR="0017500B" w:rsidRDefault="00390F61">
      <w:pPr>
        <w:pStyle w:val="FootnoteText"/>
        <w:ind w:left="227" w:hanging="227"/>
        <w:rPr>
          <w:sz w:val="16"/>
          <w:szCs w:val="16"/>
        </w:rPr>
      </w:pPr>
      <w:r>
        <w:rPr>
          <w:rStyle w:val="FootnoteReference"/>
          <w:sz w:val="16"/>
          <w:szCs w:val="16"/>
          <w:vertAlign w:val="baseline"/>
        </w:rPr>
        <w:footnoteRef/>
      </w:r>
      <w:r>
        <w:rPr>
          <w:sz w:val="16"/>
          <w:szCs w:val="16"/>
        </w:rPr>
        <w:t xml:space="preserve">  Under the provisions </w:t>
      </w:r>
      <w:r>
        <w:rPr>
          <w:sz w:val="16"/>
          <w:szCs w:val="16"/>
        </w:rPr>
        <w:t>of the revised National Emission Ceilings Directive, Member States now may apply for emission inventory adjustments. Pending evaluation of any adjustment application, Member States should keep emissions under close control with a view to further reductions</w:t>
      </w:r>
      <w:r>
        <w:rPr>
          <w:sz w:val="16"/>
          <w:szCs w:val="16"/>
        </w:rPr>
        <w:t>.</w:t>
      </w:r>
    </w:p>
  </w:footnote>
  <w:footnote w:id="112">
    <w:p w:rsidR="0017500B" w:rsidRDefault="00390F61">
      <w:pPr>
        <w:pStyle w:val="FootnoteText"/>
        <w:ind w:left="227" w:hanging="227"/>
        <w:rPr>
          <w:sz w:val="16"/>
          <w:szCs w:val="16"/>
        </w:rPr>
      </w:pPr>
      <w:r>
        <w:rPr>
          <w:rStyle w:val="FootnoteReference"/>
          <w:sz w:val="16"/>
          <w:szCs w:val="16"/>
          <w:vertAlign w:val="baseline"/>
        </w:rPr>
        <w:footnoteRef/>
      </w:r>
      <w:r>
        <w:rPr>
          <w:sz w:val="16"/>
          <w:szCs w:val="16"/>
        </w:rPr>
        <w:t xml:space="preserve"> WHO/JRC, 2011, Burden of disease from environmental noise, Fritschi, L., Brown, A.L., Kim, R., Schwela, D., Kephalopoulos, S. (eds), </w:t>
      </w:r>
      <w:hyperlink r:id="rId108" w:history="1">
        <w:r>
          <w:rPr>
            <w:rStyle w:val="Hyperlink"/>
            <w:sz w:val="16"/>
            <w:szCs w:val="16"/>
          </w:rPr>
          <w:t>World Health Organization, Regional Office for Europe</w:t>
        </w:r>
      </w:hyperlink>
      <w:r>
        <w:rPr>
          <w:sz w:val="16"/>
          <w:szCs w:val="16"/>
        </w:rPr>
        <w:t>, Copenhagen, Denmark</w:t>
      </w:r>
    </w:p>
  </w:footnote>
  <w:footnote w:id="113">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The Noise Directive requires Member States to prepare and publish, every 5 years, noise maps and noise action plans for agglomerations </w:t>
      </w:r>
      <w:r>
        <w:rPr>
          <w:rFonts w:asciiTheme="minorHAnsi" w:hAnsiTheme="minorHAnsi" w:cstheme="minorHAnsi"/>
          <w:sz w:val="16"/>
          <w:szCs w:val="16"/>
        </w:rPr>
        <w:t xml:space="preserve">with more than 100,000 inhabitants, and for major roads, railways and airports. </w:t>
      </w:r>
    </w:p>
  </w:footnote>
  <w:footnote w:id="114">
    <w:p w:rsidR="0017500B" w:rsidRDefault="00390F61">
      <w:pPr>
        <w:pStyle w:val="FootnoteText"/>
        <w:widowControl w:val="0"/>
        <w:ind w:left="170" w:hanging="170"/>
        <w:rPr>
          <w:rFonts w:asciiTheme="minorHAnsi" w:hAnsiTheme="minorHAnsi"/>
          <w:sz w:val="16"/>
          <w:szCs w:val="16"/>
        </w:rPr>
      </w:pPr>
      <w:r>
        <w:rPr>
          <w:rStyle w:val="FootnoteReference"/>
          <w:sz w:val="16"/>
          <w:szCs w:val="16"/>
          <w:vertAlign w:val="baseline"/>
        </w:rPr>
        <w:footnoteRef/>
      </w:r>
      <w:r>
        <w:rPr>
          <w:sz w:val="16"/>
          <w:szCs w:val="16"/>
          <w:lang w:val="en"/>
        </w:rPr>
        <w:t xml:space="preserve"> </w:t>
      </w:r>
      <w:r>
        <w:rPr>
          <w:rFonts w:asciiTheme="minorHAnsi" w:hAnsiTheme="minorHAnsi"/>
          <w:sz w:val="16"/>
          <w:szCs w:val="16"/>
        </w:rPr>
        <w:t xml:space="preserve">This includes the </w:t>
      </w:r>
      <w:hyperlink r:id="rId109" w:history="1">
        <w:r>
          <w:rPr>
            <w:rStyle w:val="Hyperlink"/>
            <w:rFonts w:asciiTheme="minorHAnsi" w:hAnsiTheme="minorHAnsi"/>
            <w:sz w:val="16"/>
            <w:szCs w:val="16"/>
          </w:rPr>
          <w:t>Bathing Waters Directive (2006/7/EC);</w:t>
        </w:r>
      </w:hyperlink>
      <w:r>
        <w:rPr>
          <w:rFonts w:asciiTheme="minorHAnsi" w:hAnsiTheme="minorHAnsi"/>
          <w:sz w:val="16"/>
          <w:szCs w:val="16"/>
        </w:rPr>
        <w:t xml:space="preserve"> the </w:t>
      </w:r>
      <w:hyperlink r:id="rId110" w:history="1">
        <w:r>
          <w:rPr>
            <w:rStyle w:val="Hyperlink"/>
            <w:rFonts w:asciiTheme="minorHAnsi" w:hAnsiTheme="minorHAnsi"/>
            <w:sz w:val="16"/>
            <w:szCs w:val="16"/>
          </w:rPr>
          <w:t>Urban Waste Water Treatment Directive (91/271/EEC)</w:t>
        </w:r>
      </w:hyperlink>
      <w:r>
        <w:rPr>
          <w:rFonts w:asciiTheme="minorHAnsi" w:hAnsiTheme="minorHAnsi"/>
          <w:sz w:val="16"/>
          <w:szCs w:val="16"/>
        </w:rPr>
        <w:t xml:space="preserve"> concerning discharges of municipal and some industrial waste waters; the </w:t>
      </w:r>
      <w:hyperlink r:id="rId111" w:history="1">
        <w:r>
          <w:rPr>
            <w:rStyle w:val="Hyperlink"/>
            <w:rFonts w:asciiTheme="minorHAnsi" w:hAnsiTheme="minorHAnsi"/>
            <w:sz w:val="16"/>
            <w:szCs w:val="16"/>
          </w:rPr>
          <w:t>Drinking Water Directive (98/83/EC)</w:t>
        </w:r>
      </w:hyperlink>
      <w:r>
        <w:rPr>
          <w:rFonts w:asciiTheme="minorHAnsi" w:hAnsiTheme="minorHAnsi"/>
          <w:sz w:val="16"/>
          <w:szCs w:val="16"/>
        </w:rPr>
        <w:t xml:space="preserve"> concerning potable water quality; the </w:t>
      </w:r>
      <w:hyperlink r:id="rId112" w:history="1">
        <w:r>
          <w:rPr>
            <w:rStyle w:val="Hyperlink"/>
            <w:rFonts w:asciiTheme="minorHAnsi" w:hAnsiTheme="minorHAnsi"/>
            <w:sz w:val="16"/>
            <w:szCs w:val="16"/>
          </w:rPr>
          <w:t>Water Framework Directive (2000/60/EC)</w:t>
        </w:r>
      </w:hyperlink>
      <w:r>
        <w:rPr>
          <w:rFonts w:asciiTheme="minorHAnsi" w:hAnsiTheme="minorHAnsi"/>
          <w:sz w:val="16"/>
          <w:szCs w:val="16"/>
        </w:rPr>
        <w:t xml:space="preserve"> con</w:t>
      </w:r>
      <w:r>
        <w:rPr>
          <w:rFonts w:asciiTheme="minorHAnsi" w:hAnsiTheme="minorHAnsi"/>
          <w:sz w:val="16"/>
          <w:szCs w:val="16"/>
        </w:rPr>
        <w:t xml:space="preserve">cerning water resources management; the </w:t>
      </w:r>
      <w:hyperlink r:id="rId113" w:history="1">
        <w:r>
          <w:rPr>
            <w:rStyle w:val="Hyperlink"/>
            <w:rFonts w:asciiTheme="minorHAnsi" w:hAnsiTheme="minorHAnsi"/>
            <w:sz w:val="16"/>
            <w:szCs w:val="16"/>
          </w:rPr>
          <w:t>Nitrates Directive (91/676/EEC)</w:t>
        </w:r>
      </w:hyperlink>
      <w:r>
        <w:rPr>
          <w:rFonts w:asciiTheme="minorHAnsi" w:hAnsiTheme="minorHAnsi"/>
          <w:sz w:val="16"/>
          <w:szCs w:val="16"/>
        </w:rPr>
        <w:t xml:space="preserve"> and the </w:t>
      </w:r>
      <w:hyperlink r:id="rId114" w:history="1">
        <w:r>
          <w:rPr>
            <w:rStyle w:val="Hyperlink"/>
            <w:rFonts w:asciiTheme="minorHAnsi" w:hAnsiTheme="minorHAnsi"/>
            <w:sz w:val="16"/>
            <w:szCs w:val="16"/>
          </w:rPr>
          <w:t>Floods</w:t>
        </w:r>
        <w:r>
          <w:rPr>
            <w:rStyle w:val="Hyperlink"/>
            <w:rFonts w:asciiTheme="minorHAnsi" w:hAnsiTheme="minorHAnsi"/>
            <w:sz w:val="16"/>
            <w:szCs w:val="16"/>
          </w:rPr>
          <w:t xml:space="preserve"> Directive (2007/60/EC)</w:t>
        </w:r>
      </w:hyperlink>
    </w:p>
  </w:footnote>
  <w:footnote w:id="115">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Good ecological status is defined in the Water Framework Directive, referring to the quality of the biological community, the hydrological characteristics and the chemical characteristics.</w:t>
      </w:r>
    </w:p>
  </w:footnote>
  <w:footnote w:id="116">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Many European river basins and waters h</w:t>
      </w:r>
      <w:r>
        <w:rPr>
          <w:rFonts w:asciiTheme="minorHAnsi" w:hAnsiTheme="minorHAnsi" w:cstheme="minorHAnsi"/>
          <w:sz w:val="16"/>
          <w:szCs w:val="16"/>
        </w:rPr>
        <w:t>ave been altered by human activities, such as land drainage, flood protection and building of dams to create reservoirs.</w:t>
      </w:r>
    </w:p>
  </w:footnote>
  <w:footnote w:id="117">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hAnsiTheme="minorHAnsi" w:cstheme="minorHAnsi"/>
          <w:sz w:val="16"/>
          <w:szCs w:val="16"/>
          <w:lang w:val="en"/>
        </w:rPr>
        <w:t>Good chemical status is defined</w:t>
      </w:r>
      <w:r>
        <w:rPr>
          <w:rFonts w:asciiTheme="minorHAnsi" w:hAnsiTheme="minorHAnsi" w:cstheme="minorHAnsi"/>
          <w:sz w:val="16"/>
          <w:szCs w:val="16"/>
        </w:rPr>
        <w:t xml:space="preserve"> in the Water Framework Directive</w:t>
      </w:r>
      <w:r>
        <w:rPr>
          <w:rFonts w:asciiTheme="minorHAnsi" w:hAnsiTheme="minorHAnsi" w:cstheme="minorHAnsi"/>
          <w:sz w:val="16"/>
          <w:szCs w:val="16"/>
          <w:lang w:val="en"/>
        </w:rPr>
        <w:t xml:space="preserve"> referring to compliance with all the quality standards established f</w:t>
      </w:r>
      <w:r>
        <w:rPr>
          <w:rFonts w:asciiTheme="minorHAnsi" w:hAnsiTheme="minorHAnsi" w:cstheme="minorHAnsi"/>
          <w:sz w:val="16"/>
          <w:szCs w:val="16"/>
          <w:lang w:val="en"/>
        </w:rPr>
        <w:t>or chemical substances at European level.</w:t>
      </w:r>
    </w:p>
  </w:footnote>
  <w:footnote w:id="118">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For groundwater, a precautionary approach has been taken that comprises a prohibition on direct discharges to groundwater, and a requirement to monitor groundwater bodies. </w:t>
      </w:r>
    </w:p>
  </w:footnote>
  <w:footnote w:id="119">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Diffuse pollution comes from widespre</w:t>
      </w:r>
      <w:r>
        <w:rPr>
          <w:rFonts w:asciiTheme="minorHAnsi" w:hAnsiTheme="minorHAnsi" w:cstheme="minorHAnsi"/>
          <w:sz w:val="16"/>
          <w:szCs w:val="16"/>
        </w:rPr>
        <w:t xml:space="preserve">ad activities with no one discrete source, e.g. acid rain, pesticides, urban run-off, agricultural nutrients, etc. </w:t>
      </w:r>
    </w:p>
  </w:footnote>
  <w:footnote w:id="120">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More information on the implementation status and more specific recommendations can be found at European Commission, </w:t>
      </w:r>
      <w:hyperlink r:id="rId115" w:history="1">
        <w:r>
          <w:rPr>
            <w:rStyle w:val="Hyperlink"/>
            <w:rFonts w:asciiTheme="minorHAnsi" w:hAnsiTheme="minorHAnsi" w:cstheme="minorHAnsi"/>
            <w:sz w:val="16"/>
            <w:szCs w:val="16"/>
          </w:rPr>
          <w:t>Water Framework Directive Implementation Reports</w:t>
        </w:r>
      </w:hyperlink>
      <w:r>
        <w:rPr>
          <w:rFonts w:asciiTheme="minorHAnsi" w:hAnsiTheme="minorHAnsi" w:cstheme="minorHAnsi"/>
          <w:sz w:val="16"/>
          <w:szCs w:val="16"/>
        </w:rPr>
        <w:t xml:space="preserve"> </w:t>
      </w:r>
    </w:p>
  </w:footnote>
  <w:footnote w:id="121">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Commission's </w:t>
      </w:r>
      <w:hyperlink r:id="rId116" w:history="1">
        <w:r>
          <w:rPr>
            <w:rStyle w:val="Hyperlink"/>
            <w:rFonts w:asciiTheme="minorHAnsi" w:hAnsiTheme="minorHAnsi" w:cstheme="minorHAnsi"/>
            <w:sz w:val="16"/>
            <w:szCs w:val="16"/>
          </w:rPr>
          <w:t>Synthesis Report on the Quality of Drinki</w:t>
        </w:r>
        <w:r>
          <w:rPr>
            <w:rStyle w:val="Hyperlink"/>
            <w:rFonts w:asciiTheme="minorHAnsi" w:hAnsiTheme="minorHAnsi" w:cstheme="minorHAnsi"/>
            <w:sz w:val="16"/>
            <w:szCs w:val="16"/>
          </w:rPr>
          <w:t>ng Water in the Union examining Member States' reports for the 2011-2013 period</w:t>
        </w:r>
      </w:hyperlink>
      <w:r>
        <w:rPr>
          <w:rFonts w:asciiTheme="minorHAnsi" w:hAnsiTheme="minorHAnsi" w:cstheme="minorHAnsi"/>
          <w:sz w:val="16"/>
          <w:szCs w:val="16"/>
        </w:rPr>
        <w:t>, foreseen under Article 13(5) of Directive 98/83/EC; COM(2016)666</w:t>
      </w:r>
    </w:p>
  </w:footnote>
  <w:footnote w:id="122">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European Environment Agency, 2016. </w:t>
      </w:r>
      <w:hyperlink r:id="rId117" w:history="1">
        <w:r>
          <w:rPr>
            <w:rStyle w:val="Hyperlink"/>
            <w:rFonts w:asciiTheme="minorHAnsi" w:hAnsiTheme="minorHAnsi" w:cstheme="minorHAnsi"/>
            <w:sz w:val="16"/>
            <w:szCs w:val="16"/>
          </w:rPr>
          <w:t>European bathing water quality in 2015</w:t>
        </w:r>
      </w:hyperlink>
      <w:r>
        <w:rPr>
          <w:rFonts w:asciiTheme="minorHAnsi" w:hAnsiTheme="minorHAnsi" w:cstheme="minorHAnsi"/>
          <w:sz w:val="16"/>
          <w:szCs w:val="16"/>
        </w:rPr>
        <w:t>, p. 26</w:t>
      </w:r>
    </w:p>
  </w:footnote>
  <w:footnote w:id="123">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European Environment Agency, </w:t>
      </w:r>
      <w:hyperlink r:id="rId118" w:history="1">
        <w:r>
          <w:rPr>
            <w:rStyle w:val="Hyperlink"/>
            <w:rFonts w:asciiTheme="minorHAnsi" w:hAnsiTheme="minorHAnsi" w:cstheme="minorHAnsi"/>
            <w:sz w:val="16"/>
            <w:szCs w:val="16"/>
          </w:rPr>
          <w:t>State of bathing water</w:t>
        </w:r>
      </w:hyperlink>
      <w:r>
        <w:rPr>
          <w:rStyle w:val="Hyperlink"/>
          <w:rFonts w:asciiTheme="minorHAnsi" w:hAnsiTheme="minorHAnsi" w:cstheme="minorHAnsi"/>
          <w:sz w:val="16"/>
          <w:szCs w:val="16"/>
        </w:rPr>
        <w:t xml:space="preserve"> country reports -Belgium</w:t>
      </w:r>
      <w:r>
        <w:rPr>
          <w:rFonts w:asciiTheme="minorHAnsi" w:hAnsiTheme="minorHAnsi" w:cstheme="minorHAnsi"/>
          <w:sz w:val="16"/>
          <w:szCs w:val="16"/>
        </w:rPr>
        <w:t>, 2016</w:t>
      </w:r>
    </w:p>
  </w:footnote>
  <w:footnote w:id="124">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European Commission, Eighth Report on the Implementation Status and the Programmes for Implementation of the Urban Waste Water Directive </w:t>
      </w:r>
      <w:hyperlink r:id="rId119" w:history="1">
        <w:r>
          <w:rPr>
            <w:rStyle w:val="Hyperlink"/>
            <w:rFonts w:asciiTheme="minorHAnsi" w:hAnsiTheme="minorHAnsi" w:cstheme="minorHAnsi"/>
            <w:sz w:val="16"/>
            <w:szCs w:val="16"/>
          </w:rPr>
          <w:t>(COM (2016)105 final)</w:t>
        </w:r>
      </w:hyperlink>
      <w:hyperlink r:id="rId120" w:history="1">
        <w:r>
          <w:rPr>
            <w:rStyle w:val="Hyperlink"/>
            <w:rFonts w:asciiTheme="minorHAnsi" w:hAnsiTheme="minorHAnsi" w:cstheme="minorHAnsi"/>
            <w:sz w:val="16"/>
            <w:szCs w:val="16"/>
          </w:rPr>
          <w:t>(COM (2016)105 final)</w:t>
        </w:r>
      </w:hyperlink>
      <w:r>
        <w:rPr>
          <w:rFonts w:asciiTheme="minorHAnsi" w:hAnsiTheme="minorHAnsi" w:cstheme="minorHAnsi"/>
          <w:sz w:val="16"/>
          <w:szCs w:val="16"/>
        </w:rPr>
        <w:t xml:space="preserve"> and Commission Staff Working Document accompanying the report </w:t>
      </w:r>
      <w:hyperlink r:id="rId121" w:history="1">
        <w:r>
          <w:rPr>
            <w:rStyle w:val="Hyperlink"/>
            <w:rFonts w:asciiTheme="minorHAnsi" w:hAnsiTheme="minorHAnsi" w:cstheme="minorHAnsi"/>
            <w:sz w:val="16"/>
            <w:szCs w:val="16"/>
          </w:rPr>
          <w:t>(SWD(2016)45 final</w:t>
        </w:r>
      </w:hyperlink>
      <w:hyperlink r:id="rId122" w:history="1">
        <w:r>
          <w:rPr>
            <w:rStyle w:val="Hyperlink"/>
            <w:rFonts w:asciiTheme="minorHAnsi" w:hAnsiTheme="minorHAnsi" w:cstheme="minorHAnsi"/>
            <w:sz w:val="16"/>
            <w:szCs w:val="16"/>
          </w:rPr>
          <w:t>(SWD(2016)45 final</w:t>
        </w:r>
      </w:hyperlink>
      <w:r>
        <w:rPr>
          <w:rFonts w:asciiTheme="minorHAnsi" w:hAnsiTheme="minorHAnsi" w:cstheme="minorHAnsi"/>
          <w:sz w:val="16"/>
          <w:szCs w:val="16"/>
        </w:rPr>
        <w:t>).</w:t>
      </w:r>
    </w:p>
  </w:footnote>
  <w:footnote w:id="125">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w:t>
      </w:r>
      <w:hyperlink r:id="rId123" w:history="1">
        <w:r>
          <w:rPr>
            <w:rStyle w:val="Hyperlink"/>
            <w:rFonts w:asciiTheme="minorHAnsi" w:hAnsiTheme="minorHAnsi" w:cstheme="minorHAnsi"/>
            <w:sz w:val="16"/>
            <w:szCs w:val="16"/>
          </w:rPr>
          <w:t>Commission Implementing Decision (EU) 2015/1499</w:t>
        </w:r>
      </w:hyperlink>
      <w:r>
        <w:rPr>
          <w:rFonts w:asciiTheme="minorHAnsi" w:hAnsiTheme="minorHAnsi" w:cstheme="minorHAnsi"/>
          <w:sz w:val="16"/>
          <w:szCs w:val="16"/>
        </w:rPr>
        <w:t xml:space="preserve"> of 3 September 2015 granting a derogation requested by Belgium with regard to the region of Flanders pursuant to Council Directive 91/676/EEC concerning the protection of waters against pollution cause</w:t>
      </w:r>
      <w:r>
        <w:rPr>
          <w:rFonts w:asciiTheme="minorHAnsi" w:hAnsiTheme="minorHAnsi" w:cstheme="minorHAnsi"/>
          <w:sz w:val="16"/>
          <w:szCs w:val="16"/>
        </w:rPr>
        <w:t>d by nitrates from agricultural sources (notified under document C(2015) 6058)</w:t>
      </w:r>
    </w:p>
  </w:footnote>
  <w:footnote w:id="126">
    <w:p w:rsidR="0017500B" w:rsidRDefault="00390F61">
      <w:pPr>
        <w:pStyle w:val="FootnoteText"/>
        <w:ind w:left="227" w:hanging="227"/>
        <w:rPr>
          <w:rFonts w:asciiTheme="minorHAnsi" w:hAnsiTheme="minorHAnsi" w:cstheme="minorHAnsi"/>
          <w:sz w:val="16"/>
          <w:szCs w:val="16"/>
          <w:lang w:val="fr-FR"/>
        </w:rPr>
      </w:pPr>
      <w:r>
        <w:rPr>
          <w:rStyle w:val="FootnoteCharacters"/>
          <w:rFonts w:asciiTheme="minorHAnsi" w:hAnsiTheme="minorHAnsi" w:cstheme="minorHAnsi"/>
          <w:sz w:val="16"/>
          <w:szCs w:val="16"/>
        </w:rPr>
        <w:footnoteRef/>
      </w:r>
      <w:r>
        <w:rPr>
          <w:rFonts w:asciiTheme="minorHAnsi" w:hAnsiTheme="minorHAnsi" w:cstheme="minorHAnsi"/>
          <w:sz w:val="16"/>
          <w:szCs w:val="16"/>
          <w:lang w:val="fr-FR"/>
        </w:rPr>
        <w:t xml:space="preserve"> </w:t>
      </w:r>
      <w:hyperlink r:id="rId124" w:history="1">
        <w:r>
          <w:rPr>
            <w:rStyle w:val="Hyperlink"/>
            <w:rFonts w:asciiTheme="minorHAnsi" w:hAnsiTheme="minorHAnsi" w:cstheme="minorHAnsi"/>
            <w:sz w:val="16"/>
            <w:szCs w:val="16"/>
            <w:lang w:val="fr-FR"/>
          </w:rPr>
          <w:t>RPA 2013</w:t>
        </w:r>
      </w:hyperlink>
      <w:r>
        <w:rPr>
          <w:rFonts w:asciiTheme="minorHAnsi" w:hAnsiTheme="minorHAnsi" w:cstheme="minorHAnsi"/>
          <w:sz w:val="16"/>
          <w:szCs w:val="16"/>
          <w:lang w:val="fr-FR"/>
        </w:rPr>
        <w:t xml:space="preserve"> </w:t>
      </w:r>
    </w:p>
  </w:footnote>
  <w:footnote w:id="127">
    <w:p w:rsidR="0017500B" w:rsidRDefault="00390F61">
      <w:pPr>
        <w:spacing w:after="0" w:line="240" w:lineRule="auto"/>
        <w:ind w:left="227" w:hanging="227"/>
        <w:rPr>
          <w:rFonts w:cstheme="minorHAnsi"/>
          <w:sz w:val="16"/>
          <w:szCs w:val="16"/>
          <w:lang w:val="fr-FR"/>
        </w:rPr>
      </w:pPr>
      <w:r>
        <w:rPr>
          <w:rStyle w:val="FootnoteCharacters"/>
          <w:rFonts w:cstheme="minorHAnsi"/>
          <w:sz w:val="16"/>
          <w:szCs w:val="16"/>
        </w:rPr>
        <w:footnoteRef/>
      </w:r>
      <w:r>
        <w:rPr>
          <w:rFonts w:cstheme="minorHAnsi"/>
          <w:sz w:val="16"/>
          <w:szCs w:val="16"/>
          <w:lang w:val="fr-FR"/>
        </w:rPr>
        <w:t xml:space="preserve"> </w:t>
      </w:r>
      <w:hyperlink r:id="rId125" w:history="1">
        <w:r>
          <w:rPr>
            <w:rStyle w:val="Hyperlink"/>
            <w:rFonts w:cstheme="minorHAnsi"/>
            <w:sz w:val="16"/>
            <w:szCs w:val="16"/>
            <w:lang w:val="fr-FR"/>
          </w:rPr>
          <w:t>Service Public Federal Intérieure</w:t>
        </w:r>
      </w:hyperlink>
      <w:r>
        <w:rPr>
          <w:rFonts w:cstheme="minorHAnsi"/>
          <w:sz w:val="16"/>
          <w:szCs w:val="16"/>
          <w:lang w:val="fr-FR"/>
        </w:rPr>
        <w:t>, 2013</w:t>
      </w:r>
    </w:p>
  </w:footnote>
  <w:footnote w:id="128">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The full set of recommendations in relation to the WFD are </w:t>
      </w:r>
      <w:hyperlink r:id="rId126" w:anchor="fourth" w:history="1">
        <w:r>
          <w:rPr>
            <w:rStyle w:val="Hyperlink"/>
            <w:rFonts w:asciiTheme="minorHAnsi" w:hAnsiTheme="minorHAnsi" w:cstheme="minorHAnsi"/>
            <w:sz w:val="16"/>
            <w:szCs w:val="16"/>
          </w:rPr>
          <w:t>here</w:t>
        </w:r>
      </w:hyperlink>
      <w:r>
        <w:rPr>
          <w:rFonts w:asciiTheme="minorHAnsi" w:hAnsiTheme="minorHAnsi" w:cstheme="minorHAnsi"/>
          <w:sz w:val="16"/>
          <w:szCs w:val="16"/>
        </w:rPr>
        <w:t xml:space="preserve">. </w:t>
      </w:r>
    </w:p>
  </w:footnote>
  <w:footnote w:id="129">
    <w:p w:rsidR="0017500B" w:rsidRDefault="00390F61">
      <w:pPr>
        <w:pStyle w:val="FootnoteText"/>
        <w:widowControl w:val="0"/>
        <w:ind w:left="227" w:hanging="227"/>
        <w:rPr>
          <w:sz w:val="16"/>
          <w:szCs w:val="16"/>
          <w:lang w:val="fr-BE"/>
        </w:rPr>
      </w:pPr>
      <w:r>
        <w:rPr>
          <w:rStyle w:val="FootnoteReference"/>
          <w:sz w:val="16"/>
          <w:szCs w:val="16"/>
          <w:vertAlign w:val="baseline"/>
        </w:rPr>
        <w:footnoteRef/>
      </w:r>
      <w:r>
        <w:rPr>
          <w:sz w:val="16"/>
          <w:szCs w:val="16"/>
          <w:lang w:val="fr-BE"/>
        </w:rPr>
        <w:t xml:space="preserve"> European Environment Agency, </w:t>
      </w:r>
      <w:hyperlink r:id="rId127" w:history="1">
        <w:r>
          <w:rPr>
            <w:rStyle w:val="Hyperlink"/>
            <w:sz w:val="16"/>
            <w:szCs w:val="16"/>
            <w:lang w:val="fr-BE"/>
          </w:rPr>
          <w:t>Urban environment</w:t>
        </w:r>
      </w:hyperlink>
    </w:p>
  </w:footnote>
  <w:footnote w:id="130">
    <w:p w:rsidR="0017500B" w:rsidRDefault="00390F61">
      <w:pPr>
        <w:pStyle w:val="FootnoteText"/>
        <w:ind w:left="227" w:hanging="227"/>
        <w:rPr>
          <w:rFonts w:asciiTheme="minorHAnsi" w:hAnsiTheme="minorHAnsi"/>
          <w:sz w:val="16"/>
          <w:szCs w:val="16"/>
          <w:lang w:val="fr-BE"/>
        </w:rPr>
      </w:pPr>
      <w:r>
        <w:rPr>
          <w:rStyle w:val="FootnoteReference"/>
          <w:rFonts w:asciiTheme="minorHAnsi" w:hAnsiTheme="minorHAnsi"/>
          <w:sz w:val="16"/>
          <w:szCs w:val="16"/>
          <w:vertAlign w:val="baseline"/>
        </w:rPr>
        <w:footnoteRef/>
      </w:r>
      <w:r>
        <w:rPr>
          <w:rFonts w:asciiTheme="minorHAnsi" w:hAnsiTheme="minorHAnsi"/>
          <w:sz w:val="16"/>
          <w:szCs w:val="16"/>
          <w:lang w:val="fr-BE"/>
        </w:rPr>
        <w:t xml:space="preserve"> </w:t>
      </w:r>
      <w:hyperlink r:id="rId128" w:history="1">
        <w:r>
          <w:rPr>
            <w:rStyle w:val="Hyperlink"/>
            <w:rFonts w:asciiTheme="minorHAnsi" w:hAnsiTheme="minorHAnsi"/>
            <w:sz w:val="16"/>
            <w:szCs w:val="16"/>
            <w:lang w:val="fr-BE"/>
          </w:rPr>
          <w:t>http://urbanagendaforthe.eu/</w:t>
        </w:r>
      </w:hyperlink>
    </w:p>
  </w:footnote>
  <w:footnote w:id="131">
    <w:p w:rsidR="0017500B" w:rsidRDefault="00390F61">
      <w:pPr>
        <w:pStyle w:val="FootnoteText"/>
        <w:widowControl w:val="0"/>
        <w:ind w:left="227" w:hanging="227"/>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The Commission is developing an </w:t>
      </w:r>
      <w:hyperlink r:id="rId129" w:history="1">
        <w:r>
          <w:rPr>
            <w:rStyle w:val="Hyperlink"/>
            <w:rFonts w:asciiTheme="minorHAnsi" w:hAnsiTheme="minorHAnsi"/>
            <w:sz w:val="16"/>
            <w:szCs w:val="16"/>
          </w:rPr>
          <w:t>Urban Benchmarking and Monitoring ('UBaM') tool</w:t>
        </w:r>
      </w:hyperlink>
      <w:r>
        <w:rPr>
          <w:rFonts w:asciiTheme="minorHAnsi" w:hAnsiTheme="minorHAnsi"/>
          <w:sz w:val="16"/>
          <w:szCs w:val="16"/>
        </w:rPr>
        <w:t xml:space="preserve"> to be launched in 2017. Best practices emerge and these will be better disseminated via the app featuring the UBaM tool, and increasingly via e.g. EUROCITIES, ICLEI, CEMR, Committee of the Regions, Covenant of Mayors and others.</w:t>
      </w:r>
    </w:p>
  </w:footnote>
  <w:footnote w:id="132">
    <w:p w:rsidR="0017500B" w:rsidRDefault="00390F61">
      <w:pPr>
        <w:pStyle w:val="FootnoteText"/>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BCR, </w:t>
      </w:r>
      <w:hyperlink r:id="rId130" w:history="1">
        <w:r>
          <w:rPr>
            <w:rStyle w:val="Hyperlink"/>
            <w:rFonts w:asciiTheme="minorHAnsi" w:hAnsiTheme="minorHAnsi" w:cstheme="minorHAnsi"/>
            <w:sz w:val="16"/>
            <w:szCs w:val="16"/>
          </w:rPr>
          <w:t>URBACT network</w:t>
        </w:r>
      </w:hyperlink>
      <w:r>
        <w:rPr>
          <w:rFonts w:asciiTheme="minorHAnsi" w:hAnsiTheme="minorHAnsi" w:cstheme="minorHAnsi"/>
          <w:sz w:val="16"/>
          <w:szCs w:val="16"/>
        </w:rPr>
        <w:t>, September 2015 </w:t>
      </w:r>
    </w:p>
  </w:footnote>
  <w:footnote w:id="133">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INRIX, 2015. </w:t>
      </w:r>
      <w:hyperlink r:id="rId131" w:history="1">
        <w:r>
          <w:rPr>
            <w:rStyle w:val="Hyperlink"/>
            <w:rFonts w:asciiTheme="minorHAnsi" w:hAnsiTheme="minorHAnsi" w:cstheme="minorHAnsi"/>
            <w:sz w:val="16"/>
            <w:szCs w:val="16"/>
          </w:rPr>
          <w:t>Key Findings: INRIX 2015 Traffic Scoreboard</w:t>
        </w:r>
      </w:hyperlink>
    </w:p>
  </w:footnote>
  <w:footnote w:id="134">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Christidis, P., Ibáñez Rivas, J.N</w:t>
      </w:r>
      <w:r>
        <w:rPr>
          <w:rFonts w:asciiTheme="minorHAnsi" w:hAnsiTheme="minorHAnsi" w:cstheme="minorHAnsi"/>
          <w:sz w:val="16"/>
          <w:szCs w:val="16"/>
        </w:rPr>
        <w:t xml:space="preserve">., 2012. Measuring road congestion, JRC technical notes, EC JRC-IPTS, </w:t>
      </w:r>
    </w:p>
  </w:footnote>
  <w:footnote w:id="135">
    <w:p w:rsidR="0017500B" w:rsidRDefault="00390F61">
      <w:pPr>
        <w:pStyle w:val="FootnoteText"/>
        <w:widowControl w:val="0"/>
        <w:ind w:left="227" w:hanging="227"/>
        <w:rPr>
          <w:rFonts w:asciiTheme="minorHAnsi" w:hAnsiTheme="minorHAnsi" w:cstheme="minorHAnsi"/>
          <w:sz w:val="16"/>
          <w:szCs w:val="16"/>
          <w:lang w:val="fr-BE"/>
        </w:rPr>
      </w:pPr>
      <w:r>
        <w:rPr>
          <w:rStyle w:val="FootnoteCharacters"/>
          <w:rFonts w:asciiTheme="minorHAnsi" w:hAnsiTheme="minorHAnsi" w:cstheme="minorHAnsi"/>
          <w:sz w:val="16"/>
          <w:szCs w:val="16"/>
        </w:rPr>
        <w:footnoteRef/>
      </w:r>
      <w:r>
        <w:rPr>
          <w:rFonts w:asciiTheme="minorHAnsi" w:hAnsiTheme="minorHAnsi" w:cstheme="minorHAnsi"/>
          <w:sz w:val="16"/>
          <w:szCs w:val="16"/>
          <w:lang w:val="fr-FR"/>
        </w:rPr>
        <w:t xml:space="preserve"> FBP, 2016. </w:t>
      </w:r>
      <w:hyperlink r:id="rId132" w:history="1">
        <w:r>
          <w:rPr>
            <w:rStyle w:val="Hyperlink"/>
            <w:rFonts w:asciiTheme="minorHAnsi" w:hAnsiTheme="minorHAnsi" w:cstheme="minorHAnsi"/>
            <w:sz w:val="16"/>
            <w:szCs w:val="16"/>
            <w:lang w:val="fr-FR"/>
          </w:rPr>
          <w:t>Progrès vers les objectifs de développement durable de                   l'ONU</w:t>
        </w:r>
      </w:hyperlink>
    </w:p>
  </w:footnote>
  <w:footnote w:id="136">
    <w:p w:rsidR="0017500B" w:rsidRDefault="00390F61">
      <w:pPr>
        <w:pStyle w:val="FootnoteText"/>
        <w:widowControl w:val="0"/>
        <w:ind w:left="227" w:hanging="227"/>
        <w:rPr>
          <w:rFonts w:asciiTheme="minorHAnsi" w:hAnsiTheme="minorHAnsi" w:cstheme="minorHAnsi"/>
          <w:sz w:val="16"/>
          <w:szCs w:val="16"/>
          <w:lang w:val="fr-BE"/>
        </w:rPr>
      </w:pPr>
      <w:r>
        <w:rPr>
          <w:rStyle w:val="FootnoteCharacters"/>
          <w:rFonts w:asciiTheme="minorHAnsi" w:hAnsiTheme="minorHAnsi" w:cstheme="minorHAnsi"/>
          <w:sz w:val="16"/>
          <w:szCs w:val="16"/>
        </w:rPr>
        <w:footnoteRef/>
      </w:r>
      <w:r>
        <w:rPr>
          <w:rFonts w:asciiTheme="minorHAnsi" w:hAnsiTheme="minorHAnsi" w:cstheme="minorHAnsi"/>
          <w:sz w:val="16"/>
          <w:szCs w:val="16"/>
          <w:lang w:val="fr-BE"/>
        </w:rPr>
        <w:t xml:space="preserve"> Europ</w:t>
      </w:r>
      <w:r>
        <w:rPr>
          <w:rFonts w:asciiTheme="minorHAnsi" w:hAnsiTheme="minorHAnsi" w:cstheme="minorHAnsi"/>
          <w:sz w:val="16"/>
          <w:szCs w:val="16"/>
          <w:lang w:val="fr-BE"/>
        </w:rPr>
        <w:t xml:space="preserve">ean Commission, </w:t>
      </w:r>
      <w:hyperlink r:id="rId133" w:history="1">
        <w:r>
          <w:rPr>
            <w:rStyle w:val="Hyperlink"/>
            <w:rFonts w:asciiTheme="minorHAnsi" w:hAnsiTheme="minorHAnsi" w:cstheme="minorHAnsi"/>
            <w:sz w:val="16"/>
            <w:szCs w:val="16"/>
            <w:lang w:val="fr-BE"/>
          </w:rPr>
          <w:t>OP Flanders ERDF 2014-20</w:t>
        </w:r>
      </w:hyperlink>
      <w:r>
        <w:rPr>
          <w:rFonts w:asciiTheme="minorHAnsi" w:hAnsiTheme="minorHAnsi" w:cstheme="minorHAnsi"/>
          <w:sz w:val="16"/>
          <w:szCs w:val="16"/>
          <w:lang w:val="fr-BE"/>
        </w:rPr>
        <w:t>, p.5-6</w:t>
      </w:r>
    </w:p>
  </w:footnote>
  <w:footnote w:id="137">
    <w:p w:rsidR="0017500B" w:rsidRDefault="00390F61">
      <w:pPr>
        <w:pStyle w:val="FootnoteText"/>
        <w:widowControl w:val="0"/>
        <w:ind w:left="227" w:hanging="227"/>
        <w:rPr>
          <w:rFonts w:asciiTheme="minorHAnsi" w:hAnsiTheme="minorHAnsi" w:cstheme="minorHAnsi"/>
          <w:sz w:val="16"/>
          <w:szCs w:val="16"/>
          <w:lang w:val="fr-BE"/>
        </w:rPr>
      </w:pPr>
      <w:r>
        <w:rPr>
          <w:rStyle w:val="FootnoteCharacters"/>
          <w:rFonts w:asciiTheme="minorHAnsi" w:hAnsiTheme="minorHAnsi" w:cstheme="minorHAnsi"/>
          <w:sz w:val="16"/>
          <w:szCs w:val="16"/>
        </w:rPr>
        <w:footnoteRef/>
      </w:r>
      <w:r>
        <w:rPr>
          <w:rFonts w:asciiTheme="minorHAnsi" w:hAnsiTheme="minorHAnsi" w:cstheme="minorHAnsi"/>
          <w:sz w:val="16"/>
          <w:szCs w:val="16"/>
          <w:lang w:val="fr-BE"/>
        </w:rPr>
        <w:t xml:space="preserve">Flemish government, </w:t>
      </w:r>
      <w:hyperlink r:id="rId134" w:history="1">
        <w:r>
          <w:rPr>
            <w:rStyle w:val="Hyperlink"/>
            <w:rFonts w:asciiTheme="minorHAnsi" w:hAnsiTheme="minorHAnsi" w:cstheme="minorHAnsi"/>
            <w:sz w:val="16"/>
            <w:szCs w:val="16"/>
            <w:lang w:val="fr-BE"/>
          </w:rPr>
          <w:t>Autodelen</w:t>
        </w:r>
      </w:hyperlink>
      <w:r>
        <w:rPr>
          <w:rFonts w:asciiTheme="minorHAnsi" w:hAnsiTheme="minorHAnsi" w:cstheme="minorHAnsi"/>
          <w:sz w:val="16"/>
          <w:szCs w:val="16"/>
          <w:lang w:val="fr-BE"/>
        </w:rPr>
        <w:t xml:space="preserve"> </w:t>
      </w:r>
    </w:p>
  </w:footnote>
  <w:footnote w:id="138">
    <w:p w:rsidR="0017500B" w:rsidRDefault="00390F61">
      <w:pPr>
        <w:pStyle w:val="FootnoteText"/>
        <w:ind w:left="227" w:hanging="227"/>
        <w:rPr>
          <w:rFonts w:asciiTheme="minorHAnsi" w:hAnsiTheme="minorHAnsi" w:cstheme="minorHAnsi"/>
          <w:sz w:val="16"/>
          <w:szCs w:val="16"/>
          <w:lang w:val="nl-NL"/>
        </w:rPr>
      </w:pPr>
      <w:r>
        <w:rPr>
          <w:rStyle w:val="FootnoteCharacters"/>
          <w:rFonts w:asciiTheme="minorHAnsi" w:hAnsiTheme="minorHAnsi" w:cstheme="minorHAnsi"/>
          <w:sz w:val="16"/>
          <w:szCs w:val="16"/>
        </w:rPr>
        <w:footnoteRef/>
      </w:r>
      <w:r>
        <w:rPr>
          <w:rFonts w:asciiTheme="minorHAnsi" w:hAnsiTheme="minorHAnsi" w:cstheme="minorHAnsi"/>
          <w:sz w:val="16"/>
          <w:szCs w:val="16"/>
          <w:lang w:val="nl-NL"/>
        </w:rPr>
        <w:t xml:space="preserve"> Stadsontwikkelingsprojecten; duurzammheidsmeter; natuur in je buurt</w:t>
      </w:r>
    </w:p>
  </w:footnote>
  <w:footnote w:id="139">
    <w:p w:rsidR="0017500B" w:rsidRDefault="00390F61">
      <w:pPr>
        <w:pStyle w:val="FootnoteText"/>
        <w:rPr>
          <w:lang w:val="fr-FR"/>
        </w:rPr>
      </w:pPr>
      <w:r>
        <w:rPr>
          <w:rStyle w:val="FootnoteReference"/>
        </w:rPr>
        <w:footnoteRef/>
      </w:r>
      <w:r>
        <w:rPr>
          <w:lang w:val="fr-FR"/>
        </w:rPr>
        <w:t xml:space="preserve"> Code Bruxellois de l'Air, du Climat et de la Ma</w:t>
      </w:r>
      <w:r>
        <w:rPr>
          <w:rFonts w:cs="Calibri"/>
          <w:lang w:val="fr-FR"/>
        </w:rPr>
        <w:t>î</w:t>
      </w:r>
      <w:r>
        <w:rPr>
          <w:lang w:val="fr-FR"/>
        </w:rPr>
        <w:t>trise de l'Energie</w:t>
      </w:r>
    </w:p>
  </w:footnote>
  <w:footnote w:id="140">
    <w:p w:rsidR="0017500B" w:rsidRDefault="00390F61">
      <w:pPr>
        <w:pStyle w:val="FootnoteText"/>
        <w:widowControl w:val="0"/>
        <w:ind w:left="227" w:hanging="227"/>
        <w:rPr>
          <w:rFonts w:asciiTheme="minorHAnsi" w:hAnsiTheme="minorHAnsi" w:cstheme="minorHAnsi"/>
          <w:sz w:val="16"/>
          <w:szCs w:val="16"/>
          <w:lang w:val="fr-BE"/>
        </w:rPr>
      </w:pPr>
      <w:r>
        <w:rPr>
          <w:rStyle w:val="FootnoteCharacters"/>
          <w:rFonts w:asciiTheme="minorHAnsi" w:hAnsiTheme="minorHAnsi" w:cstheme="minorHAnsi"/>
          <w:sz w:val="16"/>
          <w:szCs w:val="16"/>
        </w:rPr>
        <w:footnoteRef/>
      </w:r>
      <w:r>
        <w:rPr>
          <w:rFonts w:asciiTheme="minorHAnsi" w:hAnsiTheme="minorHAnsi" w:cstheme="minorHAnsi"/>
          <w:sz w:val="16"/>
          <w:szCs w:val="16"/>
          <w:lang w:val="fr-BE"/>
        </w:rPr>
        <w:t xml:space="preserve"> BCR, </w:t>
      </w:r>
      <w:hyperlink r:id="rId135" w:history="1">
        <w:r>
          <w:rPr>
            <w:rStyle w:val="Hyperlink"/>
            <w:rFonts w:asciiTheme="minorHAnsi" w:hAnsiTheme="minorHAnsi" w:cstheme="minorHAnsi"/>
            <w:sz w:val="16"/>
            <w:szCs w:val="16"/>
            <w:lang w:val="fr-BE"/>
          </w:rPr>
          <w:t>Mobilite et transports</w:t>
        </w:r>
      </w:hyperlink>
      <w:r>
        <w:rPr>
          <w:rFonts w:asciiTheme="minorHAnsi" w:hAnsiTheme="minorHAnsi" w:cstheme="minorHAnsi"/>
          <w:sz w:val="16"/>
          <w:szCs w:val="16"/>
          <w:lang w:val="fr-BE"/>
        </w:rPr>
        <w:t xml:space="preserve"> </w:t>
      </w:r>
    </w:p>
  </w:footnote>
  <w:footnote w:id="141">
    <w:p w:rsidR="0017500B" w:rsidRDefault="00390F61">
      <w:pPr>
        <w:pStyle w:val="FootnoteText"/>
        <w:widowControl w:val="0"/>
        <w:ind w:left="227" w:hanging="227"/>
        <w:rPr>
          <w:rFonts w:asciiTheme="minorHAnsi" w:hAnsiTheme="minorHAnsi" w:cstheme="minorHAnsi"/>
          <w:sz w:val="16"/>
          <w:szCs w:val="16"/>
          <w:lang w:val="fr-BE"/>
        </w:rPr>
      </w:pPr>
      <w:r>
        <w:rPr>
          <w:rStyle w:val="FootnoteCharacters"/>
          <w:rFonts w:asciiTheme="minorHAnsi" w:hAnsiTheme="minorHAnsi" w:cstheme="minorHAnsi"/>
          <w:sz w:val="16"/>
          <w:szCs w:val="16"/>
        </w:rPr>
        <w:footnoteRef/>
      </w:r>
      <w:r>
        <w:rPr>
          <w:rFonts w:asciiTheme="minorHAnsi" w:hAnsiTheme="minorHAnsi" w:cstheme="minorHAnsi"/>
          <w:sz w:val="16"/>
          <w:szCs w:val="16"/>
          <w:lang w:val="fr-BE"/>
        </w:rPr>
        <w:t xml:space="preserve"> European Commission, </w:t>
      </w:r>
      <w:hyperlink r:id="rId136" w:history="1">
        <w:r>
          <w:rPr>
            <w:rStyle w:val="Hyperlink"/>
            <w:rFonts w:asciiTheme="minorHAnsi" w:hAnsiTheme="minorHAnsi" w:cstheme="minorHAnsi"/>
            <w:sz w:val="16"/>
            <w:szCs w:val="16"/>
            <w:lang w:val="fr-BE"/>
          </w:rPr>
          <w:t>ERDF OP Brussels 2014-20</w:t>
        </w:r>
      </w:hyperlink>
      <w:r>
        <w:rPr>
          <w:rFonts w:asciiTheme="minorHAnsi" w:hAnsiTheme="minorHAnsi" w:cstheme="minorHAnsi"/>
          <w:sz w:val="16"/>
          <w:szCs w:val="16"/>
          <w:lang w:val="fr-BE"/>
        </w:rPr>
        <w:t>, p.13</w:t>
      </w:r>
    </w:p>
  </w:footnote>
  <w:footnote w:id="142">
    <w:p w:rsidR="0017500B" w:rsidRDefault="00390F61">
      <w:pPr>
        <w:pStyle w:val="FootnoteText"/>
        <w:ind w:left="227" w:hanging="227"/>
        <w:rPr>
          <w:rFonts w:asciiTheme="minorHAnsi" w:hAnsiTheme="minorHAnsi" w:cstheme="minorHAnsi"/>
          <w:sz w:val="16"/>
          <w:szCs w:val="16"/>
          <w:lang w:val="fr-BE"/>
        </w:rPr>
      </w:pPr>
      <w:r>
        <w:rPr>
          <w:rStyle w:val="FootnoteCharacters"/>
          <w:rFonts w:asciiTheme="minorHAnsi" w:hAnsiTheme="minorHAnsi" w:cstheme="minorHAnsi"/>
          <w:sz w:val="16"/>
          <w:szCs w:val="16"/>
        </w:rPr>
        <w:footnoteRef/>
      </w:r>
      <w:r>
        <w:rPr>
          <w:rFonts w:asciiTheme="minorHAnsi" w:hAnsiTheme="minorHAnsi" w:cstheme="minorHAnsi"/>
          <w:bCs/>
          <w:sz w:val="16"/>
          <w:szCs w:val="16"/>
          <w:lang w:val="fr-FR"/>
        </w:rPr>
        <w:t xml:space="preserve"> Bel RTL:</w:t>
      </w:r>
      <w:r>
        <w:rPr>
          <w:rFonts w:asciiTheme="minorHAnsi" w:hAnsiTheme="minorHAnsi" w:cstheme="minorHAnsi"/>
          <w:sz w:val="16"/>
          <w:szCs w:val="16"/>
          <w:lang w:val="fr-FR"/>
        </w:rPr>
        <w:t xml:space="preserve"> </w:t>
      </w:r>
      <w:r>
        <w:rPr>
          <w:rFonts w:asciiTheme="minorHAnsi" w:hAnsiTheme="minorHAnsi" w:cstheme="minorHAnsi"/>
          <w:iCs/>
          <w:sz w:val="16"/>
          <w:szCs w:val="16"/>
          <w:lang w:val="fr-FR"/>
        </w:rPr>
        <w:t>"La présence dans l'air de particules</w:t>
      </w:r>
      <w:r>
        <w:rPr>
          <w:rFonts w:asciiTheme="minorHAnsi" w:hAnsiTheme="minorHAnsi" w:cstheme="minorHAnsi"/>
          <w:iCs/>
          <w:sz w:val="16"/>
          <w:szCs w:val="16"/>
          <w:lang w:val="fr-FR"/>
        </w:rPr>
        <w:t xml:space="preserve"> de suie a diminué ..." </w:t>
      </w:r>
      <w:r>
        <w:rPr>
          <w:rFonts w:asciiTheme="minorHAnsi" w:hAnsiTheme="minorHAnsi" w:cstheme="minorHAnsi"/>
          <w:bCs/>
          <w:sz w:val="16"/>
          <w:szCs w:val="16"/>
          <w:lang w:val="fr-FR"/>
        </w:rPr>
        <w:t>info:</w:t>
      </w:r>
      <w:r>
        <w:rPr>
          <w:rFonts w:asciiTheme="minorHAnsi" w:hAnsiTheme="minorHAnsi" w:cstheme="minorHAnsi"/>
          <w:sz w:val="16"/>
          <w:szCs w:val="16"/>
          <w:lang w:val="fr-FR"/>
        </w:rPr>
        <w:t xml:space="preserve"> Journal parlé 13h, 19.09.16</w:t>
      </w:r>
    </w:p>
  </w:footnote>
  <w:footnote w:id="143">
    <w:p w:rsidR="0017500B" w:rsidRDefault="00390F61">
      <w:pPr>
        <w:pStyle w:val="FootnoteText"/>
        <w:widowControl w:val="0"/>
        <w:ind w:left="227" w:hanging="227"/>
        <w:rPr>
          <w:rFonts w:asciiTheme="minorHAnsi" w:hAnsiTheme="minorHAnsi" w:cstheme="minorHAnsi"/>
          <w:sz w:val="16"/>
          <w:szCs w:val="16"/>
          <w:lang w:val="nl-NL"/>
        </w:rPr>
      </w:pPr>
      <w:r>
        <w:rPr>
          <w:rStyle w:val="FootnoteCharacters"/>
          <w:rFonts w:asciiTheme="minorHAnsi" w:hAnsiTheme="minorHAnsi" w:cstheme="minorHAnsi"/>
          <w:sz w:val="16"/>
          <w:szCs w:val="16"/>
        </w:rPr>
        <w:footnoteRef/>
      </w:r>
      <w:r>
        <w:rPr>
          <w:rFonts w:asciiTheme="minorHAnsi" w:hAnsiTheme="minorHAnsi" w:cstheme="minorHAnsi"/>
          <w:sz w:val="16"/>
          <w:szCs w:val="16"/>
          <w:lang w:val="nl-NL"/>
        </w:rPr>
        <w:t xml:space="preserve"> European Commission, </w:t>
      </w:r>
      <w:hyperlink r:id="rId137" w:history="1">
        <w:r>
          <w:rPr>
            <w:rStyle w:val="Hyperlink"/>
            <w:rFonts w:asciiTheme="minorHAnsi" w:hAnsiTheme="minorHAnsi" w:cstheme="minorHAnsi"/>
            <w:sz w:val="16"/>
            <w:szCs w:val="16"/>
            <w:lang w:val="nl-NL"/>
          </w:rPr>
          <w:t>OP Flanders ERDF 2014-20</w:t>
        </w:r>
      </w:hyperlink>
      <w:r>
        <w:rPr>
          <w:rFonts w:asciiTheme="minorHAnsi" w:hAnsiTheme="minorHAnsi" w:cstheme="minorHAnsi"/>
          <w:sz w:val="16"/>
          <w:szCs w:val="16"/>
          <w:lang w:val="nl-NL"/>
        </w:rPr>
        <w:t>, p.94</w:t>
      </w:r>
    </w:p>
  </w:footnote>
  <w:footnote w:id="144">
    <w:p w:rsidR="0017500B" w:rsidRDefault="00390F61">
      <w:pPr>
        <w:pStyle w:val="FootnoteText"/>
        <w:widowControl w:val="0"/>
        <w:ind w:left="227" w:hanging="227"/>
        <w:rPr>
          <w:rFonts w:asciiTheme="minorHAnsi" w:hAnsiTheme="minorHAnsi" w:cstheme="minorHAnsi"/>
          <w:sz w:val="16"/>
          <w:szCs w:val="16"/>
          <w:lang w:val="nl-NL"/>
        </w:rPr>
      </w:pPr>
      <w:r>
        <w:rPr>
          <w:rStyle w:val="FootnoteCharacters"/>
          <w:rFonts w:asciiTheme="minorHAnsi" w:hAnsiTheme="minorHAnsi" w:cstheme="minorHAnsi"/>
          <w:sz w:val="16"/>
          <w:szCs w:val="16"/>
        </w:rPr>
        <w:footnoteRef/>
      </w:r>
      <w:r>
        <w:rPr>
          <w:rFonts w:asciiTheme="minorHAnsi" w:hAnsiTheme="minorHAnsi" w:cstheme="minorHAnsi"/>
          <w:sz w:val="16"/>
          <w:szCs w:val="16"/>
          <w:lang w:val="nl-NL"/>
        </w:rPr>
        <w:t xml:space="preserve"> Flemish government, </w:t>
      </w:r>
      <w:hyperlink r:id="rId138" w:history="1">
        <w:r>
          <w:rPr>
            <w:rStyle w:val="Hyperlink"/>
            <w:rFonts w:asciiTheme="minorHAnsi" w:hAnsiTheme="minorHAnsi" w:cstheme="minorHAnsi"/>
            <w:sz w:val="16"/>
            <w:szCs w:val="16"/>
            <w:lang w:val="nl-NL"/>
          </w:rPr>
          <w:t>Bodembezetting naar functie</w:t>
        </w:r>
      </w:hyperlink>
      <w:r>
        <w:rPr>
          <w:rFonts w:asciiTheme="minorHAnsi" w:hAnsiTheme="minorHAnsi" w:cstheme="minorHAnsi"/>
          <w:sz w:val="16"/>
          <w:szCs w:val="16"/>
          <w:lang w:val="nl-NL"/>
        </w:rPr>
        <w:t xml:space="preserve"> </w:t>
      </w:r>
    </w:p>
  </w:footnote>
  <w:footnote w:id="145">
    <w:p w:rsidR="0017500B" w:rsidRDefault="00390F61">
      <w:pPr>
        <w:pStyle w:val="FootnoteText"/>
        <w:widowControl w:val="0"/>
        <w:ind w:left="227" w:hanging="227"/>
        <w:rPr>
          <w:rFonts w:asciiTheme="minorHAnsi" w:hAnsiTheme="minorHAnsi" w:cstheme="minorHAnsi"/>
          <w:sz w:val="16"/>
          <w:szCs w:val="16"/>
          <w:lang w:val="nl-NL"/>
        </w:rPr>
      </w:pPr>
      <w:r>
        <w:rPr>
          <w:rStyle w:val="FootnoteCharacters"/>
          <w:rFonts w:asciiTheme="minorHAnsi" w:hAnsiTheme="minorHAnsi" w:cstheme="minorHAnsi"/>
          <w:sz w:val="16"/>
          <w:szCs w:val="16"/>
        </w:rPr>
        <w:footnoteRef/>
      </w:r>
      <w:r>
        <w:rPr>
          <w:rFonts w:asciiTheme="minorHAnsi" w:hAnsiTheme="minorHAnsi" w:cstheme="minorHAnsi"/>
          <w:sz w:val="16"/>
          <w:szCs w:val="16"/>
          <w:lang w:val="nl-NL"/>
        </w:rPr>
        <w:t xml:space="preserve"> Vlaamse overheid, </w:t>
      </w:r>
      <w:hyperlink r:id="rId139" w:history="1">
        <w:r>
          <w:rPr>
            <w:rStyle w:val="Hyperlink"/>
            <w:rFonts w:asciiTheme="minorHAnsi" w:hAnsiTheme="minorHAnsi" w:cstheme="minorHAnsi"/>
            <w:sz w:val="16"/>
            <w:szCs w:val="16"/>
            <w:lang w:val="nl-NL"/>
          </w:rPr>
          <w:t xml:space="preserve">Bodembezetting </w:t>
        </w:r>
        <w:r>
          <w:rPr>
            <w:rStyle w:val="Hyperlink"/>
            <w:rFonts w:asciiTheme="minorHAnsi" w:hAnsiTheme="minorHAnsi" w:cstheme="minorHAnsi"/>
            <w:sz w:val="16"/>
            <w:szCs w:val="16"/>
            <w:lang w:val="nl-NL"/>
          </w:rPr>
          <w:t>naar functie</w:t>
        </w:r>
      </w:hyperlink>
      <w:r>
        <w:rPr>
          <w:rFonts w:asciiTheme="minorHAnsi" w:hAnsiTheme="minorHAnsi" w:cstheme="minorHAnsi"/>
          <w:sz w:val="16"/>
          <w:szCs w:val="16"/>
          <w:lang w:val="nl-NL"/>
        </w:rPr>
        <w:t xml:space="preserve"> </w:t>
      </w:r>
    </w:p>
  </w:footnote>
  <w:footnote w:id="146">
    <w:p w:rsidR="0017500B" w:rsidRDefault="00390F61">
      <w:pPr>
        <w:pStyle w:val="FootnoteText"/>
        <w:widowControl w:val="0"/>
        <w:ind w:left="227" w:hanging="227"/>
        <w:rPr>
          <w:rFonts w:asciiTheme="minorHAnsi" w:hAnsiTheme="minorHAnsi" w:cstheme="minorHAnsi"/>
          <w:sz w:val="16"/>
          <w:szCs w:val="16"/>
          <w:lang w:val="nl-NL"/>
        </w:rPr>
      </w:pPr>
      <w:r>
        <w:rPr>
          <w:rStyle w:val="FootnoteCharacters"/>
          <w:rFonts w:asciiTheme="minorHAnsi" w:hAnsiTheme="minorHAnsi" w:cstheme="minorHAnsi"/>
          <w:sz w:val="16"/>
          <w:szCs w:val="16"/>
        </w:rPr>
        <w:footnoteRef/>
      </w:r>
      <w:r>
        <w:rPr>
          <w:rFonts w:asciiTheme="minorHAnsi" w:hAnsiTheme="minorHAnsi" w:cstheme="minorHAnsi"/>
          <w:sz w:val="16"/>
          <w:szCs w:val="16"/>
          <w:lang w:val="nl-NL"/>
        </w:rPr>
        <w:t xml:space="preserve"> BCR, </w:t>
      </w:r>
      <w:hyperlink r:id="rId140" w:history="1">
        <w:r>
          <w:rPr>
            <w:rStyle w:val="Hyperlink"/>
            <w:rFonts w:asciiTheme="minorHAnsi" w:hAnsiTheme="minorHAnsi" w:cstheme="minorHAnsi"/>
            <w:sz w:val="16"/>
            <w:szCs w:val="16"/>
            <w:lang w:val="nl-NL"/>
          </w:rPr>
          <w:t>Occurrence des pics de pollution hivernaux en Région bruxelloise</w:t>
        </w:r>
      </w:hyperlink>
    </w:p>
  </w:footnote>
  <w:footnote w:id="147">
    <w:p w:rsidR="0017500B" w:rsidRDefault="00390F61">
      <w:pPr>
        <w:pStyle w:val="FootnoteText"/>
        <w:ind w:left="227" w:hanging="227"/>
        <w:rPr>
          <w:rFonts w:asciiTheme="minorHAnsi" w:hAnsiTheme="minorHAnsi" w:cstheme="minorHAnsi"/>
          <w:sz w:val="16"/>
          <w:szCs w:val="16"/>
          <w:lang w:val="fr-FR"/>
        </w:rPr>
      </w:pPr>
      <w:r>
        <w:rPr>
          <w:rStyle w:val="FootnoteCharacters"/>
          <w:rFonts w:asciiTheme="minorHAnsi" w:hAnsiTheme="minorHAnsi" w:cstheme="minorHAnsi"/>
          <w:sz w:val="16"/>
          <w:szCs w:val="16"/>
        </w:rPr>
        <w:footnoteRef/>
      </w:r>
      <w:r>
        <w:rPr>
          <w:rFonts w:asciiTheme="minorHAnsi" w:hAnsiTheme="minorHAnsi" w:cstheme="minorHAnsi"/>
          <w:sz w:val="16"/>
          <w:szCs w:val="16"/>
          <w:lang w:val="fr-BE"/>
        </w:rPr>
        <w:t xml:space="preserve"> BCR, </w:t>
      </w:r>
      <w:hyperlink r:id="rId141" w:history="1">
        <w:r>
          <w:rPr>
            <w:rStyle w:val="Hyperlink"/>
            <w:rFonts w:asciiTheme="minorHAnsi" w:hAnsiTheme="minorHAnsi" w:cstheme="minorHAnsi"/>
            <w:sz w:val="16"/>
            <w:szCs w:val="16"/>
            <w:lang w:val="fr-BE"/>
          </w:rPr>
          <w:t>Plan régional Air, Climat, Energie</w:t>
        </w:r>
      </w:hyperlink>
      <w:r>
        <w:rPr>
          <w:rFonts w:asciiTheme="minorHAnsi" w:hAnsiTheme="minorHAnsi" w:cstheme="minorHAnsi"/>
          <w:sz w:val="16"/>
          <w:szCs w:val="16"/>
          <w:lang w:val="fr-BE"/>
        </w:rPr>
        <w:t xml:space="preserve">, June 2016. </w:t>
      </w:r>
    </w:p>
  </w:footnote>
  <w:footnote w:id="148">
    <w:p w:rsidR="0017500B" w:rsidRDefault="00390F61">
      <w:pPr>
        <w:pStyle w:val="FootnoteText"/>
        <w:rPr>
          <w:lang w:val="fr-FR"/>
        </w:rPr>
      </w:pPr>
      <w:r>
        <w:rPr>
          <w:rStyle w:val="FootnoteReference"/>
        </w:rPr>
        <w:footnoteRef/>
      </w:r>
      <w:r>
        <w:rPr>
          <w:lang w:val="fr-FR"/>
        </w:rPr>
        <w:t xml:space="preserve"> BCR 2016, </w:t>
      </w:r>
      <w:hyperlink r:id="rId142" w:history="1">
        <w:r>
          <w:rPr>
            <w:rStyle w:val="Hyperlink"/>
            <w:lang w:val="fr-FR"/>
          </w:rPr>
          <w:t>Etat de l'environnement rapport</w:t>
        </w:r>
      </w:hyperlink>
    </w:p>
  </w:footnote>
  <w:footnote w:id="149">
    <w:p w:rsidR="0017500B" w:rsidRDefault="00390F61">
      <w:pPr>
        <w:pStyle w:val="FootnoteText"/>
        <w:widowControl w:val="0"/>
        <w:ind w:left="227" w:hanging="227"/>
        <w:rPr>
          <w:rFonts w:asciiTheme="minorHAnsi" w:hAnsiTheme="minorHAnsi" w:cstheme="minorHAnsi"/>
          <w:sz w:val="16"/>
          <w:szCs w:val="16"/>
          <w:lang w:val="fr-BE"/>
        </w:rPr>
      </w:pPr>
      <w:r>
        <w:rPr>
          <w:rStyle w:val="FootnoteCharacters"/>
          <w:rFonts w:asciiTheme="minorHAnsi" w:hAnsiTheme="minorHAnsi" w:cstheme="minorHAnsi"/>
          <w:sz w:val="16"/>
          <w:szCs w:val="16"/>
        </w:rPr>
        <w:footnoteRef/>
      </w:r>
      <w:r>
        <w:rPr>
          <w:rFonts w:asciiTheme="minorHAnsi" w:hAnsiTheme="minorHAnsi" w:cstheme="minorHAnsi"/>
          <w:sz w:val="16"/>
          <w:szCs w:val="16"/>
          <w:lang w:val="fr-BE"/>
        </w:rPr>
        <w:t xml:space="preserve"> European Commission, </w:t>
      </w:r>
      <w:hyperlink r:id="rId143" w:history="1">
        <w:r>
          <w:rPr>
            <w:rStyle w:val="Hyperlink"/>
            <w:rFonts w:asciiTheme="minorHAnsi" w:hAnsiTheme="minorHAnsi" w:cstheme="minorHAnsi"/>
            <w:sz w:val="16"/>
            <w:szCs w:val="16"/>
            <w:lang w:val="fr-BE"/>
          </w:rPr>
          <w:t>European Green Capital Good practice report 2014</w:t>
        </w:r>
      </w:hyperlink>
      <w:r>
        <w:rPr>
          <w:rFonts w:asciiTheme="minorHAnsi" w:hAnsiTheme="minorHAnsi" w:cstheme="minorHAnsi"/>
          <w:sz w:val="16"/>
          <w:szCs w:val="16"/>
          <w:lang w:val="fr-BE"/>
        </w:rPr>
        <w:t>, p.23</w:t>
      </w:r>
    </w:p>
  </w:footnote>
  <w:footnote w:id="150">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144" w:history="1">
        <w:r>
          <w:rPr>
            <w:rStyle w:val="Hyperlink"/>
            <w:rFonts w:asciiTheme="minorHAnsi" w:hAnsiTheme="minorHAnsi" w:cstheme="minorHAnsi"/>
            <w:sz w:val="16"/>
            <w:szCs w:val="16"/>
          </w:rPr>
          <w:t>European Green Capital Good practice report 2014</w:t>
        </w:r>
      </w:hyperlink>
      <w:r>
        <w:rPr>
          <w:rFonts w:asciiTheme="minorHAnsi" w:hAnsiTheme="minorHAnsi" w:cstheme="minorHAnsi"/>
          <w:sz w:val="16"/>
          <w:szCs w:val="16"/>
        </w:rPr>
        <w:t>, p.24</w:t>
      </w:r>
    </w:p>
  </w:footnote>
  <w:footnote w:id="151">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145" w:history="1">
        <w:r>
          <w:rPr>
            <w:rStyle w:val="Hyperlink"/>
            <w:rFonts w:asciiTheme="minorHAnsi" w:hAnsiTheme="minorHAnsi" w:cstheme="minorHAnsi"/>
            <w:sz w:val="16"/>
            <w:szCs w:val="16"/>
          </w:rPr>
          <w:t>E</w:t>
        </w:r>
        <w:r>
          <w:rPr>
            <w:rStyle w:val="Hyperlink"/>
            <w:rFonts w:asciiTheme="minorHAnsi" w:hAnsiTheme="minorHAnsi" w:cstheme="minorHAnsi"/>
            <w:sz w:val="16"/>
            <w:szCs w:val="16"/>
          </w:rPr>
          <w:t>uropean Green Capital Good practice report 2014</w:t>
        </w:r>
      </w:hyperlink>
      <w:r>
        <w:rPr>
          <w:rFonts w:asciiTheme="minorHAnsi" w:hAnsiTheme="minorHAnsi" w:cstheme="minorHAnsi"/>
          <w:sz w:val="16"/>
          <w:szCs w:val="16"/>
        </w:rPr>
        <w:t>, p.24</w:t>
      </w:r>
    </w:p>
  </w:footnote>
  <w:footnote w:id="152">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EIB, 2014. </w:t>
      </w:r>
      <w:hyperlink r:id="rId146" w:history="1">
        <w:r>
          <w:rPr>
            <w:rStyle w:val="Hyperlink"/>
            <w:rFonts w:asciiTheme="minorHAnsi" w:hAnsiTheme="minorHAnsi" w:cstheme="minorHAnsi"/>
            <w:sz w:val="16"/>
            <w:szCs w:val="16"/>
          </w:rPr>
          <w:t>SBGE – Brussels South waste water treatment plant</w:t>
        </w:r>
      </w:hyperlink>
    </w:p>
  </w:footnote>
  <w:footnote w:id="153">
    <w:p w:rsidR="0017500B" w:rsidRDefault="00390F61">
      <w:pPr>
        <w:pStyle w:val="FootnoteText"/>
        <w:widowControl w:val="0"/>
        <w:ind w:left="227" w:hanging="227"/>
        <w:rPr>
          <w:rFonts w:asciiTheme="minorHAnsi" w:hAnsiTheme="minorHAnsi" w:cstheme="minorHAnsi"/>
          <w:sz w:val="16"/>
          <w:szCs w:val="16"/>
          <w:lang w:val="fr-FR"/>
        </w:rPr>
      </w:pPr>
      <w:r>
        <w:rPr>
          <w:rStyle w:val="FootnoteCharacters"/>
          <w:rFonts w:asciiTheme="minorHAnsi" w:hAnsiTheme="minorHAnsi" w:cstheme="minorHAnsi"/>
          <w:sz w:val="16"/>
          <w:szCs w:val="16"/>
        </w:rPr>
        <w:footnoteRef/>
      </w:r>
      <w:r>
        <w:rPr>
          <w:rFonts w:asciiTheme="minorHAnsi" w:hAnsiTheme="minorHAnsi" w:cstheme="minorHAnsi"/>
          <w:sz w:val="16"/>
          <w:szCs w:val="16"/>
          <w:lang w:val="fr-FR"/>
        </w:rPr>
        <w:t xml:space="preserve"> European Commission, </w:t>
      </w:r>
      <w:hyperlink r:id="rId147" w:history="1"/>
      <w:hyperlink r:id="rId148" w:history="1">
        <w:r>
          <w:rPr>
            <w:rStyle w:val="Hyperlink"/>
            <w:rFonts w:asciiTheme="minorHAnsi" w:hAnsiTheme="minorHAnsi" w:cstheme="minorHAnsi"/>
            <w:sz w:val="16"/>
            <w:szCs w:val="16"/>
            <w:lang w:val="fr-FR"/>
          </w:rPr>
          <w:t>2016 REGIOSTARS</w:t>
        </w:r>
      </w:hyperlink>
      <w:r>
        <w:rPr>
          <w:rFonts w:asciiTheme="minorHAnsi" w:hAnsiTheme="minorHAnsi" w:cstheme="minorHAnsi"/>
          <w:sz w:val="16"/>
          <w:szCs w:val="16"/>
          <w:lang w:val="fr-FR"/>
        </w:rPr>
        <w:t xml:space="preserve"> finalists</w:t>
      </w:r>
    </w:p>
  </w:footnote>
  <w:footnote w:id="154">
    <w:p w:rsidR="0017500B" w:rsidRDefault="00390F61">
      <w:pPr>
        <w:pStyle w:val="FootnoteText"/>
        <w:ind w:left="227" w:hanging="227"/>
        <w:rPr>
          <w:rFonts w:asciiTheme="minorHAnsi" w:hAnsiTheme="minorHAnsi" w:cstheme="minorHAnsi"/>
          <w:sz w:val="16"/>
          <w:szCs w:val="16"/>
          <w:lang w:val="fr-BE"/>
        </w:rPr>
      </w:pPr>
      <w:r>
        <w:rPr>
          <w:rStyle w:val="FootnoteCharacters"/>
          <w:rFonts w:asciiTheme="minorHAnsi" w:hAnsiTheme="minorHAnsi" w:cstheme="minorHAnsi"/>
          <w:sz w:val="16"/>
          <w:szCs w:val="16"/>
        </w:rPr>
        <w:footnoteRef/>
      </w:r>
      <w:r>
        <w:rPr>
          <w:rFonts w:asciiTheme="minorHAnsi" w:hAnsiTheme="minorHAnsi" w:cstheme="minorHAnsi"/>
          <w:sz w:val="16"/>
          <w:szCs w:val="16"/>
          <w:lang w:val="fr-BE"/>
        </w:rPr>
        <w:t xml:space="preserve"> BCR, Stratégie </w:t>
      </w:r>
      <w:hyperlink r:id="rId149" w:history="1">
        <w:r>
          <w:rPr>
            <w:rStyle w:val="Hyperlink"/>
            <w:rFonts w:asciiTheme="minorHAnsi" w:hAnsiTheme="minorHAnsi" w:cstheme="minorHAnsi"/>
            <w:sz w:val="16"/>
            <w:szCs w:val="16"/>
            <w:lang w:val="fr-BE"/>
          </w:rPr>
          <w:t>Good Food « Vers un système alimentaire plus durable en Région de Bruxelles-Capitale</w:t>
        </w:r>
      </w:hyperlink>
      <w:r>
        <w:rPr>
          <w:rFonts w:asciiTheme="minorHAnsi" w:hAnsiTheme="minorHAnsi" w:cstheme="minorHAnsi"/>
          <w:color w:val="787878"/>
          <w:sz w:val="16"/>
          <w:szCs w:val="16"/>
          <w:lang w:val="fr-FR"/>
        </w:rPr>
        <w:t xml:space="preserve"> </w:t>
      </w:r>
    </w:p>
  </w:footnote>
  <w:footnote w:id="155">
    <w:p w:rsidR="0017500B" w:rsidRDefault="00390F61">
      <w:pPr>
        <w:pStyle w:val="FootnoteText"/>
        <w:ind w:left="227" w:hanging="227"/>
        <w:rPr>
          <w:rFonts w:asciiTheme="minorHAnsi" w:hAnsiTheme="minorHAnsi"/>
          <w:sz w:val="16"/>
          <w:szCs w:val="16"/>
          <w:lang w:val="fr-BE"/>
        </w:rPr>
      </w:pPr>
      <w:r>
        <w:rPr>
          <w:rStyle w:val="FootnoteReference"/>
          <w:rFonts w:asciiTheme="minorHAnsi" w:hAnsiTheme="minorHAnsi"/>
          <w:sz w:val="16"/>
          <w:szCs w:val="16"/>
          <w:vertAlign w:val="baseline"/>
        </w:rPr>
        <w:footnoteRef/>
      </w:r>
      <w:r>
        <w:rPr>
          <w:rFonts w:asciiTheme="minorHAnsi" w:hAnsiTheme="minorHAnsi"/>
          <w:sz w:val="16"/>
          <w:szCs w:val="16"/>
          <w:lang w:val="fr-BE"/>
        </w:rPr>
        <w:t xml:space="preserve"> </w:t>
      </w:r>
      <w:hyperlink r:id="rId150" w:history="1">
        <w:r>
          <w:rPr>
            <w:rStyle w:val="Hyperlink"/>
            <w:rFonts w:asciiTheme="minorHAnsi" w:hAnsiTheme="minorHAnsi"/>
            <w:sz w:val="16"/>
            <w:szCs w:val="16"/>
            <w:lang w:val="fr-BE"/>
          </w:rPr>
          <w:t>Boeren Bruxsel Paysans</w:t>
        </w:r>
      </w:hyperlink>
      <w:r>
        <w:rPr>
          <w:rFonts w:asciiTheme="minorHAnsi" w:hAnsiTheme="minorHAnsi"/>
          <w:sz w:val="16"/>
          <w:szCs w:val="16"/>
          <w:lang w:val="fr-BE"/>
        </w:rPr>
        <w:t xml:space="preserve"> </w:t>
      </w:r>
    </w:p>
  </w:footnote>
  <w:footnote w:id="156">
    <w:p w:rsidR="0017500B" w:rsidRDefault="00390F61">
      <w:pPr>
        <w:pStyle w:val="FootnoteText"/>
        <w:widowControl w:val="0"/>
        <w:ind w:left="227" w:hanging="227"/>
        <w:rPr>
          <w:rFonts w:asciiTheme="minorHAnsi" w:hAnsiTheme="minorHAnsi" w:cstheme="minorHAnsi"/>
          <w:sz w:val="16"/>
          <w:szCs w:val="16"/>
          <w:lang w:val="fr-BE"/>
        </w:rPr>
      </w:pPr>
      <w:r>
        <w:rPr>
          <w:rStyle w:val="FootnoteCharacters"/>
          <w:rFonts w:asciiTheme="minorHAnsi" w:hAnsiTheme="minorHAnsi" w:cstheme="minorHAnsi"/>
          <w:sz w:val="16"/>
          <w:szCs w:val="16"/>
        </w:rPr>
        <w:footnoteRef/>
      </w:r>
      <w:r>
        <w:rPr>
          <w:rFonts w:asciiTheme="minorHAnsi" w:hAnsiTheme="minorHAnsi" w:cstheme="minorHAnsi"/>
          <w:sz w:val="16"/>
          <w:szCs w:val="16"/>
          <w:lang w:val="fr-BE"/>
        </w:rPr>
        <w:t xml:space="preserve"> Eurostat, </w:t>
      </w:r>
      <w:hyperlink r:id="rId151" w:history="1">
        <w:r>
          <w:rPr>
            <w:rStyle w:val="Hyperlink"/>
            <w:rFonts w:asciiTheme="minorHAnsi" w:hAnsiTheme="minorHAnsi" w:cstheme="minorHAnsi"/>
            <w:sz w:val="16"/>
            <w:szCs w:val="16"/>
            <w:lang w:val="fr-BE"/>
          </w:rPr>
          <w:t>Environmental tax revenues</w:t>
        </w:r>
      </w:hyperlink>
      <w:r>
        <w:rPr>
          <w:rFonts w:asciiTheme="minorHAnsi" w:hAnsiTheme="minorHAnsi" w:cstheme="minorHAnsi"/>
          <w:sz w:val="16"/>
          <w:szCs w:val="16"/>
          <w:lang w:val="fr-BE"/>
        </w:rPr>
        <w:t xml:space="preserve">, accessed June 2016 </w:t>
      </w:r>
    </w:p>
  </w:footnote>
  <w:footnote w:id="157">
    <w:p w:rsidR="0017500B" w:rsidRDefault="00390F61">
      <w:pPr>
        <w:spacing w:after="0" w:line="240" w:lineRule="auto"/>
        <w:ind w:left="227" w:hanging="227"/>
        <w:jc w:val="both"/>
        <w:rPr>
          <w:rFonts w:cstheme="minorHAnsi"/>
          <w:sz w:val="16"/>
          <w:szCs w:val="16"/>
        </w:rPr>
      </w:pPr>
      <w:r>
        <w:rPr>
          <w:rFonts w:cstheme="minorHAnsi"/>
          <w:sz w:val="16"/>
          <w:szCs w:val="16"/>
        </w:rPr>
        <w:footnoteRef/>
      </w:r>
      <w:r>
        <w:rPr>
          <w:rFonts w:cstheme="minorHAnsi"/>
          <w:sz w:val="16"/>
          <w:szCs w:val="16"/>
        </w:rPr>
        <w:t xml:space="preserve"> Eunomia Research and Consulting, IEEP, Aarhus University, ENT, 2016. </w:t>
      </w:r>
      <w:hyperlink r:id="rId152" w:history="1">
        <w:r>
          <w:rPr>
            <w:rStyle w:val="Hyperlink"/>
            <w:rFonts w:cstheme="minorHAnsi"/>
            <w:sz w:val="16"/>
            <w:szCs w:val="16"/>
          </w:rPr>
          <w:t>Study on Assessing the Environmental Fiscal Reform Potential for the EU28</w:t>
        </w:r>
      </w:hyperlink>
      <w:r>
        <w:rPr>
          <w:rStyle w:val="Hyperlink"/>
          <w:rFonts w:cstheme="minorHAnsi"/>
          <w:sz w:val="16"/>
          <w:szCs w:val="16"/>
        </w:rPr>
        <w:t xml:space="preserve">. </w:t>
      </w:r>
      <w:r>
        <w:rPr>
          <w:rStyle w:val="Hyperlink"/>
          <w:rFonts w:cstheme="minorHAnsi"/>
          <w:color w:val="auto"/>
          <w:sz w:val="16"/>
          <w:szCs w:val="16"/>
          <w:u w:val="none"/>
        </w:rPr>
        <w:t>N.B. National governments are responsible for setting</w:t>
      </w:r>
      <w:r>
        <w:rPr>
          <w:rStyle w:val="Hyperlink"/>
          <w:rFonts w:cstheme="minorHAnsi"/>
          <w:color w:val="auto"/>
          <w:sz w:val="16"/>
          <w:szCs w:val="16"/>
          <w:u w:val="none"/>
        </w:rPr>
        <w:t xml:space="preserve"> tax rates within the EU Single Market rules and this report is not suggesting concrete changes as to the level of environmental taxation. It merely presents the findings of the 2016 study by Eunomia </w:t>
      </w:r>
      <w:r>
        <w:rPr>
          <w:rStyle w:val="Hyperlink"/>
          <w:rFonts w:cstheme="minorHAnsi"/>
          <w:i/>
          <w:color w:val="auto"/>
          <w:sz w:val="16"/>
          <w:szCs w:val="16"/>
          <w:u w:val="none"/>
        </w:rPr>
        <w:t>et al</w:t>
      </w:r>
      <w:r>
        <w:rPr>
          <w:rStyle w:val="Hyperlink"/>
          <w:rFonts w:cstheme="minorHAnsi"/>
          <w:color w:val="auto"/>
          <w:sz w:val="16"/>
          <w:szCs w:val="16"/>
          <w:u w:val="none"/>
        </w:rPr>
        <w:t xml:space="preserve"> on the potential benefits various environmental ta</w:t>
      </w:r>
      <w:r>
        <w:rPr>
          <w:rStyle w:val="Hyperlink"/>
          <w:rFonts w:cstheme="minorHAnsi"/>
          <w:color w:val="auto"/>
          <w:sz w:val="16"/>
          <w:szCs w:val="16"/>
          <w:u w:val="none"/>
        </w:rPr>
        <w:t>xes could bring. It is then for the national authorities to assess this study and their concrete impacts in the national context. A first step in this respect, already done by a number of Member States, is to set up expert groups to assess these and make s</w:t>
      </w:r>
      <w:r>
        <w:rPr>
          <w:rStyle w:val="Hyperlink"/>
          <w:rFonts w:cstheme="minorHAnsi"/>
          <w:color w:val="auto"/>
          <w:sz w:val="16"/>
          <w:szCs w:val="16"/>
          <w:u w:val="none"/>
        </w:rPr>
        <w:t>pecific proposals.</w:t>
      </w:r>
    </w:p>
  </w:footnote>
  <w:footnote w:id="158">
    <w:p w:rsidR="0017500B" w:rsidRDefault="00390F61">
      <w:pPr>
        <w:pStyle w:val="FootnoteText"/>
        <w:ind w:left="227" w:hanging="227"/>
        <w:rPr>
          <w:rFonts w:asciiTheme="minorHAnsi" w:hAnsiTheme="minorHAnsi" w:cstheme="minorHAnsi"/>
          <w:sz w:val="16"/>
          <w:szCs w:val="16"/>
        </w:rPr>
      </w:pPr>
      <w:r>
        <w:rPr>
          <w:rStyle w:val="FootnoteReference"/>
          <w:rFonts w:asciiTheme="minorHAnsi" w:hAnsiTheme="minorHAnsi" w:cstheme="minorHAnsi"/>
          <w:sz w:val="16"/>
          <w:szCs w:val="16"/>
          <w:vertAlign w:val="baseline"/>
        </w:rPr>
        <w:footnoteRef/>
      </w:r>
      <w:r>
        <w:rPr>
          <w:rFonts w:asciiTheme="minorHAnsi" w:hAnsiTheme="minorHAnsi" w:cstheme="minorHAnsi"/>
          <w:sz w:val="16"/>
          <w:szCs w:val="16"/>
        </w:rPr>
        <w:t xml:space="preserve"> The good practice scenario means benchmarking to a successful taxation practice in another Member State. </w:t>
      </w:r>
    </w:p>
    <w:p w:rsidR="0017500B" w:rsidRDefault="0017500B">
      <w:pPr>
        <w:pStyle w:val="FootnoteText"/>
        <w:ind w:left="227" w:hanging="227"/>
        <w:rPr>
          <w:rFonts w:asciiTheme="minorHAnsi" w:hAnsiTheme="minorHAnsi" w:cstheme="minorHAnsi"/>
          <w:sz w:val="16"/>
          <w:szCs w:val="16"/>
        </w:rPr>
      </w:pPr>
    </w:p>
  </w:footnote>
  <w:footnote w:id="159">
    <w:p w:rsidR="0017500B" w:rsidRDefault="00390F61">
      <w:pPr>
        <w:spacing w:after="0" w:line="240" w:lineRule="auto"/>
        <w:ind w:left="227" w:hanging="227"/>
        <w:rPr>
          <w:rFonts w:cstheme="minorHAnsi"/>
          <w:sz w:val="16"/>
          <w:szCs w:val="16"/>
        </w:rPr>
      </w:pPr>
      <w:r>
        <w:rPr>
          <w:rStyle w:val="FootnoteCharacters"/>
          <w:rFonts w:cstheme="minorHAnsi"/>
          <w:sz w:val="16"/>
          <w:szCs w:val="16"/>
        </w:rPr>
        <w:footnoteRef/>
      </w:r>
      <w:r>
        <w:t xml:space="preserve"> </w:t>
      </w:r>
      <w:r>
        <w:rPr>
          <w:rFonts w:cstheme="minorHAnsi"/>
          <w:sz w:val="16"/>
          <w:szCs w:val="16"/>
        </w:rPr>
        <w:t>Flemish Government</w:t>
      </w:r>
      <w:r>
        <w:rPr>
          <w:rStyle w:val="Hyperlink"/>
          <w:rFonts w:cstheme="minorHAnsi"/>
          <w:sz w:val="16"/>
          <w:szCs w:val="16"/>
          <w:u w:val="none"/>
        </w:rPr>
        <w:t xml:space="preserve">, </w:t>
      </w:r>
      <w:hyperlink r:id="rId153" w:history="1">
        <w:r>
          <w:rPr>
            <w:rStyle w:val="Hyperlink"/>
            <w:rFonts w:cstheme="minorHAnsi"/>
            <w:sz w:val="16"/>
            <w:szCs w:val="16"/>
          </w:rPr>
          <w:t>study</w:t>
        </w:r>
      </w:hyperlink>
    </w:p>
  </w:footnote>
  <w:footnote w:id="160">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Eurostat, </w:t>
      </w:r>
      <w:hyperlink r:id="rId154" w:history="1">
        <w:r>
          <w:rPr>
            <w:rStyle w:val="Hyperlink"/>
            <w:rFonts w:asciiTheme="minorHAnsi" w:hAnsiTheme="minorHAnsi" w:cstheme="minorHAnsi"/>
            <w:sz w:val="16"/>
            <w:szCs w:val="16"/>
          </w:rPr>
          <w:t>Environmental tax revenues</w:t>
        </w:r>
      </w:hyperlink>
      <w:r>
        <w:rPr>
          <w:rFonts w:asciiTheme="minorHAnsi" w:hAnsiTheme="minorHAnsi" w:cstheme="minorHAnsi"/>
          <w:sz w:val="16"/>
          <w:szCs w:val="16"/>
        </w:rPr>
        <w:t>, accessed June 2016</w:t>
      </w:r>
    </w:p>
  </w:footnote>
  <w:footnote w:id="161">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Update by European Commission, 2015 based on Harding M., 2014.</w:t>
      </w:r>
      <w:hyperlink r:id="rId155" w:history="1">
        <w:r>
          <w:rPr>
            <w:rStyle w:val="Hyperlink"/>
            <w:rFonts w:asciiTheme="minorHAnsi" w:hAnsiTheme="minorHAnsi" w:cstheme="minorHAnsi"/>
            <w:sz w:val="16"/>
            <w:szCs w:val="16"/>
          </w:rPr>
          <w:t>The Diesel Differential: Differences in the Tax Treatment of Gasoline and Diesel for Road Use</w:t>
        </w:r>
      </w:hyperlink>
      <w:r>
        <w:rPr>
          <w:rFonts w:asciiTheme="minorHAnsi" w:hAnsiTheme="minorHAnsi" w:cstheme="minorHAnsi"/>
          <w:sz w:val="16"/>
          <w:szCs w:val="16"/>
        </w:rPr>
        <w:t>. OECD Taxation Working Papers, No. 21; Eu</w:t>
      </w:r>
      <w:r>
        <w:rPr>
          <w:rFonts w:asciiTheme="minorHAnsi" w:hAnsiTheme="minorHAnsi" w:cstheme="minorHAnsi"/>
          <w:sz w:val="16"/>
          <w:szCs w:val="16"/>
        </w:rPr>
        <w:t xml:space="preserve">ropean Environment Agency 2016, </w:t>
      </w:r>
      <w:hyperlink r:id="rId156" w:history="1">
        <w:r>
          <w:rPr>
            <w:rStyle w:val="Hyperlink"/>
            <w:rFonts w:asciiTheme="minorHAnsi" w:hAnsiTheme="minorHAnsi" w:cstheme="minorHAnsi"/>
            <w:sz w:val="16"/>
            <w:szCs w:val="16"/>
          </w:rPr>
          <w:t>Environmental taxation and EU environmental policies</w:t>
        </w:r>
      </w:hyperlink>
      <w:r>
        <w:rPr>
          <w:rFonts w:asciiTheme="minorHAnsi" w:hAnsiTheme="minorHAnsi" w:cstheme="minorHAnsi"/>
          <w:sz w:val="16"/>
          <w:szCs w:val="16"/>
        </w:rPr>
        <w:t>, Table 4.3 on p.24</w:t>
      </w:r>
    </w:p>
  </w:footnote>
  <w:footnote w:id="162">
    <w:p w:rsidR="0017500B" w:rsidRDefault="00390F61">
      <w:pPr>
        <w:pStyle w:val="FootnoteText"/>
        <w:widowControl w:val="0"/>
        <w:ind w:left="227" w:hanging="227"/>
        <w:rPr>
          <w:rFonts w:asciiTheme="minorHAnsi" w:hAnsiTheme="minorHAnsi" w:cstheme="minorHAnsi"/>
          <w:sz w:val="16"/>
          <w:szCs w:val="16"/>
          <w:lang w:val="fr-FR"/>
        </w:rPr>
      </w:pPr>
      <w:r>
        <w:rPr>
          <w:rStyle w:val="FootnoteCharacters"/>
          <w:rFonts w:asciiTheme="minorHAnsi" w:hAnsiTheme="minorHAnsi" w:cstheme="minorHAnsi"/>
          <w:sz w:val="16"/>
          <w:szCs w:val="16"/>
        </w:rPr>
        <w:footnoteRef/>
      </w:r>
      <w:r>
        <w:rPr>
          <w:rFonts w:asciiTheme="minorHAnsi" w:hAnsiTheme="minorHAnsi" w:cstheme="minorHAnsi"/>
          <w:sz w:val="16"/>
          <w:szCs w:val="16"/>
          <w:lang w:val="fr-FR"/>
        </w:rPr>
        <w:t xml:space="preserve"> </w:t>
      </w:r>
      <w:hyperlink r:id="rId157" w:history="1">
        <w:r>
          <w:rPr>
            <w:rStyle w:val="Hyperlink"/>
            <w:rFonts w:asciiTheme="minorHAnsi" w:hAnsiTheme="minorHAnsi" w:cstheme="minorHAnsi"/>
            <w:sz w:val="16"/>
            <w:szCs w:val="16"/>
            <w:lang w:val="fr-FR"/>
          </w:rPr>
          <w:t>Programme National de Réforme</w:t>
        </w:r>
      </w:hyperlink>
      <w:r>
        <w:rPr>
          <w:rFonts w:asciiTheme="minorHAnsi" w:hAnsiTheme="minorHAnsi" w:cstheme="minorHAnsi"/>
          <w:sz w:val="16"/>
          <w:szCs w:val="16"/>
          <w:lang w:val="fr-FR"/>
        </w:rPr>
        <w:t>, April 2016, p.7</w:t>
      </w:r>
    </w:p>
  </w:footnote>
  <w:footnote w:id="163">
    <w:p w:rsidR="0017500B" w:rsidRDefault="00390F61">
      <w:pPr>
        <w:pStyle w:val="FootnoteText"/>
        <w:ind w:left="227" w:hanging="227"/>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Environment Agency 2016, </w:t>
      </w:r>
      <w:hyperlink r:id="rId158" w:history="1">
        <w:r>
          <w:rPr>
            <w:rStyle w:val="Hyperlink"/>
            <w:rFonts w:asciiTheme="minorHAnsi" w:hAnsiTheme="minorHAnsi"/>
            <w:sz w:val="16"/>
            <w:szCs w:val="16"/>
          </w:rPr>
          <w:t>Environmental taxation and EU environmental policies</w:t>
        </w:r>
      </w:hyperlink>
      <w:r>
        <w:rPr>
          <w:rFonts w:asciiTheme="minorHAnsi" w:hAnsiTheme="minorHAnsi"/>
          <w:sz w:val="16"/>
          <w:szCs w:val="16"/>
        </w:rPr>
        <w:t>, p.27</w:t>
      </w:r>
    </w:p>
  </w:footnote>
  <w:footnote w:id="164">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Harding M. 2014..</w:t>
      </w:r>
      <w:hyperlink r:id="rId159" w:history="1">
        <w:r>
          <w:rPr>
            <w:rStyle w:val="Hyperlink"/>
            <w:rFonts w:asciiTheme="minorHAnsi" w:hAnsiTheme="minorHAnsi" w:cstheme="minorHAnsi"/>
            <w:sz w:val="16"/>
            <w:szCs w:val="16"/>
          </w:rPr>
          <w:t>P</w:t>
        </w:r>
        <w:r>
          <w:rPr>
            <w:rStyle w:val="Hyperlink"/>
            <w:rFonts w:asciiTheme="minorHAnsi" w:hAnsiTheme="minorHAnsi" w:cstheme="minorHAnsi"/>
            <w:sz w:val="16"/>
            <w:szCs w:val="16"/>
          </w:rPr>
          <w:t>ersonal Tax Treatment of Company Cars and Commuting Expenses – Estimating the Fiscal and Environmental Costs</w:t>
        </w:r>
      </w:hyperlink>
      <w:r>
        <w:rPr>
          <w:rFonts w:asciiTheme="minorHAnsi" w:hAnsiTheme="minorHAnsi" w:cstheme="minorHAnsi"/>
          <w:sz w:val="16"/>
          <w:szCs w:val="16"/>
        </w:rPr>
        <w:t>. OECD Taxation Working Papers, No. 20, p.28</w:t>
      </w:r>
    </w:p>
  </w:footnote>
  <w:footnote w:id="165">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OECD, 2016. Belgium –</w:t>
      </w:r>
      <w:hyperlink r:id="rId160" w:history="1">
        <w:r>
          <w:rPr>
            <w:rStyle w:val="Hyperlink"/>
            <w:rFonts w:asciiTheme="minorHAnsi" w:hAnsiTheme="minorHAnsi" w:cstheme="minorHAnsi"/>
            <w:sz w:val="16"/>
            <w:szCs w:val="16"/>
          </w:rPr>
          <w:t>Economic forecast summary (June 2016)</w:t>
        </w:r>
      </w:hyperlink>
      <w:r>
        <w:rPr>
          <w:rFonts w:asciiTheme="minorHAnsi" w:hAnsiTheme="minorHAnsi" w:cstheme="minorHAnsi"/>
          <w:sz w:val="16"/>
          <w:szCs w:val="16"/>
        </w:rPr>
        <w:t xml:space="preserve"> </w:t>
      </w:r>
    </w:p>
  </w:footnote>
  <w:footnote w:id="166">
    <w:p w:rsidR="0017500B" w:rsidRDefault="00390F61">
      <w:pPr>
        <w:pStyle w:val="FootnoteText"/>
        <w:widowControl w:val="0"/>
        <w:ind w:left="227" w:hanging="227"/>
        <w:rPr>
          <w:rFonts w:asciiTheme="minorHAnsi" w:hAnsiTheme="minorHAnsi" w:cstheme="minorHAnsi"/>
          <w:sz w:val="16"/>
          <w:szCs w:val="16"/>
          <w:lang w:val="fr-BE"/>
        </w:rPr>
      </w:pPr>
      <w:r>
        <w:rPr>
          <w:rStyle w:val="FootnoteCharacters"/>
          <w:rFonts w:asciiTheme="minorHAnsi" w:hAnsiTheme="minorHAnsi" w:cstheme="minorHAnsi"/>
          <w:sz w:val="16"/>
          <w:szCs w:val="16"/>
        </w:rPr>
        <w:footnoteRef/>
      </w:r>
      <w:r>
        <w:rPr>
          <w:rFonts w:asciiTheme="minorHAnsi" w:hAnsiTheme="minorHAnsi" w:cstheme="minorHAnsi"/>
          <w:sz w:val="16"/>
          <w:szCs w:val="16"/>
          <w:lang w:val="fr-FR"/>
        </w:rPr>
        <w:t xml:space="preserve"> Bureau fédéral du Plan, 2016. </w:t>
      </w:r>
      <w:r>
        <w:rPr>
          <w:rFonts w:asciiTheme="minorHAnsi" w:hAnsiTheme="minorHAnsi" w:cstheme="minorHAnsi"/>
          <w:sz w:val="16"/>
          <w:szCs w:val="16"/>
          <w:lang w:val="fr-BE"/>
        </w:rPr>
        <w:t xml:space="preserve"> </w:t>
      </w:r>
      <w:hyperlink r:id="rId161" w:history="1">
        <w:r>
          <w:rPr>
            <w:rStyle w:val="Hyperlink"/>
            <w:rFonts w:asciiTheme="minorHAnsi" w:hAnsiTheme="minorHAnsi" w:cstheme="minorHAnsi"/>
            <w:sz w:val="16"/>
            <w:szCs w:val="16"/>
            <w:lang w:val="fr-BE"/>
          </w:rPr>
          <w:t xml:space="preserve">L’avantage fiscal sur les voitures de société influence significativement les </w:t>
        </w:r>
        <w:r>
          <w:rPr>
            <w:rStyle w:val="Hyperlink"/>
            <w:rFonts w:asciiTheme="minorHAnsi" w:hAnsiTheme="minorHAnsi" w:cstheme="minorHAnsi"/>
            <w:sz w:val="16"/>
            <w:szCs w:val="16"/>
            <w:lang w:val="fr-BE"/>
          </w:rPr>
          <w:t>comportements de mobilité, avec des coûts sociétaux considérables</w:t>
        </w:r>
      </w:hyperlink>
      <w:r>
        <w:rPr>
          <w:rFonts w:asciiTheme="minorHAnsi" w:hAnsiTheme="minorHAnsi" w:cstheme="minorHAnsi"/>
          <w:sz w:val="16"/>
          <w:szCs w:val="16"/>
          <w:lang w:val="fr-BE"/>
        </w:rPr>
        <w:t xml:space="preserve"> </w:t>
      </w:r>
    </w:p>
  </w:footnote>
  <w:footnote w:id="167">
    <w:p w:rsidR="0017500B" w:rsidRDefault="00390F61">
      <w:pPr>
        <w:pStyle w:val="FootnoteText"/>
        <w:widowControl w:val="0"/>
        <w:ind w:left="227" w:hanging="227"/>
        <w:rPr>
          <w:sz w:val="16"/>
          <w:szCs w:val="16"/>
        </w:rPr>
      </w:pPr>
      <w:r>
        <w:rPr>
          <w:rStyle w:val="FootnoteReference"/>
          <w:sz w:val="16"/>
          <w:szCs w:val="16"/>
          <w:vertAlign w:val="baseline"/>
        </w:rPr>
        <w:footnoteRef/>
      </w:r>
      <w:r>
        <w:rPr>
          <w:sz w:val="16"/>
          <w:szCs w:val="16"/>
        </w:rPr>
        <w:t xml:space="preserve"> </w:t>
      </w:r>
      <w:r>
        <w:rPr>
          <w:sz w:val="16"/>
          <w:szCs w:val="16"/>
          <w:lang w:val="en"/>
        </w:rPr>
        <w:t xml:space="preserve">In the Communication “Public procurement for a better environment” </w:t>
      </w:r>
      <w:hyperlink r:id="rId162" w:history="1">
        <w:r>
          <w:rPr>
            <w:rStyle w:val="Hyperlink"/>
            <w:sz w:val="16"/>
            <w:szCs w:val="16"/>
            <w:lang w:val="en"/>
          </w:rPr>
          <w:t>(COM /2008/400)</w:t>
        </w:r>
      </w:hyperlink>
      <w:r>
        <w:rPr>
          <w:sz w:val="16"/>
          <w:szCs w:val="16"/>
          <w:lang w:val="en"/>
        </w:rPr>
        <w:t xml:space="preserve"> the Commission recommended the creation of a process for setting common GPP criteria. The basic concept of GPP relies on having clear, verifiable, justifiable and ambitious environmental criteria for product</w:t>
      </w:r>
      <w:r>
        <w:rPr>
          <w:sz w:val="16"/>
          <w:szCs w:val="16"/>
          <w:lang w:val="en"/>
        </w:rPr>
        <w:t>s and services, based on a life-cycle approach and scientific evidence base.</w:t>
      </w:r>
    </w:p>
  </w:footnote>
  <w:footnote w:id="168">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European Commission, 2015. </w:t>
      </w:r>
      <w:hyperlink r:id="rId163" w:history="1">
        <w:r>
          <w:rPr>
            <w:rStyle w:val="Hyperlink"/>
            <w:rFonts w:asciiTheme="minorHAnsi" w:hAnsiTheme="minorHAnsi" w:cstheme="minorHAnsi"/>
            <w:sz w:val="16"/>
            <w:szCs w:val="16"/>
          </w:rPr>
          <w:t>Documentation on National GPP Action Plans</w:t>
        </w:r>
      </w:hyperlink>
    </w:p>
  </w:footnote>
  <w:footnote w:id="169">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hAnsiTheme="minorHAnsi" w:cstheme="minorHAnsi"/>
          <w:sz w:val="16"/>
          <w:szCs w:val="16"/>
          <w:lang w:val="en"/>
        </w:rPr>
        <w:t xml:space="preserve">In the Communication “Public procurement for a better environment” </w:t>
      </w:r>
      <w:hyperlink r:id="rId164" w:history="1">
        <w:r>
          <w:rPr>
            <w:rStyle w:val="Hyperlink"/>
            <w:rFonts w:asciiTheme="minorHAnsi" w:hAnsiTheme="minorHAnsi" w:cstheme="minorHAnsi"/>
            <w:sz w:val="16"/>
            <w:szCs w:val="16"/>
            <w:lang w:val="en"/>
          </w:rPr>
          <w:t>(COM (2008)400)</w:t>
        </w:r>
      </w:hyperlink>
      <w:r>
        <w:rPr>
          <w:rFonts w:asciiTheme="minorHAnsi" w:hAnsiTheme="minorHAnsi" w:cstheme="minorHAnsi"/>
          <w:sz w:val="16"/>
          <w:szCs w:val="16"/>
          <w:lang w:val="en"/>
        </w:rPr>
        <w:t xml:space="preserve"> the Commission recommended the creation of a process for setting common GPP criteria. The basic concept of GPP relies on having clear, verifiable, justifiable and ambitious environmental criteria for products and services, based on a life-cycle approach a</w:t>
      </w:r>
      <w:r>
        <w:rPr>
          <w:rFonts w:asciiTheme="minorHAnsi" w:hAnsiTheme="minorHAnsi" w:cstheme="minorHAnsi"/>
          <w:sz w:val="16"/>
          <w:szCs w:val="16"/>
          <w:lang w:val="en"/>
        </w:rPr>
        <w:t>nd scientific evidence base.</w:t>
      </w:r>
    </w:p>
  </w:footnote>
  <w:footnote w:id="170">
    <w:p w:rsidR="0017500B" w:rsidRDefault="00390F61">
      <w:pPr>
        <w:pStyle w:val="FootnoteText"/>
        <w:widowControl w:val="0"/>
        <w:ind w:left="227" w:hanging="227"/>
        <w:rPr>
          <w:rFonts w:asciiTheme="minorHAnsi" w:hAnsiTheme="minorHAnsi" w:cstheme="minorHAnsi"/>
          <w:sz w:val="16"/>
          <w:szCs w:val="16"/>
          <w:lang w:val="fr-BE"/>
        </w:rPr>
      </w:pPr>
      <w:r>
        <w:rPr>
          <w:rStyle w:val="FootnoteCharacters"/>
          <w:rFonts w:asciiTheme="minorHAnsi" w:hAnsiTheme="minorHAnsi" w:cstheme="minorHAnsi"/>
          <w:sz w:val="16"/>
          <w:szCs w:val="16"/>
        </w:rPr>
        <w:footnoteRef/>
      </w:r>
      <w:r>
        <w:rPr>
          <w:rFonts w:asciiTheme="minorHAnsi" w:hAnsiTheme="minorHAnsi" w:cstheme="minorHAnsi"/>
          <w:sz w:val="16"/>
          <w:szCs w:val="16"/>
          <w:lang w:val="fr-BE"/>
        </w:rPr>
        <w:t xml:space="preserve"> European Commission, 2015. </w:t>
      </w:r>
      <w:hyperlink r:id="rId165" w:history="1">
        <w:r>
          <w:rPr>
            <w:rStyle w:val="Hyperlink"/>
            <w:rFonts w:asciiTheme="minorHAnsi" w:hAnsiTheme="minorHAnsi" w:cstheme="minorHAnsi"/>
            <w:sz w:val="16"/>
            <w:szCs w:val="16"/>
            <w:lang w:val="fr-BE"/>
          </w:rPr>
          <w:t>Documentation on National GPP Action Plans</w:t>
        </w:r>
      </w:hyperlink>
    </w:p>
  </w:footnote>
  <w:footnote w:id="171">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lang w:val="fr-BE"/>
        </w:rPr>
        <w:t xml:space="preserve"> European Commission, 2015. </w:t>
      </w:r>
      <w:hyperlink r:id="rId166" w:history="1">
        <w:r>
          <w:rPr>
            <w:rStyle w:val="Hyperlink"/>
            <w:rFonts w:asciiTheme="minorHAnsi" w:hAnsiTheme="minorHAnsi" w:cstheme="minorHAnsi"/>
            <w:sz w:val="16"/>
            <w:szCs w:val="16"/>
          </w:rPr>
          <w:t>Documentation on National GPP Action Plans</w:t>
        </w:r>
      </w:hyperlink>
    </w:p>
  </w:footnote>
  <w:footnote w:id="172">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CEPS, 2012. </w:t>
      </w:r>
      <w:hyperlink r:id="rId167" w:history="1">
        <w:r>
          <w:rPr>
            <w:rStyle w:val="Hyperlink"/>
            <w:rFonts w:asciiTheme="minorHAnsi" w:hAnsiTheme="minorHAnsi" w:cstheme="minorHAnsi"/>
            <w:sz w:val="16"/>
            <w:szCs w:val="16"/>
          </w:rPr>
          <w:t>Monitoring the Uptake of GPP in the EU27</w:t>
        </w:r>
      </w:hyperlink>
    </w:p>
  </w:footnote>
  <w:footnote w:id="173">
    <w:p w:rsidR="0017500B" w:rsidRDefault="00390F61">
      <w:pPr>
        <w:pStyle w:val="FootnoteText"/>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ESIF comprises five funds – the European Regional D</w:t>
      </w:r>
      <w:r>
        <w:rPr>
          <w:rFonts w:asciiTheme="minorHAnsi" w:hAnsiTheme="minorHAnsi" w:cstheme="minorHAnsi"/>
          <w:sz w:val="16"/>
          <w:szCs w:val="16"/>
        </w:rPr>
        <w:t>evelopment Funds (ERDF), the Cohesion Fund (CF), the European Social Fund (ESF), the European Agricultural Fund for Rural Development (EAFRD), and the European Maritime and Fisheries Fund (EMFF). The ERDF, the CF and the ESF together form the Cohesion Poli</w:t>
      </w:r>
      <w:r>
        <w:rPr>
          <w:rFonts w:asciiTheme="minorHAnsi" w:hAnsiTheme="minorHAnsi" w:cstheme="minorHAnsi"/>
          <w:sz w:val="16"/>
          <w:szCs w:val="16"/>
        </w:rPr>
        <w:t>cy funds.</w:t>
      </w:r>
    </w:p>
  </w:footnote>
  <w:footnote w:id="174">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European Investment Bank, 2016 </w:t>
      </w:r>
      <w:hyperlink r:id="rId168" w:history="1">
        <w:r>
          <w:rPr>
            <w:rStyle w:val="Hyperlink"/>
            <w:rFonts w:asciiTheme="minorHAnsi" w:hAnsiTheme="minorHAnsi" w:cstheme="minorHAnsi"/>
            <w:sz w:val="16"/>
            <w:szCs w:val="16"/>
          </w:rPr>
          <w:t>European Fund for Strategic Investments</w:t>
        </w:r>
      </w:hyperlink>
    </w:p>
  </w:footnote>
  <w:footnote w:id="175">
    <w:p w:rsidR="0017500B" w:rsidRDefault="00390F61">
      <w:pPr>
        <w:pStyle w:val="FootnoteText"/>
        <w:widowControl w:val="0"/>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t xml:space="preserve"> </w:t>
      </w:r>
      <w:hyperlink r:id="rId169" w:history="1">
        <w:r>
          <w:rPr>
            <w:rStyle w:val="Hyperlink"/>
            <w:rFonts w:asciiTheme="minorHAnsi" w:hAnsiTheme="minorHAnsi" w:cstheme="minorHAnsi"/>
            <w:sz w:val="16"/>
            <w:szCs w:val="16"/>
          </w:rPr>
          <w:t>European Regional Development Fund</w:t>
        </w:r>
      </w:hyperlink>
      <w:r>
        <w:rPr>
          <w:rFonts w:asciiTheme="minorHAnsi" w:hAnsiTheme="minorHAnsi" w:cstheme="minorHAnsi"/>
          <w:sz w:val="16"/>
          <w:szCs w:val="16"/>
        </w:rPr>
        <w:t xml:space="preserve"> &amp; </w:t>
      </w:r>
      <w:hyperlink r:id="rId170" w:history="1">
        <w:r>
          <w:rPr>
            <w:rStyle w:val="Hyperlink"/>
            <w:rFonts w:asciiTheme="minorHAnsi" w:hAnsiTheme="minorHAnsi" w:cstheme="minorHAnsi"/>
            <w:sz w:val="16"/>
            <w:szCs w:val="16"/>
          </w:rPr>
          <w:t>European Social Fund</w:t>
        </w:r>
      </w:hyperlink>
    </w:p>
  </w:footnote>
  <w:footnote w:id="176">
    <w:p w:rsidR="0017500B" w:rsidRDefault="00390F61">
      <w:pPr>
        <w:pStyle w:val="FootnoteText"/>
        <w:ind w:left="227" w:hanging="227"/>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European Commission, </w:t>
      </w:r>
      <w:hyperlink r:id="rId171" w:history="1">
        <w:r>
          <w:rPr>
            <w:rStyle w:val="Hyperlink"/>
            <w:rFonts w:asciiTheme="minorHAnsi" w:hAnsiTheme="minorHAnsi" w:cstheme="minorHAnsi"/>
            <w:sz w:val="16"/>
            <w:szCs w:val="16"/>
          </w:rPr>
          <w:t>European Structural and Investment Funds Data By Country</w:t>
        </w:r>
      </w:hyperlink>
      <w:r>
        <w:rPr>
          <w:rFonts w:asciiTheme="minorHAnsi" w:hAnsiTheme="minorHAnsi" w:cstheme="minorHAnsi"/>
          <w:sz w:val="16"/>
          <w:szCs w:val="16"/>
        </w:rPr>
        <w:t xml:space="preserve"> European Commission, </w:t>
      </w:r>
      <w:hyperlink r:id="rId172" w:history="1">
        <w:r>
          <w:rPr>
            <w:rStyle w:val="Hyperlink"/>
            <w:rFonts w:asciiTheme="minorHAnsi" w:hAnsiTheme="minorHAnsi" w:cstheme="minorHAnsi"/>
            <w:sz w:val="16"/>
            <w:szCs w:val="16"/>
          </w:rPr>
          <w:t>European Structural and Investment Funds Data By Country</w:t>
        </w:r>
      </w:hyperlink>
      <w:r>
        <w:rPr>
          <w:rFonts w:asciiTheme="minorHAnsi" w:hAnsiTheme="minorHAnsi" w:cstheme="minorHAnsi"/>
          <w:sz w:val="16"/>
          <w:szCs w:val="16"/>
        </w:rPr>
        <w:t xml:space="preserve">: </w:t>
      </w:r>
      <w:hyperlink r:id="rId173" w:history="1">
        <w:r>
          <w:rPr>
            <w:rStyle w:val="Hyperlink"/>
            <w:rFonts w:asciiTheme="minorHAnsi" w:hAnsiTheme="minorHAnsi" w:cstheme="minorHAnsi"/>
            <w:sz w:val="16"/>
            <w:szCs w:val="16"/>
          </w:rPr>
          <w:t>https://cohesiondata.ec.europa.eu/countries/BE#</w:t>
        </w:r>
      </w:hyperlink>
    </w:p>
  </w:footnote>
  <w:footnote w:id="177">
    <w:p w:rsidR="0017500B" w:rsidRDefault="00390F61">
      <w:pPr>
        <w:widowControl w:val="0"/>
        <w:spacing w:after="0" w:line="240" w:lineRule="auto"/>
        <w:ind w:left="227" w:hanging="227"/>
        <w:rPr>
          <w:rFonts w:cstheme="minorHAnsi"/>
          <w:b/>
          <w:sz w:val="16"/>
          <w:szCs w:val="16"/>
        </w:rPr>
      </w:pPr>
      <w:r>
        <w:rPr>
          <w:rStyle w:val="FootnoteReference"/>
          <w:rFonts w:cstheme="minorHAnsi"/>
          <w:sz w:val="16"/>
          <w:szCs w:val="16"/>
          <w:vertAlign w:val="baseline"/>
        </w:rPr>
        <w:footnoteRef/>
      </w:r>
      <w:r>
        <w:rPr>
          <w:rFonts w:cstheme="minorHAnsi"/>
          <w:sz w:val="16"/>
          <w:szCs w:val="16"/>
        </w:rPr>
        <w:t xml:space="preserve"> The Commission has work ong</w:t>
      </w:r>
      <w:r>
        <w:rPr>
          <w:rFonts w:cstheme="minorHAnsi"/>
          <w:sz w:val="16"/>
          <w:szCs w:val="16"/>
        </w:rPr>
        <w:t>oing to improve the country-specific knowledge about quality and functioning of the administrative systems of Member States.</w:t>
      </w:r>
    </w:p>
  </w:footnote>
  <w:footnote w:id="178">
    <w:p w:rsidR="0017500B" w:rsidRDefault="00390F61">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szCs w:val="16"/>
          <w:vertAlign w:val="baseline"/>
        </w:rPr>
        <w:footnoteRef/>
      </w:r>
      <w:r>
        <w:rPr>
          <w:rFonts w:asciiTheme="minorHAnsi" w:hAnsiTheme="minorHAnsi" w:cstheme="minorHAnsi"/>
          <w:sz w:val="16"/>
          <w:szCs w:val="16"/>
        </w:rPr>
        <w:t xml:space="preserve"> CITES, 1975. </w:t>
      </w:r>
      <w:hyperlink r:id="rId174" w:history="1">
        <w:r>
          <w:rPr>
            <w:rStyle w:val="Hyperlink"/>
            <w:rFonts w:asciiTheme="minorHAnsi" w:hAnsiTheme="minorHAnsi" w:cstheme="minorHAnsi"/>
            <w:sz w:val="16"/>
            <w:szCs w:val="16"/>
          </w:rPr>
          <w:t>Convention on International Trade in Endangered Species of Wild Fauna and Flo</w:t>
        </w:r>
        <w:r>
          <w:rPr>
            <w:rStyle w:val="Hyperlink"/>
            <w:rFonts w:asciiTheme="minorHAnsi" w:hAnsiTheme="minorHAnsi" w:cstheme="minorHAnsi"/>
            <w:sz w:val="16"/>
            <w:szCs w:val="16"/>
          </w:rPr>
          <w:t>ra</w:t>
        </w:r>
      </w:hyperlink>
    </w:p>
  </w:footnote>
  <w:footnote w:id="179">
    <w:p w:rsidR="0017500B" w:rsidRDefault="00390F61">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szCs w:val="16"/>
          <w:vertAlign w:val="baseline"/>
        </w:rPr>
        <w:footnoteRef/>
      </w:r>
      <w:r>
        <w:rPr>
          <w:rFonts w:asciiTheme="minorHAnsi" w:hAnsiTheme="minorHAnsi" w:cstheme="minorHAnsi"/>
          <w:sz w:val="16"/>
          <w:szCs w:val="16"/>
        </w:rPr>
        <w:t xml:space="preserve"> Belgian National Focal Point to the Convention on Biological Diversity, 2013. </w:t>
      </w:r>
      <w:hyperlink r:id="rId175" w:history="1">
        <w:r>
          <w:rPr>
            <w:rStyle w:val="Hyperlink"/>
            <w:rFonts w:asciiTheme="minorHAnsi" w:hAnsiTheme="minorHAnsi" w:cstheme="minorHAnsi"/>
            <w:sz w:val="16"/>
            <w:szCs w:val="16"/>
          </w:rPr>
          <w:t>Biodiversity 2020 – Update of Belgium’s National Biodiversity Strategy</w:t>
        </w:r>
      </w:hyperlink>
      <w:r>
        <w:rPr>
          <w:rFonts w:asciiTheme="minorHAnsi" w:hAnsiTheme="minorHAnsi" w:cstheme="minorHAnsi"/>
          <w:sz w:val="16"/>
          <w:szCs w:val="16"/>
        </w:rPr>
        <w:t>. Royal Belgian Institute of Natura</w:t>
      </w:r>
      <w:r>
        <w:rPr>
          <w:rFonts w:asciiTheme="minorHAnsi" w:hAnsiTheme="minorHAnsi" w:cstheme="minorHAnsi"/>
          <w:sz w:val="16"/>
          <w:szCs w:val="16"/>
        </w:rPr>
        <w:t>l Sciences, Brussels</w:t>
      </w:r>
    </w:p>
  </w:footnote>
  <w:footnote w:id="180">
    <w:p w:rsidR="0017500B" w:rsidRDefault="00390F61">
      <w:pPr>
        <w:pStyle w:val="FootnoteText"/>
        <w:widowControl w:val="0"/>
        <w:ind w:left="227" w:hanging="227"/>
        <w:outlineLvl w:val="4"/>
        <w:rPr>
          <w:rFonts w:asciiTheme="minorHAnsi" w:hAnsiTheme="minorHAnsi" w:cstheme="minorHAnsi"/>
          <w:sz w:val="16"/>
          <w:szCs w:val="16"/>
          <w:lang w:val="fr-FR"/>
        </w:rPr>
      </w:pPr>
      <w:r>
        <w:rPr>
          <w:rStyle w:val="FootnoteReference"/>
          <w:rFonts w:asciiTheme="minorHAnsi" w:hAnsiTheme="minorHAnsi" w:cstheme="minorHAnsi"/>
          <w:sz w:val="16"/>
          <w:szCs w:val="16"/>
          <w:vertAlign w:val="baseline"/>
        </w:rPr>
        <w:footnoteRef/>
      </w:r>
      <w:r>
        <w:rPr>
          <w:rFonts w:asciiTheme="minorHAnsi" w:hAnsiTheme="minorHAnsi" w:cstheme="minorHAnsi"/>
          <w:sz w:val="16"/>
          <w:szCs w:val="16"/>
          <w:lang w:val="fr-FR"/>
        </w:rPr>
        <w:t xml:space="preserve"> Service public fédéral, 2016 </w:t>
      </w:r>
      <w:hyperlink r:id="rId176" w:history="1">
        <w:r>
          <w:rPr>
            <w:rStyle w:val="Hyperlink"/>
            <w:rFonts w:asciiTheme="minorHAnsi" w:hAnsiTheme="minorHAnsi" w:cstheme="minorHAnsi"/>
            <w:sz w:val="16"/>
            <w:szCs w:val="16"/>
            <w:lang w:val="fr-FR"/>
          </w:rPr>
          <w:t>Coordination Committee for International Environmental Policy</w:t>
        </w:r>
      </w:hyperlink>
    </w:p>
  </w:footnote>
  <w:footnote w:id="181">
    <w:p w:rsidR="0017500B" w:rsidRDefault="00390F61">
      <w:pPr>
        <w:pStyle w:val="FootnoteText"/>
        <w:ind w:left="227" w:hanging="227"/>
        <w:rPr>
          <w:rFonts w:asciiTheme="minorHAnsi" w:hAnsiTheme="minorHAnsi" w:cstheme="minorHAnsi"/>
          <w:sz w:val="16"/>
          <w:szCs w:val="16"/>
          <w:lang w:val="fr-BE"/>
        </w:rPr>
      </w:pPr>
      <w:r>
        <w:rPr>
          <w:rStyle w:val="FootnoteReference"/>
          <w:rFonts w:asciiTheme="minorHAnsi" w:hAnsiTheme="minorHAnsi" w:cstheme="minorHAnsi"/>
          <w:sz w:val="16"/>
          <w:szCs w:val="16"/>
          <w:vertAlign w:val="baseline"/>
        </w:rPr>
        <w:footnoteRef/>
      </w:r>
      <w:r>
        <w:rPr>
          <w:rFonts w:asciiTheme="minorHAnsi" w:hAnsiTheme="minorHAnsi" w:cstheme="minorHAnsi"/>
          <w:sz w:val="16"/>
          <w:szCs w:val="16"/>
          <w:lang w:val="fr-BE"/>
        </w:rPr>
        <w:t xml:space="preserve"> Belgian Constitution, art. 1</w:t>
      </w:r>
      <w:r>
        <w:rPr>
          <w:rFonts w:asciiTheme="minorHAnsi" w:hAnsiTheme="minorHAnsi" w:cstheme="minorHAnsi"/>
          <w:sz w:val="16"/>
          <w:szCs w:val="16"/>
          <w:lang w:val="fr-BE"/>
        </w:rPr>
        <w:t xml:space="preserve">69; Loi spéciale relative à la Sixième Réforme de l’Etat, art. 39. </w:t>
      </w:r>
    </w:p>
  </w:footnote>
  <w:footnote w:id="182">
    <w:p w:rsidR="0017500B" w:rsidRDefault="00390F61">
      <w:pPr>
        <w:pStyle w:val="FootnoteText"/>
        <w:ind w:left="227" w:hanging="227"/>
        <w:rPr>
          <w:sz w:val="16"/>
          <w:szCs w:val="16"/>
        </w:rPr>
      </w:pPr>
      <w:r>
        <w:rPr>
          <w:rStyle w:val="FootnoteReference"/>
          <w:vertAlign w:val="baseline"/>
        </w:rPr>
        <w:footnoteRef/>
      </w:r>
      <w:r>
        <w:t xml:space="preserve"> </w:t>
      </w:r>
      <w:r>
        <w:rPr>
          <w:sz w:val="16"/>
          <w:szCs w:val="16"/>
        </w:rPr>
        <w:t xml:space="preserve">European Commission. </w:t>
      </w:r>
      <w:hyperlink r:id="rId177" w:history="1">
        <w:r>
          <w:rPr>
            <w:rStyle w:val="Hyperlink"/>
            <w:sz w:val="16"/>
            <w:szCs w:val="16"/>
          </w:rPr>
          <w:t>Belgium Country Report 2014</w:t>
        </w:r>
      </w:hyperlink>
      <w:r>
        <w:rPr>
          <w:sz w:val="16"/>
          <w:szCs w:val="16"/>
        </w:rPr>
        <w:t>, p.27</w:t>
      </w:r>
    </w:p>
  </w:footnote>
  <w:footnote w:id="183">
    <w:p w:rsidR="0017500B" w:rsidRDefault="00390F61">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szCs w:val="16"/>
          <w:vertAlign w:val="baseline"/>
        </w:rPr>
        <w:footnoteRef/>
      </w:r>
      <w:r>
        <w:rPr>
          <w:rFonts w:asciiTheme="minorHAnsi" w:hAnsiTheme="minorHAnsi" w:cstheme="minorHAnsi"/>
          <w:sz w:val="16"/>
          <w:szCs w:val="16"/>
        </w:rPr>
        <w:t xml:space="preserve"> European Commission, 2016. </w:t>
      </w:r>
      <w:hyperlink r:id="rId178" w:history="1">
        <w:r>
          <w:rPr>
            <w:rStyle w:val="Hyperlink"/>
            <w:rFonts w:asciiTheme="minorHAnsi" w:hAnsiTheme="minorHAnsi" w:cstheme="minorHAnsi"/>
            <w:sz w:val="16"/>
            <w:szCs w:val="16"/>
          </w:rPr>
          <w:t>Belgium Country Report 2016</w:t>
        </w:r>
      </w:hyperlink>
      <w:r>
        <w:rPr>
          <w:rFonts w:asciiTheme="minorHAnsi" w:hAnsiTheme="minorHAnsi" w:cstheme="minorHAnsi"/>
          <w:sz w:val="16"/>
          <w:szCs w:val="16"/>
        </w:rPr>
        <w:t>, p.31</w:t>
      </w:r>
    </w:p>
  </w:footnote>
  <w:footnote w:id="184">
    <w:p w:rsidR="0017500B" w:rsidRDefault="00390F61">
      <w:pPr>
        <w:pStyle w:val="FootnoteText"/>
        <w:ind w:left="227" w:hanging="227"/>
        <w:rPr>
          <w:rFonts w:asciiTheme="minorHAnsi" w:hAnsiTheme="minorHAnsi" w:cstheme="minorHAnsi"/>
          <w:sz w:val="16"/>
          <w:szCs w:val="16"/>
          <w:lang w:val="nl-BE"/>
        </w:rPr>
      </w:pPr>
      <w:r>
        <w:rPr>
          <w:rStyle w:val="FootnoteReference"/>
          <w:rFonts w:asciiTheme="minorHAnsi" w:hAnsiTheme="minorHAnsi" w:cstheme="minorHAnsi"/>
          <w:sz w:val="16"/>
          <w:szCs w:val="16"/>
          <w:vertAlign w:val="baseline"/>
        </w:rPr>
        <w:footnoteRef/>
      </w:r>
      <w:r>
        <w:rPr>
          <w:rFonts w:asciiTheme="minorHAnsi" w:hAnsiTheme="minorHAnsi" w:cstheme="minorHAnsi"/>
          <w:sz w:val="16"/>
          <w:szCs w:val="16"/>
          <w:lang w:val="nl-BE"/>
        </w:rPr>
        <w:t xml:space="preserve"> Wet van 15 december 2013 houdende diverse bepalingen</w:t>
      </w:r>
    </w:p>
    <w:p w:rsidR="0017500B" w:rsidRDefault="00390F61">
      <w:pPr>
        <w:pStyle w:val="FootnoteText"/>
        <w:ind w:left="227" w:hanging="227"/>
        <w:rPr>
          <w:rFonts w:asciiTheme="minorHAnsi" w:hAnsiTheme="minorHAnsi" w:cstheme="minorHAnsi"/>
          <w:sz w:val="16"/>
          <w:szCs w:val="16"/>
          <w:lang w:val="nl-BE"/>
        </w:rPr>
      </w:pPr>
      <w:r>
        <w:rPr>
          <w:rFonts w:asciiTheme="minorHAnsi" w:hAnsiTheme="minorHAnsi" w:cstheme="minorHAnsi"/>
          <w:sz w:val="16"/>
          <w:szCs w:val="16"/>
          <w:lang w:val="nl-BE"/>
        </w:rPr>
        <w:t>inzake administratieve vereen</w:t>
      </w:r>
      <w:r>
        <w:rPr>
          <w:rFonts w:asciiTheme="minorHAnsi" w:hAnsiTheme="minorHAnsi" w:cstheme="minorHAnsi"/>
          <w:sz w:val="16"/>
          <w:szCs w:val="16"/>
          <w:lang w:val="nl-BE"/>
        </w:rPr>
        <w:t>voudiging</w:t>
      </w:r>
    </w:p>
  </w:footnote>
  <w:footnote w:id="185">
    <w:p w:rsidR="0017500B" w:rsidRDefault="00390F61">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szCs w:val="16"/>
          <w:vertAlign w:val="baseline"/>
        </w:rPr>
        <w:footnoteRef/>
      </w:r>
      <w:r>
        <w:rPr>
          <w:rFonts w:asciiTheme="minorHAnsi" w:hAnsiTheme="minorHAnsi" w:cstheme="minorHAnsi"/>
          <w:sz w:val="16"/>
          <w:szCs w:val="16"/>
          <w:lang w:val="nl-NL"/>
        </w:rPr>
        <w:t xml:space="preserve"> Charron N., 2013. </w:t>
      </w:r>
      <w:hyperlink r:id="rId179" w:history="1">
        <w:r>
          <w:rPr>
            <w:rStyle w:val="Hyperlink"/>
            <w:rFonts w:asciiTheme="minorHAnsi" w:hAnsiTheme="minorHAnsi" w:cstheme="minorHAnsi"/>
            <w:sz w:val="16"/>
            <w:szCs w:val="16"/>
          </w:rPr>
          <w:t>European Quality of Government Index (EQI)</w:t>
        </w:r>
      </w:hyperlink>
      <w:r>
        <w:rPr>
          <w:rFonts w:asciiTheme="minorHAnsi" w:hAnsiTheme="minorHAnsi" w:cstheme="minorHAnsi"/>
          <w:sz w:val="16"/>
          <w:szCs w:val="16"/>
        </w:rPr>
        <w:t xml:space="preserve"> </w:t>
      </w:r>
    </w:p>
  </w:footnote>
  <w:footnote w:id="186">
    <w:p w:rsidR="0017500B" w:rsidRDefault="00390F61">
      <w:pPr>
        <w:pStyle w:val="FootnoteText"/>
        <w:ind w:left="227" w:hanging="227"/>
        <w:rPr>
          <w:rFonts w:asciiTheme="minorHAnsi" w:hAnsiTheme="minorHAnsi" w:cstheme="minorHAnsi"/>
          <w:sz w:val="16"/>
          <w:szCs w:val="16"/>
        </w:rPr>
      </w:pPr>
      <w:r>
        <w:rPr>
          <w:rStyle w:val="FootnoteReference"/>
          <w:rFonts w:asciiTheme="minorHAnsi" w:hAnsiTheme="minorHAnsi" w:cstheme="minorHAnsi"/>
          <w:sz w:val="16"/>
          <w:szCs w:val="16"/>
          <w:vertAlign w:val="baseline"/>
        </w:rPr>
        <w:footnoteRef/>
      </w:r>
      <w:r>
        <w:t xml:space="preserve"> Federal government, </w:t>
      </w:r>
      <w:hyperlink r:id="rId180" w:history="1">
        <w:r>
          <w:rPr>
            <w:rStyle w:val="Hyperlink"/>
          </w:rPr>
          <w:t>Interministerial Conference for the Environment</w:t>
        </w:r>
      </w:hyperlink>
      <w:r>
        <w:t xml:space="preserve"> </w:t>
      </w:r>
    </w:p>
  </w:footnote>
  <w:footnote w:id="187">
    <w:p w:rsidR="0017500B" w:rsidRDefault="00390F61">
      <w:pPr>
        <w:pStyle w:val="FootnoteText"/>
        <w:ind w:left="227" w:hanging="227"/>
        <w:rPr>
          <w:sz w:val="16"/>
          <w:szCs w:val="16"/>
          <w:lang w:val="fr-FR"/>
        </w:rPr>
      </w:pPr>
      <w:r>
        <w:rPr>
          <w:rStyle w:val="FootnoteReference"/>
          <w:sz w:val="16"/>
          <w:szCs w:val="16"/>
          <w:vertAlign w:val="baseline"/>
        </w:rPr>
        <w:footnoteRef/>
      </w:r>
      <w:r>
        <w:rPr>
          <w:sz w:val="16"/>
          <w:szCs w:val="16"/>
          <w:lang w:val="fr-FR"/>
        </w:rPr>
        <w:t xml:space="preserve"> </w:t>
      </w:r>
      <w:r>
        <w:rPr>
          <w:rFonts w:asciiTheme="minorHAnsi" w:hAnsiTheme="minorHAnsi" w:cstheme="minorHAnsi"/>
          <w:sz w:val="16"/>
          <w:szCs w:val="16"/>
          <w:lang w:val="fr-BE"/>
        </w:rPr>
        <w:t>Loi du 5 mai 1997 relative à la coordination de la politique fédérale de développement durable</w:t>
      </w:r>
    </w:p>
  </w:footnote>
  <w:footnote w:id="188">
    <w:p w:rsidR="0017500B" w:rsidRDefault="00390F61">
      <w:pPr>
        <w:pStyle w:val="FootnoteText"/>
        <w:ind w:left="227" w:hanging="227"/>
        <w:rPr>
          <w:sz w:val="16"/>
          <w:szCs w:val="16"/>
          <w:lang w:val="fr-FR"/>
        </w:rPr>
      </w:pPr>
      <w:r>
        <w:rPr>
          <w:rStyle w:val="FootnoteReference"/>
          <w:sz w:val="16"/>
          <w:szCs w:val="16"/>
          <w:vertAlign w:val="baseline"/>
        </w:rPr>
        <w:footnoteRef/>
      </w:r>
      <w:r>
        <w:rPr>
          <w:sz w:val="16"/>
          <w:szCs w:val="16"/>
          <w:lang w:val="fr-FR"/>
        </w:rPr>
        <w:t xml:space="preserve"> </w:t>
      </w:r>
      <w:r>
        <w:rPr>
          <w:rFonts w:asciiTheme="minorHAnsi" w:hAnsiTheme="minorHAnsi" w:cstheme="minorHAnsi"/>
          <w:sz w:val="16"/>
          <w:szCs w:val="16"/>
          <w:lang w:val="fr-BE"/>
        </w:rPr>
        <w:t xml:space="preserve">Arrêté royal du 18 juillet 2013 portant fixation de la vision stratégique </w:t>
      </w:r>
      <w:r>
        <w:rPr>
          <w:rFonts w:asciiTheme="minorHAnsi" w:hAnsiTheme="minorHAnsi" w:cstheme="minorHAnsi"/>
          <w:sz w:val="16"/>
          <w:szCs w:val="16"/>
          <w:lang w:val="fr-BE"/>
        </w:rPr>
        <w:t>fédérale à long terme de développement durable</w:t>
      </w:r>
    </w:p>
  </w:footnote>
  <w:footnote w:id="189">
    <w:p w:rsidR="0017500B" w:rsidRDefault="00390F61">
      <w:pPr>
        <w:pStyle w:val="FootnoteText"/>
        <w:ind w:left="227" w:hanging="227"/>
        <w:rPr>
          <w:sz w:val="16"/>
          <w:szCs w:val="16"/>
          <w:lang w:val="fr-FR"/>
        </w:rPr>
      </w:pPr>
      <w:r>
        <w:rPr>
          <w:rStyle w:val="FootnoteReference"/>
          <w:sz w:val="16"/>
          <w:szCs w:val="16"/>
          <w:vertAlign w:val="baseline"/>
        </w:rPr>
        <w:footnoteRef/>
      </w:r>
      <w:r>
        <w:rPr>
          <w:sz w:val="16"/>
          <w:szCs w:val="16"/>
          <w:lang w:val="fr-FR"/>
        </w:rPr>
        <w:t xml:space="preserve"> </w:t>
      </w:r>
      <w:r>
        <w:rPr>
          <w:rFonts w:asciiTheme="minorHAnsi" w:hAnsiTheme="minorHAnsi" w:cstheme="minorHAnsi"/>
          <w:sz w:val="16"/>
          <w:szCs w:val="16"/>
          <w:lang w:val="fr-FR"/>
        </w:rPr>
        <w:t xml:space="preserve">FBP, 2016. </w:t>
      </w:r>
      <w:hyperlink r:id="rId181" w:history="1">
        <w:r>
          <w:rPr>
            <w:rStyle w:val="Hyperlink"/>
            <w:rFonts w:asciiTheme="minorHAnsi" w:hAnsiTheme="minorHAnsi" w:cstheme="minorHAnsi"/>
            <w:sz w:val="16"/>
            <w:szCs w:val="16"/>
            <w:lang w:val="fr-FR"/>
          </w:rPr>
          <w:t>Progrès vers les objectifs de developpement durable de l'ONU</w:t>
        </w:r>
      </w:hyperlink>
    </w:p>
  </w:footnote>
  <w:footnote w:id="190">
    <w:p w:rsidR="0017500B" w:rsidRDefault="00390F61">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szCs w:val="16"/>
          <w:vertAlign w:val="baseline"/>
        </w:rPr>
        <w:footnoteRef/>
      </w:r>
      <w:r>
        <w:rPr>
          <w:rFonts w:asciiTheme="minorHAnsi" w:hAnsiTheme="minorHAnsi" w:cstheme="minorHAnsi"/>
          <w:sz w:val="16"/>
          <w:szCs w:val="16"/>
        </w:rPr>
        <w:t xml:space="preserve"> The transposition of Directive 2014/52/EU is du</w:t>
      </w:r>
      <w:r>
        <w:rPr>
          <w:rFonts w:asciiTheme="minorHAnsi" w:hAnsiTheme="minorHAnsi" w:cstheme="minorHAnsi"/>
          <w:sz w:val="16"/>
          <w:szCs w:val="16"/>
        </w:rPr>
        <w:t>e in May 2017</w:t>
      </w:r>
    </w:p>
  </w:footnote>
  <w:footnote w:id="191">
    <w:p w:rsidR="0017500B" w:rsidRDefault="00390F61">
      <w:pPr>
        <w:pStyle w:val="FootnoteText"/>
        <w:ind w:left="227" w:hanging="227"/>
        <w:rPr>
          <w:sz w:val="16"/>
          <w:szCs w:val="16"/>
        </w:rPr>
      </w:pPr>
      <w:r>
        <w:rPr>
          <w:rStyle w:val="FootnoteReference"/>
          <w:sz w:val="16"/>
          <w:szCs w:val="16"/>
          <w:vertAlign w:val="baseline"/>
        </w:rPr>
        <w:footnoteRef/>
      </w:r>
      <w:r>
        <w:rPr>
          <w:sz w:val="16"/>
          <w:szCs w:val="16"/>
        </w:rPr>
        <w:t xml:space="preserve"> European Commission, 2016. Commission notice — </w:t>
      </w:r>
      <w:hyperlink r:id="rId182" w:history="1">
        <w:r>
          <w:rPr>
            <w:rStyle w:val="Hyperlink"/>
            <w:rFonts w:asciiTheme="minorHAnsi" w:hAnsiTheme="minorHAnsi"/>
            <w:sz w:val="16"/>
            <w:szCs w:val="16"/>
          </w:rPr>
          <w:t xml:space="preserve">Commission guidance document on streamlining environmental assessments conducted under Article 2(3) of the </w:t>
        </w:r>
        <w:r>
          <w:rPr>
            <w:rStyle w:val="Hyperlink"/>
            <w:rFonts w:asciiTheme="minorHAnsi" w:hAnsiTheme="minorHAnsi"/>
            <w:sz w:val="16"/>
            <w:szCs w:val="16"/>
          </w:rPr>
          <w:t>Environmental Impact Assessment Directive</w:t>
        </w:r>
      </w:hyperlink>
      <w:r>
        <w:rPr>
          <w:rStyle w:val="Hyperlink"/>
          <w:rFonts w:asciiTheme="minorHAnsi" w:hAnsiTheme="minorHAnsi"/>
        </w:rPr>
        <w:t xml:space="preserve"> (D</w:t>
      </w:r>
      <w:r>
        <w:rPr>
          <w:sz w:val="16"/>
          <w:szCs w:val="16"/>
        </w:rPr>
        <w:t>irective 2011/92/EU of the European Parliament and of the Council, as amended by Directive 2014/52/EU).</w:t>
      </w:r>
    </w:p>
  </w:footnote>
  <w:footnote w:id="192">
    <w:p w:rsidR="0017500B" w:rsidRDefault="00390F61">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szCs w:val="16"/>
          <w:vertAlign w:val="baseline"/>
        </w:rPr>
        <w:footnoteRef/>
      </w:r>
      <w:r>
        <w:rPr>
          <w:rFonts w:asciiTheme="minorHAnsi" w:hAnsiTheme="minorHAnsi" w:cstheme="minorHAnsi"/>
          <w:sz w:val="16"/>
          <w:szCs w:val="16"/>
        </w:rPr>
        <w:t xml:space="preserve"> European Union, </w:t>
      </w:r>
      <w:hyperlink r:id="rId183" w:history="1">
        <w:r>
          <w:rPr>
            <w:rStyle w:val="Hyperlink"/>
            <w:rFonts w:asciiTheme="minorHAnsi" w:hAnsiTheme="minorHAnsi" w:cstheme="minorHAnsi"/>
            <w:sz w:val="16"/>
            <w:szCs w:val="16"/>
          </w:rPr>
          <w:t>Environmental Crime Directive 2008/99/EC</w:t>
        </w:r>
      </w:hyperlink>
    </w:p>
  </w:footnote>
  <w:footnote w:id="193">
    <w:p w:rsidR="0017500B" w:rsidRDefault="00390F61">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szCs w:val="16"/>
          <w:vertAlign w:val="baseline"/>
        </w:rPr>
        <w:footnoteRef/>
      </w:r>
      <w:r>
        <w:rPr>
          <w:rFonts w:asciiTheme="minorHAnsi" w:hAnsiTheme="minorHAnsi" w:cstheme="minorHAnsi"/>
          <w:sz w:val="16"/>
          <w:szCs w:val="16"/>
        </w:rPr>
        <w:t xml:space="preserve"> </w:t>
      </w:r>
      <w:hyperlink r:id="rId184" w:history="1">
        <w:r>
          <w:rPr>
            <w:rStyle w:val="Hyperlink"/>
            <w:rFonts w:asciiTheme="minorHAnsi" w:hAnsiTheme="minorHAnsi" w:cstheme="minorHAnsi"/>
            <w:sz w:val="16"/>
            <w:szCs w:val="16"/>
          </w:rPr>
          <w:t>European Union Network for the Implementation and Enforcement of Environmental Law</w:t>
        </w:r>
      </w:hyperlink>
    </w:p>
  </w:footnote>
  <w:footnote w:id="194">
    <w:p w:rsidR="0017500B" w:rsidRDefault="00390F61">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szCs w:val="16"/>
          <w:vertAlign w:val="baseline"/>
        </w:rPr>
        <w:footnoteRef/>
      </w:r>
      <w:r>
        <w:rPr>
          <w:rFonts w:asciiTheme="minorHAnsi" w:hAnsiTheme="minorHAnsi" w:cstheme="minorHAnsi"/>
          <w:sz w:val="16"/>
          <w:szCs w:val="16"/>
        </w:rPr>
        <w:t xml:space="preserve"> </w:t>
      </w:r>
      <w:hyperlink r:id="rId185" w:history="1">
        <w:r>
          <w:rPr>
            <w:rStyle w:val="Hyperlink"/>
            <w:rFonts w:asciiTheme="minorHAnsi" w:hAnsiTheme="minorHAnsi" w:cstheme="minorHAnsi"/>
            <w:sz w:val="16"/>
            <w:szCs w:val="16"/>
          </w:rPr>
          <w:t>European Union Forum of judges for the environment</w:t>
        </w:r>
      </w:hyperlink>
      <w:r>
        <w:rPr>
          <w:rFonts w:asciiTheme="minorHAnsi" w:hAnsiTheme="minorHAnsi" w:cstheme="minorHAnsi"/>
          <w:sz w:val="16"/>
          <w:szCs w:val="16"/>
        </w:rPr>
        <w:t xml:space="preserve"> </w:t>
      </w:r>
    </w:p>
  </w:footnote>
  <w:footnote w:id="195">
    <w:p w:rsidR="0017500B" w:rsidRDefault="00390F61">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szCs w:val="16"/>
          <w:vertAlign w:val="baseline"/>
        </w:rPr>
        <w:footnoteRef/>
      </w:r>
      <w:r>
        <w:rPr>
          <w:rFonts w:asciiTheme="minorHAnsi" w:hAnsiTheme="minorHAnsi" w:cstheme="minorHAnsi"/>
          <w:sz w:val="16"/>
          <w:szCs w:val="16"/>
        </w:rPr>
        <w:t xml:space="preserve"> </w:t>
      </w:r>
      <w:hyperlink r:id="rId186" w:history="1">
        <w:r>
          <w:rPr>
            <w:rStyle w:val="Hyperlink"/>
            <w:rFonts w:asciiTheme="minorHAnsi" w:hAnsiTheme="minorHAnsi" w:cstheme="minorHAnsi"/>
            <w:sz w:val="16"/>
            <w:szCs w:val="16"/>
          </w:rPr>
          <w:t>The European Network of Prosecutors for the Environment</w:t>
        </w:r>
      </w:hyperlink>
      <w:r>
        <w:rPr>
          <w:rFonts w:asciiTheme="minorHAnsi" w:hAnsiTheme="minorHAnsi" w:cstheme="minorHAnsi"/>
          <w:sz w:val="16"/>
          <w:szCs w:val="16"/>
        </w:rPr>
        <w:t xml:space="preserve"> </w:t>
      </w:r>
    </w:p>
  </w:footnote>
  <w:footnote w:id="196">
    <w:p w:rsidR="0017500B" w:rsidRDefault="00390F61">
      <w:pPr>
        <w:pStyle w:val="FootnoteText"/>
        <w:widowControl w:val="0"/>
        <w:ind w:left="227" w:hanging="227"/>
        <w:outlineLvl w:val="4"/>
        <w:rPr>
          <w:rFonts w:asciiTheme="minorHAnsi" w:hAnsiTheme="minorHAnsi" w:cstheme="minorHAnsi"/>
          <w:sz w:val="16"/>
          <w:szCs w:val="16"/>
          <w:lang w:val="fr-BE"/>
        </w:rPr>
      </w:pPr>
      <w:r>
        <w:rPr>
          <w:rStyle w:val="FootnoteReference"/>
          <w:rFonts w:asciiTheme="minorHAnsi" w:hAnsiTheme="minorHAnsi" w:cstheme="minorHAnsi"/>
          <w:sz w:val="16"/>
          <w:szCs w:val="16"/>
          <w:vertAlign w:val="baseline"/>
        </w:rPr>
        <w:footnoteRef/>
      </w:r>
      <w:r>
        <w:rPr>
          <w:rFonts w:asciiTheme="minorHAnsi" w:hAnsiTheme="minorHAnsi" w:cstheme="minorHAnsi"/>
          <w:sz w:val="16"/>
          <w:szCs w:val="16"/>
          <w:lang w:val="fr-BE"/>
        </w:rPr>
        <w:t xml:space="preserve"> </w:t>
      </w:r>
      <w:hyperlink r:id="rId187" w:history="1">
        <w:r>
          <w:rPr>
            <w:rStyle w:val="Hyperlink"/>
            <w:rFonts w:asciiTheme="minorHAnsi" w:hAnsiTheme="minorHAnsi" w:cstheme="minorHAnsi"/>
            <w:sz w:val="16"/>
            <w:szCs w:val="16"/>
            <w:lang w:val="fr-BE"/>
          </w:rPr>
          <w:t>EnviCrimeNet</w:t>
        </w:r>
      </w:hyperlink>
      <w:r>
        <w:rPr>
          <w:rFonts w:asciiTheme="minorHAnsi" w:hAnsiTheme="minorHAnsi" w:cstheme="minorHAnsi"/>
          <w:sz w:val="16"/>
          <w:szCs w:val="16"/>
          <w:lang w:val="fr-BE"/>
        </w:rPr>
        <w:t xml:space="preserve"> </w:t>
      </w:r>
    </w:p>
  </w:footnote>
  <w:footnote w:id="197">
    <w:p w:rsidR="0017500B" w:rsidRDefault="00390F61">
      <w:pPr>
        <w:pStyle w:val="FootnoteText"/>
        <w:widowControl w:val="0"/>
        <w:ind w:left="227" w:hanging="227"/>
        <w:outlineLvl w:val="4"/>
        <w:rPr>
          <w:rFonts w:asciiTheme="minorHAnsi" w:hAnsiTheme="minorHAnsi" w:cstheme="minorHAnsi"/>
          <w:sz w:val="16"/>
          <w:szCs w:val="16"/>
          <w:lang w:val="fr-BE"/>
        </w:rPr>
      </w:pPr>
      <w:r>
        <w:rPr>
          <w:rStyle w:val="FootnoteReference"/>
          <w:rFonts w:asciiTheme="minorHAnsi" w:hAnsiTheme="minorHAnsi" w:cstheme="minorHAnsi"/>
          <w:sz w:val="16"/>
          <w:szCs w:val="16"/>
          <w:vertAlign w:val="baseline"/>
        </w:rPr>
        <w:footnoteRef/>
      </w:r>
      <w:r>
        <w:rPr>
          <w:rFonts w:asciiTheme="minorHAnsi" w:hAnsiTheme="minorHAnsi" w:cstheme="minorHAnsi"/>
          <w:sz w:val="16"/>
          <w:szCs w:val="16"/>
          <w:lang w:val="fr-BE"/>
        </w:rPr>
        <w:t xml:space="preserve"> </w:t>
      </w:r>
      <w:r>
        <w:rPr>
          <w:rFonts w:asciiTheme="minorHAnsi" w:hAnsiTheme="minorHAnsi"/>
          <w:sz w:val="16"/>
          <w:szCs w:val="16"/>
          <w:lang w:val="fr-BE"/>
        </w:rPr>
        <w:t>European Union</w:t>
      </w:r>
      <w:r>
        <w:rPr>
          <w:rFonts w:asciiTheme="minorHAnsi" w:hAnsiTheme="minorHAnsi" w:cstheme="minorHAnsi"/>
          <w:sz w:val="16"/>
          <w:szCs w:val="16"/>
          <w:lang w:val="fr-BE"/>
        </w:rPr>
        <w:t xml:space="preserve">, </w:t>
      </w:r>
      <w:hyperlink r:id="rId188" w:history="1">
        <w:r>
          <w:rPr>
            <w:rStyle w:val="Hyperlink"/>
            <w:rFonts w:asciiTheme="minorHAnsi" w:hAnsiTheme="minorHAnsi" w:cstheme="minorHAnsi"/>
            <w:sz w:val="16"/>
            <w:szCs w:val="16"/>
            <w:lang w:val="fr-BE"/>
          </w:rPr>
          <w:t>Environmental Liability Directive 2004/35/CE</w:t>
        </w:r>
      </w:hyperlink>
    </w:p>
  </w:footnote>
  <w:footnote w:id="198">
    <w:p w:rsidR="0017500B" w:rsidRDefault="00390F61">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szCs w:val="16"/>
          <w:vertAlign w:val="baseline"/>
        </w:rPr>
        <w:footnoteRef/>
      </w:r>
      <w:r>
        <w:rPr>
          <w:rFonts w:asciiTheme="minorHAnsi" w:hAnsiTheme="minorHAnsi" w:cstheme="minorHAnsi"/>
          <w:sz w:val="16"/>
          <w:szCs w:val="16"/>
        </w:rPr>
        <w:t xml:space="preserve"> </w:t>
      </w:r>
      <w:hyperlink r:id="rId189" w:history="1">
        <w:r>
          <w:rPr>
            <w:rStyle w:val="Hyperlink"/>
            <w:rFonts w:asciiTheme="minorHAnsi" w:hAnsiTheme="minorHAnsi" w:cstheme="minorHAnsi"/>
            <w:sz w:val="16"/>
            <w:szCs w:val="16"/>
          </w:rPr>
          <w:t>COM(2016)</w:t>
        </w:r>
        <w:r>
          <w:rPr>
            <w:rStyle w:val="Hyperlink"/>
            <w:rFonts w:asciiTheme="minorHAnsi" w:hAnsiTheme="minorHAnsi" w:cstheme="minorHAnsi"/>
            <w:sz w:val="16"/>
            <w:szCs w:val="16"/>
          </w:rPr>
          <w:t>204 final</w:t>
        </w:r>
      </w:hyperlink>
      <w:r>
        <w:rPr>
          <w:rFonts w:asciiTheme="minorHAnsi" w:hAnsiTheme="minorHAnsi" w:cstheme="minorHAnsi"/>
          <w:sz w:val="16"/>
          <w:szCs w:val="16"/>
        </w:rPr>
        <w:t xml:space="preserve"> and </w:t>
      </w:r>
      <w:hyperlink r:id="rId190" w:history="1">
        <w:r>
          <w:rPr>
            <w:rStyle w:val="Hyperlink"/>
            <w:rFonts w:asciiTheme="minorHAnsi" w:hAnsiTheme="minorHAnsi" w:cstheme="minorHAnsi"/>
            <w:sz w:val="16"/>
            <w:szCs w:val="16"/>
          </w:rPr>
          <w:t>COM(2016)121 final</w:t>
        </w:r>
      </w:hyperlink>
      <w:r>
        <w:rPr>
          <w:rFonts w:asciiTheme="minorHAnsi" w:hAnsiTheme="minorHAnsi" w:cstheme="minorHAnsi"/>
          <w:sz w:val="16"/>
          <w:szCs w:val="16"/>
        </w:rPr>
        <w:t xml:space="preserve"> of 14.4.2016. This highlighted the need for better evidence on how the directive is used in practice; for tools to support its implement</w:t>
      </w:r>
      <w:r>
        <w:rPr>
          <w:rFonts w:asciiTheme="minorHAnsi" w:hAnsiTheme="minorHAnsi" w:cstheme="minorHAnsi"/>
          <w:sz w:val="16"/>
          <w:szCs w:val="16"/>
        </w:rPr>
        <w:t>ation, such as guidance, training and ELD registers; and for financial security to be available in case events or incidents generate remediation costs.</w:t>
      </w:r>
    </w:p>
  </w:footnote>
  <w:footnote w:id="199">
    <w:p w:rsidR="0017500B" w:rsidRDefault="00390F61">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szCs w:val="16"/>
          <w:vertAlign w:val="baseline"/>
        </w:rPr>
        <w:footnoteRef/>
      </w:r>
      <w:r>
        <w:rPr>
          <w:rFonts w:asciiTheme="minorHAnsi" w:hAnsiTheme="minorHAnsi" w:cstheme="minorHAnsi"/>
          <w:sz w:val="16"/>
          <w:szCs w:val="16"/>
        </w:rPr>
        <w:t xml:space="preserve"> The reports and the priority notes are available at the </w:t>
      </w:r>
      <w:hyperlink r:id="rId191" w:history="1">
        <w:r>
          <w:rPr>
            <w:rStyle w:val="Hyperlink"/>
            <w:rFonts w:asciiTheme="minorHAnsi" w:hAnsiTheme="minorHAnsi" w:cstheme="minorHAnsi"/>
            <w:sz w:val="16"/>
            <w:szCs w:val="16"/>
          </w:rPr>
          <w:t xml:space="preserve">VHRM </w:t>
        </w:r>
        <w:r>
          <w:rPr>
            <w:rStyle w:val="Hyperlink"/>
            <w:rFonts w:asciiTheme="minorHAnsi" w:hAnsiTheme="minorHAnsi" w:cstheme="minorHAnsi"/>
            <w:sz w:val="16"/>
            <w:szCs w:val="16"/>
          </w:rPr>
          <w:t>website</w:t>
        </w:r>
      </w:hyperlink>
      <w:r>
        <w:rPr>
          <w:rFonts w:asciiTheme="minorHAnsi" w:hAnsiTheme="minorHAnsi" w:cstheme="minorHAnsi"/>
          <w:sz w:val="16"/>
          <w:szCs w:val="16"/>
        </w:rPr>
        <w:t xml:space="preserve"> and translated into English. </w:t>
      </w:r>
    </w:p>
  </w:footnote>
  <w:footnote w:id="200">
    <w:p w:rsidR="0017500B" w:rsidRDefault="00390F61">
      <w:pPr>
        <w:spacing w:after="0" w:line="240" w:lineRule="auto"/>
        <w:ind w:left="227" w:hanging="227"/>
        <w:rPr>
          <w:rFonts w:cstheme="minorHAnsi"/>
          <w:sz w:val="16"/>
          <w:szCs w:val="16"/>
        </w:rPr>
      </w:pPr>
      <w:r>
        <w:rPr>
          <w:rStyle w:val="FootnoteReference"/>
          <w:rFonts w:cstheme="minorHAnsi"/>
          <w:sz w:val="16"/>
          <w:szCs w:val="16"/>
          <w:vertAlign w:val="baseline"/>
        </w:rPr>
        <w:footnoteRef/>
      </w:r>
      <w:r>
        <w:rPr>
          <w:rFonts w:cstheme="minorHAnsi"/>
          <w:sz w:val="16"/>
          <w:szCs w:val="16"/>
        </w:rPr>
        <w:t xml:space="preserve"> </w:t>
      </w:r>
      <w:hyperlink r:id="rId192" w:history="1">
        <w:r>
          <w:rPr>
            <w:rStyle w:val="Hyperlink"/>
            <w:rFonts w:cstheme="minorHAnsi"/>
            <w:sz w:val="16"/>
            <w:szCs w:val="16"/>
          </w:rPr>
          <w:t>Article 5 &amp; 6 of the Brussels ordinance</w:t>
        </w:r>
      </w:hyperlink>
      <w:r>
        <w:rPr>
          <w:rFonts w:cstheme="minorHAnsi"/>
          <w:sz w:val="16"/>
          <w:szCs w:val="16"/>
        </w:rPr>
        <w:t xml:space="preserve"> </w:t>
      </w:r>
    </w:p>
  </w:footnote>
  <w:footnote w:id="201">
    <w:p w:rsidR="0017500B" w:rsidRDefault="00390F61">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szCs w:val="16"/>
          <w:vertAlign w:val="baseline"/>
        </w:rPr>
        <w:footnoteRef/>
      </w:r>
      <w:r>
        <w:rPr>
          <w:rFonts w:asciiTheme="minorHAnsi" w:hAnsiTheme="minorHAnsi" w:cstheme="minorHAnsi"/>
          <w:sz w:val="16"/>
          <w:szCs w:val="16"/>
        </w:rPr>
        <w:t xml:space="preserve"> See for details VHRM </w:t>
      </w:r>
      <w:hyperlink r:id="rId193" w:history="1">
        <w:r>
          <w:rPr>
            <w:rStyle w:val="Hyperlink"/>
            <w:rFonts w:asciiTheme="minorHAnsi" w:hAnsiTheme="minorHAnsi" w:cstheme="minorHAnsi"/>
            <w:sz w:val="16"/>
            <w:szCs w:val="16"/>
          </w:rPr>
          <w:t>Priority Note on prosecution policy for environmental law 2012</w:t>
        </w:r>
      </w:hyperlink>
      <w:r>
        <w:rPr>
          <w:rFonts w:asciiTheme="minorHAnsi" w:hAnsiTheme="minorHAnsi" w:cstheme="minorHAnsi"/>
          <w:sz w:val="16"/>
          <w:szCs w:val="16"/>
        </w:rPr>
        <w:t xml:space="preserve">; Faure M., and Stas A., </w:t>
      </w:r>
      <w:r>
        <w:rPr>
          <w:rFonts w:asciiTheme="minorHAnsi" w:hAnsiTheme="minorHAnsi" w:cstheme="minorHAnsi"/>
          <w:i/>
          <w:sz w:val="16"/>
          <w:szCs w:val="16"/>
        </w:rPr>
        <w:t>'The Flemish High Council of Environmental Enforcement: the role of a</w:t>
      </w:r>
      <w:r>
        <w:rPr>
          <w:rFonts w:asciiTheme="minorHAnsi" w:hAnsiTheme="minorHAnsi" w:cstheme="minorHAnsi"/>
          <w:i/>
          <w:sz w:val="16"/>
          <w:szCs w:val="16"/>
        </w:rPr>
        <w:t>n environmental enforcement network in a new coordinated environmental enforcement landscape within the Flemish region, 2009-2014</w:t>
      </w:r>
      <w:r>
        <w:rPr>
          <w:rFonts w:asciiTheme="minorHAnsi" w:hAnsiTheme="minorHAnsi" w:cstheme="minorHAnsi"/>
          <w:sz w:val="16"/>
          <w:szCs w:val="16"/>
        </w:rPr>
        <w:t xml:space="preserve">', in Faure M., De Smedt P., &amp; Stas A. (eds.), 2015. Environmental Enforcement Networks', EE Elgar 2015, p.490 </w:t>
      </w:r>
    </w:p>
  </w:footnote>
  <w:footnote w:id="202">
    <w:p w:rsidR="0017500B" w:rsidRDefault="00390F61">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szCs w:val="16"/>
          <w:vertAlign w:val="baseline"/>
        </w:rPr>
        <w:footnoteRef/>
      </w:r>
      <w:r>
        <w:rPr>
          <w:rFonts w:asciiTheme="minorHAnsi" w:hAnsiTheme="minorHAnsi" w:cstheme="minorHAnsi"/>
          <w:sz w:val="16"/>
          <w:szCs w:val="16"/>
        </w:rPr>
        <w:t xml:space="preserve"> Geysels F., </w:t>
      </w:r>
      <w:r>
        <w:rPr>
          <w:rFonts w:asciiTheme="minorHAnsi" w:hAnsiTheme="minorHAnsi" w:cstheme="minorHAnsi"/>
          <w:i/>
          <w:sz w:val="16"/>
          <w:szCs w:val="16"/>
        </w:rPr>
        <w:t>'</w:t>
      </w:r>
      <w:r>
        <w:rPr>
          <w:rFonts w:asciiTheme="minorHAnsi" w:hAnsiTheme="minorHAnsi" w:cstheme="minorHAnsi"/>
          <w:i/>
          <w:sz w:val="16"/>
          <w:szCs w:val="16"/>
        </w:rPr>
        <w:t>Enforcement of environmental legislation by the Belgian police', Environmental Enforcement Networks</w:t>
      </w:r>
      <w:r>
        <w:rPr>
          <w:rFonts w:asciiTheme="minorHAnsi" w:hAnsiTheme="minorHAnsi" w:cstheme="minorHAnsi"/>
          <w:sz w:val="16"/>
          <w:szCs w:val="16"/>
        </w:rPr>
        <w:t xml:space="preserve">, in Faure M., De Smedt P., &amp; Stas A. (eds.), 2015. Environmental Enforcement Networks', EE Elgar 2015, p. 482f. </w:t>
      </w:r>
    </w:p>
  </w:footnote>
  <w:footnote w:id="203">
    <w:p w:rsidR="0017500B" w:rsidRDefault="00390F61">
      <w:pPr>
        <w:pStyle w:val="FootnoteText"/>
        <w:ind w:left="227" w:hanging="227"/>
        <w:rPr>
          <w:rFonts w:asciiTheme="minorHAnsi" w:hAnsiTheme="minorHAnsi" w:cstheme="minorHAnsi"/>
          <w:sz w:val="16"/>
          <w:szCs w:val="16"/>
        </w:rPr>
      </w:pPr>
      <w:r>
        <w:rPr>
          <w:rStyle w:val="FootnoteReference"/>
          <w:rFonts w:asciiTheme="minorHAnsi" w:hAnsiTheme="minorHAnsi" w:cstheme="minorHAnsi"/>
          <w:sz w:val="16"/>
          <w:szCs w:val="16"/>
          <w:vertAlign w:val="baseline"/>
        </w:rPr>
        <w:footnoteRef/>
      </w:r>
      <w:r>
        <w:rPr>
          <w:rFonts w:asciiTheme="minorHAnsi" w:hAnsiTheme="minorHAnsi" w:cstheme="minorHAnsi"/>
          <w:sz w:val="16"/>
          <w:szCs w:val="16"/>
        </w:rPr>
        <w:t xml:space="preserve"> Belgian Police, </w:t>
      </w:r>
      <w:hyperlink r:id="rId194" w:history="1">
        <w:r>
          <w:rPr>
            <w:rStyle w:val="Hyperlink"/>
            <w:rFonts w:asciiTheme="minorHAnsi" w:hAnsiTheme="minorHAnsi" w:cstheme="minorHAnsi"/>
            <w:sz w:val="16"/>
            <w:szCs w:val="16"/>
          </w:rPr>
          <w:t>National Security Plan Synthesis (en)</w:t>
        </w:r>
      </w:hyperlink>
    </w:p>
  </w:footnote>
  <w:footnote w:id="204">
    <w:p w:rsidR="0017500B" w:rsidRDefault="00390F61">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szCs w:val="16"/>
          <w:vertAlign w:val="baseline"/>
        </w:rPr>
        <w:footnoteRef/>
      </w:r>
      <w:r>
        <w:rPr>
          <w:rFonts w:asciiTheme="minorHAnsi" w:hAnsiTheme="minorHAnsi" w:cstheme="minorHAnsi"/>
          <w:sz w:val="16"/>
          <w:szCs w:val="16"/>
        </w:rPr>
        <w:t xml:space="preserve"> The Belgian Court of Auditors observed that the Walloon administration had not used to the full extent its power to change farmers’ behaviour in relation to nitr</w:t>
      </w:r>
      <w:r>
        <w:rPr>
          <w:rFonts w:asciiTheme="minorHAnsi" w:hAnsiTheme="minorHAnsi" w:cstheme="minorHAnsi"/>
          <w:sz w:val="16"/>
          <w:szCs w:val="16"/>
        </w:rPr>
        <w:t>ogen management and pointed out some effectiveness issues of the environmental compliance system, including the lack of proper follow-up to detected non-compliance. Source: EUROSAI WGEA.</w:t>
      </w:r>
    </w:p>
  </w:footnote>
  <w:footnote w:id="205">
    <w:p w:rsidR="0017500B" w:rsidRDefault="00390F61">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szCs w:val="16"/>
          <w:vertAlign w:val="baseline"/>
        </w:rPr>
        <w:footnoteRef/>
      </w:r>
      <w:r>
        <w:rPr>
          <w:rFonts w:asciiTheme="minorHAnsi" w:hAnsiTheme="minorHAnsi" w:cstheme="minorHAnsi"/>
          <w:sz w:val="16"/>
          <w:szCs w:val="16"/>
        </w:rPr>
        <w:t xml:space="preserve"> European Commission, </w:t>
      </w:r>
      <w:hyperlink r:id="rId195" w:history="1">
        <w:r>
          <w:rPr>
            <w:rStyle w:val="Hyperlink"/>
            <w:rFonts w:asciiTheme="minorHAnsi" w:hAnsiTheme="minorHAnsi" w:cstheme="minorHAnsi"/>
            <w:sz w:val="16"/>
            <w:szCs w:val="16"/>
          </w:rPr>
          <w:t>2012/2013 access to justice in environmental matters 2012/2013</w:t>
        </w:r>
      </w:hyperlink>
    </w:p>
  </w:footnote>
  <w:footnote w:id="206">
    <w:p w:rsidR="0017500B" w:rsidRDefault="00390F61">
      <w:pPr>
        <w:pStyle w:val="FootnoteText"/>
        <w:ind w:left="227" w:hanging="227"/>
        <w:rPr>
          <w:rFonts w:asciiTheme="minorHAnsi" w:hAnsiTheme="minorHAnsi" w:cstheme="minorHAnsi"/>
          <w:sz w:val="16"/>
          <w:szCs w:val="16"/>
        </w:rPr>
      </w:pPr>
      <w:r>
        <w:rPr>
          <w:rStyle w:val="FootnoteReference"/>
          <w:rFonts w:asciiTheme="minorHAnsi" w:hAnsiTheme="minorHAnsi" w:cstheme="minorHAnsi"/>
          <w:sz w:val="16"/>
          <w:szCs w:val="16"/>
          <w:vertAlign w:val="baseline"/>
        </w:rPr>
        <w:footnoteRef/>
      </w:r>
      <w:r>
        <w:rPr>
          <w:rFonts w:asciiTheme="minorHAnsi" w:hAnsiTheme="minorHAnsi" w:cstheme="minorHAnsi"/>
          <w:sz w:val="16"/>
          <w:szCs w:val="16"/>
        </w:rPr>
        <w:t xml:space="preserve"> </w:t>
      </w:r>
      <w:hyperlink r:id="rId196" w:history="1">
        <w:r>
          <w:rPr>
            <w:rStyle w:val="Hyperlink"/>
            <w:rFonts w:asciiTheme="minorHAnsi" w:hAnsiTheme="minorHAnsi" w:cstheme="minorHAnsi"/>
            <w:sz w:val="16"/>
            <w:szCs w:val="16"/>
          </w:rPr>
          <w:t>MIRA</w:t>
        </w:r>
      </w:hyperlink>
      <w:r>
        <w:rPr>
          <w:rFonts w:asciiTheme="minorHAnsi" w:hAnsiTheme="minorHAnsi" w:cstheme="minorHAnsi"/>
          <w:sz w:val="16"/>
          <w:szCs w:val="16"/>
        </w:rPr>
        <w:t xml:space="preserve">, </w:t>
      </w:r>
      <w:hyperlink r:id="rId197" w:history="1">
        <w:r>
          <w:rPr>
            <w:rStyle w:val="Hyperlink"/>
            <w:rFonts w:asciiTheme="minorHAnsi" w:hAnsiTheme="minorHAnsi" w:cstheme="minorHAnsi"/>
            <w:sz w:val="16"/>
            <w:szCs w:val="16"/>
          </w:rPr>
          <w:t>RFE</w:t>
        </w:r>
      </w:hyperlink>
      <w:r>
        <w:rPr>
          <w:rFonts w:asciiTheme="minorHAnsi" w:hAnsiTheme="minorHAnsi" w:cstheme="minorHAnsi"/>
          <w:sz w:val="16"/>
          <w:szCs w:val="16"/>
        </w:rPr>
        <w:t xml:space="preserve">, </w:t>
      </w:r>
      <w:hyperlink r:id="rId198" w:history="1">
        <w:r>
          <w:rPr>
            <w:rStyle w:val="Hyperlink"/>
            <w:rFonts w:asciiTheme="minorHAnsi" w:hAnsiTheme="minorHAnsi" w:cstheme="minorHAnsi"/>
            <w:sz w:val="16"/>
            <w:szCs w:val="16"/>
          </w:rPr>
          <w:t>Tableau de bord de l’environnement wallon</w:t>
        </w:r>
      </w:hyperlink>
      <w:r>
        <w:rPr>
          <w:rFonts w:asciiTheme="minorHAnsi" w:hAnsiTheme="minorHAnsi" w:cstheme="minorHAnsi"/>
          <w:sz w:val="16"/>
          <w:szCs w:val="16"/>
        </w:rPr>
        <w:t xml:space="preserve">, </w:t>
      </w:r>
      <w:hyperlink r:id="rId199" w:history="1">
        <w:r>
          <w:rPr>
            <w:rStyle w:val="Hyperlink"/>
            <w:rFonts w:asciiTheme="minorHAnsi" w:hAnsiTheme="minorHAnsi" w:cstheme="minorHAnsi"/>
            <w:sz w:val="16"/>
            <w:szCs w:val="16"/>
          </w:rPr>
          <w:t>Etat de l’environnement Bruxellois</w:t>
        </w:r>
      </w:hyperlink>
    </w:p>
  </w:footnote>
  <w:footnote w:id="207">
    <w:p w:rsidR="0017500B" w:rsidRDefault="00390F61">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szCs w:val="16"/>
          <w:vertAlign w:val="baseline"/>
        </w:rPr>
        <w:footnoteRef/>
      </w:r>
      <w:r>
        <w:rPr>
          <w:rFonts w:asciiTheme="minorHAnsi" w:hAnsiTheme="minorHAnsi" w:cstheme="minorHAnsi"/>
          <w:sz w:val="16"/>
          <w:szCs w:val="16"/>
        </w:rPr>
        <w:t xml:space="preserve"> UNECE, 1998. </w:t>
      </w:r>
      <w:hyperlink r:id="rId200" w:history="1">
        <w:r>
          <w:rPr>
            <w:rStyle w:val="Hyperlink"/>
            <w:rFonts w:asciiTheme="minorHAnsi" w:hAnsiTheme="minorHAnsi" w:cstheme="minorHAnsi"/>
            <w:sz w:val="16"/>
            <w:szCs w:val="16"/>
          </w:rPr>
          <w:t>Convention on Access to Information, Public Participation in Decision-Making and Access to Justice in Environmental Matters</w:t>
        </w:r>
      </w:hyperlink>
    </w:p>
  </w:footnote>
  <w:footnote w:id="208">
    <w:p w:rsidR="0017500B" w:rsidRDefault="00390F61">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szCs w:val="16"/>
          <w:vertAlign w:val="baseline"/>
        </w:rPr>
        <w:footnoteRef/>
      </w:r>
      <w:r>
        <w:rPr>
          <w:rFonts w:asciiTheme="minorHAnsi" w:hAnsiTheme="minorHAnsi" w:cstheme="minorHAnsi"/>
          <w:sz w:val="16"/>
          <w:szCs w:val="16"/>
        </w:rPr>
        <w:t xml:space="preserve"> European Union, </w:t>
      </w:r>
      <w:hyperlink r:id="rId201" w:history="1">
        <w:r>
          <w:rPr>
            <w:rStyle w:val="Hyperlink"/>
            <w:rFonts w:asciiTheme="minorHAnsi" w:hAnsiTheme="minorHAnsi" w:cstheme="minorHAnsi"/>
            <w:sz w:val="16"/>
            <w:szCs w:val="16"/>
          </w:rPr>
          <w:t>Directive 2003/4/EC on public access to environmental information</w:t>
        </w:r>
      </w:hyperlink>
    </w:p>
  </w:footnote>
  <w:footnote w:id="209">
    <w:p w:rsidR="0017500B" w:rsidRDefault="00390F61">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szCs w:val="16"/>
          <w:vertAlign w:val="baseline"/>
        </w:rPr>
        <w:footnoteRef/>
      </w:r>
      <w:r>
        <w:rPr>
          <w:rFonts w:asciiTheme="minorHAnsi" w:hAnsiTheme="minorHAnsi" w:cstheme="minorHAnsi"/>
          <w:sz w:val="16"/>
          <w:szCs w:val="16"/>
        </w:rPr>
        <w:t xml:space="preserve"> European Union, </w:t>
      </w:r>
      <w:hyperlink r:id="rId202" w:history="1">
        <w:r>
          <w:rPr>
            <w:rStyle w:val="Hyperlink"/>
            <w:rFonts w:asciiTheme="minorHAnsi" w:hAnsiTheme="minorHAnsi" w:cstheme="minorHAnsi"/>
            <w:sz w:val="16"/>
            <w:szCs w:val="16"/>
          </w:rPr>
          <w:t xml:space="preserve">INSPIRE </w:t>
        </w:r>
        <w:r>
          <w:rPr>
            <w:rStyle w:val="Hyperlink"/>
            <w:rFonts w:asciiTheme="minorHAnsi" w:hAnsiTheme="minorHAnsi" w:cstheme="minorHAnsi"/>
            <w:sz w:val="16"/>
            <w:szCs w:val="16"/>
            <w:lang w:val="en"/>
          </w:rPr>
          <w:t>Directive 2007/2/EC</w:t>
        </w:r>
      </w:hyperlink>
      <w:r>
        <w:rPr>
          <w:rFonts w:asciiTheme="minorHAnsi" w:hAnsiTheme="minorHAnsi" w:cstheme="minorHAnsi"/>
          <w:sz w:val="16"/>
          <w:szCs w:val="16"/>
          <w:lang w:val="en"/>
        </w:rPr>
        <w:t xml:space="preserve"> </w:t>
      </w:r>
    </w:p>
  </w:footnote>
  <w:footnote w:id="210">
    <w:p w:rsidR="0017500B" w:rsidRDefault="00390F61">
      <w:pPr>
        <w:pStyle w:val="FootnoteText"/>
        <w:widowControl w:val="0"/>
        <w:ind w:left="227" w:hanging="227"/>
        <w:outlineLvl w:val="4"/>
        <w:rPr>
          <w:rFonts w:asciiTheme="minorHAnsi" w:hAnsiTheme="minorHAnsi" w:cstheme="minorHAnsi"/>
          <w:sz w:val="16"/>
          <w:szCs w:val="16"/>
        </w:rPr>
      </w:pPr>
      <w:r>
        <w:rPr>
          <w:rStyle w:val="FootnoteReference"/>
          <w:rFonts w:asciiTheme="minorHAnsi" w:hAnsiTheme="minorHAnsi" w:cstheme="minorHAnsi"/>
          <w:sz w:val="16"/>
          <w:szCs w:val="16"/>
          <w:vertAlign w:val="baseline"/>
        </w:rPr>
        <w:footnoteRef/>
      </w:r>
      <w:r>
        <w:rPr>
          <w:rFonts w:asciiTheme="minorHAnsi" w:hAnsiTheme="minorHAnsi" w:cstheme="minorHAnsi"/>
          <w:sz w:val="16"/>
          <w:szCs w:val="16"/>
        </w:rPr>
        <w:t xml:space="preserve"> European Union, EU eGovernment Acti</w:t>
      </w:r>
      <w:r>
        <w:rPr>
          <w:rFonts w:asciiTheme="minorHAnsi" w:hAnsiTheme="minorHAnsi" w:cstheme="minorHAnsi"/>
          <w:sz w:val="16"/>
          <w:szCs w:val="16"/>
        </w:rPr>
        <w:t xml:space="preserve">on Plan 2016-2020 - Accelerating the digital transformation of government </w:t>
      </w:r>
      <w:hyperlink r:id="rId203" w:history="1">
        <w:r>
          <w:rPr>
            <w:rStyle w:val="Hyperlink"/>
            <w:rFonts w:asciiTheme="minorHAnsi" w:hAnsiTheme="minorHAnsi" w:cstheme="minorHAnsi"/>
            <w:sz w:val="16"/>
            <w:szCs w:val="16"/>
          </w:rPr>
          <w:t>COM(2016) 179</w:t>
        </w:r>
      </w:hyperlink>
      <w:r>
        <w:rPr>
          <w:rFonts w:asciiTheme="minorHAnsi" w:hAnsiTheme="minorHAnsi" w:cstheme="minorHAnsi"/>
          <w:sz w:val="16"/>
          <w:szCs w:val="16"/>
        </w:rPr>
        <w:t xml:space="preserve"> final</w:t>
      </w:r>
    </w:p>
  </w:footnote>
  <w:footnote w:id="211">
    <w:p w:rsidR="0017500B" w:rsidRDefault="00390F61">
      <w:pPr>
        <w:pStyle w:val="FootnoteText"/>
        <w:widowControl w:val="0"/>
        <w:ind w:left="227" w:hanging="227"/>
        <w:outlineLvl w:val="4"/>
        <w:rPr>
          <w:rFonts w:asciiTheme="minorHAnsi" w:hAnsiTheme="minorHAnsi" w:cstheme="minorHAnsi"/>
          <w:sz w:val="16"/>
          <w:szCs w:val="16"/>
          <w:lang w:val="fr-FR"/>
        </w:rPr>
      </w:pPr>
      <w:r>
        <w:rPr>
          <w:rStyle w:val="FootnoteReference"/>
          <w:rFonts w:asciiTheme="minorHAnsi" w:hAnsiTheme="minorHAnsi" w:cstheme="minorHAnsi"/>
          <w:sz w:val="16"/>
          <w:szCs w:val="16"/>
          <w:vertAlign w:val="baseline"/>
        </w:rPr>
        <w:footnoteRef/>
      </w:r>
      <w:r>
        <w:rPr>
          <w:rFonts w:asciiTheme="minorHAnsi" w:hAnsiTheme="minorHAnsi" w:cstheme="minorHAnsi"/>
          <w:sz w:val="16"/>
          <w:szCs w:val="16"/>
          <w:lang w:val="fr-FR"/>
        </w:rPr>
        <w:t xml:space="preserve"> Europe</w:t>
      </w:r>
      <w:r>
        <w:rPr>
          <w:rFonts w:asciiTheme="minorHAnsi" w:hAnsiTheme="minorHAnsi" w:cstheme="minorHAnsi"/>
          <w:sz w:val="16"/>
          <w:szCs w:val="16"/>
          <w:lang w:val="fr-FR"/>
        </w:rPr>
        <w:t xml:space="preserve">an Commission, </w:t>
      </w:r>
      <w:hyperlink r:id="rId204" w:history="1">
        <w:r>
          <w:rPr>
            <w:rStyle w:val="Hyperlink"/>
            <w:rFonts w:asciiTheme="minorHAnsi" w:hAnsiTheme="minorHAnsi" w:cstheme="minorHAnsi"/>
            <w:sz w:val="16"/>
            <w:szCs w:val="16"/>
            <w:lang w:val="fr-FR"/>
          </w:rPr>
          <w:t>INSPIRE reports</w:t>
        </w:r>
      </w:hyperlink>
      <w:r>
        <w:rPr>
          <w:rFonts w:asciiTheme="minorHAnsi" w:hAnsiTheme="minorHAnsi" w:cstheme="minorHAnsi"/>
          <w:sz w:val="16"/>
          <w:szCs w:val="16"/>
          <w:lang w:val="fr-FR"/>
        </w:rPr>
        <w:t xml:space="preserve"> </w:t>
      </w:r>
    </w:p>
  </w:footnote>
  <w:footnote w:id="212">
    <w:p w:rsidR="0017500B" w:rsidRDefault="00390F61">
      <w:pPr>
        <w:pStyle w:val="FootnoteText"/>
        <w:widowControl w:val="0"/>
        <w:ind w:left="227" w:hanging="227"/>
        <w:rPr>
          <w:rFonts w:asciiTheme="minorHAnsi" w:hAnsiTheme="minorHAnsi"/>
          <w:sz w:val="16"/>
          <w:szCs w:val="16"/>
          <w:vertAlign w:val="superscript"/>
        </w:rPr>
      </w:pPr>
      <w:r>
        <w:rPr>
          <w:rStyle w:val="FootnoteReference"/>
          <w:rFonts w:asciiTheme="minorHAnsi" w:hAnsiTheme="minorHAnsi" w:cstheme="minorHAnsi"/>
          <w:sz w:val="16"/>
          <w:szCs w:val="16"/>
          <w:vertAlign w:val="baseline"/>
        </w:rPr>
        <w:footnoteRef/>
      </w:r>
      <w:r>
        <w:rPr>
          <w:rFonts w:asciiTheme="minorHAnsi" w:hAnsiTheme="minorHAnsi" w:cstheme="minorHAnsi"/>
          <w:sz w:val="16"/>
          <w:szCs w:val="16"/>
          <w:lang w:val="fr-FR"/>
        </w:rPr>
        <w:t xml:space="preserve"> </w:t>
      </w:r>
      <w:hyperlink r:id="rId205" w:history="1">
        <w:r>
          <w:rPr>
            <w:rStyle w:val="Hyperlink"/>
            <w:rFonts w:asciiTheme="minorHAnsi" w:hAnsiTheme="minorHAnsi"/>
            <w:sz w:val="16"/>
            <w:szCs w:val="16"/>
          </w:rPr>
          <w:t>Inspire indicator trends</w:t>
        </w:r>
      </w:hyperlink>
      <w:r>
        <w:rPr>
          <w:rFonts w:asciiTheme="minorHAnsi" w:hAnsiTheme="minorHAnsi"/>
          <w:sz w:val="16"/>
          <w:szCs w:val="16"/>
          <w:vertAlign w:val="superscript"/>
        </w:rPr>
        <w:t xml:space="preserve"> </w:t>
      </w:r>
    </w:p>
  </w:footnote>
  <w:footnote w:id="213">
    <w:p w:rsidR="0017500B" w:rsidRDefault="00390F61">
      <w:pPr>
        <w:pStyle w:val="FootnoteText"/>
        <w:widowControl w:val="0"/>
        <w:ind w:left="227" w:hanging="227"/>
        <w:outlineLvl w:val="4"/>
        <w:rPr>
          <w:rFonts w:asciiTheme="minorHAnsi" w:hAnsiTheme="minorHAnsi" w:cstheme="minorHAnsi"/>
          <w:sz w:val="16"/>
          <w:szCs w:val="16"/>
          <w:lang w:val="fr-FR"/>
        </w:rPr>
      </w:pPr>
      <w:r>
        <w:rPr>
          <w:rStyle w:val="FootnoteReference"/>
          <w:rFonts w:asciiTheme="minorHAnsi" w:hAnsiTheme="minorHAnsi" w:cstheme="minorHAnsi"/>
          <w:sz w:val="16"/>
          <w:szCs w:val="16"/>
          <w:vertAlign w:val="baseline"/>
        </w:rPr>
        <w:footnoteRef/>
      </w:r>
      <w:r>
        <w:rPr>
          <w:rFonts w:asciiTheme="minorHAnsi" w:hAnsiTheme="minorHAnsi" w:cstheme="minorHAnsi"/>
          <w:sz w:val="16"/>
          <w:szCs w:val="16"/>
          <w:lang w:val="fr-FR"/>
        </w:rPr>
        <w:t xml:space="preserve"> </w:t>
      </w:r>
      <w:hyperlink r:id="rId206" w:history="1">
        <w:r>
          <w:rPr>
            <w:rStyle w:val="Hyperlink"/>
            <w:rFonts w:asciiTheme="minorHAnsi" w:hAnsiTheme="minorHAnsi" w:cstheme="minorHAnsi"/>
            <w:sz w:val="16"/>
            <w:szCs w:val="16"/>
            <w:lang w:val="fr-FR"/>
          </w:rPr>
          <w:t>INSPIRE Resources Summary Report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F61" w:rsidRPr="00390F61" w:rsidRDefault="00390F61" w:rsidP="00390F6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17500B">
      <w:tc>
        <w:tcPr>
          <w:tcW w:w="8810" w:type="dxa"/>
          <w:shd w:val="clear" w:color="auto" w:fill="auto"/>
        </w:tcPr>
        <w:p w:rsidR="0017500B" w:rsidRDefault="00390F61">
          <w:pPr>
            <w:pStyle w:val="Header"/>
            <w:spacing w:line="276" w:lineRule="auto"/>
            <w:jc w:val="right"/>
          </w:pPr>
          <w:r>
            <w:rPr>
              <w:b/>
              <w:color w:val="1F497D"/>
            </w:rPr>
            <w:t>Belgium</w:t>
          </w:r>
        </w:p>
      </w:tc>
      <w:tc>
        <w:tcPr>
          <w:tcW w:w="1152" w:type="dxa"/>
          <w:tcBorders>
            <w:left w:val="single" w:sz="4" w:space="0" w:color="000000"/>
          </w:tcBorders>
          <w:shd w:val="clear" w:color="auto" w:fill="auto"/>
        </w:tcPr>
        <w:p w:rsidR="0017500B" w:rsidRDefault="00390F61">
          <w:pPr>
            <w:pStyle w:val="Header"/>
            <w:spacing w:line="276" w:lineRule="auto"/>
          </w:pPr>
          <w:r>
            <w:rPr>
              <w:b/>
              <w:color w:val="1F497D"/>
              <w:sz w:val="28"/>
            </w:rPr>
            <w:fldChar w:fldCharType="begin"/>
          </w:r>
          <w:r>
            <w:rPr>
              <w:b/>
              <w:color w:val="1F497D"/>
              <w:sz w:val="28"/>
            </w:rPr>
            <w:instrText xml:space="preserve"> PAGE </w:instrText>
          </w:r>
          <w:r>
            <w:rPr>
              <w:b/>
              <w:color w:val="1F497D"/>
              <w:sz w:val="28"/>
            </w:rPr>
            <w:fldChar w:fldCharType="separate"/>
          </w:r>
          <w:r>
            <w:rPr>
              <w:b/>
              <w:noProof/>
              <w:color w:val="1F497D"/>
              <w:sz w:val="28"/>
            </w:rPr>
            <w:t>i</w:t>
          </w:r>
          <w:r>
            <w:rPr>
              <w:b/>
              <w:color w:val="1F497D"/>
              <w:sz w:val="28"/>
            </w:rPr>
            <w:fldChar w:fldCharType="end"/>
          </w:r>
        </w:p>
      </w:tc>
    </w:tr>
  </w:tbl>
  <w:p w:rsidR="0017500B" w:rsidRDefault="0017500B">
    <w:pPr>
      <w:pStyle w:val="Header"/>
      <w:rPr>
        <w:color w:val="1F497D"/>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17500B">
      <w:tc>
        <w:tcPr>
          <w:tcW w:w="8810" w:type="dxa"/>
          <w:shd w:val="clear" w:color="auto" w:fill="auto"/>
        </w:tcPr>
        <w:p w:rsidR="0017500B" w:rsidRDefault="00390F61">
          <w:pPr>
            <w:pStyle w:val="Header"/>
            <w:spacing w:line="276" w:lineRule="auto"/>
            <w:jc w:val="right"/>
          </w:pPr>
          <w:r>
            <w:rPr>
              <w:b/>
              <w:color w:val="1F497D"/>
            </w:rPr>
            <w:t>Belgium</w:t>
          </w:r>
        </w:p>
      </w:tc>
      <w:tc>
        <w:tcPr>
          <w:tcW w:w="1152" w:type="dxa"/>
          <w:tcBorders>
            <w:left w:val="single" w:sz="4" w:space="0" w:color="000000"/>
          </w:tcBorders>
          <w:shd w:val="clear" w:color="auto" w:fill="auto"/>
        </w:tcPr>
        <w:p w:rsidR="0017500B" w:rsidRDefault="00390F61">
          <w:pPr>
            <w:pStyle w:val="Header"/>
            <w:spacing w:line="276" w:lineRule="auto"/>
          </w:pPr>
          <w:r>
            <w:rPr>
              <w:b/>
              <w:color w:val="1F497D"/>
              <w:sz w:val="28"/>
            </w:rPr>
            <w:fldChar w:fldCharType="begin"/>
          </w:r>
          <w:r>
            <w:rPr>
              <w:b/>
              <w:color w:val="1F497D"/>
              <w:sz w:val="28"/>
            </w:rPr>
            <w:instrText xml:space="preserve"> PAGE </w:instrText>
          </w:r>
          <w:r>
            <w:rPr>
              <w:b/>
              <w:color w:val="1F497D"/>
              <w:sz w:val="28"/>
            </w:rPr>
            <w:fldChar w:fldCharType="separate"/>
          </w:r>
          <w:r>
            <w:rPr>
              <w:b/>
              <w:noProof/>
              <w:color w:val="1F497D"/>
              <w:sz w:val="28"/>
            </w:rPr>
            <w:t>i</w:t>
          </w:r>
          <w:r>
            <w:rPr>
              <w:b/>
              <w:color w:val="1F497D"/>
              <w:sz w:val="28"/>
            </w:rPr>
            <w:fldChar w:fldCharType="end"/>
          </w:r>
        </w:p>
      </w:tc>
    </w:tr>
  </w:tbl>
  <w:p w:rsidR="0017500B" w:rsidRDefault="0017500B">
    <w:pPr>
      <w:pStyle w:val="Header"/>
      <w:rPr>
        <w:color w:val="1F497D"/>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17500B">
      <w:tc>
        <w:tcPr>
          <w:tcW w:w="8810" w:type="dxa"/>
          <w:shd w:val="clear" w:color="auto" w:fill="auto"/>
        </w:tcPr>
        <w:p w:rsidR="0017500B" w:rsidRDefault="00390F61">
          <w:pPr>
            <w:pStyle w:val="Header"/>
            <w:spacing w:line="276" w:lineRule="auto"/>
            <w:jc w:val="right"/>
          </w:pPr>
          <w:r>
            <w:rPr>
              <w:b/>
              <w:color w:val="1F497D"/>
            </w:rPr>
            <w:t>Belgium</w:t>
          </w:r>
        </w:p>
      </w:tc>
      <w:tc>
        <w:tcPr>
          <w:tcW w:w="1152" w:type="dxa"/>
          <w:tcBorders>
            <w:left w:val="single" w:sz="4" w:space="0" w:color="000000"/>
          </w:tcBorders>
          <w:shd w:val="clear" w:color="auto" w:fill="auto"/>
        </w:tcPr>
        <w:p w:rsidR="0017500B" w:rsidRDefault="00390F61">
          <w:pPr>
            <w:pStyle w:val="Header"/>
            <w:spacing w:line="276" w:lineRule="auto"/>
          </w:pPr>
          <w:r>
            <w:rPr>
              <w:b/>
              <w:color w:val="1F497D"/>
              <w:sz w:val="28"/>
            </w:rPr>
            <w:fldChar w:fldCharType="begin"/>
          </w:r>
          <w:r>
            <w:rPr>
              <w:b/>
              <w:color w:val="1F497D"/>
              <w:sz w:val="28"/>
            </w:rPr>
            <w:instrText xml:space="preserve"> PAGE </w:instrText>
          </w:r>
          <w:r>
            <w:rPr>
              <w:b/>
              <w:color w:val="1F497D"/>
              <w:sz w:val="28"/>
            </w:rPr>
            <w:fldChar w:fldCharType="separate"/>
          </w:r>
          <w:r>
            <w:rPr>
              <w:b/>
              <w:noProof/>
              <w:color w:val="1F497D"/>
              <w:sz w:val="28"/>
            </w:rPr>
            <w:t>5</w:t>
          </w:r>
          <w:r>
            <w:rPr>
              <w:b/>
              <w:color w:val="1F497D"/>
              <w:sz w:val="28"/>
            </w:rPr>
            <w:fldChar w:fldCharType="end"/>
          </w:r>
        </w:p>
      </w:tc>
    </w:tr>
  </w:tbl>
  <w:p w:rsidR="0017500B" w:rsidRDefault="0017500B">
    <w:pPr>
      <w:pStyle w:val="Header"/>
      <w:rPr>
        <w:color w:val="1F497D"/>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F61" w:rsidRPr="00390F61" w:rsidRDefault="00390F61" w:rsidP="00390F61">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17500B">
      <w:tc>
        <w:tcPr>
          <w:tcW w:w="8810" w:type="dxa"/>
          <w:shd w:val="clear" w:color="auto" w:fill="auto"/>
        </w:tcPr>
        <w:p w:rsidR="0017500B" w:rsidRDefault="00390F61">
          <w:pPr>
            <w:pStyle w:val="Header"/>
            <w:spacing w:line="276" w:lineRule="auto"/>
            <w:jc w:val="right"/>
          </w:pPr>
          <w:r>
            <w:rPr>
              <w:b/>
              <w:color w:val="1F497D"/>
            </w:rPr>
            <w:t>Belgium</w:t>
          </w:r>
        </w:p>
      </w:tc>
      <w:tc>
        <w:tcPr>
          <w:tcW w:w="1152" w:type="dxa"/>
          <w:tcBorders>
            <w:left w:val="single" w:sz="4" w:space="0" w:color="000000"/>
          </w:tcBorders>
          <w:shd w:val="clear" w:color="auto" w:fill="auto"/>
        </w:tcPr>
        <w:p w:rsidR="0017500B" w:rsidRDefault="00390F61">
          <w:pPr>
            <w:pStyle w:val="Header"/>
            <w:spacing w:line="276" w:lineRule="auto"/>
          </w:pPr>
          <w:r>
            <w:rPr>
              <w:b/>
              <w:color w:val="1F497D"/>
              <w:sz w:val="28"/>
            </w:rPr>
            <w:fldChar w:fldCharType="begin"/>
          </w:r>
          <w:r>
            <w:rPr>
              <w:b/>
              <w:color w:val="1F497D"/>
              <w:sz w:val="28"/>
            </w:rPr>
            <w:instrText xml:space="preserve"> PAGE </w:instrText>
          </w:r>
          <w:r>
            <w:rPr>
              <w:b/>
              <w:color w:val="1F497D"/>
              <w:sz w:val="28"/>
            </w:rPr>
            <w:fldChar w:fldCharType="separate"/>
          </w:r>
          <w:r>
            <w:rPr>
              <w:b/>
              <w:noProof/>
              <w:color w:val="1F497D"/>
              <w:sz w:val="28"/>
            </w:rPr>
            <w:t>7</w:t>
          </w:r>
          <w:r>
            <w:rPr>
              <w:b/>
              <w:color w:val="1F497D"/>
              <w:sz w:val="28"/>
            </w:rPr>
            <w:fldChar w:fldCharType="end"/>
          </w:r>
        </w:p>
      </w:tc>
    </w:tr>
  </w:tbl>
  <w:p w:rsidR="0017500B" w:rsidRDefault="0017500B">
    <w:pPr>
      <w:pStyle w:val="Header"/>
      <w:rPr>
        <w:color w:val="1F497D"/>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17500B">
      <w:tc>
        <w:tcPr>
          <w:tcW w:w="8810" w:type="dxa"/>
          <w:shd w:val="clear" w:color="auto" w:fill="auto"/>
        </w:tcPr>
        <w:p w:rsidR="0017500B" w:rsidRDefault="00390F61">
          <w:pPr>
            <w:pStyle w:val="Header"/>
            <w:spacing w:line="276" w:lineRule="auto"/>
            <w:jc w:val="right"/>
          </w:pPr>
          <w:r>
            <w:rPr>
              <w:b/>
              <w:color w:val="1F497D"/>
            </w:rPr>
            <w:t>Belgium</w:t>
          </w:r>
        </w:p>
      </w:tc>
      <w:tc>
        <w:tcPr>
          <w:tcW w:w="1152" w:type="dxa"/>
          <w:tcBorders>
            <w:left w:val="single" w:sz="4" w:space="0" w:color="000000"/>
          </w:tcBorders>
          <w:shd w:val="clear" w:color="auto" w:fill="auto"/>
        </w:tcPr>
        <w:p w:rsidR="0017500B" w:rsidRDefault="00390F61">
          <w:pPr>
            <w:pStyle w:val="Header"/>
            <w:spacing w:line="276" w:lineRule="auto"/>
          </w:pPr>
          <w:r>
            <w:rPr>
              <w:b/>
              <w:color w:val="1F497D"/>
              <w:sz w:val="28"/>
            </w:rPr>
            <w:fldChar w:fldCharType="begin"/>
          </w:r>
          <w:r>
            <w:rPr>
              <w:b/>
              <w:color w:val="1F497D"/>
              <w:sz w:val="28"/>
            </w:rPr>
            <w:instrText xml:space="preserve"> PAGE </w:instrText>
          </w:r>
          <w:r>
            <w:rPr>
              <w:b/>
              <w:color w:val="1F497D"/>
              <w:sz w:val="28"/>
            </w:rPr>
            <w:fldChar w:fldCharType="separate"/>
          </w:r>
          <w:r>
            <w:rPr>
              <w:b/>
              <w:noProof/>
              <w:color w:val="1F497D"/>
              <w:sz w:val="28"/>
            </w:rPr>
            <w:t>11</w:t>
          </w:r>
          <w:r>
            <w:rPr>
              <w:b/>
              <w:color w:val="1F497D"/>
              <w:sz w:val="28"/>
            </w:rPr>
            <w:fldChar w:fldCharType="end"/>
          </w:r>
        </w:p>
      </w:tc>
    </w:tr>
  </w:tbl>
  <w:p w:rsidR="0017500B" w:rsidRDefault="0017500B">
    <w:pPr>
      <w:pStyle w:val="Header"/>
      <w:rPr>
        <w:color w:val="1F497D"/>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17500B">
      <w:tc>
        <w:tcPr>
          <w:tcW w:w="8810" w:type="dxa"/>
          <w:shd w:val="clear" w:color="auto" w:fill="auto"/>
        </w:tcPr>
        <w:p w:rsidR="0017500B" w:rsidRDefault="00390F61">
          <w:pPr>
            <w:pStyle w:val="Header"/>
            <w:spacing w:line="276" w:lineRule="auto"/>
            <w:jc w:val="right"/>
          </w:pPr>
          <w:r>
            <w:rPr>
              <w:b/>
              <w:color w:val="1F497D"/>
            </w:rPr>
            <w:t>Belgium</w:t>
          </w:r>
        </w:p>
      </w:tc>
      <w:tc>
        <w:tcPr>
          <w:tcW w:w="1152" w:type="dxa"/>
          <w:tcBorders>
            <w:left w:val="single" w:sz="4" w:space="0" w:color="000000"/>
          </w:tcBorders>
          <w:shd w:val="clear" w:color="auto" w:fill="auto"/>
        </w:tcPr>
        <w:p w:rsidR="0017500B" w:rsidRDefault="00390F61">
          <w:pPr>
            <w:pStyle w:val="Header"/>
            <w:spacing w:line="276" w:lineRule="auto"/>
          </w:pPr>
          <w:r>
            <w:rPr>
              <w:b/>
              <w:color w:val="1F497D"/>
              <w:sz w:val="28"/>
            </w:rPr>
            <w:fldChar w:fldCharType="begin"/>
          </w:r>
          <w:r>
            <w:rPr>
              <w:b/>
              <w:color w:val="1F497D"/>
              <w:sz w:val="28"/>
            </w:rPr>
            <w:instrText xml:space="preserve"> PAGE </w:instrText>
          </w:r>
          <w:r>
            <w:rPr>
              <w:b/>
              <w:color w:val="1F497D"/>
              <w:sz w:val="28"/>
            </w:rPr>
            <w:fldChar w:fldCharType="separate"/>
          </w:r>
          <w:r>
            <w:rPr>
              <w:b/>
              <w:noProof/>
              <w:color w:val="1F497D"/>
              <w:sz w:val="28"/>
            </w:rPr>
            <w:t>18</w:t>
          </w:r>
          <w:r>
            <w:rPr>
              <w:b/>
              <w:color w:val="1F497D"/>
              <w:sz w:val="28"/>
            </w:rPr>
            <w:fldChar w:fldCharType="end"/>
          </w:r>
        </w:p>
      </w:tc>
    </w:tr>
  </w:tbl>
  <w:p w:rsidR="0017500B" w:rsidRDefault="0017500B">
    <w:pPr>
      <w:pStyle w:val="Header"/>
      <w:rPr>
        <w:color w:val="1F497D"/>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17500B">
      <w:tc>
        <w:tcPr>
          <w:tcW w:w="8810" w:type="dxa"/>
          <w:shd w:val="clear" w:color="auto" w:fill="auto"/>
        </w:tcPr>
        <w:p w:rsidR="0017500B" w:rsidRDefault="00390F61">
          <w:pPr>
            <w:pStyle w:val="Header"/>
            <w:spacing w:line="276" w:lineRule="auto"/>
            <w:jc w:val="right"/>
          </w:pPr>
          <w:r>
            <w:rPr>
              <w:b/>
              <w:color w:val="1F497D"/>
            </w:rPr>
            <w:t>Belgium</w:t>
          </w:r>
        </w:p>
      </w:tc>
      <w:tc>
        <w:tcPr>
          <w:tcW w:w="1152" w:type="dxa"/>
          <w:tcBorders>
            <w:left w:val="single" w:sz="4" w:space="0" w:color="000000"/>
          </w:tcBorders>
          <w:shd w:val="clear" w:color="auto" w:fill="auto"/>
        </w:tcPr>
        <w:p w:rsidR="0017500B" w:rsidRDefault="00390F61">
          <w:pPr>
            <w:pStyle w:val="Header"/>
            <w:spacing w:line="276" w:lineRule="auto"/>
          </w:pPr>
          <w:r>
            <w:rPr>
              <w:b/>
              <w:color w:val="1F497D"/>
              <w:sz w:val="28"/>
            </w:rPr>
            <w:fldChar w:fldCharType="begin"/>
          </w:r>
          <w:r>
            <w:rPr>
              <w:b/>
              <w:color w:val="1F497D"/>
              <w:sz w:val="28"/>
            </w:rPr>
            <w:instrText xml:space="preserve"> PAGE </w:instrText>
          </w:r>
          <w:r>
            <w:rPr>
              <w:b/>
              <w:color w:val="1F497D"/>
              <w:sz w:val="28"/>
            </w:rPr>
            <w:fldChar w:fldCharType="separate"/>
          </w:r>
          <w:r>
            <w:rPr>
              <w:b/>
              <w:noProof/>
              <w:color w:val="1F497D"/>
              <w:sz w:val="28"/>
            </w:rPr>
            <w:t>19</w:t>
          </w:r>
          <w:r>
            <w:rPr>
              <w:b/>
              <w:color w:val="1F497D"/>
              <w:sz w:val="28"/>
            </w:rPr>
            <w:fldChar w:fldCharType="end"/>
          </w:r>
        </w:p>
      </w:tc>
    </w:tr>
  </w:tbl>
  <w:p w:rsidR="0017500B" w:rsidRDefault="0017500B">
    <w:pPr>
      <w:pStyle w:val="Header"/>
      <w:rPr>
        <w:color w:val="1F497D"/>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F61" w:rsidRPr="00390F61" w:rsidRDefault="00390F61" w:rsidP="00390F61">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17500B">
      <w:tc>
        <w:tcPr>
          <w:tcW w:w="8810" w:type="dxa"/>
          <w:shd w:val="clear" w:color="auto" w:fill="auto"/>
        </w:tcPr>
        <w:p w:rsidR="0017500B" w:rsidRDefault="00390F61">
          <w:pPr>
            <w:pStyle w:val="Header"/>
            <w:spacing w:line="276" w:lineRule="auto"/>
            <w:jc w:val="right"/>
          </w:pPr>
          <w:r>
            <w:rPr>
              <w:b/>
              <w:color w:val="1F497D"/>
            </w:rPr>
            <w:t>Belgium</w:t>
          </w:r>
        </w:p>
      </w:tc>
      <w:tc>
        <w:tcPr>
          <w:tcW w:w="1152" w:type="dxa"/>
          <w:tcBorders>
            <w:left w:val="single" w:sz="4" w:space="0" w:color="000000"/>
          </w:tcBorders>
          <w:shd w:val="clear" w:color="auto" w:fill="auto"/>
        </w:tcPr>
        <w:p w:rsidR="0017500B" w:rsidRDefault="00390F61">
          <w:pPr>
            <w:pStyle w:val="Header"/>
            <w:spacing w:line="276" w:lineRule="auto"/>
          </w:pPr>
          <w:r>
            <w:rPr>
              <w:b/>
              <w:color w:val="1F497D"/>
              <w:sz w:val="28"/>
            </w:rPr>
            <w:fldChar w:fldCharType="begin"/>
          </w:r>
          <w:r>
            <w:rPr>
              <w:b/>
              <w:color w:val="1F497D"/>
              <w:sz w:val="28"/>
            </w:rPr>
            <w:instrText xml:space="preserve"> PAGE </w:instrText>
          </w:r>
          <w:r>
            <w:rPr>
              <w:b/>
              <w:color w:val="1F497D"/>
              <w:sz w:val="28"/>
            </w:rPr>
            <w:fldChar w:fldCharType="separate"/>
          </w:r>
          <w:r>
            <w:rPr>
              <w:b/>
              <w:noProof/>
              <w:color w:val="1F497D"/>
              <w:sz w:val="28"/>
            </w:rPr>
            <w:t>26</w:t>
          </w:r>
          <w:r>
            <w:rPr>
              <w:b/>
              <w:color w:val="1F497D"/>
              <w:sz w:val="28"/>
            </w:rPr>
            <w:fldChar w:fldCharType="end"/>
          </w:r>
        </w:p>
      </w:tc>
    </w:tr>
  </w:tbl>
  <w:p w:rsidR="0017500B" w:rsidRDefault="0017500B">
    <w:pPr>
      <w:pStyle w:val="Header"/>
      <w:rPr>
        <w:color w:val="1F497D"/>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17500B">
      <w:tc>
        <w:tcPr>
          <w:tcW w:w="8810" w:type="dxa"/>
          <w:shd w:val="clear" w:color="auto" w:fill="auto"/>
        </w:tcPr>
        <w:p w:rsidR="0017500B" w:rsidRDefault="00390F61">
          <w:pPr>
            <w:pStyle w:val="Header"/>
            <w:spacing w:line="276" w:lineRule="auto"/>
            <w:jc w:val="right"/>
          </w:pPr>
          <w:r>
            <w:rPr>
              <w:b/>
              <w:color w:val="1F497D"/>
            </w:rPr>
            <w:t>Belgium</w:t>
          </w:r>
        </w:p>
      </w:tc>
      <w:tc>
        <w:tcPr>
          <w:tcW w:w="1152" w:type="dxa"/>
          <w:tcBorders>
            <w:left w:val="single" w:sz="4" w:space="0" w:color="000000"/>
          </w:tcBorders>
          <w:shd w:val="clear" w:color="auto" w:fill="auto"/>
        </w:tcPr>
        <w:p w:rsidR="0017500B" w:rsidRDefault="00390F61">
          <w:pPr>
            <w:pStyle w:val="Header"/>
            <w:spacing w:line="276" w:lineRule="auto"/>
          </w:pPr>
          <w:r>
            <w:rPr>
              <w:b/>
              <w:color w:val="1F497D"/>
              <w:sz w:val="28"/>
            </w:rPr>
            <w:fldChar w:fldCharType="begin"/>
          </w:r>
          <w:r>
            <w:rPr>
              <w:b/>
              <w:color w:val="1F497D"/>
              <w:sz w:val="28"/>
            </w:rPr>
            <w:instrText xml:space="preserve"> PAGE </w:instrText>
          </w:r>
          <w:r>
            <w:rPr>
              <w:b/>
              <w:color w:val="1F497D"/>
              <w:sz w:val="28"/>
            </w:rPr>
            <w:fldChar w:fldCharType="separate"/>
          </w:r>
          <w:r>
            <w:rPr>
              <w:b/>
              <w:noProof/>
              <w:color w:val="1F497D"/>
              <w:sz w:val="28"/>
            </w:rPr>
            <w:t>27</w:t>
          </w:r>
          <w:r>
            <w:rPr>
              <w:b/>
              <w:color w:val="1F497D"/>
              <w:sz w:val="28"/>
            </w:rPr>
            <w:fldChar w:fldCharType="end"/>
          </w:r>
        </w:p>
      </w:tc>
    </w:tr>
  </w:tbl>
  <w:p w:rsidR="0017500B" w:rsidRDefault="0017500B">
    <w:pPr>
      <w:pStyle w:val="Header"/>
      <w:rPr>
        <w:color w:val="1F497D"/>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17500B">
      <w:tc>
        <w:tcPr>
          <w:tcW w:w="8810" w:type="dxa"/>
          <w:shd w:val="clear" w:color="auto" w:fill="auto"/>
        </w:tcPr>
        <w:p w:rsidR="0017500B" w:rsidRDefault="00390F61">
          <w:pPr>
            <w:pStyle w:val="Header"/>
            <w:spacing w:line="276" w:lineRule="auto"/>
            <w:jc w:val="right"/>
          </w:pPr>
          <w:r>
            <w:rPr>
              <w:b/>
              <w:color w:val="1F497D"/>
            </w:rPr>
            <w:t>Belgium</w:t>
          </w:r>
        </w:p>
      </w:tc>
      <w:tc>
        <w:tcPr>
          <w:tcW w:w="1152" w:type="dxa"/>
          <w:tcBorders>
            <w:left w:val="single" w:sz="4" w:space="0" w:color="000000"/>
          </w:tcBorders>
          <w:shd w:val="clear" w:color="auto" w:fill="auto"/>
        </w:tcPr>
        <w:p w:rsidR="0017500B" w:rsidRDefault="00390F61">
          <w:pPr>
            <w:pStyle w:val="Header"/>
            <w:spacing w:line="276" w:lineRule="auto"/>
          </w:pPr>
          <w:r>
            <w:rPr>
              <w:b/>
              <w:color w:val="1F497D"/>
              <w:sz w:val="28"/>
            </w:rPr>
            <w:fldChar w:fldCharType="begin"/>
          </w:r>
          <w:r>
            <w:rPr>
              <w:b/>
              <w:color w:val="1F497D"/>
              <w:sz w:val="28"/>
            </w:rPr>
            <w:instrText xml:space="preserve"> PAGE </w:instrText>
          </w:r>
          <w:r>
            <w:rPr>
              <w:b/>
              <w:color w:val="1F497D"/>
              <w:sz w:val="28"/>
            </w:rPr>
            <w:fldChar w:fldCharType="separate"/>
          </w:r>
          <w:r>
            <w:rPr>
              <w:b/>
              <w:noProof/>
              <w:color w:val="1F497D"/>
              <w:sz w:val="28"/>
            </w:rPr>
            <w:t>30</w:t>
          </w:r>
          <w:r>
            <w:rPr>
              <w:b/>
              <w:color w:val="1F497D"/>
              <w:sz w:val="28"/>
            </w:rPr>
            <w:fldChar w:fldCharType="end"/>
          </w:r>
        </w:p>
      </w:tc>
    </w:tr>
  </w:tbl>
  <w:p w:rsidR="0017500B" w:rsidRDefault="0017500B">
    <w:pPr>
      <w:pStyle w:val="Header"/>
      <w:rPr>
        <w:color w:val="1F497D"/>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17500B">
      <w:tc>
        <w:tcPr>
          <w:tcW w:w="8810" w:type="dxa"/>
          <w:shd w:val="clear" w:color="auto" w:fill="auto"/>
        </w:tcPr>
        <w:p w:rsidR="0017500B" w:rsidRDefault="00390F61">
          <w:pPr>
            <w:pStyle w:val="Header"/>
            <w:spacing w:line="276" w:lineRule="auto"/>
            <w:jc w:val="right"/>
          </w:pPr>
          <w:r>
            <w:rPr>
              <w:b/>
              <w:color w:val="1F497D"/>
            </w:rPr>
            <w:t>Belgium</w:t>
          </w:r>
        </w:p>
      </w:tc>
      <w:tc>
        <w:tcPr>
          <w:tcW w:w="1152" w:type="dxa"/>
          <w:tcBorders>
            <w:left w:val="single" w:sz="4" w:space="0" w:color="000000"/>
          </w:tcBorders>
          <w:shd w:val="clear" w:color="auto" w:fill="auto"/>
        </w:tcPr>
        <w:p w:rsidR="0017500B" w:rsidRDefault="00390F61">
          <w:pPr>
            <w:pStyle w:val="Header"/>
            <w:spacing w:line="276" w:lineRule="auto"/>
          </w:pPr>
          <w:r>
            <w:rPr>
              <w:b/>
              <w:color w:val="1F497D"/>
              <w:sz w:val="28"/>
            </w:rPr>
            <w:fldChar w:fldCharType="begin"/>
          </w:r>
          <w:r>
            <w:rPr>
              <w:b/>
              <w:color w:val="1F497D"/>
              <w:sz w:val="28"/>
            </w:rPr>
            <w:instrText xml:space="preserve"> PAGE </w:instrText>
          </w:r>
          <w:r>
            <w:rPr>
              <w:b/>
              <w:color w:val="1F497D"/>
              <w:sz w:val="28"/>
            </w:rPr>
            <w:fldChar w:fldCharType="separate"/>
          </w:r>
          <w:r>
            <w:rPr>
              <w:b/>
              <w:noProof/>
              <w:color w:val="1F497D"/>
              <w:sz w:val="28"/>
            </w:rPr>
            <w:t>31</w:t>
          </w:r>
          <w:r>
            <w:rPr>
              <w:b/>
              <w:color w:val="1F497D"/>
              <w:sz w:val="28"/>
            </w:rPr>
            <w:fldChar w:fldCharType="end"/>
          </w:r>
        </w:p>
      </w:tc>
    </w:tr>
  </w:tbl>
  <w:p w:rsidR="0017500B" w:rsidRDefault="0017500B">
    <w:pPr>
      <w:pStyle w:val="Header"/>
      <w:rPr>
        <w:color w:val="1F497D"/>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17500B">
      <w:tc>
        <w:tcPr>
          <w:tcW w:w="8810" w:type="dxa"/>
          <w:shd w:val="clear" w:color="auto" w:fill="auto"/>
        </w:tcPr>
        <w:p w:rsidR="0017500B" w:rsidRDefault="00390F61">
          <w:pPr>
            <w:pStyle w:val="Header"/>
            <w:spacing w:line="276" w:lineRule="auto"/>
            <w:jc w:val="right"/>
          </w:pPr>
          <w:r>
            <w:rPr>
              <w:b/>
              <w:color w:val="1F497D"/>
            </w:rPr>
            <w:t>Belgium</w:t>
          </w:r>
        </w:p>
      </w:tc>
      <w:tc>
        <w:tcPr>
          <w:tcW w:w="1152" w:type="dxa"/>
          <w:tcBorders>
            <w:left w:val="single" w:sz="4" w:space="0" w:color="000000"/>
          </w:tcBorders>
          <w:shd w:val="clear" w:color="auto" w:fill="auto"/>
        </w:tcPr>
        <w:p w:rsidR="0017500B" w:rsidRDefault="00390F61">
          <w:pPr>
            <w:pStyle w:val="Header"/>
            <w:spacing w:line="276" w:lineRule="auto"/>
          </w:pPr>
          <w:r>
            <w:rPr>
              <w:b/>
              <w:color w:val="1F497D"/>
              <w:sz w:val="28"/>
            </w:rPr>
            <w:fldChar w:fldCharType="begin"/>
          </w:r>
          <w:r>
            <w:rPr>
              <w:b/>
              <w:color w:val="1F497D"/>
              <w:sz w:val="28"/>
            </w:rPr>
            <w:instrText xml:space="preserve"> PAGE </w:instrText>
          </w:r>
          <w:r>
            <w:rPr>
              <w:b/>
              <w:color w:val="1F497D"/>
              <w:sz w:val="28"/>
            </w:rPr>
            <w:fldChar w:fldCharType="separate"/>
          </w:r>
          <w:r>
            <w:rPr>
              <w:b/>
              <w:noProof/>
              <w:color w:val="1F497D"/>
              <w:sz w:val="28"/>
            </w:rPr>
            <w:t>36</w:t>
          </w:r>
          <w:r>
            <w:rPr>
              <w:b/>
              <w:color w:val="1F497D"/>
              <w:sz w:val="28"/>
            </w:rPr>
            <w:fldChar w:fldCharType="end"/>
          </w:r>
        </w:p>
      </w:tc>
    </w:tr>
  </w:tbl>
  <w:p w:rsidR="0017500B" w:rsidRDefault="0017500B">
    <w:pPr>
      <w:pStyle w:val="Header"/>
      <w:rPr>
        <w:color w:val="1F497D"/>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17500B">
      <w:tc>
        <w:tcPr>
          <w:tcW w:w="8810" w:type="dxa"/>
          <w:shd w:val="clear" w:color="auto" w:fill="auto"/>
        </w:tcPr>
        <w:p w:rsidR="0017500B" w:rsidRDefault="00390F61">
          <w:pPr>
            <w:pStyle w:val="Header"/>
            <w:spacing w:line="276" w:lineRule="auto"/>
            <w:jc w:val="right"/>
          </w:pPr>
          <w:r>
            <w:rPr>
              <w:b/>
              <w:color w:val="1F497D"/>
            </w:rPr>
            <w:t>Belgium</w:t>
          </w:r>
        </w:p>
      </w:tc>
      <w:tc>
        <w:tcPr>
          <w:tcW w:w="1152" w:type="dxa"/>
          <w:tcBorders>
            <w:left w:val="single" w:sz="4" w:space="0" w:color="000000"/>
          </w:tcBorders>
          <w:shd w:val="clear" w:color="auto" w:fill="auto"/>
        </w:tcPr>
        <w:p w:rsidR="0017500B" w:rsidRDefault="00390F61">
          <w:pPr>
            <w:pStyle w:val="Header"/>
            <w:spacing w:line="276" w:lineRule="auto"/>
          </w:pPr>
          <w:r>
            <w:rPr>
              <w:b/>
              <w:color w:val="1F497D"/>
              <w:sz w:val="28"/>
            </w:rPr>
            <w:fldChar w:fldCharType="begin"/>
          </w:r>
          <w:r>
            <w:rPr>
              <w:b/>
              <w:color w:val="1F497D"/>
              <w:sz w:val="28"/>
            </w:rPr>
            <w:instrText xml:space="preserve"> PAGE  \* Arabic </w:instrText>
          </w:r>
          <w:r>
            <w:rPr>
              <w:b/>
              <w:color w:val="1F497D"/>
              <w:sz w:val="28"/>
            </w:rPr>
            <w:fldChar w:fldCharType="separate"/>
          </w:r>
          <w:r>
            <w:rPr>
              <w:b/>
              <w:noProof/>
              <w:color w:val="1F497D"/>
              <w:sz w:val="28"/>
            </w:rPr>
            <w:t>2</w:t>
          </w:r>
          <w:r>
            <w:rPr>
              <w:b/>
              <w:color w:val="1F497D"/>
              <w:sz w:val="28"/>
            </w:rPr>
            <w:fldChar w:fldCharType="end"/>
          </w:r>
        </w:p>
      </w:tc>
    </w:tr>
  </w:tbl>
  <w:p w:rsidR="0017500B" w:rsidRDefault="0017500B">
    <w:pPr>
      <w:pStyle w:val="Header"/>
      <w:rPr>
        <w:color w:val="1F497D"/>
      </w:rPr>
    </w:pPr>
  </w:p>
  <w:p w:rsidR="0017500B" w:rsidRDefault="00390F61">
    <w:pPr>
      <w:pStyle w:val="Header"/>
      <w:jc w:val="right"/>
    </w:pPr>
    <w:r>
      <w:ptab w:relativeTo="margin" w:alignment="center" w:leader="none"/>
    </w:r>
  </w:p>
  <w:p w:rsidR="0017500B" w:rsidRDefault="0017500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2" w:type="dxa"/>
      <w:tblLayout w:type="fixed"/>
      <w:tblLook w:val="0000" w:firstRow="0" w:lastRow="0" w:firstColumn="0" w:lastColumn="0" w:noHBand="0" w:noVBand="0"/>
    </w:tblPr>
    <w:tblGrid>
      <w:gridCol w:w="8810"/>
      <w:gridCol w:w="1152"/>
    </w:tblGrid>
    <w:tr w:rsidR="0017500B">
      <w:tc>
        <w:tcPr>
          <w:tcW w:w="8810" w:type="dxa"/>
          <w:shd w:val="clear" w:color="auto" w:fill="auto"/>
        </w:tcPr>
        <w:p w:rsidR="0017500B" w:rsidRDefault="00390F61">
          <w:pPr>
            <w:pStyle w:val="Header"/>
            <w:spacing w:line="276" w:lineRule="auto"/>
            <w:jc w:val="right"/>
          </w:pPr>
          <w:r>
            <w:rPr>
              <w:b/>
              <w:color w:val="1F497D"/>
            </w:rPr>
            <w:t>Belgium</w:t>
          </w:r>
        </w:p>
      </w:tc>
      <w:tc>
        <w:tcPr>
          <w:tcW w:w="1152" w:type="dxa"/>
          <w:tcBorders>
            <w:left w:val="single" w:sz="4" w:space="0" w:color="000000"/>
          </w:tcBorders>
          <w:shd w:val="clear" w:color="auto" w:fill="auto"/>
        </w:tcPr>
        <w:p w:rsidR="0017500B" w:rsidRDefault="00390F61">
          <w:pPr>
            <w:pStyle w:val="Header"/>
            <w:spacing w:line="276" w:lineRule="auto"/>
          </w:pPr>
          <w:r>
            <w:rPr>
              <w:b/>
              <w:color w:val="1F497D"/>
              <w:sz w:val="28"/>
            </w:rPr>
            <w:fldChar w:fldCharType="begin"/>
          </w:r>
          <w:r>
            <w:rPr>
              <w:b/>
              <w:color w:val="1F497D"/>
              <w:sz w:val="28"/>
            </w:rPr>
            <w:instrText xml:space="preserve"> PAGE  \* Arabic </w:instrText>
          </w:r>
          <w:r>
            <w:rPr>
              <w:b/>
              <w:color w:val="1F497D"/>
              <w:sz w:val="28"/>
            </w:rPr>
            <w:fldChar w:fldCharType="separate"/>
          </w:r>
          <w:r>
            <w:rPr>
              <w:b/>
              <w:noProof/>
              <w:color w:val="1F497D"/>
              <w:sz w:val="28"/>
            </w:rPr>
            <w:t>3</w:t>
          </w:r>
          <w:r>
            <w:rPr>
              <w:b/>
              <w:color w:val="1F497D"/>
              <w:sz w:val="28"/>
            </w:rPr>
            <w:fldChar w:fldCharType="end"/>
          </w:r>
        </w:p>
      </w:tc>
    </w:tr>
  </w:tbl>
  <w:p w:rsidR="0017500B" w:rsidRDefault="0017500B">
    <w:pPr>
      <w:pStyle w:val="Header"/>
      <w:rPr>
        <w:color w:val="1F497D"/>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0B" w:rsidRDefault="0017500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decimal"/>
      <w:lvlText w:val="%5"/>
      <w:lvlJc w:val="left"/>
      <w:pPr>
        <w:tabs>
          <w:tab w:val="num" w:pos="0"/>
        </w:tabs>
        <w:ind w:left="1008" w:hanging="1008"/>
      </w:pPr>
    </w:lvl>
    <w:lvl w:ilvl="5">
      <w:start w:val="1"/>
      <w:numFmt w:val="decimal"/>
      <w:lvlText w:val=".%6"/>
      <w:lvlJc w:val="left"/>
      <w:pPr>
        <w:tabs>
          <w:tab w:val="num" w:pos="0"/>
        </w:tabs>
        <w:ind w:left="1152" w:hanging="1152"/>
      </w:pPr>
    </w:lvl>
    <w:lvl w:ilvl="6">
      <w:start w:val="1"/>
      <w:numFmt w:val="decimal"/>
      <w:lvlText w:val="..%7"/>
      <w:lvlJc w:val="left"/>
      <w:pPr>
        <w:tabs>
          <w:tab w:val="num" w:pos="0"/>
        </w:tabs>
        <w:ind w:left="1296" w:hanging="1296"/>
      </w:pPr>
    </w:lvl>
    <w:lvl w:ilvl="7">
      <w:start w:val="1"/>
      <w:numFmt w:val="decimal"/>
      <w:lvlText w:val="...%8"/>
      <w:lvlJc w:val="left"/>
      <w:pPr>
        <w:tabs>
          <w:tab w:val="num" w:pos="0"/>
        </w:tabs>
        <w:ind w:left="1440" w:hanging="1440"/>
      </w:pPr>
    </w:lvl>
    <w:lvl w:ilvl="8">
      <w:start w:val="1"/>
      <w:numFmt w:val="decimal"/>
      <w:lvlText w:val="....%9"/>
      <w:lvlJc w:val="left"/>
      <w:pPr>
        <w:tabs>
          <w:tab w:val="num" w:pos="0"/>
        </w:tabs>
        <w:ind w:left="1584" w:hanging="1584"/>
      </w:pPr>
    </w:lvl>
  </w:abstractNum>
  <w:abstractNum w:abstractNumId="1">
    <w:nsid w:val="00000003"/>
    <w:multiLevelType w:val="singleLevel"/>
    <w:tmpl w:val="00000003"/>
    <w:name w:val="WW8Num3"/>
    <w:lvl w:ilvl="0">
      <w:start w:val="1"/>
      <w:numFmt w:val="bullet"/>
      <w:lvlText w:val=""/>
      <w:lvlJc w:val="left"/>
      <w:pPr>
        <w:tabs>
          <w:tab w:val="num" w:pos="0"/>
        </w:tabs>
        <w:ind w:left="360" w:hanging="360"/>
      </w:pPr>
      <w:rPr>
        <w:rFonts w:ascii="Symbol" w:hAnsi="Symbol" w:cs="Symbol"/>
        <w:szCs w:val="20"/>
      </w:rPr>
    </w:lvl>
  </w:abstractNum>
  <w:abstractNum w:abstractNumId="2">
    <w:nsid w:val="00000006"/>
    <w:multiLevelType w:val="singleLevel"/>
    <w:tmpl w:val="00000006"/>
    <w:name w:val="WW8Num6"/>
    <w:lvl w:ilvl="0">
      <w:start w:val="1"/>
      <w:numFmt w:val="bullet"/>
      <w:lvlText w:val=""/>
      <w:lvlJc w:val="left"/>
      <w:pPr>
        <w:tabs>
          <w:tab w:val="num" w:pos="0"/>
        </w:tabs>
        <w:ind w:left="360" w:hanging="360"/>
      </w:pPr>
      <w:rPr>
        <w:rFonts w:ascii="Symbol" w:hAnsi="Symbol" w:cs="Times New Roman" w:hint="default"/>
        <w:color w:val="auto"/>
        <w:sz w:val="24"/>
      </w:rPr>
    </w:lvl>
  </w:abstractNum>
  <w:abstractNum w:abstractNumId="3">
    <w:nsid w:val="00000007"/>
    <w:multiLevelType w:val="singleLevel"/>
    <w:tmpl w:val="00000007"/>
    <w:name w:val="WW8Num7"/>
    <w:lvl w:ilvl="0">
      <w:numFmt w:val="bullet"/>
      <w:lvlText w:val="-"/>
      <w:lvlJc w:val="left"/>
      <w:pPr>
        <w:tabs>
          <w:tab w:val="num" w:pos="0"/>
        </w:tabs>
        <w:ind w:left="720" w:hanging="360"/>
      </w:pPr>
      <w:rPr>
        <w:rFonts w:ascii="Calibri" w:hAnsi="Calibri" w:cs="Symbol" w:hint="default"/>
        <w:color w:val="auto"/>
        <w:sz w:val="24"/>
      </w:rPr>
    </w:lvl>
  </w:abstractNum>
  <w:abstractNum w:abstractNumId="4">
    <w:nsid w:val="00000008"/>
    <w:multiLevelType w:val="singleLevel"/>
    <w:tmpl w:val="00000008"/>
    <w:name w:val="WW8Num8"/>
    <w:lvl w:ilvl="0">
      <w:start w:val="1"/>
      <w:numFmt w:val="bullet"/>
      <w:lvlText w:val=""/>
      <w:lvlJc w:val="left"/>
      <w:pPr>
        <w:tabs>
          <w:tab w:val="num" w:pos="0"/>
        </w:tabs>
        <w:ind w:left="360" w:hanging="360"/>
      </w:pPr>
      <w:rPr>
        <w:rFonts w:ascii="Symbol" w:hAnsi="Symbol" w:cs="Symbol" w:hint="default"/>
        <w:color w:val="auto"/>
      </w:rPr>
    </w:lvl>
  </w:abstractNum>
  <w:abstractNum w:abstractNumId="5">
    <w:nsid w:val="00000009"/>
    <w:multiLevelType w:val="singleLevel"/>
    <w:tmpl w:val="00000009"/>
    <w:name w:val="WW8Num9"/>
    <w:lvl w:ilvl="0">
      <w:start w:val="1"/>
      <w:numFmt w:val="bullet"/>
      <w:lvlText w:val=""/>
      <w:lvlJc w:val="left"/>
      <w:pPr>
        <w:tabs>
          <w:tab w:val="num" w:pos="0"/>
        </w:tabs>
        <w:ind w:left="360" w:hanging="360"/>
      </w:pPr>
      <w:rPr>
        <w:rFonts w:ascii="Symbol" w:hAnsi="Symbol" w:cs="Times New Roman"/>
        <w:color w:val="auto"/>
      </w:rPr>
    </w:lvl>
  </w:abstractNum>
  <w:abstractNum w:abstractNumId="6">
    <w:nsid w:val="00000011"/>
    <w:multiLevelType w:val="singleLevel"/>
    <w:tmpl w:val="00000011"/>
    <w:name w:val="WW8Num17"/>
    <w:lvl w:ilvl="0">
      <w:start w:val="1"/>
      <w:numFmt w:val="decimal"/>
      <w:lvlText w:val="%1."/>
      <w:lvlJc w:val="left"/>
      <w:pPr>
        <w:tabs>
          <w:tab w:val="num" w:pos="0"/>
        </w:tabs>
        <w:ind w:left="720" w:hanging="360"/>
      </w:pPr>
      <w:rPr>
        <w:rFonts w:ascii="Wingdings" w:eastAsia="Calibri" w:hAnsi="Wingdings" w:cs="AdvOTbc475f09" w:hint="default"/>
        <w:b/>
        <w:bCs/>
        <w:color w:val="auto"/>
      </w:rPr>
    </w:lvl>
  </w:abstractNum>
  <w:abstractNum w:abstractNumId="7">
    <w:nsid w:val="00000013"/>
    <w:multiLevelType w:val="singleLevel"/>
    <w:tmpl w:val="00000013"/>
    <w:name w:val="WW8Num19"/>
    <w:lvl w:ilvl="0">
      <w:start w:val="1"/>
      <w:numFmt w:val="bullet"/>
      <w:lvlText w:val=""/>
      <w:lvlJc w:val="left"/>
      <w:pPr>
        <w:tabs>
          <w:tab w:val="num" w:pos="0"/>
        </w:tabs>
        <w:ind w:left="360" w:hanging="360"/>
      </w:pPr>
      <w:rPr>
        <w:rFonts w:ascii="Symbol" w:hAnsi="Symbol" w:cs="Symbol" w:hint="default"/>
        <w:color w:val="000000"/>
        <w:szCs w:val="20"/>
        <w:lang w:val="en-US"/>
      </w:rPr>
    </w:lvl>
  </w:abstractNum>
  <w:abstractNum w:abstractNumId="8">
    <w:nsid w:val="00000014"/>
    <w:multiLevelType w:val="singleLevel"/>
    <w:tmpl w:val="00000014"/>
    <w:name w:val="WW8Num20"/>
    <w:lvl w:ilvl="0">
      <w:start w:val="1"/>
      <w:numFmt w:val="bullet"/>
      <w:lvlText w:val=""/>
      <w:lvlJc w:val="left"/>
      <w:pPr>
        <w:tabs>
          <w:tab w:val="num" w:pos="0"/>
        </w:tabs>
        <w:ind w:left="360" w:hanging="360"/>
      </w:pPr>
      <w:rPr>
        <w:rFonts w:ascii="Symbol" w:hAnsi="Symbol" w:cs="Symbol" w:hint="default"/>
      </w:rPr>
    </w:lvl>
  </w:abstractNum>
  <w:abstractNum w:abstractNumId="9">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05B762A4"/>
    <w:multiLevelType w:val="hybridMultilevel"/>
    <w:tmpl w:val="DE24980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084E3966"/>
    <w:multiLevelType w:val="hybridMultilevel"/>
    <w:tmpl w:val="8D9E6E98"/>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13">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14">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5">
    <w:nsid w:val="259C7F6C"/>
    <w:multiLevelType w:val="hybridMultilevel"/>
    <w:tmpl w:val="5608C3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7">
    <w:nsid w:val="2DFB2396"/>
    <w:multiLevelType w:val="hybridMultilevel"/>
    <w:tmpl w:val="C0CE51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9">
    <w:nsid w:val="3FFB4227"/>
    <w:multiLevelType w:val="hybridMultilevel"/>
    <w:tmpl w:val="39805D56"/>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21D1682"/>
    <w:multiLevelType w:val="hybridMultilevel"/>
    <w:tmpl w:val="BFCA53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4B92658"/>
    <w:multiLevelType w:val="hybridMultilevel"/>
    <w:tmpl w:val="5A18A4F0"/>
    <w:lvl w:ilvl="0" w:tplc="08090001">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Calibr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5783D15"/>
    <w:multiLevelType w:val="hybridMultilevel"/>
    <w:tmpl w:val="6B6441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8621752"/>
    <w:multiLevelType w:val="hybridMultilevel"/>
    <w:tmpl w:val="A32EA9B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8D42570"/>
    <w:multiLevelType w:val="hybridMultilevel"/>
    <w:tmpl w:val="F9F248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9EF108E"/>
    <w:multiLevelType w:val="hybridMultilevel"/>
    <w:tmpl w:val="F48C54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262505F"/>
    <w:multiLevelType w:val="hybridMultilevel"/>
    <w:tmpl w:val="49523C5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32">
    <w:nsid w:val="556F3DEA"/>
    <w:multiLevelType w:val="hybridMultilevel"/>
    <w:tmpl w:val="0F720CF0"/>
    <w:lvl w:ilvl="0" w:tplc="C3DC709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BC90AEA"/>
    <w:multiLevelType w:val="hybridMultilevel"/>
    <w:tmpl w:val="E08AA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5BF46A0E"/>
    <w:multiLevelType w:val="hybridMultilevel"/>
    <w:tmpl w:val="D2187C76"/>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04C7BAC"/>
    <w:multiLevelType w:val="hybridMultilevel"/>
    <w:tmpl w:val="A7BC59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614260A6"/>
    <w:multiLevelType w:val="hybridMultilevel"/>
    <w:tmpl w:val="376A579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nsid w:val="61CD3ADD"/>
    <w:multiLevelType w:val="hybridMultilevel"/>
    <w:tmpl w:val="A24CB7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39">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4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41">
    <w:nsid w:val="67BE2C0B"/>
    <w:multiLevelType w:val="hybridMultilevel"/>
    <w:tmpl w:val="EE22294E"/>
    <w:lvl w:ilvl="0" w:tplc="E534948A">
      <w:start w:val="1"/>
      <w:numFmt w:val="decimal"/>
      <w:lvlText w:val="%1."/>
      <w:lvlJc w:val="left"/>
      <w:pPr>
        <w:ind w:left="1080"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nsid w:val="68334613"/>
    <w:multiLevelType w:val="hybridMultilevel"/>
    <w:tmpl w:val="0E180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44">
    <w:nsid w:val="73D27E57"/>
    <w:multiLevelType w:val="hybridMultilevel"/>
    <w:tmpl w:val="02500590"/>
    <w:lvl w:ilvl="0" w:tplc="DEB43526">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5FE6922"/>
    <w:multiLevelType w:val="multilevel"/>
    <w:tmpl w:val="15A6DB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nsid w:val="773D42BA"/>
    <w:multiLevelType w:val="hybridMultilevel"/>
    <w:tmpl w:val="5C208C8A"/>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78471B34"/>
    <w:multiLevelType w:val="hybridMultilevel"/>
    <w:tmpl w:val="B2725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5"/>
  </w:num>
  <w:num w:numId="2">
    <w:abstractNumId w:val="24"/>
  </w:num>
  <w:num w:numId="3">
    <w:abstractNumId w:val="42"/>
  </w:num>
  <w:num w:numId="4">
    <w:abstractNumId w:val="33"/>
  </w:num>
  <w:num w:numId="5">
    <w:abstractNumId w:val="22"/>
  </w:num>
  <w:num w:numId="6">
    <w:abstractNumId w:val="19"/>
  </w:num>
  <w:num w:numId="7">
    <w:abstractNumId w:val="46"/>
  </w:num>
  <w:num w:numId="8">
    <w:abstractNumId w:val="31"/>
  </w:num>
  <w:num w:numId="9">
    <w:abstractNumId w:val="18"/>
  </w:num>
  <w:num w:numId="10">
    <w:abstractNumId w:val="16"/>
  </w:num>
  <w:num w:numId="11">
    <w:abstractNumId w:val="13"/>
  </w:num>
  <w:num w:numId="12">
    <w:abstractNumId w:val="12"/>
  </w:num>
  <w:num w:numId="13">
    <w:abstractNumId w:val="38"/>
  </w:num>
  <w:num w:numId="14">
    <w:abstractNumId w:val="40"/>
  </w:num>
  <w:num w:numId="15">
    <w:abstractNumId w:val="39"/>
  </w:num>
  <w:num w:numId="16">
    <w:abstractNumId w:val="43"/>
  </w:num>
  <w:num w:numId="17">
    <w:abstractNumId w:val="14"/>
  </w:num>
  <w:num w:numId="18">
    <w:abstractNumId w:val="21"/>
  </w:num>
  <w:num w:numId="19">
    <w:abstractNumId w:val="25"/>
  </w:num>
  <w:num w:numId="20">
    <w:abstractNumId w:val="23"/>
  </w:num>
  <w:num w:numId="21">
    <w:abstractNumId w:val="9"/>
  </w:num>
  <w:num w:numId="22">
    <w:abstractNumId w:val="27"/>
  </w:num>
  <w:num w:numId="23">
    <w:abstractNumId w:val="32"/>
  </w:num>
  <w:num w:numId="24">
    <w:abstractNumId w:val="0"/>
  </w:num>
  <w:num w:numId="25">
    <w:abstractNumId w:val="1"/>
  </w:num>
  <w:num w:numId="26">
    <w:abstractNumId w:val="2"/>
  </w:num>
  <w:num w:numId="27">
    <w:abstractNumId w:val="3"/>
  </w:num>
  <w:num w:numId="28">
    <w:abstractNumId w:val="4"/>
  </w:num>
  <w:num w:numId="29">
    <w:abstractNumId w:val="5"/>
  </w:num>
  <w:num w:numId="30">
    <w:abstractNumId w:val="6"/>
  </w:num>
  <w:num w:numId="31">
    <w:abstractNumId w:val="7"/>
  </w:num>
  <w:num w:numId="32">
    <w:abstractNumId w:val="8"/>
  </w:num>
  <w:num w:numId="33">
    <w:abstractNumId w:val="41"/>
  </w:num>
  <w:num w:numId="34">
    <w:abstractNumId w:val="29"/>
  </w:num>
  <w:num w:numId="35">
    <w:abstractNumId w:val="34"/>
  </w:num>
  <w:num w:numId="36">
    <w:abstractNumId w:val="11"/>
  </w:num>
  <w:num w:numId="37">
    <w:abstractNumId w:val="36"/>
  </w:num>
  <w:num w:numId="38">
    <w:abstractNumId w:val="44"/>
  </w:num>
  <w:num w:numId="39">
    <w:abstractNumId w:val="15"/>
  </w:num>
  <w:num w:numId="40">
    <w:abstractNumId w:val="28"/>
  </w:num>
  <w:num w:numId="41">
    <w:abstractNumId w:val="20"/>
  </w:num>
  <w:num w:numId="42">
    <w:abstractNumId w:val="47"/>
  </w:num>
  <w:num w:numId="43">
    <w:abstractNumId w:val="37"/>
  </w:num>
  <w:num w:numId="44">
    <w:abstractNumId w:val="35"/>
  </w:num>
  <w:num w:numId="45">
    <w:abstractNumId w:val="26"/>
  </w:num>
  <w:num w:numId="46">
    <w:abstractNumId w:val="30"/>
  </w:num>
  <w:num w:numId="47">
    <w:abstractNumId w:val="10"/>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hideGrammaticalError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BCBFBC3863804B8D8A4FB28A10654C38"/>
    <w:docVar w:name="LW_CROSSREFERENCE" w:val="{COM(2017) 63 final}_x000a_{SWD(2017) 33 final}_x000a_{SWD(2017) 35 - 60 final}"/>
    <w:docVar w:name="LW_DocType" w:val="NORMAL"/>
    <w:docVar w:name="LW_EMISSION" w:val="3.2.2017"/>
    <w:docVar w:name="LW_EMISSION_ISODATE" w:val="2017-02-03"/>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The EU Environmental Implementation Review: Common Challenges and how to combine efforts to deliver better results _x000b_"/>
    <w:docVar w:name="LW_PART_NBR" w:val="1"/>
    <w:docVar w:name="LW_PART_NBR_TOTAL" w:val="1"/>
    <w:docVar w:name="LW_REF.INST.NEW" w:val="SWD"/>
    <w:docVar w:name="LW_REF.INST.NEW_ADOPTED" w:val="final"/>
    <w:docVar w:name="LW_REF.INST.NEW_TEXT" w:val="(2017) 34"/>
    <w:docVar w:name="LW_REF.INTERNE" w:val="&lt;UNUSED&gt;"/>
    <w:docVar w:name="LW_SUPERTITRE" w:val="&lt;UNUSED&gt;"/>
    <w:docVar w:name="LW_TITRE.OBJ.CP" w:val="The EU Environmental Implementation Review _x000b_Country Report - BELGIUM_x000b__x000b_"/>
    <w:docVar w:name="LW_TYPE.DOC.CP" w:val="COMMISSION STAFF WORKING DOCUMENT"/>
    <w:docVar w:name="LW_TYPEACTEPRINCIPAL.CP" w:val="Communication from the Commission to the European Parliament, the Council, the European Economic and Social Committee and the Committee of the Regions"/>
  </w:docVars>
  <w:rsids>
    <w:rsidRoot w:val="0017500B"/>
    <w:rsid w:val="0017500B"/>
    <w:rsid w:val="00390F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footer" w:uiPriority="0"/>
    <w:lsdException w:name="caption" w:uiPriority="0" w:qFormat="1"/>
    <w:lsdException w:name="footnote reference" w:qFormat="1"/>
    <w:lsdException w:name="endnote reference" w:uiPriority="0"/>
    <w:lsdException w:name="endnote text"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qFormat/>
    <w:pPr>
      <w:keepNext/>
      <w:keepLines/>
      <w:numPr>
        <w:numId w:val="38"/>
      </w:numPr>
      <w:spacing w:after="240" w:line="240" w:lineRule="auto"/>
      <w:ind w:left="714" w:hanging="357"/>
      <w:jc w:val="center"/>
      <w:outlineLvl w:val="0"/>
    </w:pPr>
    <w:rPr>
      <w:rFonts w:ascii="Calibri" w:eastAsia="MS Gothic" w:hAnsi="Calibri" w:cs="Times New Roman"/>
      <w:b/>
      <w:bCs/>
      <w:color w:val="1F497D"/>
      <w:sz w:val="32"/>
      <w:szCs w:val="28"/>
      <w:lang w:eastAsia="ar-SA"/>
    </w:rPr>
  </w:style>
  <w:style w:type="paragraph" w:styleId="Heading2">
    <w:name w:val="heading 2"/>
    <w:basedOn w:val="Normal"/>
    <w:next w:val="Normal"/>
    <w:link w:val="Heading2Char"/>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rPr>
      <w:rFonts w:ascii="Calibri" w:eastAsia="MS Gothic" w:hAnsi="Calibri" w:cs="Times New Roman"/>
      <w:b/>
      <w:bCs/>
      <w:color w:val="1F497D"/>
      <w:sz w:val="32"/>
      <w:szCs w:val="28"/>
      <w:lang w:eastAsia="ar-SA"/>
    </w:rPr>
  </w:style>
  <w:style w:type="character" w:customStyle="1" w:styleId="Heading2Char">
    <w:name w:val="Heading 2 Char"/>
    <w:basedOn w:val="DefaultParagraphFont"/>
    <w:link w:val="Heading2"/>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rPr>
      <w:rFonts w:ascii="Calibri" w:eastAsia="Calibri" w:hAnsi="Calibri" w:cs="Times New Roman"/>
      <w:b/>
      <w:color w:val="1F497D"/>
      <w:szCs w:val="20"/>
    </w:rPr>
  </w:style>
  <w:style w:type="character" w:customStyle="1" w:styleId="Heading4Char">
    <w:name w:val="Heading 4 Char"/>
    <w:basedOn w:val="DefaultParagraphFont"/>
    <w:link w:val="Heading4"/>
    <w:rPr>
      <w:rFonts w:ascii="Cambria" w:eastAsia="Times New Roman" w:hAnsi="Cambria" w:cs="Times New Roman"/>
      <w:b/>
      <w:bCs/>
      <w:i/>
      <w:iCs/>
      <w:color w:val="4F81BD"/>
      <w:sz w:val="20"/>
    </w:rPr>
  </w:style>
  <w:style w:type="character" w:customStyle="1" w:styleId="Heading5Char">
    <w:name w:val="Heading 5 Char"/>
    <w:basedOn w:val="DefaultParagraphFont"/>
    <w:link w:val="Heading5"/>
    <w:rPr>
      <w:rFonts w:ascii="Cambria" w:eastAsia="Times New Roman" w:hAnsi="Cambria" w:cs="Times New Roman"/>
      <w:color w:val="243F60"/>
      <w:sz w:val="20"/>
    </w:rPr>
  </w:style>
  <w:style w:type="character" w:customStyle="1" w:styleId="Heading6Char">
    <w:name w:val="Heading 6 Char"/>
    <w:basedOn w:val="DefaultParagraphFont"/>
    <w:link w:val="Heading6"/>
    <w:rPr>
      <w:rFonts w:ascii="Cambria" w:eastAsia="Times New Roman" w:hAnsi="Cambria" w:cs="Times New Roman"/>
      <w:i/>
      <w:iCs/>
      <w:color w:val="243F60"/>
      <w:sz w:val="20"/>
    </w:rPr>
  </w:style>
  <w:style w:type="character" w:customStyle="1" w:styleId="Heading7Char">
    <w:name w:val="Heading 7 Char"/>
    <w:basedOn w:val="DefaultParagraphFont"/>
    <w:link w:val="Heading7"/>
    <w:rPr>
      <w:rFonts w:ascii="Cambria" w:eastAsia="Times New Roman" w:hAnsi="Cambria" w:cs="Times New Roman"/>
      <w:i/>
      <w:iCs/>
      <w:color w:val="404040"/>
      <w:sz w:val="20"/>
    </w:rPr>
  </w:style>
  <w:style w:type="character" w:customStyle="1" w:styleId="Heading8Char">
    <w:name w:val="Heading 8 Char"/>
    <w:basedOn w:val="DefaultParagraphFont"/>
    <w:link w:val="Heading8"/>
    <w:rPr>
      <w:rFonts w:ascii="Cambria" w:eastAsia="Times New Roman" w:hAnsi="Cambria" w:cs="Times New Roman"/>
      <w:color w:val="404040"/>
      <w:sz w:val="20"/>
      <w:szCs w:val="20"/>
    </w:rPr>
  </w:style>
  <w:style w:type="character" w:customStyle="1" w:styleId="Heading9Char">
    <w:name w:val="Heading 9 Char"/>
    <w:basedOn w:val="DefaultParagraphFont"/>
    <w:link w:val="Heading9"/>
    <w:rPr>
      <w:rFonts w:ascii="Cambria" w:eastAsia="Times New Roman" w:hAnsi="Cambria" w:cs="Times New Roman"/>
      <w:i/>
      <w:iCs/>
      <w:color w:val="404040"/>
      <w:sz w:val="20"/>
      <w:szCs w:val="20"/>
    </w:rPr>
  </w:style>
  <w:style w:type="paragraph" w:styleId="BalloonText">
    <w:name w:val="Balloon Text"/>
    <w:basedOn w:val="Normal"/>
    <w:link w:val="BalloonTextChar"/>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rPr>
      <w:rFonts w:ascii="Tahoma" w:eastAsia="Calibri" w:hAnsi="Tahoma" w:cs="Tahoma"/>
      <w:sz w:val="16"/>
      <w:szCs w:val="16"/>
    </w:rPr>
  </w:style>
  <w:style w:type="paragraph" w:styleId="ListParagraph">
    <w:name w:val="List Paragraph"/>
    <w:aliases w:val="Heading 2_sj,List Paragraph1"/>
    <w:basedOn w:val="Normal"/>
    <w:link w:val="ListParagraphChar"/>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nhideWhenUsed/>
    <w:rPr>
      <w:b/>
      <w:bCs/>
    </w:rPr>
  </w:style>
  <w:style w:type="character" w:customStyle="1" w:styleId="CommentSubjectChar">
    <w:name w:val="Comment Subject Char"/>
    <w:basedOn w:val="CommentTextChar"/>
    <w:link w:val="CommentSubject"/>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rPr>
      <w:rFonts w:ascii="EUAlbertina" w:hAnsi="EUAlbertina" w:cs="Times New Roman"/>
      <w:color w:val="auto"/>
      <w:lang w:eastAsia="en-US"/>
    </w:rPr>
  </w:style>
  <w:style w:type="paragraph" w:customStyle="1" w:styleId="CM3">
    <w:name w:val="CM3"/>
    <w:basedOn w:val="Default"/>
    <w:next w:val="Default"/>
    <w:rPr>
      <w:rFonts w:ascii="EUAlbertina" w:hAnsi="EUAlbertina" w:cs="Times New Roman"/>
      <w:color w:val="auto"/>
      <w:lang w:eastAsia="en-US"/>
    </w:rPr>
  </w:style>
  <w:style w:type="paragraph" w:customStyle="1" w:styleId="CM4">
    <w:name w:val="CM4"/>
    <w:basedOn w:val="Default"/>
    <w:next w:val="Default"/>
    <w:rPr>
      <w:rFonts w:ascii="EUAlbertina" w:hAnsi="EUAlbertina" w:cs="Times New Roman"/>
      <w:color w:val="auto"/>
      <w:lang w:eastAsia="en-US"/>
    </w:rPr>
  </w:style>
  <w:style w:type="character" w:styleId="FollowedHyperlink">
    <w:name w:val="FollowedHyperlink"/>
    <w:basedOn w:val="DefaultParagraphFont"/>
    <w:unhideWhenUsed/>
    <w:rPr>
      <w:color w:val="800080"/>
      <w:u w:val="single"/>
    </w:rPr>
  </w:style>
  <w:style w:type="paragraph" w:styleId="Revision">
    <w:name w:val="Revision"/>
    <w: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qFormat/>
    <w:rPr>
      <w:lang w:eastAsia="ar-SA"/>
    </w:rPr>
  </w:style>
  <w:style w:type="character" w:customStyle="1" w:styleId="FootnoteCharacters">
    <w:name w:val="Footnote Characters"/>
  </w:style>
  <w:style w:type="character" w:styleId="Strong">
    <w:name w:val="Strong"/>
    <w:aliases w:val="SA"/>
    <w:basedOn w:val="Emphasis"/>
    <w:qFormat/>
    <w:rPr>
      <w:lang w:eastAsia="ar-SA"/>
    </w:rPr>
  </w:style>
  <w:style w:type="paragraph" w:styleId="Caption">
    <w:name w:val="caption"/>
    <w:basedOn w:val="Normal"/>
    <w:next w:val="Normal"/>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spacing w:after="0" w:line="240" w:lineRule="auto"/>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numbering" w:customStyle="1" w:styleId="NoList11">
    <w:name w:val="No List11"/>
    <w:next w:val="No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rPr>
      <w:rFonts w:ascii="Times New Roman" w:hAnsi="Times New Roman" w:cs="Times New Roman"/>
    </w:rPr>
  </w:style>
  <w:style w:type="character" w:customStyle="1" w:styleId="WW8Num1z3">
    <w:name w:val="WW8Num1z3"/>
    <w:rPr>
      <w:rFonts w:ascii="Symbol" w:hAnsi="Symbol" w:cs="Symbol"/>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szCs w:val="20"/>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szCs w:val="20"/>
    </w:rPr>
  </w:style>
  <w:style w:type="character" w:customStyle="1" w:styleId="WW8Num4z0">
    <w:name w:val="WW8Num4z0"/>
    <w:rPr>
      <w:rFonts w:ascii="Symbol" w:hAnsi="Symbol" w:cs="Symbol"/>
    </w:rPr>
  </w:style>
  <w:style w:type="character" w:customStyle="1" w:styleId="WW8Num5z0">
    <w:name w:val="WW8Num5z0"/>
    <w:rPr>
      <w:rFonts w:ascii="Symbol" w:hAnsi="Symbol" w:cs="Symbol" w:hint="default"/>
      <w:color w:val="auto"/>
    </w:rPr>
  </w:style>
  <w:style w:type="character" w:customStyle="1" w:styleId="WW8Num6z0">
    <w:name w:val="WW8Num6z0"/>
    <w:rPr>
      <w:rFonts w:ascii="Calibri" w:eastAsia="Calibri" w:hAnsi="Calibri" w:cs="Times New Roman" w:hint="default"/>
      <w:color w:val="auto"/>
      <w:sz w:val="24"/>
    </w:rPr>
  </w:style>
  <w:style w:type="character" w:customStyle="1" w:styleId="WW8Num7z0">
    <w:name w:val="WW8Num7z0"/>
    <w:rPr>
      <w:rFonts w:ascii="Symbol" w:hAnsi="Symbol" w:cs="Symbol" w:hint="default"/>
      <w:color w:val="auto"/>
      <w:sz w:val="24"/>
    </w:rPr>
  </w:style>
  <w:style w:type="character" w:customStyle="1" w:styleId="WW8Num8z0">
    <w:name w:val="WW8Num8z0"/>
    <w:rPr>
      <w:rFonts w:ascii="Symbol" w:hAnsi="Symbol" w:cs="Symbol" w:hint="default"/>
      <w:color w:val="auto"/>
    </w:rPr>
  </w:style>
  <w:style w:type="character" w:customStyle="1" w:styleId="WW8Num9z0">
    <w:name w:val="WW8Num9z0"/>
    <w:rPr>
      <w:rFonts w:ascii="Times New Roman" w:hAnsi="Times New Roman" w:cs="Times New Roman"/>
      <w:color w:val="auto"/>
    </w:rPr>
  </w:style>
  <w:style w:type="character" w:customStyle="1" w:styleId="WW8Num10z0">
    <w:name w:val="WW8Num10z0"/>
    <w:rPr>
      <w:rFonts w:ascii="Symbol" w:hAnsi="Symbol" w:cs="Symbol"/>
    </w:rPr>
  </w:style>
  <w:style w:type="character" w:customStyle="1" w:styleId="WW8Num11z0">
    <w:name w:val="WW8Num11z0"/>
    <w:rPr>
      <w:rFonts w:ascii="Symbol" w:hAnsi="Symbol" w:cs="Symbol"/>
    </w:rPr>
  </w:style>
  <w:style w:type="character" w:customStyle="1" w:styleId="WW8Num12z0">
    <w:name w:val="WW8Num12z0"/>
  </w:style>
  <w:style w:type="character" w:customStyle="1" w:styleId="WW8Num13z0">
    <w:name w:val="WW8Num13z0"/>
  </w:style>
  <w:style w:type="character" w:customStyle="1" w:styleId="WW8Num13z1">
    <w:name w:val="WW8Num13z1"/>
  </w:style>
  <w:style w:type="character" w:customStyle="1" w:styleId="WW8Num13z2">
    <w:name w:val="WW8Num13z2"/>
    <w:rPr>
      <w:rFonts w:ascii="Times New Roman" w:hAnsi="Times New Roman" w:cs="Times New Roman"/>
    </w:rPr>
  </w:style>
  <w:style w:type="character" w:customStyle="1" w:styleId="WW8Num13z3">
    <w:name w:val="WW8Num13z3"/>
    <w:rPr>
      <w:rFonts w:ascii="Symbol" w:hAnsi="Symbol" w:cs="Symbol"/>
    </w:rPr>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rPr>
      <w:rFonts w:ascii="Times New Roman" w:hAnsi="Times New Roman" w:cs="Times New Roman"/>
    </w:rPr>
  </w:style>
  <w:style w:type="character" w:customStyle="1" w:styleId="WW8Num14z3">
    <w:name w:val="WW8Num14z3"/>
    <w:rPr>
      <w:rFonts w:ascii="Symbol" w:hAnsi="Symbol" w:cs="Symbol"/>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rPr>
      <w:rFonts w:ascii="Times New Roman" w:hAnsi="Times New Roman" w:cs="Times New Roman"/>
    </w:rPr>
  </w:style>
  <w:style w:type="character" w:customStyle="1" w:styleId="WW8Num15z3">
    <w:name w:val="WW8Num15z3"/>
    <w:rPr>
      <w:rFonts w:ascii="Symbol" w:hAnsi="Symbol" w:cs="Symbol"/>
    </w:rPr>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eastAsia="Calibri" w:hint="default"/>
      <w:b/>
      <w:bCs/>
      <w:color w:val="auto"/>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Wingdings" w:eastAsia="Calibri" w:hAnsi="Wingdings" w:cs="AdvOTbc475f09" w:hint="default"/>
      <w:b/>
      <w:bCs/>
      <w:color w:val="auto"/>
    </w:rPr>
  </w:style>
  <w:style w:type="character" w:customStyle="1" w:styleId="WW8Num18z0">
    <w:name w:val="WW8Num18z0"/>
    <w:rPr>
      <w:rFonts w:ascii="Symbol" w:hAnsi="Symbol" w:cs="Symbol"/>
    </w:rPr>
  </w:style>
  <w:style w:type="character" w:customStyle="1" w:styleId="WW8Num19z0">
    <w:name w:val="WW8Num19z0"/>
    <w:rPr>
      <w:rFonts w:ascii="Symbol" w:hAnsi="Symbol" w:cs="Symbol" w:hint="default"/>
      <w:color w:val="000000"/>
      <w:szCs w:val="20"/>
      <w:lang w:val="en-US"/>
    </w:rPr>
  </w:style>
  <w:style w:type="character" w:customStyle="1" w:styleId="WW8Num20z0">
    <w:name w:val="WW8Num20z0"/>
    <w:rPr>
      <w:rFonts w:ascii="Symbol" w:hAnsi="Symbol" w:cs="Symbol" w:hint="default"/>
    </w:rPr>
  </w:style>
  <w:style w:type="character" w:customStyle="1" w:styleId="WW8Num21z0">
    <w:name w:val="WW8Num21z0"/>
    <w:rPr>
      <w:rFonts w:ascii="Times New Roman" w:hAnsi="Times New Roman" w:cs="Times New Roman"/>
    </w:rPr>
  </w:style>
  <w:style w:type="character" w:customStyle="1" w:styleId="WW8Num22z0">
    <w:name w:val="WW8Num22z0"/>
    <w:rPr>
      <w:rFonts w:ascii="Times New Roman" w:hAnsi="Times New Roman" w:cs="Times New Roman"/>
    </w:rPr>
  </w:style>
  <w:style w:type="character" w:customStyle="1" w:styleId="WW8Num23z0">
    <w:name w:val="WW8Num23z0"/>
    <w:rPr>
      <w:rFonts w:ascii="Times New Roman" w:hAnsi="Times New Roman" w:cs="Times New Roman"/>
    </w:rPr>
  </w:style>
  <w:style w:type="character" w:customStyle="1" w:styleId="WW8Num24z0">
    <w:name w:val="WW8Num24z0"/>
    <w:rPr>
      <w:rFonts w:ascii="Times New Roman" w:hAnsi="Times New Roman" w:cs="Times New Roman"/>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1">
    <w:name w:val="WW8Num8z1"/>
    <w:rPr>
      <w:rFonts w:ascii="Times New Roman" w:eastAsia="Calibri" w:hAnsi="Times New Roman" w:cs="Times New Roman" w:hint="default"/>
    </w:rPr>
  </w:style>
  <w:style w:type="character" w:customStyle="1" w:styleId="WW8Num8z2">
    <w:name w:val="WW8Num8z2"/>
    <w:rPr>
      <w:rFonts w:ascii="Wingdings" w:hAnsi="Wingdings" w:cs="Wingdings" w:hint="default"/>
    </w:rPr>
  </w:style>
  <w:style w:type="character" w:customStyle="1" w:styleId="WW8Num8z4">
    <w:name w:val="WW8Num8z4"/>
    <w:rPr>
      <w:rFonts w:ascii="Courier New" w:hAnsi="Courier New" w:cs="Courier New" w:hint="default"/>
    </w:rPr>
  </w:style>
  <w:style w:type="character" w:customStyle="1" w:styleId="WW8Num12z1">
    <w:name w:val="WW8Num12z1"/>
  </w:style>
  <w:style w:type="character" w:customStyle="1" w:styleId="WW8Num12z2">
    <w:name w:val="WW8Num12z2"/>
    <w:rPr>
      <w:rFonts w:ascii="Times New Roman" w:hAnsi="Times New Roman" w:cs="Times New Roman"/>
    </w:rPr>
  </w:style>
  <w:style w:type="character" w:customStyle="1" w:styleId="WW8Num12z3">
    <w:name w:val="WW8Num12z3"/>
    <w:rPr>
      <w:rFonts w:ascii="Symbol" w:hAnsi="Symbol" w:cs="Symbol"/>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5z0">
    <w:name w:val="WW8Num25z0"/>
    <w:rPr>
      <w:rFonts w:ascii="Symbol" w:hAnsi="Symbol" w:cs="Symbol" w:hint="default"/>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FootnoteCharacters">
    <w:name w:val="WW-Footnote Characters"/>
  </w:style>
  <w:style w:type="character" w:customStyle="1" w:styleId="SubtitleChar">
    <w:name w:val="Subtitle Char"/>
    <w:rPr>
      <w:rFonts w:cs="Calibri"/>
      <w:color w:val="1F497D"/>
      <w:sz w:val="22"/>
      <w:szCs w:val="26"/>
    </w:rPr>
  </w:style>
  <w:style w:type="character" w:customStyle="1" w:styleId="EndnoteTextChar">
    <w:name w:val="Endnote Text Char"/>
  </w:style>
  <w:style w:type="character" w:customStyle="1" w:styleId="EndnoteCharacters">
    <w:name w:val="Endnote Characters"/>
    <w:rPr>
      <w:vertAlign w:val="superscript"/>
    </w:rPr>
  </w:style>
  <w:style w:type="character" w:customStyle="1" w:styleId="VoetnoottekstChar">
    <w:name w:val="Voetnoottekst Char"/>
    <w:rPr>
      <w:rFonts w:eastAsia="Calibri"/>
      <w:sz w:val="18"/>
      <w:szCs w:val="18"/>
    </w:rPr>
  </w:style>
  <w:style w:type="character" w:customStyle="1" w:styleId="IndexLink">
    <w:name w:val="Index Link"/>
  </w:style>
  <w:style w:type="character" w:styleId="EndnoteReference">
    <w:name w:val="endnote reference"/>
    <w:rPr>
      <w:vertAlign w:val="superscript"/>
    </w:rPr>
  </w:style>
  <w:style w:type="paragraph" w:customStyle="1" w:styleId="Heading">
    <w:name w:val="Heading"/>
    <w:basedOn w:val="Normal"/>
    <w:next w:val="BodyText"/>
    <w:pPr>
      <w:keepNext/>
      <w:suppressAutoHyphens/>
      <w:spacing w:before="240" w:after="120" w:line="240" w:lineRule="auto"/>
      <w:jc w:val="both"/>
    </w:pPr>
    <w:rPr>
      <w:rFonts w:ascii="Arial" w:eastAsia="Microsoft YaHei" w:hAnsi="Arial" w:cs="Arial"/>
      <w:sz w:val="28"/>
      <w:szCs w:val="28"/>
      <w:lang w:eastAsia="ar-SA"/>
    </w:rPr>
  </w:style>
  <w:style w:type="paragraph" w:styleId="BodyText">
    <w:name w:val="Body Text"/>
    <w:basedOn w:val="Normal"/>
    <w:link w:val="BodyTextChar"/>
    <w:pPr>
      <w:suppressAutoHyphens/>
      <w:spacing w:after="120" w:line="240" w:lineRule="auto"/>
      <w:jc w:val="both"/>
    </w:pPr>
    <w:rPr>
      <w:rFonts w:ascii="Calibri" w:eastAsia="Calibri" w:hAnsi="Calibri" w:cs="Times New Roman"/>
      <w:sz w:val="20"/>
      <w:lang w:eastAsia="ar-SA"/>
    </w:rPr>
  </w:style>
  <w:style w:type="character" w:customStyle="1" w:styleId="BodyTextChar">
    <w:name w:val="Body Text Char"/>
    <w:basedOn w:val="DefaultParagraphFont"/>
    <w:link w:val="BodyText"/>
    <w:rPr>
      <w:rFonts w:ascii="Calibri" w:eastAsia="Calibri" w:hAnsi="Calibri" w:cs="Times New Roman"/>
      <w:sz w:val="20"/>
      <w:lang w:eastAsia="ar-SA"/>
    </w:rPr>
  </w:style>
  <w:style w:type="paragraph" w:styleId="List">
    <w:name w:val="List"/>
    <w:basedOn w:val="BodyText"/>
    <w:rPr>
      <w:rFonts w:cs="Arial"/>
    </w:rPr>
  </w:style>
  <w:style w:type="paragraph" w:customStyle="1" w:styleId="Index">
    <w:name w:val="Index"/>
    <w:basedOn w:val="Normal"/>
    <w:pPr>
      <w:suppressLineNumbers/>
      <w:suppressAutoHyphens/>
      <w:spacing w:after="120" w:line="240" w:lineRule="auto"/>
      <w:jc w:val="both"/>
    </w:pPr>
    <w:rPr>
      <w:rFonts w:ascii="Calibri" w:eastAsia="Calibri" w:hAnsi="Calibri" w:cs="Arial"/>
      <w:sz w:val="20"/>
      <w:lang w:eastAsia="ar-SA"/>
    </w:rPr>
  </w:style>
  <w:style w:type="character" w:customStyle="1" w:styleId="HeaderChar1">
    <w:name w:val="Header Char1"/>
    <w:basedOn w:val="DefaultParagraphFont"/>
    <w:rPr>
      <w:rFonts w:ascii="Calibri" w:eastAsia="Calibri" w:hAnsi="Calibri" w:cs="Times New Roman"/>
      <w:sz w:val="20"/>
      <w:lang w:eastAsia="ar-SA"/>
    </w:rPr>
  </w:style>
  <w:style w:type="character" w:customStyle="1" w:styleId="FooterChar1">
    <w:name w:val="Footer Char1"/>
    <w:basedOn w:val="DefaultParagraphFont"/>
    <w:rPr>
      <w:rFonts w:ascii="Calibri" w:eastAsia="Calibri" w:hAnsi="Calibri" w:cs="Times New Roman"/>
      <w:sz w:val="20"/>
      <w:lang w:eastAsia="ar-SA"/>
    </w:rPr>
  </w:style>
  <w:style w:type="character" w:customStyle="1" w:styleId="BalloonTextChar1">
    <w:name w:val="Balloon Text Char1"/>
    <w:basedOn w:val="DefaultParagraphFont"/>
    <w:rPr>
      <w:rFonts w:ascii="Tahoma" w:eastAsia="Calibri" w:hAnsi="Tahoma" w:cs="Tahoma"/>
      <w:sz w:val="16"/>
      <w:szCs w:val="16"/>
      <w:lang w:eastAsia="ar-SA"/>
    </w:rPr>
  </w:style>
  <w:style w:type="character" w:customStyle="1" w:styleId="CommentTextChar1">
    <w:name w:val="Comment Text Char1"/>
    <w:basedOn w:val="DefaultParagraphFont"/>
    <w:rPr>
      <w:rFonts w:ascii="Calibri" w:eastAsia="Calibri" w:hAnsi="Calibri" w:cs="Times New Roman"/>
      <w:sz w:val="20"/>
      <w:szCs w:val="20"/>
      <w:lang w:eastAsia="ar-SA"/>
    </w:rPr>
  </w:style>
  <w:style w:type="character" w:customStyle="1" w:styleId="CommentSubjectChar1">
    <w:name w:val="Comment Subject Char1"/>
    <w:basedOn w:val="CommentTextChar1"/>
    <w:rPr>
      <w:rFonts w:ascii="Calibri" w:eastAsia="Calibri" w:hAnsi="Calibri" w:cs="Times New Roman"/>
      <w:b/>
      <w:bCs/>
      <w:sz w:val="20"/>
      <w:szCs w:val="20"/>
      <w:lang w:eastAsia="ar-SA"/>
    </w:rPr>
  </w:style>
  <w:style w:type="paragraph" w:customStyle="1" w:styleId="WW-Default">
    <w:name w:val="WW-Default"/>
    <w:pPr>
      <w:suppressAutoHyphens/>
      <w:autoSpaceDE w:val="0"/>
      <w:spacing w:after="0" w:line="240" w:lineRule="auto"/>
    </w:pPr>
    <w:rPr>
      <w:rFonts w:ascii="Verdana" w:eastAsia="Calibri" w:hAnsi="Verdana" w:cs="Verdana"/>
      <w:color w:val="000000"/>
      <w:sz w:val="24"/>
      <w:szCs w:val="24"/>
      <w:lang w:eastAsia="ar-SA"/>
    </w:rPr>
  </w:style>
  <w:style w:type="paragraph" w:customStyle="1" w:styleId="centerleadin">
    <w:name w:val="center_leadin"/>
    <w:basedOn w:val="Normal"/>
    <w:pPr>
      <w:suppressAutoHyphens/>
      <w:spacing w:after="0" w:line="240" w:lineRule="auto"/>
    </w:pPr>
    <w:rPr>
      <w:rFonts w:ascii="Calibri" w:eastAsia="Calibri" w:hAnsi="Calibri" w:cs="Times New Roman"/>
      <w:sz w:val="17"/>
      <w:szCs w:val="17"/>
      <w:lang w:eastAsia="ar-SA"/>
    </w:rPr>
  </w:style>
  <w:style w:type="character" w:customStyle="1" w:styleId="QuoteChar1">
    <w:name w:val="Quote Char1"/>
    <w:basedOn w:val="DefaultParagraphFont"/>
    <w:uiPriority w:val="29"/>
    <w:rPr>
      <w:rFonts w:ascii="Calibri" w:eastAsia="Calibri" w:hAnsi="Calibri" w:cs="Times New Roman"/>
      <w:color w:val="FFFFFF"/>
      <w:sz w:val="20"/>
      <w:shd w:val="clear" w:color="auto" w:fill="4F81BD"/>
      <w:lang w:eastAsia="ar-SA"/>
    </w:rPr>
  </w:style>
  <w:style w:type="paragraph" w:styleId="Subtitle">
    <w:name w:val="Subtitle"/>
    <w:basedOn w:val="Heading4"/>
    <w:next w:val="Normal"/>
    <w:link w:val="SubtitleChar1"/>
    <w:qFormat/>
    <w:pPr>
      <w:keepNext w:val="0"/>
      <w:keepLines w:val="0"/>
      <w:numPr>
        <w:ilvl w:val="0"/>
        <w:numId w:val="0"/>
      </w:numPr>
      <w:suppressAutoHyphens/>
      <w:spacing w:before="0" w:after="120"/>
    </w:pPr>
    <w:rPr>
      <w:rFonts w:ascii="Calibri" w:eastAsia="Calibri" w:hAnsi="Calibri" w:cs="Calibri"/>
      <w:b w:val="0"/>
      <w:bCs w:val="0"/>
      <w:i w:val="0"/>
      <w:iCs w:val="0"/>
      <w:color w:val="1F497D"/>
      <w:sz w:val="22"/>
      <w:szCs w:val="26"/>
      <w:lang w:eastAsia="ar-SA"/>
    </w:rPr>
  </w:style>
  <w:style w:type="character" w:customStyle="1" w:styleId="SubtitleChar1">
    <w:name w:val="Subtitle Char1"/>
    <w:basedOn w:val="DefaultParagraphFont"/>
    <w:link w:val="Subtitle"/>
    <w:rPr>
      <w:rFonts w:ascii="Calibri" w:eastAsia="Calibri" w:hAnsi="Calibri" w:cs="Calibri"/>
      <w:color w:val="1F497D"/>
      <w:szCs w:val="26"/>
      <w:lang w:eastAsia="ar-SA"/>
    </w:rPr>
  </w:style>
  <w:style w:type="paragraph" w:styleId="EndnoteText">
    <w:name w:val="endnote text"/>
    <w:basedOn w:val="Normal"/>
    <w:link w:val="EndnoteTextChar1"/>
    <w:pPr>
      <w:suppressAutoHyphens/>
      <w:spacing w:after="0" w:line="240" w:lineRule="auto"/>
      <w:jc w:val="both"/>
    </w:pPr>
    <w:rPr>
      <w:rFonts w:ascii="Calibri" w:eastAsia="Calibri" w:hAnsi="Calibri" w:cs="Times New Roman"/>
      <w:sz w:val="20"/>
      <w:szCs w:val="20"/>
      <w:lang w:eastAsia="ar-SA"/>
    </w:rPr>
  </w:style>
  <w:style w:type="character" w:customStyle="1" w:styleId="EndnoteTextChar1">
    <w:name w:val="Endnote Text Char1"/>
    <w:basedOn w:val="DefaultParagraphFont"/>
    <w:link w:val="EndnoteText"/>
    <w:rPr>
      <w:rFonts w:ascii="Calibri" w:eastAsia="Calibri" w:hAnsi="Calibri" w:cs="Times New Roman"/>
      <w:sz w:val="20"/>
      <w:szCs w:val="20"/>
      <w:lang w:eastAsia="ar-SA"/>
    </w:rPr>
  </w:style>
  <w:style w:type="paragraph" w:styleId="TOC6">
    <w:name w:val="toc 6"/>
    <w:basedOn w:val="Index"/>
    <w:pPr>
      <w:tabs>
        <w:tab w:val="right" w:leader="dot" w:pos="8223"/>
      </w:tabs>
      <w:ind w:left="1415"/>
    </w:pPr>
  </w:style>
  <w:style w:type="paragraph" w:styleId="TOC7">
    <w:name w:val="toc 7"/>
    <w:basedOn w:val="Index"/>
    <w:pPr>
      <w:tabs>
        <w:tab w:val="right" w:leader="dot" w:pos="7940"/>
      </w:tabs>
      <w:ind w:left="1698"/>
    </w:pPr>
  </w:style>
  <w:style w:type="paragraph" w:styleId="TOC8">
    <w:name w:val="toc 8"/>
    <w:basedOn w:val="Index"/>
    <w:pPr>
      <w:tabs>
        <w:tab w:val="right" w:leader="dot" w:pos="7657"/>
      </w:tabs>
      <w:ind w:left="1981"/>
    </w:pPr>
  </w:style>
  <w:style w:type="paragraph" w:styleId="TOC9">
    <w:name w:val="toc 9"/>
    <w:basedOn w:val="Index"/>
    <w:pPr>
      <w:tabs>
        <w:tab w:val="right" w:leader="dot" w:pos="7374"/>
      </w:tabs>
      <w:ind w:left="2264"/>
    </w:pPr>
  </w:style>
  <w:style w:type="paragraph" w:customStyle="1" w:styleId="Contents10">
    <w:name w:val="Contents 10"/>
    <w:basedOn w:val="Index"/>
    <w:pPr>
      <w:tabs>
        <w:tab w:val="right" w:leader="dot" w:pos="7091"/>
      </w:tabs>
      <w:ind w:left="2547"/>
    </w:pPr>
  </w:style>
  <w:style w:type="paragraph" w:customStyle="1" w:styleId="TableContents">
    <w:name w:val="Table Contents"/>
    <w:basedOn w:val="Normal"/>
    <w:pPr>
      <w:suppressLineNumbers/>
      <w:suppressAutoHyphens/>
      <w:spacing w:after="120" w:line="240" w:lineRule="auto"/>
      <w:jc w:val="both"/>
    </w:pPr>
    <w:rPr>
      <w:rFonts w:ascii="Calibri" w:eastAsia="Calibri" w:hAnsi="Calibri" w:cs="Times New Roman"/>
      <w:sz w:val="20"/>
      <w:lang w:eastAsia="ar-SA"/>
    </w:r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footer" w:uiPriority="0"/>
    <w:lsdException w:name="caption" w:uiPriority="0" w:qFormat="1"/>
    <w:lsdException w:name="footnote reference" w:qFormat="1"/>
    <w:lsdException w:name="endnote reference" w:uiPriority="0"/>
    <w:lsdException w:name="endnote text"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qFormat/>
    <w:pPr>
      <w:keepNext/>
      <w:keepLines/>
      <w:numPr>
        <w:numId w:val="38"/>
      </w:numPr>
      <w:spacing w:after="240" w:line="240" w:lineRule="auto"/>
      <w:ind w:left="714" w:hanging="357"/>
      <w:jc w:val="center"/>
      <w:outlineLvl w:val="0"/>
    </w:pPr>
    <w:rPr>
      <w:rFonts w:ascii="Calibri" w:eastAsia="MS Gothic" w:hAnsi="Calibri" w:cs="Times New Roman"/>
      <w:b/>
      <w:bCs/>
      <w:color w:val="1F497D"/>
      <w:sz w:val="32"/>
      <w:szCs w:val="28"/>
      <w:lang w:eastAsia="ar-SA"/>
    </w:rPr>
  </w:style>
  <w:style w:type="paragraph" w:styleId="Heading2">
    <w:name w:val="heading 2"/>
    <w:basedOn w:val="Normal"/>
    <w:next w:val="Normal"/>
    <w:link w:val="Heading2Char"/>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rPr>
      <w:rFonts w:ascii="Calibri" w:eastAsia="MS Gothic" w:hAnsi="Calibri" w:cs="Times New Roman"/>
      <w:b/>
      <w:bCs/>
      <w:color w:val="1F497D"/>
      <w:sz w:val="32"/>
      <w:szCs w:val="28"/>
      <w:lang w:eastAsia="ar-SA"/>
    </w:rPr>
  </w:style>
  <w:style w:type="character" w:customStyle="1" w:styleId="Heading2Char">
    <w:name w:val="Heading 2 Char"/>
    <w:basedOn w:val="DefaultParagraphFont"/>
    <w:link w:val="Heading2"/>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rPr>
      <w:rFonts w:ascii="Calibri" w:eastAsia="Calibri" w:hAnsi="Calibri" w:cs="Times New Roman"/>
      <w:b/>
      <w:color w:val="1F497D"/>
      <w:szCs w:val="20"/>
    </w:rPr>
  </w:style>
  <w:style w:type="character" w:customStyle="1" w:styleId="Heading4Char">
    <w:name w:val="Heading 4 Char"/>
    <w:basedOn w:val="DefaultParagraphFont"/>
    <w:link w:val="Heading4"/>
    <w:rPr>
      <w:rFonts w:ascii="Cambria" w:eastAsia="Times New Roman" w:hAnsi="Cambria" w:cs="Times New Roman"/>
      <w:b/>
      <w:bCs/>
      <w:i/>
      <w:iCs/>
      <w:color w:val="4F81BD"/>
      <w:sz w:val="20"/>
    </w:rPr>
  </w:style>
  <w:style w:type="character" w:customStyle="1" w:styleId="Heading5Char">
    <w:name w:val="Heading 5 Char"/>
    <w:basedOn w:val="DefaultParagraphFont"/>
    <w:link w:val="Heading5"/>
    <w:rPr>
      <w:rFonts w:ascii="Cambria" w:eastAsia="Times New Roman" w:hAnsi="Cambria" w:cs="Times New Roman"/>
      <w:color w:val="243F60"/>
      <w:sz w:val="20"/>
    </w:rPr>
  </w:style>
  <w:style w:type="character" w:customStyle="1" w:styleId="Heading6Char">
    <w:name w:val="Heading 6 Char"/>
    <w:basedOn w:val="DefaultParagraphFont"/>
    <w:link w:val="Heading6"/>
    <w:rPr>
      <w:rFonts w:ascii="Cambria" w:eastAsia="Times New Roman" w:hAnsi="Cambria" w:cs="Times New Roman"/>
      <w:i/>
      <w:iCs/>
      <w:color w:val="243F60"/>
      <w:sz w:val="20"/>
    </w:rPr>
  </w:style>
  <w:style w:type="character" w:customStyle="1" w:styleId="Heading7Char">
    <w:name w:val="Heading 7 Char"/>
    <w:basedOn w:val="DefaultParagraphFont"/>
    <w:link w:val="Heading7"/>
    <w:rPr>
      <w:rFonts w:ascii="Cambria" w:eastAsia="Times New Roman" w:hAnsi="Cambria" w:cs="Times New Roman"/>
      <w:i/>
      <w:iCs/>
      <w:color w:val="404040"/>
      <w:sz w:val="20"/>
    </w:rPr>
  </w:style>
  <w:style w:type="character" w:customStyle="1" w:styleId="Heading8Char">
    <w:name w:val="Heading 8 Char"/>
    <w:basedOn w:val="DefaultParagraphFont"/>
    <w:link w:val="Heading8"/>
    <w:rPr>
      <w:rFonts w:ascii="Cambria" w:eastAsia="Times New Roman" w:hAnsi="Cambria" w:cs="Times New Roman"/>
      <w:color w:val="404040"/>
      <w:sz w:val="20"/>
      <w:szCs w:val="20"/>
    </w:rPr>
  </w:style>
  <w:style w:type="character" w:customStyle="1" w:styleId="Heading9Char">
    <w:name w:val="Heading 9 Char"/>
    <w:basedOn w:val="DefaultParagraphFont"/>
    <w:link w:val="Heading9"/>
    <w:rPr>
      <w:rFonts w:ascii="Cambria" w:eastAsia="Times New Roman" w:hAnsi="Cambria" w:cs="Times New Roman"/>
      <w:i/>
      <w:iCs/>
      <w:color w:val="404040"/>
      <w:sz w:val="20"/>
      <w:szCs w:val="20"/>
    </w:rPr>
  </w:style>
  <w:style w:type="paragraph" w:styleId="BalloonText">
    <w:name w:val="Balloon Text"/>
    <w:basedOn w:val="Normal"/>
    <w:link w:val="BalloonTextChar"/>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rPr>
      <w:rFonts w:ascii="Tahoma" w:eastAsia="Calibri" w:hAnsi="Tahoma" w:cs="Tahoma"/>
      <w:sz w:val="16"/>
      <w:szCs w:val="16"/>
    </w:rPr>
  </w:style>
  <w:style w:type="paragraph" w:styleId="ListParagraph">
    <w:name w:val="List Paragraph"/>
    <w:aliases w:val="Heading 2_sj,List Paragraph1"/>
    <w:basedOn w:val="Normal"/>
    <w:link w:val="ListParagraphChar"/>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nhideWhenUsed/>
    <w:rPr>
      <w:b/>
      <w:bCs/>
    </w:rPr>
  </w:style>
  <w:style w:type="character" w:customStyle="1" w:styleId="CommentSubjectChar">
    <w:name w:val="Comment Subject Char"/>
    <w:basedOn w:val="CommentTextChar"/>
    <w:link w:val="CommentSubject"/>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rPr>
      <w:rFonts w:ascii="EUAlbertina" w:hAnsi="EUAlbertina" w:cs="Times New Roman"/>
      <w:color w:val="auto"/>
      <w:lang w:eastAsia="en-US"/>
    </w:rPr>
  </w:style>
  <w:style w:type="paragraph" w:customStyle="1" w:styleId="CM3">
    <w:name w:val="CM3"/>
    <w:basedOn w:val="Default"/>
    <w:next w:val="Default"/>
    <w:rPr>
      <w:rFonts w:ascii="EUAlbertina" w:hAnsi="EUAlbertina" w:cs="Times New Roman"/>
      <w:color w:val="auto"/>
      <w:lang w:eastAsia="en-US"/>
    </w:rPr>
  </w:style>
  <w:style w:type="paragraph" w:customStyle="1" w:styleId="CM4">
    <w:name w:val="CM4"/>
    <w:basedOn w:val="Default"/>
    <w:next w:val="Default"/>
    <w:rPr>
      <w:rFonts w:ascii="EUAlbertina" w:hAnsi="EUAlbertina" w:cs="Times New Roman"/>
      <w:color w:val="auto"/>
      <w:lang w:eastAsia="en-US"/>
    </w:rPr>
  </w:style>
  <w:style w:type="character" w:styleId="FollowedHyperlink">
    <w:name w:val="FollowedHyperlink"/>
    <w:basedOn w:val="DefaultParagraphFont"/>
    <w:unhideWhenUsed/>
    <w:rPr>
      <w:color w:val="800080"/>
      <w:u w:val="single"/>
    </w:rPr>
  </w:style>
  <w:style w:type="paragraph" w:styleId="Revision">
    <w:name w:val="Revision"/>
    <w: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qFormat/>
    <w:rPr>
      <w:lang w:eastAsia="ar-SA"/>
    </w:rPr>
  </w:style>
  <w:style w:type="character" w:customStyle="1" w:styleId="FootnoteCharacters">
    <w:name w:val="Footnote Characters"/>
  </w:style>
  <w:style w:type="character" w:styleId="Strong">
    <w:name w:val="Strong"/>
    <w:aliases w:val="SA"/>
    <w:basedOn w:val="Emphasis"/>
    <w:qFormat/>
    <w:rPr>
      <w:lang w:eastAsia="ar-SA"/>
    </w:rPr>
  </w:style>
  <w:style w:type="paragraph" w:styleId="Caption">
    <w:name w:val="caption"/>
    <w:basedOn w:val="Normal"/>
    <w:next w:val="Normal"/>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spacing w:after="0" w:line="240" w:lineRule="auto"/>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numbering" w:customStyle="1" w:styleId="NoList11">
    <w:name w:val="No List11"/>
    <w:next w:val="No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rPr>
      <w:rFonts w:ascii="Times New Roman" w:hAnsi="Times New Roman" w:cs="Times New Roman"/>
    </w:rPr>
  </w:style>
  <w:style w:type="character" w:customStyle="1" w:styleId="WW8Num1z3">
    <w:name w:val="WW8Num1z3"/>
    <w:rPr>
      <w:rFonts w:ascii="Symbol" w:hAnsi="Symbol" w:cs="Symbol"/>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szCs w:val="20"/>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szCs w:val="20"/>
    </w:rPr>
  </w:style>
  <w:style w:type="character" w:customStyle="1" w:styleId="WW8Num4z0">
    <w:name w:val="WW8Num4z0"/>
    <w:rPr>
      <w:rFonts w:ascii="Symbol" w:hAnsi="Symbol" w:cs="Symbol"/>
    </w:rPr>
  </w:style>
  <w:style w:type="character" w:customStyle="1" w:styleId="WW8Num5z0">
    <w:name w:val="WW8Num5z0"/>
    <w:rPr>
      <w:rFonts w:ascii="Symbol" w:hAnsi="Symbol" w:cs="Symbol" w:hint="default"/>
      <w:color w:val="auto"/>
    </w:rPr>
  </w:style>
  <w:style w:type="character" w:customStyle="1" w:styleId="WW8Num6z0">
    <w:name w:val="WW8Num6z0"/>
    <w:rPr>
      <w:rFonts w:ascii="Calibri" w:eastAsia="Calibri" w:hAnsi="Calibri" w:cs="Times New Roman" w:hint="default"/>
      <w:color w:val="auto"/>
      <w:sz w:val="24"/>
    </w:rPr>
  </w:style>
  <w:style w:type="character" w:customStyle="1" w:styleId="WW8Num7z0">
    <w:name w:val="WW8Num7z0"/>
    <w:rPr>
      <w:rFonts w:ascii="Symbol" w:hAnsi="Symbol" w:cs="Symbol" w:hint="default"/>
      <w:color w:val="auto"/>
      <w:sz w:val="24"/>
    </w:rPr>
  </w:style>
  <w:style w:type="character" w:customStyle="1" w:styleId="WW8Num8z0">
    <w:name w:val="WW8Num8z0"/>
    <w:rPr>
      <w:rFonts w:ascii="Symbol" w:hAnsi="Symbol" w:cs="Symbol" w:hint="default"/>
      <w:color w:val="auto"/>
    </w:rPr>
  </w:style>
  <w:style w:type="character" w:customStyle="1" w:styleId="WW8Num9z0">
    <w:name w:val="WW8Num9z0"/>
    <w:rPr>
      <w:rFonts w:ascii="Times New Roman" w:hAnsi="Times New Roman" w:cs="Times New Roman"/>
      <w:color w:val="auto"/>
    </w:rPr>
  </w:style>
  <w:style w:type="character" w:customStyle="1" w:styleId="WW8Num10z0">
    <w:name w:val="WW8Num10z0"/>
    <w:rPr>
      <w:rFonts w:ascii="Symbol" w:hAnsi="Symbol" w:cs="Symbol"/>
    </w:rPr>
  </w:style>
  <w:style w:type="character" w:customStyle="1" w:styleId="WW8Num11z0">
    <w:name w:val="WW8Num11z0"/>
    <w:rPr>
      <w:rFonts w:ascii="Symbol" w:hAnsi="Symbol" w:cs="Symbol"/>
    </w:rPr>
  </w:style>
  <w:style w:type="character" w:customStyle="1" w:styleId="WW8Num12z0">
    <w:name w:val="WW8Num12z0"/>
  </w:style>
  <w:style w:type="character" w:customStyle="1" w:styleId="WW8Num13z0">
    <w:name w:val="WW8Num13z0"/>
  </w:style>
  <w:style w:type="character" w:customStyle="1" w:styleId="WW8Num13z1">
    <w:name w:val="WW8Num13z1"/>
  </w:style>
  <w:style w:type="character" w:customStyle="1" w:styleId="WW8Num13z2">
    <w:name w:val="WW8Num13z2"/>
    <w:rPr>
      <w:rFonts w:ascii="Times New Roman" w:hAnsi="Times New Roman" w:cs="Times New Roman"/>
    </w:rPr>
  </w:style>
  <w:style w:type="character" w:customStyle="1" w:styleId="WW8Num13z3">
    <w:name w:val="WW8Num13z3"/>
    <w:rPr>
      <w:rFonts w:ascii="Symbol" w:hAnsi="Symbol" w:cs="Symbol"/>
    </w:rPr>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rPr>
      <w:rFonts w:ascii="Times New Roman" w:hAnsi="Times New Roman" w:cs="Times New Roman"/>
    </w:rPr>
  </w:style>
  <w:style w:type="character" w:customStyle="1" w:styleId="WW8Num14z3">
    <w:name w:val="WW8Num14z3"/>
    <w:rPr>
      <w:rFonts w:ascii="Symbol" w:hAnsi="Symbol" w:cs="Symbol"/>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rPr>
      <w:rFonts w:ascii="Times New Roman" w:hAnsi="Times New Roman" w:cs="Times New Roman"/>
    </w:rPr>
  </w:style>
  <w:style w:type="character" w:customStyle="1" w:styleId="WW8Num15z3">
    <w:name w:val="WW8Num15z3"/>
    <w:rPr>
      <w:rFonts w:ascii="Symbol" w:hAnsi="Symbol" w:cs="Symbol"/>
    </w:rPr>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eastAsia="Calibri" w:hint="default"/>
      <w:b/>
      <w:bCs/>
      <w:color w:val="auto"/>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Wingdings" w:eastAsia="Calibri" w:hAnsi="Wingdings" w:cs="AdvOTbc475f09" w:hint="default"/>
      <w:b/>
      <w:bCs/>
      <w:color w:val="auto"/>
    </w:rPr>
  </w:style>
  <w:style w:type="character" w:customStyle="1" w:styleId="WW8Num18z0">
    <w:name w:val="WW8Num18z0"/>
    <w:rPr>
      <w:rFonts w:ascii="Symbol" w:hAnsi="Symbol" w:cs="Symbol"/>
    </w:rPr>
  </w:style>
  <w:style w:type="character" w:customStyle="1" w:styleId="WW8Num19z0">
    <w:name w:val="WW8Num19z0"/>
    <w:rPr>
      <w:rFonts w:ascii="Symbol" w:hAnsi="Symbol" w:cs="Symbol" w:hint="default"/>
      <w:color w:val="000000"/>
      <w:szCs w:val="20"/>
      <w:lang w:val="en-US"/>
    </w:rPr>
  </w:style>
  <w:style w:type="character" w:customStyle="1" w:styleId="WW8Num20z0">
    <w:name w:val="WW8Num20z0"/>
    <w:rPr>
      <w:rFonts w:ascii="Symbol" w:hAnsi="Symbol" w:cs="Symbol" w:hint="default"/>
    </w:rPr>
  </w:style>
  <w:style w:type="character" w:customStyle="1" w:styleId="WW8Num21z0">
    <w:name w:val="WW8Num21z0"/>
    <w:rPr>
      <w:rFonts w:ascii="Times New Roman" w:hAnsi="Times New Roman" w:cs="Times New Roman"/>
    </w:rPr>
  </w:style>
  <w:style w:type="character" w:customStyle="1" w:styleId="WW8Num22z0">
    <w:name w:val="WW8Num22z0"/>
    <w:rPr>
      <w:rFonts w:ascii="Times New Roman" w:hAnsi="Times New Roman" w:cs="Times New Roman"/>
    </w:rPr>
  </w:style>
  <w:style w:type="character" w:customStyle="1" w:styleId="WW8Num23z0">
    <w:name w:val="WW8Num23z0"/>
    <w:rPr>
      <w:rFonts w:ascii="Times New Roman" w:hAnsi="Times New Roman" w:cs="Times New Roman"/>
    </w:rPr>
  </w:style>
  <w:style w:type="character" w:customStyle="1" w:styleId="WW8Num24z0">
    <w:name w:val="WW8Num24z0"/>
    <w:rPr>
      <w:rFonts w:ascii="Times New Roman" w:hAnsi="Times New Roman" w:cs="Times New Roman"/>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1">
    <w:name w:val="WW8Num8z1"/>
    <w:rPr>
      <w:rFonts w:ascii="Times New Roman" w:eastAsia="Calibri" w:hAnsi="Times New Roman" w:cs="Times New Roman" w:hint="default"/>
    </w:rPr>
  </w:style>
  <w:style w:type="character" w:customStyle="1" w:styleId="WW8Num8z2">
    <w:name w:val="WW8Num8z2"/>
    <w:rPr>
      <w:rFonts w:ascii="Wingdings" w:hAnsi="Wingdings" w:cs="Wingdings" w:hint="default"/>
    </w:rPr>
  </w:style>
  <w:style w:type="character" w:customStyle="1" w:styleId="WW8Num8z4">
    <w:name w:val="WW8Num8z4"/>
    <w:rPr>
      <w:rFonts w:ascii="Courier New" w:hAnsi="Courier New" w:cs="Courier New" w:hint="default"/>
    </w:rPr>
  </w:style>
  <w:style w:type="character" w:customStyle="1" w:styleId="WW8Num12z1">
    <w:name w:val="WW8Num12z1"/>
  </w:style>
  <w:style w:type="character" w:customStyle="1" w:styleId="WW8Num12z2">
    <w:name w:val="WW8Num12z2"/>
    <w:rPr>
      <w:rFonts w:ascii="Times New Roman" w:hAnsi="Times New Roman" w:cs="Times New Roman"/>
    </w:rPr>
  </w:style>
  <w:style w:type="character" w:customStyle="1" w:styleId="WW8Num12z3">
    <w:name w:val="WW8Num12z3"/>
    <w:rPr>
      <w:rFonts w:ascii="Symbol" w:hAnsi="Symbol" w:cs="Symbol"/>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5z0">
    <w:name w:val="WW8Num25z0"/>
    <w:rPr>
      <w:rFonts w:ascii="Symbol" w:hAnsi="Symbol" w:cs="Symbol" w:hint="default"/>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FootnoteCharacters">
    <w:name w:val="WW-Footnote Characters"/>
  </w:style>
  <w:style w:type="character" w:customStyle="1" w:styleId="SubtitleChar">
    <w:name w:val="Subtitle Char"/>
    <w:rPr>
      <w:rFonts w:cs="Calibri"/>
      <w:color w:val="1F497D"/>
      <w:sz w:val="22"/>
      <w:szCs w:val="26"/>
    </w:rPr>
  </w:style>
  <w:style w:type="character" w:customStyle="1" w:styleId="EndnoteTextChar">
    <w:name w:val="Endnote Text Char"/>
  </w:style>
  <w:style w:type="character" w:customStyle="1" w:styleId="EndnoteCharacters">
    <w:name w:val="Endnote Characters"/>
    <w:rPr>
      <w:vertAlign w:val="superscript"/>
    </w:rPr>
  </w:style>
  <w:style w:type="character" w:customStyle="1" w:styleId="VoetnoottekstChar">
    <w:name w:val="Voetnoottekst Char"/>
    <w:rPr>
      <w:rFonts w:eastAsia="Calibri"/>
      <w:sz w:val="18"/>
      <w:szCs w:val="18"/>
    </w:rPr>
  </w:style>
  <w:style w:type="character" w:customStyle="1" w:styleId="IndexLink">
    <w:name w:val="Index Link"/>
  </w:style>
  <w:style w:type="character" w:styleId="EndnoteReference">
    <w:name w:val="endnote reference"/>
    <w:rPr>
      <w:vertAlign w:val="superscript"/>
    </w:rPr>
  </w:style>
  <w:style w:type="paragraph" w:customStyle="1" w:styleId="Heading">
    <w:name w:val="Heading"/>
    <w:basedOn w:val="Normal"/>
    <w:next w:val="BodyText"/>
    <w:pPr>
      <w:keepNext/>
      <w:suppressAutoHyphens/>
      <w:spacing w:before="240" w:after="120" w:line="240" w:lineRule="auto"/>
      <w:jc w:val="both"/>
    </w:pPr>
    <w:rPr>
      <w:rFonts w:ascii="Arial" w:eastAsia="Microsoft YaHei" w:hAnsi="Arial" w:cs="Arial"/>
      <w:sz w:val="28"/>
      <w:szCs w:val="28"/>
      <w:lang w:eastAsia="ar-SA"/>
    </w:rPr>
  </w:style>
  <w:style w:type="paragraph" w:styleId="BodyText">
    <w:name w:val="Body Text"/>
    <w:basedOn w:val="Normal"/>
    <w:link w:val="BodyTextChar"/>
    <w:pPr>
      <w:suppressAutoHyphens/>
      <w:spacing w:after="120" w:line="240" w:lineRule="auto"/>
      <w:jc w:val="both"/>
    </w:pPr>
    <w:rPr>
      <w:rFonts w:ascii="Calibri" w:eastAsia="Calibri" w:hAnsi="Calibri" w:cs="Times New Roman"/>
      <w:sz w:val="20"/>
      <w:lang w:eastAsia="ar-SA"/>
    </w:rPr>
  </w:style>
  <w:style w:type="character" w:customStyle="1" w:styleId="BodyTextChar">
    <w:name w:val="Body Text Char"/>
    <w:basedOn w:val="DefaultParagraphFont"/>
    <w:link w:val="BodyText"/>
    <w:rPr>
      <w:rFonts w:ascii="Calibri" w:eastAsia="Calibri" w:hAnsi="Calibri" w:cs="Times New Roman"/>
      <w:sz w:val="20"/>
      <w:lang w:eastAsia="ar-SA"/>
    </w:rPr>
  </w:style>
  <w:style w:type="paragraph" w:styleId="List">
    <w:name w:val="List"/>
    <w:basedOn w:val="BodyText"/>
    <w:rPr>
      <w:rFonts w:cs="Arial"/>
    </w:rPr>
  </w:style>
  <w:style w:type="paragraph" w:customStyle="1" w:styleId="Index">
    <w:name w:val="Index"/>
    <w:basedOn w:val="Normal"/>
    <w:pPr>
      <w:suppressLineNumbers/>
      <w:suppressAutoHyphens/>
      <w:spacing w:after="120" w:line="240" w:lineRule="auto"/>
      <w:jc w:val="both"/>
    </w:pPr>
    <w:rPr>
      <w:rFonts w:ascii="Calibri" w:eastAsia="Calibri" w:hAnsi="Calibri" w:cs="Arial"/>
      <w:sz w:val="20"/>
      <w:lang w:eastAsia="ar-SA"/>
    </w:rPr>
  </w:style>
  <w:style w:type="character" w:customStyle="1" w:styleId="HeaderChar1">
    <w:name w:val="Header Char1"/>
    <w:basedOn w:val="DefaultParagraphFont"/>
    <w:rPr>
      <w:rFonts w:ascii="Calibri" w:eastAsia="Calibri" w:hAnsi="Calibri" w:cs="Times New Roman"/>
      <w:sz w:val="20"/>
      <w:lang w:eastAsia="ar-SA"/>
    </w:rPr>
  </w:style>
  <w:style w:type="character" w:customStyle="1" w:styleId="FooterChar1">
    <w:name w:val="Footer Char1"/>
    <w:basedOn w:val="DefaultParagraphFont"/>
    <w:rPr>
      <w:rFonts w:ascii="Calibri" w:eastAsia="Calibri" w:hAnsi="Calibri" w:cs="Times New Roman"/>
      <w:sz w:val="20"/>
      <w:lang w:eastAsia="ar-SA"/>
    </w:rPr>
  </w:style>
  <w:style w:type="character" w:customStyle="1" w:styleId="BalloonTextChar1">
    <w:name w:val="Balloon Text Char1"/>
    <w:basedOn w:val="DefaultParagraphFont"/>
    <w:rPr>
      <w:rFonts w:ascii="Tahoma" w:eastAsia="Calibri" w:hAnsi="Tahoma" w:cs="Tahoma"/>
      <w:sz w:val="16"/>
      <w:szCs w:val="16"/>
      <w:lang w:eastAsia="ar-SA"/>
    </w:rPr>
  </w:style>
  <w:style w:type="character" w:customStyle="1" w:styleId="CommentTextChar1">
    <w:name w:val="Comment Text Char1"/>
    <w:basedOn w:val="DefaultParagraphFont"/>
    <w:rPr>
      <w:rFonts w:ascii="Calibri" w:eastAsia="Calibri" w:hAnsi="Calibri" w:cs="Times New Roman"/>
      <w:sz w:val="20"/>
      <w:szCs w:val="20"/>
      <w:lang w:eastAsia="ar-SA"/>
    </w:rPr>
  </w:style>
  <w:style w:type="character" w:customStyle="1" w:styleId="CommentSubjectChar1">
    <w:name w:val="Comment Subject Char1"/>
    <w:basedOn w:val="CommentTextChar1"/>
    <w:rPr>
      <w:rFonts w:ascii="Calibri" w:eastAsia="Calibri" w:hAnsi="Calibri" w:cs="Times New Roman"/>
      <w:b/>
      <w:bCs/>
      <w:sz w:val="20"/>
      <w:szCs w:val="20"/>
      <w:lang w:eastAsia="ar-SA"/>
    </w:rPr>
  </w:style>
  <w:style w:type="paragraph" w:customStyle="1" w:styleId="WW-Default">
    <w:name w:val="WW-Default"/>
    <w:pPr>
      <w:suppressAutoHyphens/>
      <w:autoSpaceDE w:val="0"/>
      <w:spacing w:after="0" w:line="240" w:lineRule="auto"/>
    </w:pPr>
    <w:rPr>
      <w:rFonts w:ascii="Verdana" w:eastAsia="Calibri" w:hAnsi="Verdana" w:cs="Verdana"/>
      <w:color w:val="000000"/>
      <w:sz w:val="24"/>
      <w:szCs w:val="24"/>
      <w:lang w:eastAsia="ar-SA"/>
    </w:rPr>
  </w:style>
  <w:style w:type="paragraph" w:customStyle="1" w:styleId="centerleadin">
    <w:name w:val="center_leadin"/>
    <w:basedOn w:val="Normal"/>
    <w:pPr>
      <w:suppressAutoHyphens/>
      <w:spacing w:after="0" w:line="240" w:lineRule="auto"/>
    </w:pPr>
    <w:rPr>
      <w:rFonts w:ascii="Calibri" w:eastAsia="Calibri" w:hAnsi="Calibri" w:cs="Times New Roman"/>
      <w:sz w:val="17"/>
      <w:szCs w:val="17"/>
      <w:lang w:eastAsia="ar-SA"/>
    </w:rPr>
  </w:style>
  <w:style w:type="character" w:customStyle="1" w:styleId="QuoteChar1">
    <w:name w:val="Quote Char1"/>
    <w:basedOn w:val="DefaultParagraphFont"/>
    <w:uiPriority w:val="29"/>
    <w:rPr>
      <w:rFonts w:ascii="Calibri" w:eastAsia="Calibri" w:hAnsi="Calibri" w:cs="Times New Roman"/>
      <w:color w:val="FFFFFF"/>
      <w:sz w:val="20"/>
      <w:shd w:val="clear" w:color="auto" w:fill="4F81BD"/>
      <w:lang w:eastAsia="ar-SA"/>
    </w:rPr>
  </w:style>
  <w:style w:type="paragraph" w:styleId="Subtitle">
    <w:name w:val="Subtitle"/>
    <w:basedOn w:val="Heading4"/>
    <w:next w:val="Normal"/>
    <w:link w:val="SubtitleChar1"/>
    <w:qFormat/>
    <w:pPr>
      <w:keepNext w:val="0"/>
      <w:keepLines w:val="0"/>
      <w:numPr>
        <w:ilvl w:val="0"/>
        <w:numId w:val="0"/>
      </w:numPr>
      <w:suppressAutoHyphens/>
      <w:spacing w:before="0" w:after="120"/>
    </w:pPr>
    <w:rPr>
      <w:rFonts w:ascii="Calibri" w:eastAsia="Calibri" w:hAnsi="Calibri" w:cs="Calibri"/>
      <w:b w:val="0"/>
      <w:bCs w:val="0"/>
      <w:i w:val="0"/>
      <w:iCs w:val="0"/>
      <w:color w:val="1F497D"/>
      <w:sz w:val="22"/>
      <w:szCs w:val="26"/>
      <w:lang w:eastAsia="ar-SA"/>
    </w:rPr>
  </w:style>
  <w:style w:type="character" w:customStyle="1" w:styleId="SubtitleChar1">
    <w:name w:val="Subtitle Char1"/>
    <w:basedOn w:val="DefaultParagraphFont"/>
    <w:link w:val="Subtitle"/>
    <w:rPr>
      <w:rFonts w:ascii="Calibri" w:eastAsia="Calibri" w:hAnsi="Calibri" w:cs="Calibri"/>
      <w:color w:val="1F497D"/>
      <w:szCs w:val="26"/>
      <w:lang w:eastAsia="ar-SA"/>
    </w:rPr>
  </w:style>
  <w:style w:type="paragraph" w:styleId="EndnoteText">
    <w:name w:val="endnote text"/>
    <w:basedOn w:val="Normal"/>
    <w:link w:val="EndnoteTextChar1"/>
    <w:pPr>
      <w:suppressAutoHyphens/>
      <w:spacing w:after="0" w:line="240" w:lineRule="auto"/>
      <w:jc w:val="both"/>
    </w:pPr>
    <w:rPr>
      <w:rFonts w:ascii="Calibri" w:eastAsia="Calibri" w:hAnsi="Calibri" w:cs="Times New Roman"/>
      <w:sz w:val="20"/>
      <w:szCs w:val="20"/>
      <w:lang w:eastAsia="ar-SA"/>
    </w:rPr>
  </w:style>
  <w:style w:type="character" w:customStyle="1" w:styleId="EndnoteTextChar1">
    <w:name w:val="Endnote Text Char1"/>
    <w:basedOn w:val="DefaultParagraphFont"/>
    <w:link w:val="EndnoteText"/>
    <w:rPr>
      <w:rFonts w:ascii="Calibri" w:eastAsia="Calibri" w:hAnsi="Calibri" w:cs="Times New Roman"/>
      <w:sz w:val="20"/>
      <w:szCs w:val="20"/>
      <w:lang w:eastAsia="ar-SA"/>
    </w:rPr>
  </w:style>
  <w:style w:type="paragraph" w:styleId="TOC6">
    <w:name w:val="toc 6"/>
    <w:basedOn w:val="Index"/>
    <w:pPr>
      <w:tabs>
        <w:tab w:val="right" w:leader="dot" w:pos="8223"/>
      </w:tabs>
      <w:ind w:left="1415"/>
    </w:pPr>
  </w:style>
  <w:style w:type="paragraph" w:styleId="TOC7">
    <w:name w:val="toc 7"/>
    <w:basedOn w:val="Index"/>
    <w:pPr>
      <w:tabs>
        <w:tab w:val="right" w:leader="dot" w:pos="7940"/>
      </w:tabs>
      <w:ind w:left="1698"/>
    </w:pPr>
  </w:style>
  <w:style w:type="paragraph" w:styleId="TOC8">
    <w:name w:val="toc 8"/>
    <w:basedOn w:val="Index"/>
    <w:pPr>
      <w:tabs>
        <w:tab w:val="right" w:leader="dot" w:pos="7657"/>
      </w:tabs>
      <w:ind w:left="1981"/>
    </w:pPr>
  </w:style>
  <w:style w:type="paragraph" w:styleId="TOC9">
    <w:name w:val="toc 9"/>
    <w:basedOn w:val="Index"/>
    <w:pPr>
      <w:tabs>
        <w:tab w:val="right" w:leader="dot" w:pos="7374"/>
      </w:tabs>
      <w:ind w:left="2264"/>
    </w:pPr>
  </w:style>
  <w:style w:type="paragraph" w:customStyle="1" w:styleId="Contents10">
    <w:name w:val="Contents 10"/>
    <w:basedOn w:val="Index"/>
    <w:pPr>
      <w:tabs>
        <w:tab w:val="right" w:leader="dot" w:pos="7091"/>
      </w:tabs>
      <w:ind w:left="2547"/>
    </w:pPr>
  </w:style>
  <w:style w:type="paragraph" w:customStyle="1" w:styleId="TableContents">
    <w:name w:val="Table Contents"/>
    <w:basedOn w:val="Normal"/>
    <w:pPr>
      <w:suppressLineNumbers/>
      <w:suppressAutoHyphens/>
      <w:spacing w:after="120" w:line="240" w:lineRule="auto"/>
      <w:jc w:val="both"/>
    </w:pPr>
    <w:rPr>
      <w:rFonts w:ascii="Calibri" w:eastAsia="Calibri" w:hAnsi="Calibri" w:cs="Times New Roman"/>
      <w:sz w:val="20"/>
      <w:lang w:eastAsia="ar-SA"/>
    </w:r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566963">
      <w:bodyDiv w:val="1"/>
      <w:marLeft w:val="0"/>
      <w:marRight w:val="0"/>
      <w:marTop w:val="0"/>
      <w:marBottom w:val="0"/>
      <w:divBdr>
        <w:top w:val="none" w:sz="0" w:space="0" w:color="auto"/>
        <w:left w:val="none" w:sz="0" w:space="0" w:color="auto"/>
        <w:bottom w:val="none" w:sz="0" w:space="0" w:color="auto"/>
        <w:right w:val="none" w:sz="0" w:space="0" w:color="auto"/>
      </w:divBdr>
    </w:div>
    <w:div w:id="304971260">
      <w:bodyDiv w:val="1"/>
      <w:marLeft w:val="0"/>
      <w:marRight w:val="0"/>
      <w:marTop w:val="0"/>
      <w:marBottom w:val="0"/>
      <w:divBdr>
        <w:top w:val="none" w:sz="0" w:space="0" w:color="auto"/>
        <w:left w:val="none" w:sz="0" w:space="0" w:color="auto"/>
        <w:bottom w:val="none" w:sz="0" w:space="0" w:color="auto"/>
        <w:right w:val="none" w:sz="0" w:space="0" w:color="auto"/>
      </w:divBdr>
      <w:divsChild>
        <w:div w:id="1461190883">
          <w:marLeft w:val="0"/>
          <w:marRight w:val="0"/>
          <w:marTop w:val="0"/>
          <w:marBottom w:val="0"/>
          <w:divBdr>
            <w:top w:val="none" w:sz="0" w:space="0" w:color="auto"/>
            <w:left w:val="none" w:sz="0" w:space="0" w:color="auto"/>
            <w:bottom w:val="none" w:sz="0" w:space="0" w:color="auto"/>
            <w:right w:val="none" w:sz="0" w:space="0" w:color="auto"/>
          </w:divBdr>
          <w:divsChild>
            <w:div w:id="834491560">
              <w:marLeft w:val="0"/>
              <w:marRight w:val="0"/>
              <w:marTop w:val="0"/>
              <w:marBottom w:val="150"/>
              <w:divBdr>
                <w:top w:val="none" w:sz="0" w:space="0" w:color="auto"/>
                <w:left w:val="none" w:sz="0" w:space="0" w:color="auto"/>
                <w:bottom w:val="none" w:sz="0" w:space="0" w:color="auto"/>
                <w:right w:val="none" w:sz="0" w:space="0" w:color="auto"/>
              </w:divBdr>
              <w:divsChild>
                <w:div w:id="1401713313">
                  <w:marLeft w:val="0"/>
                  <w:marRight w:val="0"/>
                  <w:marTop w:val="0"/>
                  <w:marBottom w:val="0"/>
                  <w:divBdr>
                    <w:top w:val="none" w:sz="0" w:space="0" w:color="auto"/>
                    <w:left w:val="none" w:sz="0" w:space="0" w:color="auto"/>
                    <w:bottom w:val="none" w:sz="0" w:space="0" w:color="auto"/>
                    <w:right w:val="none" w:sz="0" w:space="0" w:color="auto"/>
                  </w:divBdr>
                  <w:divsChild>
                    <w:div w:id="898397771">
                      <w:marLeft w:val="0"/>
                      <w:marRight w:val="0"/>
                      <w:marTop w:val="0"/>
                      <w:marBottom w:val="0"/>
                      <w:divBdr>
                        <w:top w:val="none" w:sz="0" w:space="0" w:color="auto"/>
                        <w:left w:val="none" w:sz="0" w:space="0" w:color="auto"/>
                        <w:bottom w:val="none" w:sz="0" w:space="0" w:color="auto"/>
                        <w:right w:val="none" w:sz="0" w:space="0" w:color="auto"/>
                      </w:divBdr>
                      <w:divsChild>
                        <w:div w:id="75976087">
                          <w:marLeft w:val="0"/>
                          <w:marRight w:val="0"/>
                          <w:marTop w:val="0"/>
                          <w:marBottom w:val="0"/>
                          <w:divBdr>
                            <w:top w:val="none" w:sz="0" w:space="0" w:color="auto"/>
                            <w:left w:val="none" w:sz="0" w:space="0" w:color="auto"/>
                            <w:bottom w:val="none" w:sz="0" w:space="0" w:color="auto"/>
                            <w:right w:val="none" w:sz="0" w:space="0" w:color="auto"/>
                          </w:divBdr>
                          <w:divsChild>
                            <w:div w:id="295725133">
                              <w:marLeft w:val="0"/>
                              <w:marRight w:val="0"/>
                              <w:marTop w:val="0"/>
                              <w:marBottom w:val="0"/>
                              <w:divBdr>
                                <w:top w:val="none" w:sz="0" w:space="0" w:color="auto"/>
                                <w:left w:val="none" w:sz="0" w:space="0" w:color="auto"/>
                                <w:bottom w:val="none" w:sz="0" w:space="0" w:color="auto"/>
                                <w:right w:val="none" w:sz="0" w:space="0" w:color="auto"/>
                              </w:divBdr>
                              <w:divsChild>
                                <w:div w:id="35496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45.xml"/><Relationship Id="rId21" Type="http://schemas.openxmlformats.org/officeDocument/2006/relationships/footer" Target="footer5.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footer" Target="footer24.xml"/><Relationship Id="rId68" Type="http://schemas.openxmlformats.org/officeDocument/2006/relationships/image" Target="media/image10.png"/><Relationship Id="rId84" Type="http://schemas.openxmlformats.org/officeDocument/2006/relationships/image" Target="media/image14.jpeg"/><Relationship Id="rId89" Type="http://schemas.openxmlformats.org/officeDocument/2006/relationships/header" Target="header33.xml"/><Relationship Id="rId112" Type="http://schemas.openxmlformats.org/officeDocument/2006/relationships/image" Target="media/image18.jpeg"/><Relationship Id="rId16" Type="http://schemas.openxmlformats.org/officeDocument/2006/relationships/hyperlink" Target="mailto:ENV-EIR@ec.europa.eu" TargetMode="External"/><Relationship Id="rId107" Type="http://schemas.openxmlformats.org/officeDocument/2006/relationships/footer" Target="footer40.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footer" Target="footer17.xml"/><Relationship Id="rId53" Type="http://schemas.openxmlformats.org/officeDocument/2006/relationships/header" Target="header20.xml"/><Relationship Id="rId58" Type="http://schemas.openxmlformats.org/officeDocument/2006/relationships/header" Target="header22.xml"/><Relationship Id="rId66" Type="http://schemas.openxmlformats.org/officeDocument/2006/relationships/image" Target="media/image8.png"/><Relationship Id="rId74" Type="http://schemas.openxmlformats.org/officeDocument/2006/relationships/footer" Target="footer27.xml"/><Relationship Id="rId79" Type="http://schemas.openxmlformats.org/officeDocument/2006/relationships/header" Target="header30.xml"/><Relationship Id="rId87" Type="http://schemas.openxmlformats.org/officeDocument/2006/relationships/footer" Target="footer31.xml"/><Relationship Id="rId102" Type="http://schemas.openxmlformats.org/officeDocument/2006/relationships/footer" Target="footer38.xml"/><Relationship Id="rId110" Type="http://schemas.openxmlformats.org/officeDocument/2006/relationships/footer" Target="footer42.xml"/><Relationship Id="rId115" Type="http://schemas.openxmlformats.org/officeDocument/2006/relationships/footer" Target="footer43.xml"/><Relationship Id="rId5" Type="http://schemas.openxmlformats.org/officeDocument/2006/relationships/settings" Target="settings.xml"/><Relationship Id="rId61" Type="http://schemas.openxmlformats.org/officeDocument/2006/relationships/footer" Target="footer23.xml"/><Relationship Id="rId82" Type="http://schemas.openxmlformats.org/officeDocument/2006/relationships/image" Target="media/image12.png"/><Relationship Id="rId90" Type="http://schemas.openxmlformats.org/officeDocument/2006/relationships/footer" Target="footer33.xml"/><Relationship Id="rId95" Type="http://schemas.openxmlformats.org/officeDocument/2006/relationships/header" Target="header36.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header" Target="header17.xml"/><Relationship Id="rId48" Type="http://schemas.openxmlformats.org/officeDocument/2006/relationships/image" Target="media/image2.png"/><Relationship Id="rId56" Type="http://schemas.openxmlformats.org/officeDocument/2006/relationships/header" Target="header21.xml"/><Relationship Id="rId64" Type="http://schemas.openxmlformats.org/officeDocument/2006/relationships/image" Target="media/image6.jpeg"/><Relationship Id="rId69" Type="http://schemas.openxmlformats.org/officeDocument/2006/relationships/header" Target="header25.xml"/><Relationship Id="rId77" Type="http://schemas.openxmlformats.org/officeDocument/2006/relationships/footer" Target="footer28.xml"/><Relationship Id="rId100" Type="http://schemas.openxmlformats.org/officeDocument/2006/relationships/header" Target="header38.xml"/><Relationship Id="rId105" Type="http://schemas.openxmlformats.org/officeDocument/2006/relationships/header" Target="header40.xml"/><Relationship Id="rId113" Type="http://schemas.openxmlformats.org/officeDocument/2006/relationships/header" Target="header43.xml"/><Relationship Id="rId118" Type="http://schemas.openxmlformats.org/officeDocument/2006/relationships/footer" Target="footer45.xml"/><Relationship Id="rId8" Type="http://schemas.openxmlformats.org/officeDocument/2006/relationships/endnotes" Target="endnotes.xml"/><Relationship Id="rId51" Type="http://schemas.openxmlformats.org/officeDocument/2006/relationships/image" Target="media/image5.png"/><Relationship Id="rId72" Type="http://schemas.openxmlformats.org/officeDocument/2006/relationships/footer" Target="footer26.xml"/><Relationship Id="rId80" Type="http://schemas.openxmlformats.org/officeDocument/2006/relationships/footer" Target="footer30.xml"/><Relationship Id="rId85" Type="http://schemas.openxmlformats.org/officeDocument/2006/relationships/header" Target="header31.xml"/><Relationship Id="rId93" Type="http://schemas.openxmlformats.org/officeDocument/2006/relationships/footer" Target="footer34.xml"/><Relationship Id="rId98"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europa.eu" TargetMode="Externa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eader" Target="header18.xml"/><Relationship Id="rId59" Type="http://schemas.openxmlformats.org/officeDocument/2006/relationships/header" Target="header23.xml"/><Relationship Id="rId67" Type="http://schemas.openxmlformats.org/officeDocument/2006/relationships/image" Target="media/image9.png"/><Relationship Id="rId103" Type="http://schemas.openxmlformats.org/officeDocument/2006/relationships/header" Target="header39.xml"/><Relationship Id="rId108" Type="http://schemas.openxmlformats.org/officeDocument/2006/relationships/footer" Target="footer41.xml"/><Relationship Id="rId116" Type="http://schemas.openxmlformats.org/officeDocument/2006/relationships/footer" Target="footer44.xml"/><Relationship Id="rId20" Type="http://schemas.openxmlformats.org/officeDocument/2006/relationships/footer" Target="footer4.xml"/><Relationship Id="rId41" Type="http://schemas.openxmlformats.org/officeDocument/2006/relationships/footer" Target="footer15.xml"/><Relationship Id="rId54" Type="http://schemas.openxmlformats.org/officeDocument/2006/relationships/footer" Target="footer19.xml"/><Relationship Id="rId62" Type="http://schemas.openxmlformats.org/officeDocument/2006/relationships/header" Target="header24.xml"/><Relationship Id="rId70" Type="http://schemas.openxmlformats.org/officeDocument/2006/relationships/header" Target="header26.xml"/><Relationship Id="rId75" Type="http://schemas.openxmlformats.org/officeDocument/2006/relationships/header" Target="header28.xml"/><Relationship Id="rId83" Type="http://schemas.openxmlformats.org/officeDocument/2006/relationships/image" Target="media/image13.jpeg"/><Relationship Id="rId88" Type="http://schemas.openxmlformats.org/officeDocument/2006/relationships/footer" Target="footer32.xml"/><Relationship Id="rId91" Type="http://schemas.openxmlformats.org/officeDocument/2006/relationships/header" Target="header34.xml"/><Relationship Id="rId96" Type="http://schemas.openxmlformats.org/officeDocument/2006/relationships/footer" Target="footer36.xml"/><Relationship Id="rId11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image" Target="media/image3.png"/><Relationship Id="rId57" Type="http://schemas.openxmlformats.org/officeDocument/2006/relationships/footer" Target="footer21.xml"/><Relationship Id="rId106" Type="http://schemas.openxmlformats.org/officeDocument/2006/relationships/header" Target="header41.xml"/><Relationship Id="rId114" Type="http://schemas.openxmlformats.org/officeDocument/2006/relationships/header" Target="header44.xml"/><Relationship Id="rId119"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footer" Target="footer16.xml"/><Relationship Id="rId52" Type="http://schemas.openxmlformats.org/officeDocument/2006/relationships/header" Target="header19.xml"/><Relationship Id="rId60" Type="http://schemas.openxmlformats.org/officeDocument/2006/relationships/footer" Target="footer22.xml"/><Relationship Id="rId65" Type="http://schemas.openxmlformats.org/officeDocument/2006/relationships/image" Target="media/image7.png"/><Relationship Id="rId73" Type="http://schemas.openxmlformats.org/officeDocument/2006/relationships/header" Target="header27.xml"/><Relationship Id="rId78" Type="http://schemas.openxmlformats.org/officeDocument/2006/relationships/footer" Target="footer29.xml"/><Relationship Id="rId81" Type="http://schemas.openxmlformats.org/officeDocument/2006/relationships/image" Target="media/image11.png"/><Relationship Id="rId86" Type="http://schemas.openxmlformats.org/officeDocument/2006/relationships/header" Target="header32.xml"/><Relationship Id="rId94" Type="http://schemas.openxmlformats.org/officeDocument/2006/relationships/footer" Target="footer35.xml"/><Relationship Id="rId99" Type="http://schemas.openxmlformats.org/officeDocument/2006/relationships/header" Target="header37.xml"/><Relationship Id="rId101" Type="http://schemas.openxmlformats.org/officeDocument/2006/relationships/footer" Target="footer37.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header" Target="header42.xml"/><Relationship Id="rId34" Type="http://schemas.openxmlformats.org/officeDocument/2006/relationships/header" Target="header12.xml"/><Relationship Id="rId50" Type="http://schemas.openxmlformats.org/officeDocument/2006/relationships/image" Target="media/image4.png"/><Relationship Id="rId55" Type="http://schemas.openxmlformats.org/officeDocument/2006/relationships/footer" Target="footer20.xml"/><Relationship Id="rId76" Type="http://schemas.openxmlformats.org/officeDocument/2006/relationships/header" Target="header29.xml"/><Relationship Id="rId97" Type="http://schemas.openxmlformats.org/officeDocument/2006/relationships/image" Target="media/image15.png"/><Relationship Id="rId104" Type="http://schemas.openxmlformats.org/officeDocument/2006/relationships/footer" Target="footer39.xm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25.xml"/><Relationship Id="rId92" Type="http://schemas.openxmlformats.org/officeDocument/2006/relationships/header" Target="header35.xml"/><Relationship Id="rId2" Type="http://schemas.openxmlformats.org/officeDocument/2006/relationships/numbering" Target="numbering.xml"/><Relationship Id="rId29" Type="http://schemas.openxmlformats.org/officeDocument/2006/relationships/footer" Target="footer9.xml"/></Relationships>
</file>

<file path=word/_rels/footnotes.xml.rels><?xml version="1.0" encoding="UTF-8" standalone="yes"?>
<Relationships xmlns="http://schemas.openxmlformats.org/package/2006/relationships"><Relationship Id="rId117" Type="http://schemas.openxmlformats.org/officeDocument/2006/relationships/hyperlink" Target="http://www.eea.europa.eu/publications/european-bathing-water-quality-2015" TargetMode="External"/><Relationship Id="rId21" Type="http://schemas.openxmlformats.org/officeDocument/2006/relationships/hyperlink" Target="https://steunpuntsumma.be/nl/publicaties/summa-economisch-belang-8.pdf" TargetMode="External"/><Relationship Id="rId42" Type="http://schemas.openxmlformats.org/officeDocument/2006/relationships/hyperlink" Target="http://ec.europa.eu/eurostat/tgm/table.do?tab=table&amp;init=1&amp;plugin=1&amp;language=en&amp;pcode=tsdpc240" TargetMode="External"/><Relationship Id="rId63" Type="http://schemas.openxmlformats.org/officeDocument/2006/relationships/hyperlink" Target="http://ec.europa.eu/environment/life/project/Projects/index.cfm?fuseaction=search.dspPage&amp;n_proj_id=5431" TargetMode="External"/><Relationship Id="rId84" Type="http://schemas.openxmlformats.org/officeDocument/2006/relationships/hyperlink" Target="http://diantonio.wallonie.be/quartiers-nouveaux-carlo-di-antonio-appelle-les-communes-wallonnes-se-manifester" TargetMode="External"/><Relationship Id="rId138" Type="http://schemas.openxmlformats.org/officeDocument/2006/relationships/hyperlink" Target="http://www.stadsmonitor.be/bodembezetting-naar-functie" TargetMode="External"/><Relationship Id="rId159" Type="http://schemas.openxmlformats.org/officeDocument/2006/relationships/hyperlink" Target="http://www.oecd-ilibrary.org/docserver/download/5jz14cg1s7vl.pdf?expires=1446563663&amp;id=id&amp;accname=guest&amp;checksum=B0A54E212129C2F62FA34D1AF6B77C14," TargetMode="External"/><Relationship Id="rId170" Type="http://schemas.openxmlformats.org/officeDocument/2006/relationships/hyperlink" Target="http://ec.europa.eu/regional_policy/en/funding/social-fund/" TargetMode="External"/><Relationship Id="rId191" Type="http://schemas.openxmlformats.org/officeDocument/2006/relationships/hyperlink" Target="http://www.vhrm.be/" TargetMode="External"/><Relationship Id="rId205" Type="http://schemas.openxmlformats.org/officeDocument/2006/relationships/hyperlink" Target="http://inspire.ec.europa.eu/portfolio/inspire-dashboard" TargetMode="External"/><Relationship Id="rId16" Type="http://schemas.openxmlformats.org/officeDocument/2006/relationships/hyperlink" Target="http://www.environnement.public.lu/actualites/2016/12/12_economie_circulaire/index.html" TargetMode="External"/><Relationship Id="rId107" Type="http://schemas.openxmlformats.org/officeDocument/2006/relationships/hyperlink" Target="http://ec.europa.eu/environment/archives/air/pdf/Impact_assessment_en.pdf" TargetMode="External"/><Relationship Id="rId11" Type="http://schemas.openxmlformats.org/officeDocument/2006/relationships/hyperlink" Target="http://www.avenirdurable.be/economie-circulaire/3-questions-a-marie-christine-marghem?utm_source=arrow&amp;utm_medium=next" TargetMode="External"/><Relationship Id="rId32" Type="http://schemas.openxmlformats.org/officeDocument/2006/relationships/hyperlink" Target="https://steunpuntsumma.be/nl/publicaties/summa-economisch-belang-8.pdf" TargetMode="External"/><Relationship Id="rId37" Type="http://schemas.openxmlformats.org/officeDocument/2006/relationships/hyperlink" Target="https://ec.europa.eu/environment/ecoap/scoreboard_en" TargetMode="External"/><Relationship Id="rId53" Type="http://schemas.openxmlformats.org/officeDocument/2006/relationships/hyperlink" Target="http://eur-lex.europa.eu/legal-content/EN/TXT/?uri=CELEX:52011DC0571" TargetMode="External"/><Relationship Id="rId58" Type="http://schemas.openxmlformats.org/officeDocument/2006/relationships/hyperlink" Target="http://www.lalibre.be/actu/belgique/les-97-derniers-sites-natura-2000-a-preserver-ont-ete-adoptes-58410720cd7003fc4010e457" TargetMode="External"/><Relationship Id="rId74" Type="http://schemas.openxmlformats.org/officeDocument/2006/relationships/hyperlink" Target="http://ec.europa.eu/environment/nature/biodiversity/intro/docs/Health%20and%20Social%20Benefits%20of%20Nature%20-%20Final%20Report%20Executive%20Summary%20sent.pdf" TargetMode="External"/><Relationship Id="rId79" Type="http://schemas.openxmlformats.org/officeDocument/2006/relationships/hyperlink" Target="http://etat.environnement.wallonie.be/index.php?mact=tbe,m54ade,default,1&amp;m54adealias=Artificialisation-du-territoire_2&amp;m54adereturnid=49&amp;page=49" TargetMode="External"/><Relationship Id="rId102" Type="http://schemas.openxmlformats.org/officeDocument/2006/relationships/hyperlink" Target="http://www.eea.europa.eu/data-and-maps/data/data-viewers/emissions-nec-directive-viewer" TargetMode="External"/><Relationship Id="rId123" Type="http://schemas.openxmlformats.org/officeDocument/2006/relationships/hyperlink" Target="http://eur-lex.europa.eu/legal-content/EN/ALL/?uri=CELEX:32015D1499" TargetMode="External"/><Relationship Id="rId128" Type="http://schemas.openxmlformats.org/officeDocument/2006/relationships/hyperlink" Target="http://urbanagendaforthe.eu/" TargetMode="External"/><Relationship Id="rId144" Type="http://schemas.openxmlformats.org/officeDocument/2006/relationships/hyperlink" Target="http://ec.europa.eu/environment/europeangreencapital/wp-content/uploads/2011/04/MDR0763Rp00013_Good-Practice_Final2.pdf" TargetMode="External"/><Relationship Id="rId149" Type="http://schemas.openxmlformats.org/officeDocument/2006/relationships/hyperlink" Target="http://www.environnement.brussels/thematiques/alimentation/action-de-la-region/strategie-good-food-vers-un-systeme-alimentaire-plus" TargetMode="External"/><Relationship Id="rId5" Type="http://schemas.openxmlformats.org/officeDocument/2006/relationships/hyperlink" Target="http://ec.europa.eu/eurostat/tgm/table.do?tab=table&amp;init=1&amp;language=en&amp;pcode=tsdpc100&amp;plugin=1" TargetMode="External"/><Relationship Id="rId90" Type="http://schemas.openxmlformats.org/officeDocument/2006/relationships/hyperlink" Target="http://www.environnement.brussels/tmp-etat-de-lenvironnement/sol" TargetMode="External"/><Relationship Id="rId95" Type="http://schemas.openxmlformats.org/officeDocument/2006/relationships/hyperlink" Target="http://www.google.be/url?sa=t&amp;rct=j&amp;q=&amp;esrc=s&amp;source=web&amp;cd=2&amp;cad=rja&amp;uact=8&amp;ved=0ahUKEwjQ_bj7lNLNAhWCuBoKHalfA7UQFggoMAE&amp;url=http%3A%2F%2Feur-lex.europa.eu%2Flegal-content%2FEN%2FTXT%2F%3Furi%3DCELEX%253A52014DC0097&amp;usg=AFQjCNG66xtE5YGCsI11GSavytVyxfrjtwhttp://www.google.be/url?sa=t&amp;rct=j&amp;q=&amp;esrc=s&amp;source=web&amp;cd=2&amp;cad=rja&amp;uact=8&amp;ved=0ahUKEwjQ_bj7lNLNAhWCuBoKHalfA7UQFggoMAE&amp;url=http%3A%2F%2Feur-lex.europa.eu%2Flegal-content%2FEN%2FTXT%2F%3Furi%3DCELEX%253A52014DC0097&amp;usg=AFQjCNG66xtE5YGCsI11GSavytVyxfrjtw" TargetMode="External"/><Relationship Id="rId160" Type="http://schemas.openxmlformats.org/officeDocument/2006/relationships/hyperlink" Target="http://www.oecd.org/economy/belgium-economic-forecast-summary.htm" TargetMode="External"/><Relationship Id="rId165" Type="http://schemas.openxmlformats.org/officeDocument/2006/relationships/hyperlink" Target="http://ec.europa.eu/environment/gpp/action_plan_en.htm" TargetMode="External"/><Relationship Id="rId181" Type="http://schemas.openxmlformats.org/officeDocument/2006/relationships/hyperlink" Target="http://www.plan.be/admin/uploaded/201606290703110.WP_1607_11277_F.pdf" TargetMode="External"/><Relationship Id="rId186" Type="http://schemas.openxmlformats.org/officeDocument/2006/relationships/hyperlink" Target="http://www.environmentalprosecutors.eu" TargetMode="External"/><Relationship Id="rId22" Type="http://schemas.openxmlformats.org/officeDocument/2006/relationships/hyperlink" Target="http://www.vlaanderen.be/int/europese-unie/en/news/vision-2050-long-term-strategy-flanders" TargetMode="External"/><Relationship Id="rId27" Type="http://schemas.openxmlformats.org/officeDocument/2006/relationships/hyperlink" Target="http://ec.europa.eu/europe2020/pdf/csr2016/nrp2016_belgium_fr.pdf" TargetMode="External"/><Relationship Id="rId43" Type="http://schemas.openxmlformats.org/officeDocument/2006/relationships/hyperlink" Target="http://www.ovam.be/sites/default/files/atoms/files/Inventarisatie-huishoudelijke-afvalstoffen-2014.pdf" TargetMode="External"/><Relationship Id="rId48" Type="http://schemas.openxmlformats.org/officeDocument/2006/relationships/hyperlink" Target="http://eur-lex.europa.eu/legal-content/EN/TXT/?uri=COM:2015:594:FIN" TargetMode="External"/><Relationship Id="rId64" Type="http://schemas.openxmlformats.org/officeDocument/2006/relationships/hyperlink" Target="http://biodiversite.wallonie.be/fr/meta-projet-life-de-restauration-des-tourbieres-de-haute-ardenne.html?IDC=5778" TargetMode="External"/><Relationship Id="rId69" Type="http://schemas.openxmlformats.org/officeDocument/2006/relationships/hyperlink" Target="http://www.nara.be/" TargetMode="External"/><Relationship Id="rId113" Type="http://schemas.openxmlformats.org/officeDocument/2006/relationships/hyperlink" Target="http://eur-lex.europa.eu/legal-content/EN/TXT/?uri=CELEX%3A31991L0676" TargetMode="External"/><Relationship Id="rId118" Type="http://schemas.openxmlformats.org/officeDocument/2006/relationships/hyperlink" Target="http://www.eea.europa.eu/themes/water/status-and-monitoring/state-of-bathing-water" TargetMode="External"/><Relationship Id="rId134" Type="http://schemas.openxmlformats.org/officeDocument/2006/relationships/hyperlink" Target="http://www.stadsmonitor.be/autodelen" TargetMode="External"/><Relationship Id="rId139" Type="http://schemas.openxmlformats.org/officeDocument/2006/relationships/hyperlink" Target="http://ec.europa.eu/regional_policy/en/projects/belgium/urban-park-revitalises-deprived-city-neighbourhood" TargetMode="External"/><Relationship Id="rId80" Type="http://schemas.openxmlformats.org/officeDocument/2006/relationships/hyperlink" Target="http://ec.europa.eu/eurostat/web/population-demography-migration-projections/population-data/main-tables" TargetMode="External"/><Relationship Id="rId85" Type="http://schemas.openxmlformats.org/officeDocument/2006/relationships/hyperlink" Target="http://www.environnement.brussels/thematiques/ville-durable/urbanisme/guide-referentiel-pour-des-quartiers-durables" TargetMode="External"/><Relationship Id="rId150" Type="http://schemas.openxmlformats.org/officeDocument/2006/relationships/hyperlink" Target="http://www.goodfood.brussels/fr/contributions/boeren-bruxsel-paysans" TargetMode="External"/><Relationship Id="rId155" Type="http://schemas.openxmlformats.org/officeDocument/2006/relationships/hyperlink" Target="http://www.oecd-ilibrary.org/docserver/download/5jz14cd7hk6b.pdf?expires=1467378122&amp;id=id&amp;accname=guest&amp;checksum=AFD304D4C89711ABEED530E1AA7CCD17" TargetMode="External"/><Relationship Id="rId171" Type="http://schemas.openxmlformats.org/officeDocument/2006/relationships/hyperlink" Target="https://cohesiondata.ec.europa.eu/countries" TargetMode="External"/><Relationship Id="rId176" Type="http://schemas.openxmlformats.org/officeDocument/2006/relationships/hyperlink" Target="http://www.health.belgium.be/en/coordination-committee-international-environmental-policy-cciep" TargetMode="External"/><Relationship Id="rId192" Type="http://schemas.openxmlformats.org/officeDocument/2006/relationships/hyperlink" Target="http://www.ejustice.just.fgov.be/cgi_loi/change_lg.pl?language=fr&amp;la=F&amp;cn=1999032553&amp;table_name=loi" TargetMode="External"/><Relationship Id="rId197" Type="http://schemas.openxmlformats.org/officeDocument/2006/relationships/hyperlink" Target="http://www.health.belgium.be/en/node/18811" TargetMode="External"/><Relationship Id="rId206" Type="http://schemas.openxmlformats.org/officeDocument/2006/relationships/hyperlink" Target="http://inspire-geoportal.ec.europa.eu/resources/INSPIREResourcesReports/resourcesReport_2016-05-09/" TargetMode="External"/><Relationship Id="rId201" Type="http://schemas.openxmlformats.org/officeDocument/2006/relationships/hyperlink" Target="http://eur-lex.europa.eu/legal-content/GA/ALL/?uri=CELEX:32003L0004" TargetMode="External"/><Relationship Id="rId12" Type="http://schemas.openxmlformats.org/officeDocument/2006/relationships/hyperlink" Target="http://www.ccecrb.fgov.be/txt/fr/doc16-2060.pdf" TargetMode="External"/><Relationship Id="rId17" Type="http://schemas.openxmlformats.org/officeDocument/2006/relationships/hyperlink" Target="http://planmarshall.wallonie.be/" TargetMode="External"/><Relationship Id="rId33" Type="http://schemas.openxmlformats.org/officeDocument/2006/relationships/hyperlink" Target="http://www.flanderstoday.eu/business/peeters-calls-%E2%80%9C50-quick-win-ideas%E2%80%9D-smes" TargetMode="External"/><Relationship Id="rId38" Type="http://schemas.openxmlformats.org/officeDocument/2006/relationships/hyperlink" Target="http://ec.europa.eu/eurostat/tgm/table.do?tab=table&amp;init=1&amp;plugin=1&amp;language=en&amp;pcode=tsdpc240" TargetMode="External"/><Relationship Id="rId59" Type="http://schemas.openxmlformats.org/officeDocument/2006/relationships/hyperlink" Target="https://circabc.europa.eu/sd/a/eaef99b0-0845-4d76-acd5-ab5287f84ba7/BE_20140528.pdf" TargetMode="External"/><Relationship Id="rId103" Type="http://schemas.openxmlformats.org/officeDocument/2006/relationships/hyperlink" Target="http://eur-lex.europa.eu/legal-content/EN/TXT/?uri=celex:32001L0081" TargetMode="External"/><Relationship Id="rId108" Type="http://schemas.openxmlformats.org/officeDocument/2006/relationships/hyperlink" Target="http://www.euro.who.int/en/media-centre/sections/press-releases/2011/03/new-evidence-from-who-on-health-effects-of-traffic-related-noise-in-europe" TargetMode="External"/><Relationship Id="rId124" Type="http://schemas.openxmlformats.org/officeDocument/2006/relationships/hyperlink" Target="http://ec.europa.eu/environment/integration/green_semester/pdf/RPA%20Final%20Report-main%20report.pdf" TargetMode="External"/><Relationship Id="rId129" Type="http://schemas.openxmlformats.org/officeDocument/2006/relationships/hyperlink" Target="http://ec.europa.eu/environment/urban/tool.htm" TargetMode="External"/><Relationship Id="rId54" Type="http://schemas.openxmlformats.org/officeDocument/2006/relationships/hyperlink" Target="http://eur-lex.europa.eu/legal-content/EN/TXT/?uri=CELEX:52011DC0571" TargetMode="External"/><Relationship Id="rId70" Type="http://schemas.openxmlformats.org/officeDocument/2006/relationships/hyperlink" Target="https://www.natuurwaardeverkenner.be/index.jsf" TargetMode="External"/><Relationship Id="rId75" Type="http://schemas.openxmlformats.org/officeDocument/2006/relationships/hyperlink" Target="http://biodiversite.wallonie.be/fr/reseau-wallonie-nature.html?IDC=5929" TargetMode="External"/><Relationship Id="rId91" Type="http://schemas.openxmlformats.org/officeDocument/2006/relationships/hyperlink" Target="http://www.ginkgo-advisor.com/" TargetMode="External"/><Relationship Id="rId96" Type="http://schemas.openxmlformats.org/officeDocument/2006/relationships/hyperlink" Target="http://www.google.be/url?sa=t&amp;rct=j&amp;q=&amp;esrc=s&amp;source=web&amp;cd=2&amp;cad=rja&amp;uact=8&amp;ved=0ahUKEwjNy6fJlNLNAhWIChoKHbzjAm0QFggpMAE&amp;url=http%3A%2F%2Feur-lex.europa.eu%2Flegal-content%2Fen%2FNOT%2F%3Furi%3DCELEX%253A52014SC0049&amp;usg=AFQjCNGXcefDjqSMjLVy3uvt-idC2Rwtxw" TargetMode="External"/><Relationship Id="rId140" Type="http://schemas.openxmlformats.org/officeDocument/2006/relationships/hyperlink" Target="http://www.environnement.brussels/etat-de-lenvironnement/synthese-2011-2012/air/occurrence-des-pics-de-pollution-hivernaux-en-region" TargetMode="External"/><Relationship Id="rId145" Type="http://schemas.openxmlformats.org/officeDocument/2006/relationships/hyperlink" Target="http://ec.europa.eu/environment/europeangreencapital/wp-content/uploads/2011/04/MDR0763Rp00013_Good-Practice_Final2.pdf" TargetMode="External"/><Relationship Id="rId161" Type="http://schemas.openxmlformats.org/officeDocument/2006/relationships/hyperlink" Target="http://www.plan.be/admin/uploaded/201602241636440.CP_voitures_societes_20160224.pdf" TargetMode="External"/><Relationship Id="rId166" Type="http://schemas.openxmlformats.org/officeDocument/2006/relationships/hyperlink" Target="http://ec.europa.eu/environment/gpp/action_plan_en.htm" TargetMode="External"/><Relationship Id="rId182" Type="http://schemas.openxmlformats.org/officeDocument/2006/relationships/hyperlink" Target="http://eur-lex.europa.eu/legal-content/EN/TXT/?uri=OJ:C:2016:273:TOC" TargetMode="External"/><Relationship Id="rId187" Type="http://schemas.openxmlformats.org/officeDocument/2006/relationships/hyperlink" Target="http://envicrimenet.com/" TargetMode="External"/><Relationship Id="rId1" Type="http://schemas.openxmlformats.org/officeDocument/2006/relationships/hyperlink" Target="http://eur-lex.europa.eu/legal-content/EN/TXT/?uri=COM%3A2016%3A316%3AFIN" TargetMode="External"/><Relationship Id="rId6" Type="http://schemas.openxmlformats.org/officeDocument/2006/relationships/hyperlink" Target="http://economie.fgov.be/fr/modules/publications/general/vers_une_belgique_pionniere_de_l_economie_circulaire.jsp" TargetMode="External"/><Relationship Id="rId23" Type="http://schemas.openxmlformats.org/officeDocument/2006/relationships/hyperlink" Target="http://www.eea.europa.eu/publications/more-from-less" TargetMode="External"/><Relationship Id="rId28" Type="http://schemas.openxmlformats.org/officeDocument/2006/relationships/hyperlink" Target="https://data.europa.eu/euodp/en/data/dataset/S2088_426_ENG" TargetMode="External"/><Relationship Id="rId49" Type="http://schemas.openxmlformats.org/officeDocument/2006/relationships/hyperlink" Target="http://eur-lex.europa.eu/legal-content/EN/TXT/?uri=CELEX:52015PC0595" TargetMode="External"/><Relationship Id="rId114" Type="http://schemas.openxmlformats.org/officeDocument/2006/relationships/hyperlink" Target="http://eur-lex.europa.eu/legal-content/EN/TXT/?uri=CELEX:32007L0060" TargetMode="External"/><Relationship Id="rId119" Type="http://schemas.openxmlformats.org/officeDocument/2006/relationships/hyperlink" Target="http://eur-lex.europa.eu/legal-content/EN/TXT/?uri=CELEX%3A52016DC0105" TargetMode="External"/><Relationship Id="rId44" Type="http://schemas.openxmlformats.org/officeDocument/2006/relationships/hyperlink" Target="http://www.ovam.be/sites/default/files/atoms/files/Inventarisatie-huishoudelijke-afvalstoffen-2014.pdf" TargetMode="External"/><Relationship Id="rId60" Type="http://schemas.openxmlformats.org/officeDocument/2006/relationships/hyperlink" Target="http://biodiversite.wallonie.be/fr/rapportage.html?IDC=5803" TargetMode="External"/><Relationship Id="rId65" Type="http://schemas.openxmlformats.org/officeDocument/2006/relationships/hyperlink" Target="http://biodiversite.wallonie.be/fr/resultats-du-rapportage-article-17-au-titre-de-la-directive-92-43-cee-pour-la-periode-2007-2012.html?IDD=4237&amp;IDC=5803" TargetMode="External"/><Relationship Id="rId81" Type="http://schemas.openxmlformats.org/officeDocument/2006/relationships/hyperlink" Target="http://www.eea.europa.eu/data-and-maps/indicators/imperviousness-change/assessment" TargetMode="External"/><Relationship Id="rId86" Type="http://schemas.openxmlformats.org/officeDocument/2006/relationships/hyperlink" Target="http://ec.europa.eu/eurostat/statistics-explained/index.php/Agri-environmental_indicator_-_soil_erosion" TargetMode="External"/><Relationship Id="rId130" Type="http://schemas.openxmlformats.org/officeDocument/2006/relationships/hyperlink" Target="http://www.sustainable-everyday-project.net/urbact-sustainable-food/" TargetMode="External"/><Relationship Id="rId135" Type="http://schemas.openxmlformats.org/officeDocument/2006/relationships/hyperlink" Target="http://www.environnement.brussels/etat-de-lenvironnement/synthese-2011-2012/contexte-bruxellois/mobilite-et-transports" TargetMode="External"/><Relationship Id="rId151" Type="http://schemas.openxmlformats.org/officeDocument/2006/relationships/hyperlink" Target="http://ec.europa.eu/eurostat/en/web/products-datasets/-/T2020_RT320" TargetMode="External"/><Relationship Id="rId156" Type="http://schemas.openxmlformats.org/officeDocument/2006/relationships/hyperlink" Target="http://www.eea.europa.eu/publications/environmental-taxation-and-eu-environmental-policies" TargetMode="External"/><Relationship Id="rId177" Type="http://schemas.openxmlformats.org/officeDocument/2006/relationships/hyperlink" Target="http://ec.europa.eu/europe2020/making-it-happen/country-specific-recommendations/2014/index_en.htm" TargetMode="External"/><Relationship Id="rId198" Type="http://schemas.openxmlformats.org/officeDocument/2006/relationships/hyperlink" Target="http://etat.environnement.wallonie.be/" TargetMode="External"/><Relationship Id="rId172" Type="http://schemas.openxmlformats.org/officeDocument/2006/relationships/hyperlink" Target="https://cohesiondata.ec.europa.eu/countries" TargetMode="External"/><Relationship Id="rId193" Type="http://schemas.openxmlformats.org/officeDocument/2006/relationships/hyperlink" Target="https://www.milieuinfo.be/dms/d/d/workspace/SpacesStore/c8cb50f0-44cf-4b96-9366-3d13c6b34825/20130930-priority-note.pdf" TargetMode="External"/><Relationship Id="rId202" Type="http://schemas.openxmlformats.org/officeDocument/2006/relationships/hyperlink" Target="http://eur-lex.europa.eu/LexUriServ/LexUriServ.do?uri=CELEX:32007L0002:EN:NOT" TargetMode="External"/><Relationship Id="rId13" Type="http://schemas.openxmlformats.org/officeDocument/2006/relationships/hyperlink" Target="http://ec.europa.eu/europe2020/pdf/csr2016/nrp2016_belgium_fr.pdf" TargetMode="External"/><Relationship Id="rId18" Type="http://schemas.openxmlformats.org/officeDocument/2006/relationships/hyperlink" Target="http://www.wallonie.be/fr/publications/declaration-de-politique-regionale-2014-2019" TargetMode="External"/><Relationship Id="rId39" Type="http://schemas.openxmlformats.org/officeDocument/2006/relationships/hyperlink" Target="http://www.ovam.be/sites/default/files/atoms/files/Inventarisatie-huishoudelijke-afvalstoffen-2014.pdf" TargetMode="External"/><Relationship Id="rId109" Type="http://schemas.openxmlformats.org/officeDocument/2006/relationships/hyperlink" Target="http://eur-lex.europa.eu/legal-content/EN/TXT/?qid=1481623908600&amp;uri=CELEX:32006L0007" TargetMode="External"/><Relationship Id="rId34" Type="http://schemas.openxmlformats.org/officeDocument/2006/relationships/hyperlink" Target="http://www.iwt.be/subsidies/extrasteun/do" TargetMode="External"/><Relationship Id="rId50" Type="http://schemas.openxmlformats.org/officeDocument/2006/relationships/hyperlink" Target="http://eur-lex.europa.eu/legal-content/EN/TXT/?uri=CELEX:52015PC0595" TargetMode="External"/><Relationship Id="rId55" Type="http://schemas.openxmlformats.org/officeDocument/2006/relationships/hyperlink" Target="http://emis.vito.be/nl/bedrijfsbericht/closing-circle-een-demonstratie-van-enhanced-landfill-mining" TargetMode="External"/><Relationship Id="rId76" Type="http://schemas.openxmlformats.org/officeDocument/2006/relationships/hyperlink" Target="https://ecoleprimairedeliernu.be/biodibap/projet-biodibap/" TargetMode="External"/><Relationship Id="rId97" Type="http://schemas.openxmlformats.org/officeDocument/2006/relationships/hyperlink" Target="http://www.google.be/url?sa=t&amp;rct=j&amp;q=&amp;esrc=s&amp;source=web&amp;cd=2&amp;cad=rja&amp;uact=8&amp;ved=0ahUKEwjQ_bj7lNLNAhWCuBoKHalfA7UQFggoMAE&amp;url=http%3A%2F%2Feur-lex.europa.eu%2Flegal-content%2FEN%2FTXT%2F%3Furi%3DCELEX%253A52014DC0097&amp;usg=AFQjCNG66xtE5YGCsI11GSavytVyxfrjtwhttp://www.google.be/url?sa=t&amp;rct=j&amp;q=&amp;esrc=s&amp;source=web&amp;cd=2&amp;cad=rja&amp;uact=8&amp;ved=0ahUKEwjQ_bj7lNLNAhWCuBoKHalfA7UQFggoMAE&amp;url=http%3A%2F%2Feur-lex.europa.eu%2Flegal-content%2FEN%2FTXT%2F%3Furi%3DCELEX%253A52014DC0097&amp;usg=AFQjCNG66xtE5YGCsI11GSavytVyxfrjtw" TargetMode="External"/><Relationship Id="rId104" Type="http://schemas.openxmlformats.org/officeDocument/2006/relationships/hyperlink" Target="http://eur-lex.europa.eu/legal-content/EN/TXT/?uri=uriserv:OJ.L_.2016.344.01.0001.01.ENG&amp;toc=OJ:L:2016:344:TOC" TargetMode="External"/><Relationship Id="rId120" Type="http://schemas.openxmlformats.org/officeDocument/2006/relationships/hyperlink" Target="http://eur-lex.europa.eu/legal-content/EN/TXT/?uri=CELEX%3A52016DC0105" TargetMode="External"/><Relationship Id="rId125" Type="http://schemas.openxmlformats.org/officeDocument/2006/relationships/hyperlink" Target="http://ibz.be/sites/default/files/media/docs/etude_statistique_des_calamitsdepuis_1993_version_2013septembre.pdf" TargetMode="External"/><Relationship Id="rId141" Type="http://schemas.openxmlformats.org/officeDocument/2006/relationships/hyperlink" Target="http://www.environnement.brussels/thematiques/air-climat/laction-de-la-region/air-climat-et-energie-vision-integree" TargetMode="External"/><Relationship Id="rId146" Type="http://schemas.openxmlformats.org/officeDocument/2006/relationships/hyperlink" Target="http://www.eib.org/projects/pipeline/2013/20130497.htm" TargetMode="External"/><Relationship Id="rId167" Type="http://schemas.openxmlformats.org/officeDocument/2006/relationships/hyperlink" Target="http://ec.europa.eu/environment/gpp/pdf/CEPS-CoE-GPP%20MAIN%20REPORT.pdf" TargetMode="External"/><Relationship Id="rId188" Type="http://schemas.openxmlformats.org/officeDocument/2006/relationships/hyperlink" Target="http://eur-lex.europa.eu/legal-content/EN/TXT/?uri=CELEX%3A32004L0035" TargetMode="External"/><Relationship Id="rId7" Type="http://schemas.openxmlformats.org/officeDocument/2006/relationships/hyperlink" Target="http://ec.europa.eu/eurostat/tgm/table.do?tab=table&amp;init=1&amp;language=en&amp;pcode=tsdpc100&amp;plugin=1" TargetMode="External"/><Relationship Id="rId71" Type="http://schemas.openxmlformats.org/officeDocument/2006/relationships/hyperlink" Target="https://www.uantwerpen.be/en/rg/ecoplan" TargetMode="External"/><Relationship Id="rId92" Type="http://schemas.openxmlformats.org/officeDocument/2006/relationships/hyperlink" Target="http://eur-lex.europa.eu/legal-content/EN/TXT/?uri=CELEX%3A32008L0056" TargetMode="External"/><Relationship Id="rId162" Type="http://schemas.openxmlformats.org/officeDocument/2006/relationships/hyperlink" Target="http://eur-lex.europa.eu/legal-content/EN/TXT/?uri=CELEX:52008DC0400http://eur-lex.europa.eu/legal-content/EN/TXT/?uri=CELEX:52008DC0400" TargetMode="External"/><Relationship Id="rId183" Type="http://schemas.openxmlformats.org/officeDocument/2006/relationships/hyperlink" Target="http://eur-lex.europa.eu/legal-content/EN/TXT/?uri=CELEX%3A32008L0099http://eur-lex.europa.eu/legal-content/EN/TXT/?uri=CELEX%3A32008L0099" TargetMode="External"/><Relationship Id="rId2" Type="http://schemas.openxmlformats.org/officeDocument/2006/relationships/hyperlink" Target="http://ec.europa.eu/environment/action-programme/" TargetMode="External"/><Relationship Id="rId29" Type="http://schemas.openxmlformats.org/officeDocument/2006/relationships/hyperlink" Target="https://data.europa.eu/euodp/en/data/dataset/S2088_426_ENG" TargetMode="External"/><Relationship Id="rId24" Type="http://schemas.openxmlformats.org/officeDocument/2006/relationships/hyperlink" Target="http://ec.europa.eu/regional_policy/en/projects/belgium/suspro3-generating-growth-through-sustainable-production-methods" TargetMode="External"/><Relationship Id="rId40" Type="http://schemas.openxmlformats.org/officeDocument/2006/relationships/hyperlink" Target="http://www.milieurapport.be/en/facts-figures/environmental-themes/waste/production-of-household-waste/amount-of-household-waste/" TargetMode="External"/><Relationship Id="rId45" Type="http://schemas.openxmlformats.org/officeDocument/2006/relationships/hyperlink" Target="http://ec.europa.eu/eurostat/tgm/table.do?tab=table&amp;init=1&amp;language=en&amp;pcode=t2020_rt120&amp;plugin=1" TargetMode="External"/><Relationship Id="rId66" Type="http://schemas.openxmlformats.org/officeDocument/2006/relationships/hyperlink" Target="http://www.beescommunity.be/en/thematic-groups/belgian-maes-working-group/" TargetMode="External"/><Relationship Id="rId87" Type="http://schemas.openxmlformats.org/officeDocument/2006/relationships/hyperlink" Target="http://ec.europa.eu/regional_policy/en/atlas/programmes/2014-2020/belgium/2014be16rfop001" TargetMode="External"/><Relationship Id="rId110" Type="http://schemas.openxmlformats.org/officeDocument/2006/relationships/hyperlink" Target="http://eur-lex.europa.eu/legal-content/EN/ALL/?uri=CELEX%3A31991L0271" TargetMode="External"/><Relationship Id="rId115" Type="http://schemas.openxmlformats.org/officeDocument/2006/relationships/hyperlink" Target="http://ec.europa.eu/environment/water/water-framework/impl_reports.htm" TargetMode="External"/><Relationship Id="rId131" Type="http://schemas.openxmlformats.org/officeDocument/2006/relationships/hyperlink" Target="http://www.inrix.com/scorecard/key-findings-us/" TargetMode="External"/><Relationship Id="rId136" Type="http://schemas.openxmlformats.org/officeDocument/2006/relationships/hyperlink" Target="http://ec.europa.eu/regional_policy/en/atlas/programmes/2014-2020/belgium/2014be16rfop001" TargetMode="External"/><Relationship Id="rId157" Type="http://schemas.openxmlformats.org/officeDocument/2006/relationships/hyperlink" Target="http://ec.europa.eu/europe2020/pdf/csr2016/nrp2016_belgium_fr.pdf" TargetMode="External"/><Relationship Id="rId178" Type="http://schemas.openxmlformats.org/officeDocument/2006/relationships/hyperlink" Target="http://ec.europa.eu/europe2020/making-it-happen/country-specific-recommendations/index_en.htm" TargetMode="External"/><Relationship Id="rId61" Type="http://schemas.openxmlformats.org/officeDocument/2006/relationships/hyperlink" Target="http://biodiversity.europa.eu/countries/eu_country_profiles/belgium" TargetMode="External"/><Relationship Id="rId82" Type="http://schemas.openxmlformats.org/officeDocument/2006/relationships/hyperlink" Target="http://www.eea.europa.eu/data-and-maps/indicators/imperviousness-change/assessment" TargetMode="External"/><Relationship Id="rId152" Type="http://schemas.openxmlformats.org/officeDocument/2006/relationships/hyperlink" Target="http://ec.europa.eu/environment/integration/green_semester/pdf/Eunomia%20EFR%20Final%20Report%20MAIN%20REPORT.pdf" TargetMode="External"/><Relationship Id="rId173" Type="http://schemas.openxmlformats.org/officeDocument/2006/relationships/hyperlink" Target="https://cohesiondata.ec.europa.eu/countries/BE" TargetMode="External"/><Relationship Id="rId194" Type="http://schemas.openxmlformats.org/officeDocument/2006/relationships/hyperlink" Target="http://www.police.be/files/fed/files/ORG/INT/NSP2016-2019-S.pdf" TargetMode="External"/><Relationship Id="rId199" Type="http://schemas.openxmlformats.org/officeDocument/2006/relationships/hyperlink" Target="http://www.environnement.brussels/etat-de-lenvironnement" TargetMode="External"/><Relationship Id="rId203" Type="http://schemas.openxmlformats.org/officeDocument/2006/relationships/hyperlink" Target="https://ec.europa.eu/digital-single-market/en/news/communication-eu-egovernment-action-plan-2016-2020-accelerating-digital-transformation" TargetMode="External"/><Relationship Id="rId19" Type="http://schemas.openxmlformats.org/officeDocument/2006/relationships/hyperlink" Target="http://www.infos-entreprises.be/fr/economie-circulaire" TargetMode="External"/><Relationship Id="rId14" Type="http://schemas.openxmlformats.org/officeDocument/2006/relationships/hyperlink" Target="http://ec.europa.eu/europe2020/pdf/csr2016/nrp2016_belgium_fr.pdf" TargetMode="External"/><Relationship Id="rId30" Type="http://schemas.openxmlformats.org/officeDocument/2006/relationships/hyperlink" Target="https://data.europa.eu/euodp/en/data/dataset/S2088_426_ENG" TargetMode="External"/><Relationship Id="rId35" Type="http://schemas.openxmlformats.org/officeDocument/2006/relationships/hyperlink" Target="http://www.mipvlaanderen.be/nl/webpage/1/homepage.aspx" TargetMode="External"/><Relationship Id="rId56" Type="http://schemas.openxmlformats.org/officeDocument/2006/relationships/hyperlink" Target="https://www.cbd.int/doc/world/be/be-nbsap-v2-en.pdf" TargetMode="External"/><Relationship Id="rId77" Type="http://schemas.openxmlformats.org/officeDocument/2006/relationships/hyperlink" Target="http://www.environnement.brussels/sites/default/files/user_files/prog_20160414_naplan_fr.pdf" TargetMode="External"/><Relationship Id="rId100" Type="http://schemas.openxmlformats.org/officeDocument/2006/relationships/hyperlink" Target="http://ec.europa.eu/environment/air/quality/standards.htm" TargetMode="External"/><Relationship Id="rId105" Type="http://schemas.openxmlformats.org/officeDocument/2006/relationships/hyperlink" Target="http://www.eea.europa.eu/publications/air-quality-in-europe-2016" TargetMode="External"/><Relationship Id="rId126" Type="http://schemas.openxmlformats.org/officeDocument/2006/relationships/hyperlink" Target="http://ec.europa.eu/environment/water/water-framework/impl_reports.htm" TargetMode="External"/><Relationship Id="rId147" Type="http://schemas.openxmlformats.org/officeDocument/2006/relationships/hyperlink" Target="http://ec.europa.eu/regional_policy/en/regio-stars-awards/" TargetMode="External"/><Relationship Id="rId168" Type="http://schemas.openxmlformats.org/officeDocument/2006/relationships/hyperlink" Target="http://www.eib.org/efsi/" TargetMode="External"/><Relationship Id="rId8" Type="http://schemas.openxmlformats.org/officeDocument/2006/relationships/hyperlink" Target="http://marghem.belgium.be/sites/default/files/articles/ECON-CIRC-FR-LIGHT-2_0.pdf" TargetMode="External"/><Relationship Id="rId51" Type="http://schemas.openxmlformats.org/officeDocument/2006/relationships/hyperlink" Target="http://ec.europa.eu/environment/waste/studies/pdf/study%2012%20FINAL%20REPORT.pdf" TargetMode="External"/><Relationship Id="rId72" Type="http://schemas.openxmlformats.org/officeDocument/2006/relationships/hyperlink" Target="http://eur-lex.europa.eu/legal-content/EN/TXT/?uri=CELEX:52013DC0249" TargetMode="External"/><Relationship Id="rId93" Type="http://schemas.openxmlformats.org/officeDocument/2006/relationships/hyperlink" Target="http://www.plan.be/admin/uploaded/201606290703110.WP_1607_11277_F.pdf" TargetMode="External"/><Relationship Id="rId98" Type="http://schemas.openxmlformats.org/officeDocument/2006/relationships/hyperlink" Target="http://www.google.be/url?sa=t&amp;rct=j&amp;q=&amp;esrc=s&amp;source=web&amp;cd=2&amp;cad=rja&amp;uact=8&amp;ved=0ahUKEwjNy6fJlNLNAhWIChoKHbzjAm0QFggpMAE&amp;url=http%3A%2F%2Feur-lex.europa.eu%2Flegal-content%2Fen%2FNOT%2F%3Furi%3DCELEX%253A52014SC0049&amp;usg=AFQjCNGXcefDjqSMjLVy3uvt-idC2Rwtxw" TargetMode="External"/><Relationship Id="rId121" Type="http://schemas.openxmlformats.org/officeDocument/2006/relationships/hyperlink" Target="http://eur-lex.europa.eu/legal-content/EN/TXT/?uri=CELEX:52016SC0045" TargetMode="External"/><Relationship Id="rId142" Type="http://schemas.openxmlformats.org/officeDocument/2006/relationships/hyperlink" Target="http://www.environnement.brussels/tmp-etat-de-lenvironnement/dechets/focus-part-et-gestion-des-dechets-prepares-en-vue-du-reemploi-et" TargetMode="External"/><Relationship Id="rId163" Type="http://schemas.openxmlformats.org/officeDocument/2006/relationships/hyperlink" Target="http://ec.europa.eu/environment/gpp/action_plan_en.htm" TargetMode="External"/><Relationship Id="rId184" Type="http://schemas.openxmlformats.org/officeDocument/2006/relationships/hyperlink" Target="http://www.impel.eu" TargetMode="External"/><Relationship Id="rId189" Type="http://schemas.openxmlformats.org/officeDocument/2006/relationships/hyperlink" Target="https://ec.europa.eu/transparency/regdoc/rep/1/2016/EN/1-2016-204-EN-F1-1.PDF" TargetMode="External"/><Relationship Id="rId3" Type="http://schemas.openxmlformats.org/officeDocument/2006/relationships/hyperlink" Target="http://www.undp.org/content/undp/en/home/sdgoverview/post-2015-development-agenda.html" TargetMode="External"/><Relationship Id="rId25" Type="http://schemas.openxmlformats.org/officeDocument/2006/relationships/hyperlink" Target="http://www.environnement.brussels/thematiques/economie-durable/programme-regional-en-economie-circulaire" TargetMode="External"/><Relationship Id="rId46" Type="http://schemas.openxmlformats.org/officeDocument/2006/relationships/hyperlink" Target="http://ec.europa.eu/environment/integration/research/newsalert/pdf/enhanced_waste_management_practices_reduce_carbon_emissions_support_lower_landfill_taxes_461na1_en.pdf" TargetMode="External"/><Relationship Id="rId67" Type="http://schemas.openxmlformats.org/officeDocument/2006/relationships/hyperlink" Target="http://www.gembloux.ulg.ac.be/blog/bees-christmas-market-en-video/" TargetMode="External"/><Relationship Id="rId116" Type="http://schemas.openxmlformats.org/officeDocument/2006/relationships/hyperlink" Target="http://ec.europa.eu/environment/water/water-drink/reporting_en.html" TargetMode="External"/><Relationship Id="rId137" Type="http://schemas.openxmlformats.org/officeDocument/2006/relationships/hyperlink" Target="http://ec.europa.eu/regional_policy/en/atlas/programmes/2014-2020/belgium/2014be16rfop002" TargetMode="External"/><Relationship Id="rId158" Type="http://schemas.openxmlformats.org/officeDocument/2006/relationships/hyperlink" Target="http://www.eea.europa.eu/publications/environmental-taxation-and-eu-environmental-policies" TargetMode="External"/><Relationship Id="rId20" Type="http://schemas.openxmlformats.org/officeDocument/2006/relationships/hyperlink" Target="http://www.eea.europa.eu/publications/more-from-less" TargetMode="External"/><Relationship Id="rId41" Type="http://schemas.openxmlformats.org/officeDocument/2006/relationships/hyperlink" Target="http://etat.environnement.wallonie.be/index.php?mact=tbe,m54ade,default,1&amp;m54adealias=Generation-de-dechets-municipaux_1&amp;m54adereturnid=49&amp;page=49" TargetMode="External"/><Relationship Id="rId62" Type="http://schemas.openxmlformats.org/officeDocument/2006/relationships/hyperlink" Target="https://www.natura2000.vlaanderen.be/pas" TargetMode="External"/><Relationship Id="rId83" Type="http://schemas.openxmlformats.org/officeDocument/2006/relationships/hyperlink" Target="http://www.do.vlaanderen.be/duurzaamheidsmeter-wijken" TargetMode="External"/><Relationship Id="rId88" Type="http://schemas.openxmlformats.org/officeDocument/2006/relationships/hyperlink" Target="http://www.environnement.brussels/thematiques/sols/linventaire-de-letat-du-sol" TargetMode="External"/><Relationship Id="rId111" Type="http://schemas.openxmlformats.org/officeDocument/2006/relationships/hyperlink" Target="http://eur-lex.europa.eu/legal-content/EN/TXT/?uri=CELEX%3A31998L0083" TargetMode="External"/><Relationship Id="rId132" Type="http://schemas.openxmlformats.org/officeDocument/2006/relationships/hyperlink" Target="http://www.plan.be/admin/uploaded/201606290703110.WP_1607_11277_F.pdf" TargetMode="External"/><Relationship Id="rId153" Type="http://schemas.openxmlformats.org/officeDocument/2006/relationships/hyperlink" Target="https://www.lne.be/sites/default/files/atoms/files/Vergroening%20van%20de%20fiscaliteit.pdf" TargetMode="External"/><Relationship Id="rId174" Type="http://schemas.openxmlformats.org/officeDocument/2006/relationships/hyperlink" Target="https://www.cites.org/" TargetMode="External"/><Relationship Id="rId179" Type="http://schemas.openxmlformats.org/officeDocument/2006/relationships/hyperlink" Target="https://nicholascharron.wordpress.com/european-quality-of-government-index-eqi/" TargetMode="External"/><Relationship Id="rId195" Type="http://schemas.openxmlformats.org/officeDocument/2006/relationships/hyperlink" Target="http://ec.europa.eu/environment/aarhus/access_studies.htm" TargetMode="External"/><Relationship Id="rId190" Type="http://schemas.openxmlformats.org/officeDocument/2006/relationships/hyperlink" Target="http://eur-lex.europa.eu/legal-content/EN/TXT/?uri=CELEX%3A52016SC0121" TargetMode="External"/><Relationship Id="rId204" Type="http://schemas.openxmlformats.org/officeDocument/2006/relationships/hyperlink" Target="http://inspire.ec.europa.eu/index.cfm/pageid/182" TargetMode="External"/><Relationship Id="rId15" Type="http://schemas.openxmlformats.org/officeDocument/2006/relationships/hyperlink" Target="http://www.benelux.int/files/3814/5948/8267/Economie_Circulairebonliens.pdf" TargetMode="External"/><Relationship Id="rId36" Type="http://schemas.openxmlformats.org/officeDocument/2006/relationships/hyperlink" Target="https://recherche-technologie.wallonie.be/?LANG=en" TargetMode="External"/><Relationship Id="rId57" Type="http://schemas.openxmlformats.org/officeDocument/2006/relationships/hyperlink" Target="http://ec.europa.eu/environment/nature/info/pubs/docs/nat2000newsl/nat37_en.pdf" TargetMode="External"/><Relationship Id="rId106" Type="http://schemas.openxmlformats.org/officeDocument/2006/relationships/hyperlink" Target="http://www.eea.europa.eu/publications/air-quality-in-europe-2016" TargetMode="External"/><Relationship Id="rId127" Type="http://schemas.openxmlformats.org/officeDocument/2006/relationships/hyperlink" Target="http://www.eea.europa.eu/themes/urban" TargetMode="External"/><Relationship Id="rId10" Type="http://schemas.openxmlformats.org/officeDocument/2006/relationships/hyperlink" Target="http://www.oakdenehollins.co.uk/newsdetail.php?news=261" TargetMode="External"/><Relationship Id="rId31" Type="http://schemas.openxmlformats.org/officeDocument/2006/relationships/hyperlink" Target="http://media.wix.com/ugd/f593b3_9340153f1c8948cb9aff991b4e004c2c.pdf" TargetMode="External"/><Relationship Id="rId52" Type="http://schemas.openxmlformats.org/officeDocument/2006/relationships/hyperlink" Target="http://ec.europa.eu/environment/waste/studies/pdf/study%2012%20FINAL%20REPORT.pdf" TargetMode="External"/><Relationship Id="rId73" Type="http://schemas.openxmlformats.org/officeDocument/2006/relationships/hyperlink" Target="https://www.cbd.int/doc/world/be/be-nr-05-en.pdf" TargetMode="External"/><Relationship Id="rId78" Type="http://schemas.openxmlformats.org/officeDocument/2006/relationships/hyperlink" Target="http://land.copernicus.eu/pan-european/corine-land-cover/lcc-2006-2012/view" TargetMode="External"/><Relationship Id="rId94" Type="http://schemas.openxmlformats.org/officeDocument/2006/relationships/hyperlink" Target="http://www.google.be/url?sa=t&amp;rct=j&amp;q=&amp;esrc=s&amp;source=web&amp;cd=2&amp;cad=rja&amp;uact=8&amp;ved=0ahUKEwjNy6fJlNLNAhWIChoKHbzjAm0QFggpMAE&amp;url=http%3A%2F%2Feur-lex.europa.eu%2Flegal-content%2Fen%2FNOT%2F%3Furi%3DCELEX%253A52014SC0049&amp;usg=AFQjCNGXcefDjqSMjLVy3uvt-idC2Rwtxw" TargetMode="External"/><Relationship Id="rId99" Type="http://schemas.openxmlformats.org/officeDocument/2006/relationships/hyperlink" Target="http://www.google.be/url?sa=t&amp;rct=j&amp;q=&amp;esrc=s&amp;source=web&amp;cd=2&amp;cad=rja&amp;uact=8&amp;ved=0ahUKEwjNy6fJlNLNAhWIChoKHbzjAm0QFggpMAE&amp;url=http%3A%2F%2Feur-lex.europa.eu%2Flegal-content%2Fen%2FNOT%2F%3Furi%3DCELEX%253A52014SC0049&amp;usg=AFQjCNGXcefDjqSMjLVy3uvt-idC2Rwtxw" TargetMode="External"/><Relationship Id="rId101" Type="http://schemas.openxmlformats.org/officeDocument/2006/relationships/hyperlink" Target="http://cdr.eionet.europa.eu/" TargetMode="External"/><Relationship Id="rId122" Type="http://schemas.openxmlformats.org/officeDocument/2006/relationships/hyperlink" Target="http://eur-lex.europa.eu/legal-content/EN/TXT/?uri=CELEX:52016SC0045" TargetMode="External"/><Relationship Id="rId143" Type="http://schemas.openxmlformats.org/officeDocument/2006/relationships/hyperlink" Target="http://ec.europa.eu/environment/europeangreencapital/wp-content/uploads/2011/04/MDR0763Rp00013_Good-Practice_Final2.pdf" TargetMode="External"/><Relationship Id="rId148" Type="http://schemas.openxmlformats.org/officeDocument/2006/relationships/hyperlink" Target="http://ec.europa.eu/regional_policy/en/regio-stars-awards/" TargetMode="External"/><Relationship Id="rId164" Type="http://schemas.openxmlformats.org/officeDocument/2006/relationships/hyperlink" Target="http://eur-lex.europa.eu/legal-content/EN/TXT/?uri=CELEX:52008DC0400http://eur-lex.europa.eu/legal-content/EN/TXT/?uri=CELEX:52008DC0400" TargetMode="External"/><Relationship Id="rId169" Type="http://schemas.openxmlformats.org/officeDocument/2006/relationships/hyperlink" Target="http://ec.europa.eu/regional_policy/en/funding/social-fund/" TargetMode="External"/><Relationship Id="rId185" Type="http://schemas.openxmlformats.org/officeDocument/2006/relationships/hyperlink" Target="http://www.eufje.org" TargetMode="External"/><Relationship Id="rId4" Type="http://schemas.openxmlformats.org/officeDocument/2006/relationships/hyperlink" Target="http://europa.eu/rapid/press-release_IP-15-6203_en.htm" TargetMode="External"/><Relationship Id="rId9" Type="http://schemas.openxmlformats.org/officeDocument/2006/relationships/hyperlink" Target="http://marghem.belgium.be/sites/default/files/articles/CIRC-ECON-NL-LIGHT-2_0.pdf" TargetMode="External"/><Relationship Id="rId180" Type="http://schemas.openxmlformats.org/officeDocument/2006/relationships/hyperlink" Target="http://www.health.belgium.be/en/interministerial-conference-environment-ice" TargetMode="External"/><Relationship Id="rId26" Type="http://schemas.openxmlformats.org/officeDocument/2006/relationships/hyperlink" Target="http://ec.europa.eu/europe2020/pdf/csr2016/nrp2016_belgium_fr.pdf" TargetMode="External"/><Relationship Id="rId47" Type="http://schemas.openxmlformats.org/officeDocument/2006/relationships/hyperlink" Target="http://lv.vlaanderen.be/nl/voorlichting-info/publicaties/studies/voedselverlies" TargetMode="External"/><Relationship Id="rId68" Type="http://schemas.openxmlformats.org/officeDocument/2006/relationships/hyperlink" Target="https://www.inbo.be/en/flanders-regional-ecosystem-assessment-state-and-trends-synthesis-report" TargetMode="External"/><Relationship Id="rId89" Type="http://schemas.openxmlformats.org/officeDocument/2006/relationships/hyperlink" Target="http://www.environnement.brussels/thematiques/sols/linventaire-de-letat-du-sol/quest-ce-que-la-carte-de-letat-du-sol" TargetMode="External"/><Relationship Id="rId112" Type="http://schemas.openxmlformats.org/officeDocument/2006/relationships/hyperlink" Target="http://eur-lex.europa.eu/legal-content/EN/TXT/?qid=1481624135097&amp;uri=CELEX:32000L0060" TargetMode="External"/><Relationship Id="rId133" Type="http://schemas.openxmlformats.org/officeDocument/2006/relationships/hyperlink" Target="http://ec.europa.eu/regional_policy/en/atlas/programmes/2014-2020/belgium/2014be16rfop002" TargetMode="External"/><Relationship Id="rId154" Type="http://schemas.openxmlformats.org/officeDocument/2006/relationships/hyperlink" Target="http://ec.europa.eu/eurostat/en/web/products-datasets/-/T2020_RT320" TargetMode="External"/><Relationship Id="rId175" Type="http://schemas.openxmlformats.org/officeDocument/2006/relationships/hyperlink" Target="https://www.cbd.int/doc/world/be/be-nbsap-v2-en.pdf" TargetMode="External"/><Relationship Id="rId196" Type="http://schemas.openxmlformats.org/officeDocument/2006/relationships/hyperlink" Target="http://www.milieurapport.be/nl/mira/" TargetMode="External"/><Relationship Id="rId200" Type="http://schemas.openxmlformats.org/officeDocument/2006/relationships/hyperlink" Target="http://www.unece.org/fileadmin/DAM/env/pp/documents/cep43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EF482-06D8-41DD-BC61-8E2E8DC11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15512</Words>
  <Characters>87800</Characters>
  <Application>Microsoft Office Word</Application>
  <DocSecurity>0</DocSecurity>
  <Lines>2152</Lines>
  <Paragraphs>357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102978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BARTH Carmen (SG)</cp:lastModifiedBy>
  <cp:revision>17</cp:revision>
  <cp:lastPrinted>2016-12-09T17:56:00Z</cp:lastPrinted>
  <dcterms:created xsi:type="dcterms:W3CDTF">2017-01-24T09:24:00Z</dcterms:created>
  <dcterms:modified xsi:type="dcterms:W3CDTF">2017-02-02T17:36:00Z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