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7B9" w:rsidRDefault="009B5B10" w:rsidP="009B5B10">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A0881D56C0E74338B3ACEB1D36A16E29" style="width:450.7pt;height:498.85pt">
            <v:imagedata r:id="rId9" o:title=""/>
          </v:shape>
        </w:pict>
      </w:r>
    </w:p>
    <w:bookmarkEnd w:id="0"/>
    <w:p w:rsidR="00D337B9" w:rsidRDefault="00D337B9">
      <w:pPr>
        <w:rPr>
          <w:noProof/>
        </w:rPr>
        <w:sectPr w:rsidR="00D337B9" w:rsidSect="009B5B10">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D337B9" w:rsidRDefault="00D337B9">
      <w:pPr>
        <w:pStyle w:val="Pagedecouverture"/>
        <w:rPr>
          <w:noProof/>
        </w:rPr>
      </w:pPr>
      <w:bookmarkStart w:id="1" w:name="_GoBack"/>
      <w:bookmarkEnd w:id="1"/>
    </w:p>
    <w:p w:rsidR="00D337B9" w:rsidRDefault="00D337B9">
      <w:pPr>
        <w:widowControl w:val="0"/>
        <w:tabs>
          <w:tab w:val="right" w:leader="dot" w:pos="8640"/>
        </w:tabs>
        <w:spacing w:before="120" w:after="120" w:line="240" w:lineRule="auto"/>
        <w:ind w:left="482" w:right="720" w:hanging="482"/>
        <w:jc w:val="center"/>
        <w:rPr>
          <w:rFonts w:eastAsia="Times New Roman" w:cs="Times New Roman"/>
          <w:b/>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D337B9">
      <w:pPr>
        <w:widowControl w:val="0"/>
        <w:tabs>
          <w:tab w:val="right" w:leader="dot" w:pos="8640"/>
        </w:tabs>
        <w:spacing w:before="120" w:after="120" w:line="240" w:lineRule="auto"/>
        <w:ind w:right="720"/>
        <w:rPr>
          <w:rFonts w:eastAsia="Times New Roman" w:cs="Times New Roman"/>
          <w:noProof/>
          <w:szCs w:val="20"/>
        </w:rPr>
      </w:pPr>
    </w:p>
    <w:p w:rsidR="00D337B9" w:rsidRDefault="009B5B10">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Style w:val="Hyperlink"/>
            <w:rFonts w:eastAsia="Times New Roman" w:cs="Times New Roman"/>
            <w:noProof/>
            <w:szCs w:val="20"/>
          </w:rPr>
          <w:t>ENV-EIR@ec.europa.eu</w:t>
        </w:r>
      </w:hyperlink>
      <w:r>
        <w:rPr>
          <w:rFonts w:eastAsia="Times New Roman" w:cs="Times New Roman"/>
          <w:noProof/>
          <w:szCs w:val="20"/>
        </w:rPr>
        <w:t xml:space="preserve"> </w:t>
      </w:r>
    </w:p>
    <w:p w:rsidR="00D337B9" w:rsidRDefault="00D337B9">
      <w:pPr>
        <w:widowControl w:val="0"/>
        <w:tabs>
          <w:tab w:val="right" w:leader="dot" w:pos="8640"/>
        </w:tabs>
        <w:spacing w:before="120" w:after="120" w:line="240" w:lineRule="auto"/>
        <w:ind w:left="482" w:right="720" w:hanging="482"/>
        <w:rPr>
          <w:rFonts w:eastAsia="Times New Roman" w:cs="Times New Roman"/>
          <w:noProof/>
          <w:szCs w:val="20"/>
        </w:rPr>
      </w:pPr>
    </w:p>
    <w:p w:rsidR="00D337B9" w:rsidRDefault="009B5B10">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Style w:val="Hyperlink"/>
            <w:rFonts w:eastAsia="Times New Roman" w:cs="Times New Roman"/>
            <w:noProof/>
            <w:szCs w:val="20"/>
          </w:rPr>
          <w:t>http://europa.eu</w:t>
        </w:r>
      </w:hyperlink>
      <w:r>
        <w:rPr>
          <w:rFonts w:eastAsia="Times New Roman" w:cs="Times New Roman"/>
          <w:noProof/>
          <w:szCs w:val="20"/>
        </w:rPr>
        <w:t>).</w:t>
      </w:r>
    </w:p>
    <w:p w:rsidR="00D337B9" w:rsidRDefault="00D337B9">
      <w:pPr>
        <w:widowControl w:val="0"/>
        <w:tabs>
          <w:tab w:val="right" w:leader="dot" w:pos="8640"/>
        </w:tabs>
        <w:spacing w:before="120" w:after="120" w:line="240" w:lineRule="auto"/>
        <w:ind w:left="482" w:right="720" w:hanging="482"/>
        <w:rPr>
          <w:rFonts w:eastAsia="Times New Roman" w:cs="Times New Roman"/>
          <w:noProof/>
          <w:szCs w:val="20"/>
        </w:rPr>
      </w:pPr>
    </w:p>
    <w:p w:rsidR="00D337B9" w:rsidRDefault="009B5B10">
      <w:pPr>
        <w:widowControl w:val="0"/>
        <w:tabs>
          <w:tab w:val="right" w:leader="dot" w:pos="8640"/>
        </w:tabs>
        <w:spacing w:after="0" w:line="240" w:lineRule="auto"/>
        <w:ind w:right="141"/>
        <w:rPr>
          <w:rFonts w:eastAsia="Times New Roman" w:cs="Times New Roman"/>
          <w:noProof/>
          <w:szCs w:val="20"/>
        </w:rPr>
      </w:pPr>
      <w:r>
        <w:rPr>
          <w:rFonts w:eastAsia="Times New Roman" w:cs="Times New Roman"/>
          <w:noProof/>
          <w:szCs w:val="20"/>
        </w:rPr>
        <w:t>Photographs: p.9 – ©LIFE99 TCY/CY/041; p.12 – ©letty17/iStock; p.14 – © letty17/iStock</w:t>
      </w:r>
    </w:p>
    <w:p w:rsidR="00D337B9" w:rsidRDefault="009B5B10">
      <w:pPr>
        <w:widowControl w:val="0"/>
        <w:tabs>
          <w:tab w:val="right" w:leader="dot" w:pos="8640"/>
        </w:tabs>
        <w:spacing w:after="0" w:line="240" w:lineRule="auto"/>
        <w:ind w:right="141"/>
        <w:rPr>
          <w:rFonts w:eastAsia="Times New Roman" w:cs="Times New Roman"/>
          <w:noProof/>
          <w:szCs w:val="20"/>
          <w:lang w:val="de-DE"/>
        </w:rPr>
      </w:pPr>
      <w:r>
        <w:rPr>
          <w:rFonts w:eastAsia="Times New Roman" w:cs="Times New Roman"/>
          <w:noProof/>
          <w:szCs w:val="20"/>
          <w:lang w:val="de-DE"/>
        </w:rPr>
        <w:t>p.19 – ©Kirill Makarov/iStock; p.23 – ©efesenko/iStock</w:t>
      </w:r>
    </w:p>
    <w:p w:rsidR="00D337B9" w:rsidRDefault="00D337B9">
      <w:pPr>
        <w:widowControl w:val="0"/>
        <w:tabs>
          <w:tab w:val="right" w:leader="dot" w:pos="8640"/>
        </w:tabs>
        <w:spacing w:before="120" w:after="120" w:line="240" w:lineRule="auto"/>
        <w:rPr>
          <w:rFonts w:eastAsia="Times New Roman" w:cs="Times New Roman"/>
          <w:noProof/>
          <w:szCs w:val="20"/>
          <w:lang w:val="de-DE"/>
        </w:rPr>
      </w:pPr>
    </w:p>
    <w:p w:rsidR="00D337B9" w:rsidRDefault="009B5B10">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 xml:space="preserve">For </w:t>
      </w:r>
      <w:r>
        <w:rPr>
          <w:rFonts w:eastAsia="Times New Roman" w:cs="Times New Roman"/>
          <w:noProof/>
          <w:szCs w:val="20"/>
        </w:rPr>
        <w:t>reproduction or use of these photos, permission must be sought directly from the copyright holder.</w:t>
      </w:r>
    </w:p>
    <w:p w:rsidR="00D337B9" w:rsidRDefault="00D337B9">
      <w:pPr>
        <w:widowControl w:val="0"/>
        <w:tabs>
          <w:tab w:val="right" w:leader="dot" w:pos="8640"/>
        </w:tabs>
        <w:spacing w:before="120" w:after="120" w:line="240" w:lineRule="auto"/>
        <w:jc w:val="both"/>
        <w:rPr>
          <w:rFonts w:eastAsia="Times New Roman" w:cs="Times New Roman"/>
          <w:noProof/>
          <w:szCs w:val="20"/>
        </w:rPr>
      </w:pPr>
    </w:p>
    <w:p w:rsidR="00D337B9" w:rsidRDefault="009B5B10">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D337B9" w:rsidRDefault="009B5B10">
      <w:pPr>
        <w:widowControl w:val="0"/>
        <w:tabs>
          <w:tab w:val="right" w:leader="dot" w:pos="8640"/>
        </w:tabs>
        <w:spacing w:before="120" w:after="120" w:line="240" w:lineRule="auto"/>
        <w:rPr>
          <w:rFonts w:eastAsia="Times New Roman" w:cs="Times New Roman"/>
          <w:noProof/>
          <w:szCs w:val="20"/>
        </w:rPr>
        <w:sectPr w:rsidR="00D337B9">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9" w:footer="709" w:gutter="0"/>
          <w:pgNumType w:start="2"/>
          <w:cols w:space="720"/>
          <w:titlePg/>
          <w:docGrid w:linePitch="360"/>
        </w:sectPr>
      </w:pPr>
      <w:r>
        <w:rPr>
          <w:rFonts w:eastAsia="Times New Roman" w:cs="Times New Roman"/>
          <w:noProof/>
          <w:szCs w:val="20"/>
        </w:rPr>
        <w:t>Reproduction is authorised provided the source is acknowledged.</w:t>
      </w:r>
    </w:p>
    <w:p w:rsidR="00D337B9" w:rsidRDefault="009B5B10">
      <w:pPr>
        <w:keepNext/>
        <w:widowControl w:val="0"/>
        <w:spacing w:before="240" w:after="120" w:line="240" w:lineRule="auto"/>
        <w:ind w:left="113" w:hanging="113"/>
        <w:jc w:val="center"/>
        <w:rPr>
          <w:noProof/>
        </w:rPr>
      </w:pPr>
      <w:r>
        <w:rPr>
          <w:rFonts w:eastAsia="Times New Roman"/>
          <w:b/>
          <w:noProof/>
          <w:lang w:eastAsia="en-GB"/>
        </w:rPr>
        <w:lastRenderedPageBreak/>
        <w:t xml:space="preserve">Table of </w:t>
      </w:r>
      <w:r>
        <w:rPr>
          <w:rFonts w:eastAsia="Times New Roman"/>
          <w:b/>
          <w:noProof/>
          <w:lang w:eastAsia="en-GB"/>
        </w:rPr>
        <w:t>Content</w:t>
      </w:r>
      <w:bookmarkStart w:id="2" w:name="_Toc432510709"/>
      <w:bookmarkStart w:id="3" w:name="_Toc432521119"/>
      <w:bookmarkStart w:id="4" w:name="_Toc433296149"/>
      <w:bookmarkEnd w:id="2"/>
      <w:bookmarkEnd w:id="3"/>
      <w:r>
        <w:rPr>
          <w:rFonts w:eastAsiaTheme="minorEastAsia"/>
          <w:b/>
          <w:caps/>
          <w:noProof/>
          <w:lang w:val="en-US" w:eastAsia="ja-JP"/>
        </w:rPr>
        <w:fldChar w:fldCharType="begin"/>
      </w:r>
      <w:r>
        <w:rPr>
          <w:rFonts w:eastAsiaTheme="minorEastAsia"/>
          <w:b/>
          <w:caps/>
          <w:noProof/>
          <w:lang w:val="en-US" w:eastAsia="ja-JP"/>
        </w:rPr>
        <w:instrText xml:space="preserve"> TOC \o "1-2" \h \z \u </w:instrText>
      </w:r>
      <w:r>
        <w:rPr>
          <w:rFonts w:eastAsiaTheme="minorEastAsia"/>
          <w:b/>
          <w:caps/>
          <w:noProof/>
          <w:lang w:val="en-US" w:eastAsia="ja-JP"/>
        </w:rPr>
        <w:fldChar w:fldCharType="separate"/>
      </w:r>
    </w:p>
    <w:p w:rsidR="00D337B9" w:rsidRDefault="009B5B10">
      <w:pPr>
        <w:pStyle w:val="TOC1"/>
        <w:rPr>
          <w:rFonts w:asciiTheme="minorHAnsi" w:eastAsiaTheme="minorEastAsia" w:hAnsiTheme="minorHAnsi" w:cstheme="minorBidi"/>
          <w:caps w:val="0"/>
          <w:noProof/>
          <w:sz w:val="22"/>
          <w:szCs w:val="22"/>
          <w:lang w:eastAsia="en-GB"/>
        </w:rPr>
      </w:pPr>
      <w:hyperlink w:anchor="_Toc469407219"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_Toc469407219 \h </w:instrText>
        </w:r>
        <w:r>
          <w:rPr>
            <w:noProof/>
            <w:webHidden/>
          </w:rPr>
        </w:r>
        <w:r>
          <w:rPr>
            <w:noProof/>
            <w:webHidden/>
          </w:rPr>
          <w:fldChar w:fldCharType="separate"/>
        </w:r>
        <w:r>
          <w:rPr>
            <w:noProof/>
            <w:webHidden/>
          </w:rPr>
          <w:t>4</w:t>
        </w:r>
        <w:r>
          <w:rPr>
            <w:noProof/>
            <w:webHidden/>
          </w:rPr>
          <w:fldChar w:fldCharType="end"/>
        </w:r>
      </w:hyperlink>
    </w:p>
    <w:p w:rsidR="00D337B9" w:rsidRDefault="009B5B10">
      <w:pPr>
        <w:pStyle w:val="TOC1"/>
        <w:rPr>
          <w:rFonts w:asciiTheme="minorHAnsi" w:eastAsiaTheme="minorEastAsia" w:hAnsiTheme="minorHAnsi" w:cstheme="minorBidi"/>
          <w:caps w:val="0"/>
          <w:noProof/>
          <w:sz w:val="22"/>
          <w:szCs w:val="22"/>
          <w:lang w:eastAsia="en-GB"/>
        </w:rPr>
      </w:pPr>
      <w:hyperlink w:anchor="_Toc469407220" w:history="1">
        <w:r>
          <w:rPr>
            <w:rStyle w:val="Hyperlink"/>
            <w:rFonts w:eastAsiaTheme="majorEastAsia" w:cstheme="majorBidi"/>
            <w:bCs/>
            <w:noProof/>
          </w:rPr>
          <w:t>Part I: Thematic Areas</w:t>
        </w:r>
        <w:r>
          <w:rPr>
            <w:noProof/>
            <w:webHidden/>
          </w:rPr>
          <w:tab/>
        </w:r>
        <w:r>
          <w:rPr>
            <w:noProof/>
            <w:webHidden/>
          </w:rPr>
          <w:fldChar w:fldCharType="begin"/>
        </w:r>
        <w:r>
          <w:rPr>
            <w:noProof/>
            <w:webHidden/>
          </w:rPr>
          <w:instrText xml:space="preserve"> PAGEREF _Toc469407220 </w:instrText>
        </w:r>
        <w:r>
          <w:rPr>
            <w:noProof/>
            <w:webHidden/>
          </w:rPr>
          <w:instrText xml:space="preserve">\h </w:instrText>
        </w:r>
        <w:r>
          <w:rPr>
            <w:noProof/>
            <w:webHidden/>
          </w:rPr>
        </w:r>
        <w:r>
          <w:rPr>
            <w:noProof/>
            <w:webHidden/>
          </w:rPr>
          <w:fldChar w:fldCharType="separate"/>
        </w:r>
        <w:r>
          <w:rPr>
            <w:noProof/>
            <w:webHidden/>
          </w:rPr>
          <w:t>6</w:t>
        </w:r>
        <w:r>
          <w:rPr>
            <w:noProof/>
            <w:webHidden/>
          </w:rPr>
          <w:fldChar w:fldCharType="end"/>
        </w:r>
      </w:hyperlink>
    </w:p>
    <w:p w:rsidR="00D337B9" w:rsidRDefault="009B5B10">
      <w:pPr>
        <w:pStyle w:val="TOC1"/>
        <w:rPr>
          <w:rFonts w:asciiTheme="minorHAnsi" w:eastAsiaTheme="minorEastAsia" w:hAnsiTheme="minorHAnsi" w:cstheme="minorBidi"/>
          <w:caps w:val="0"/>
          <w:noProof/>
          <w:sz w:val="22"/>
          <w:szCs w:val="22"/>
          <w:lang w:eastAsia="en-GB"/>
        </w:rPr>
      </w:pPr>
      <w:hyperlink w:anchor="_Toc469407221" w:history="1">
        <w:r>
          <w:rPr>
            <w:rStyle w:val="Hyperlink"/>
            <w:rFonts w:eastAsiaTheme="majorEastAsia" w:cstheme="majorBidi"/>
            <w:bCs/>
            <w:noProof/>
          </w:rPr>
          <w:t>1.</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_Toc469407221 \h </w:instrText>
        </w:r>
        <w:r>
          <w:rPr>
            <w:noProof/>
            <w:webHidden/>
          </w:rPr>
        </w:r>
        <w:r>
          <w:rPr>
            <w:noProof/>
            <w:webHidden/>
          </w:rPr>
          <w:fldChar w:fldCharType="separate"/>
        </w:r>
        <w:r>
          <w:rPr>
            <w:noProof/>
            <w:webHidden/>
          </w:rPr>
          <w:t>6</w:t>
        </w:r>
        <w:r>
          <w:rPr>
            <w:noProof/>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22" w:history="1">
        <w:r>
          <w:rPr>
            <w:rStyle w:val="Hyperlink"/>
          </w:rPr>
          <w:t>Developing a circular economy and improving resource efficiency</w:t>
        </w:r>
        <w:r>
          <w:rPr>
            <w:webHidden/>
          </w:rPr>
          <w:tab/>
        </w:r>
        <w:r>
          <w:rPr>
            <w:webHidden/>
          </w:rPr>
          <w:fldChar w:fldCharType="begin"/>
        </w:r>
        <w:r>
          <w:rPr>
            <w:webHidden/>
          </w:rPr>
          <w:instrText xml:space="preserve"> PAGEREF _Toc469407222 \h </w:instrText>
        </w:r>
        <w:r>
          <w:rPr>
            <w:webHidden/>
          </w:rPr>
        </w:r>
        <w:r>
          <w:rPr>
            <w:webHidden/>
          </w:rPr>
          <w:fldChar w:fldCharType="separate"/>
        </w:r>
        <w:r>
          <w:rPr>
            <w:webHidden/>
          </w:rPr>
          <w:t>6</w:t>
        </w:r>
        <w:r>
          <w:rPr>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23" w:history="1">
        <w:r>
          <w:rPr>
            <w:rStyle w:val="Hyperlink"/>
            <w:lang w:eastAsia="en-GB"/>
          </w:rPr>
          <w:t>Waste management</w:t>
        </w:r>
        <w:r>
          <w:rPr>
            <w:webHidden/>
          </w:rPr>
          <w:tab/>
        </w:r>
        <w:r>
          <w:rPr>
            <w:webHidden/>
          </w:rPr>
          <w:fldChar w:fldCharType="begin"/>
        </w:r>
        <w:r>
          <w:rPr>
            <w:webHidden/>
          </w:rPr>
          <w:instrText xml:space="preserve"> PAGEREF _Toc469407223 \h </w:instrText>
        </w:r>
        <w:r>
          <w:rPr>
            <w:webHidden/>
          </w:rPr>
        </w:r>
        <w:r>
          <w:rPr>
            <w:webHidden/>
          </w:rPr>
          <w:fldChar w:fldCharType="separate"/>
        </w:r>
        <w:r>
          <w:rPr>
            <w:webHidden/>
          </w:rPr>
          <w:t>7</w:t>
        </w:r>
        <w:r>
          <w:rPr>
            <w:webHidden/>
          </w:rPr>
          <w:fldChar w:fldCharType="end"/>
        </w:r>
      </w:hyperlink>
    </w:p>
    <w:p w:rsidR="00D337B9" w:rsidRDefault="009B5B10">
      <w:pPr>
        <w:pStyle w:val="TOC1"/>
        <w:rPr>
          <w:rFonts w:asciiTheme="minorHAnsi" w:eastAsiaTheme="minorEastAsia" w:hAnsiTheme="minorHAnsi" w:cstheme="minorBidi"/>
          <w:caps w:val="0"/>
          <w:noProof/>
          <w:sz w:val="22"/>
          <w:szCs w:val="22"/>
          <w:lang w:eastAsia="en-GB"/>
        </w:rPr>
      </w:pPr>
      <w:hyperlink w:anchor="_Toc469407224" w:history="1">
        <w:r>
          <w:rPr>
            <w:rStyle w:val="Hyperlink"/>
            <w:rFonts w:cstheme="majorBidi"/>
            <w:bCs/>
            <w:noProof/>
          </w:rPr>
          <w:t>2.</w:t>
        </w:r>
        <w:r>
          <w:rPr>
            <w:rFonts w:asciiTheme="minorHAnsi" w:eastAsiaTheme="minorEastAsia" w:hAnsiTheme="minorHAnsi" w:cstheme="minorBidi"/>
            <w:caps w:val="0"/>
            <w:noProof/>
            <w:sz w:val="22"/>
            <w:szCs w:val="22"/>
            <w:lang w:eastAsia="en-GB"/>
          </w:rPr>
          <w:tab/>
        </w:r>
        <w:r>
          <w:rPr>
            <w:rStyle w:val="Hyperlink"/>
            <w:rFonts w:cstheme="majorBidi"/>
            <w:bCs/>
            <w:noProof/>
          </w:rPr>
          <w:t>Protecting, conserving and enhancing natural capital</w:t>
        </w:r>
        <w:r>
          <w:rPr>
            <w:noProof/>
            <w:webHidden/>
          </w:rPr>
          <w:tab/>
        </w:r>
        <w:r>
          <w:rPr>
            <w:noProof/>
            <w:webHidden/>
          </w:rPr>
          <w:fldChar w:fldCharType="begin"/>
        </w:r>
        <w:r>
          <w:rPr>
            <w:noProof/>
            <w:webHidden/>
          </w:rPr>
          <w:instrText xml:space="preserve"> PAGEREF _Toc469407224 \h </w:instrText>
        </w:r>
        <w:r>
          <w:rPr>
            <w:noProof/>
            <w:webHidden/>
          </w:rPr>
        </w:r>
        <w:r>
          <w:rPr>
            <w:noProof/>
            <w:webHidden/>
          </w:rPr>
          <w:fldChar w:fldCharType="separate"/>
        </w:r>
        <w:r>
          <w:rPr>
            <w:noProof/>
            <w:webHidden/>
          </w:rPr>
          <w:t>10</w:t>
        </w:r>
        <w:r>
          <w:rPr>
            <w:noProof/>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25" w:history="1">
        <w:r>
          <w:rPr>
            <w:rStyle w:val="Hyperlink"/>
          </w:rPr>
          <w:t>Nature and Biodiversity</w:t>
        </w:r>
        <w:r>
          <w:rPr>
            <w:webHidden/>
          </w:rPr>
          <w:tab/>
        </w:r>
        <w:r>
          <w:rPr>
            <w:webHidden/>
          </w:rPr>
          <w:fldChar w:fldCharType="begin"/>
        </w:r>
        <w:r>
          <w:rPr>
            <w:webHidden/>
          </w:rPr>
          <w:instrText xml:space="preserve"> PAGEREF _Toc469407225 \h </w:instrText>
        </w:r>
        <w:r>
          <w:rPr>
            <w:webHidden/>
          </w:rPr>
        </w:r>
        <w:r>
          <w:rPr>
            <w:webHidden/>
          </w:rPr>
          <w:fldChar w:fldCharType="separate"/>
        </w:r>
        <w:r>
          <w:rPr>
            <w:webHidden/>
          </w:rPr>
          <w:t>10</w:t>
        </w:r>
        <w:r>
          <w:rPr>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26" w:history="1">
        <w:r>
          <w:rPr>
            <w:rStyle w:val="Hyperlink"/>
            <w:lang w:eastAsia="en-GB"/>
          </w:rPr>
          <w:t>Gree</w:t>
        </w:r>
        <w:r>
          <w:rPr>
            <w:rStyle w:val="Hyperlink"/>
            <w:lang w:eastAsia="en-GB"/>
          </w:rPr>
          <w:t>n Infrastructure</w:t>
        </w:r>
        <w:r>
          <w:rPr>
            <w:webHidden/>
          </w:rPr>
          <w:tab/>
        </w:r>
        <w:r>
          <w:rPr>
            <w:webHidden/>
          </w:rPr>
          <w:fldChar w:fldCharType="begin"/>
        </w:r>
        <w:r>
          <w:rPr>
            <w:webHidden/>
          </w:rPr>
          <w:instrText xml:space="preserve"> PAGEREF _Toc469407226 \h </w:instrText>
        </w:r>
        <w:r>
          <w:rPr>
            <w:webHidden/>
          </w:rPr>
        </w:r>
        <w:r>
          <w:rPr>
            <w:webHidden/>
          </w:rPr>
          <w:fldChar w:fldCharType="separate"/>
        </w:r>
        <w:r>
          <w:rPr>
            <w:webHidden/>
          </w:rPr>
          <w:t>12</w:t>
        </w:r>
        <w:r>
          <w:rPr>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27" w:history="1">
        <w:r>
          <w:rPr>
            <w:rStyle w:val="Hyperlink"/>
            <w:lang w:eastAsia="en-GB"/>
          </w:rPr>
          <w:t>Soil protection</w:t>
        </w:r>
        <w:r>
          <w:rPr>
            <w:webHidden/>
          </w:rPr>
          <w:tab/>
        </w:r>
        <w:r>
          <w:rPr>
            <w:webHidden/>
          </w:rPr>
          <w:fldChar w:fldCharType="begin"/>
        </w:r>
        <w:r>
          <w:rPr>
            <w:webHidden/>
          </w:rPr>
          <w:instrText xml:space="preserve"> PAGEREF _Toc469407227 \h </w:instrText>
        </w:r>
        <w:r>
          <w:rPr>
            <w:webHidden/>
          </w:rPr>
        </w:r>
        <w:r>
          <w:rPr>
            <w:webHidden/>
          </w:rPr>
          <w:fldChar w:fldCharType="separate"/>
        </w:r>
        <w:r>
          <w:rPr>
            <w:webHidden/>
          </w:rPr>
          <w:t>13</w:t>
        </w:r>
        <w:r>
          <w:rPr>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28" w:history="1">
        <w:r>
          <w:rPr>
            <w:rStyle w:val="Hyperlink"/>
            <w:lang w:eastAsia="en-GB"/>
          </w:rPr>
          <w:t>Marine protection</w:t>
        </w:r>
        <w:r>
          <w:rPr>
            <w:webHidden/>
          </w:rPr>
          <w:tab/>
        </w:r>
        <w:r>
          <w:rPr>
            <w:webHidden/>
          </w:rPr>
          <w:fldChar w:fldCharType="begin"/>
        </w:r>
        <w:r>
          <w:rPr>
            <w:webHidden/>
          </w:rPr>
          <w:instrText xml:space="preserve"> PAGEREF _Toc469407228 \h </w:instrText>
        </w:r>
        <w:r>
          <w:rPr>
            <w:webHidden/>
          </w:rPr>
        </w:r>
        <w:r>
          <w:rPr>
            <w:webHidden/>
          </w:rPr>
          <w:fldChar w:fldCharType="separate"/>
        </w:r>
        <w:r>
          <w:rPr>
            <w:webHidden/>
          </w:rPr>
          <w:t>13</w:t>
        </w:r>
        <w:r>
          <w:rPr>
            <w:webHidden/>
          </w:rPr>
          <w:fldChar w:fldCharType="end"/>
        </w:r>
      </w:hyperlink>
    </w:p>
    <w:p w:rsidR="00D337B9" w:rsidRDefault="009B5B10">
      <w:pPr>
        <w:pStyle w:val="TOC1"/>
        <w:rPr>
          <w:rFonts w:asciiTheme="minorHAnsi" w:eastAsiaTheme="minorEastAsia" w:hAnsiTheme="minorHAnsi" w:cstheme="minorBidi"/>
          <w:caps w:val="0"/>
          <w:noProof/>
          <w:sz w:val="22"/>
          <w:szCs w:val="22"/>
          <w:lang w:eastAsia="en-GB"/>
        </w:rPr>
      </w:pPr>
      <w:hyperlink w:anchor="_Toc469407229" w:history="1">
        <w:r>
          <w:rPr>
            <w:rStyle w:val="Hyperlink"/>
            <w:rFonts w:eastAsiaTheme="majorEastAsia" w:cstheme="majorBidi"/>
            <w:bCs/>
            <w:noProof/>
          </w:rPr>
          <w:t>3.</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Ensuring citizens' health and quality of life</w:t>
        </w:r>
        <w:r>
          <w:rPr>
            <w:noProof/>
            <w:webHidden/>
          </w:rPr>
          <w:tab/>
        </w:r>
        <w:r>
          <w:rPr>
            <w:noProof/>
            <w:webHidden/>
          </w:rPr>
          <w:fldChar w:fldCharType="begin"/>
        </w:r>
        <w:r>
          <w:rPr>
            <w:noProof/>
            <w:webHidden/>
          </w:rPr>
          <w:instrText xml:space="preserve"> PAGEREF _Toc469407229 \h </w:instrText>
        </w:r>
        <w:r>
          <w:rPr>
            <w:noProof/>
            <w:webHidden/>
          </w:rPr>
        </w:r>
        <w:r>
          <w:rPr>
            <w:noProof/>
            <w:webHidden/>
          </w:rPr>
          <w:fldChar w:fldCharType="separate"/>
        </w:r>
        <w:r>
          <w:rPr>
            <w:noProof/>
            <w:webHidden/>
          </w:rPr>
          <w:t>15</w:t>
        </w:r>
        <w:r>
          <w:rPr>
            <w:noProof/>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30" w:history="1">
        <w:r>
          <w:rPr>
            <w:rStyle w:val="Hyperlink"/>
          </w:rPr>
          <w:t>Air quality</w:t>
        </w:r>
        <w:r>
          <w:rPr>
            <w:webHidden/>
          </w:rPr>
          <w:tab/>
        </w:r>
        <w:r>
          <w:rPr>
            <w:webHidden/>
          </w:rPr>
          <w:fldChar w:fldCharType="begin"/>
        </w:r>
        <w:r>
          <w:rPr>
            <w:webHidden/>
          </w:rPr>
          <w:instrText xml:space="preserve"> PAGEREF _Toc469407230 \h </w:instrText>
        </w:r>
        <w:r>
          <w:rPr>
            <w:webHidden/>
          </w:rPr>
        </w:r>
        <w:r>
          <w:rPr>
            <w:webHidden/>
          </w:rPr>
          <w:fldChar w:fldCharType="separate"/>
        </w:r>
        <w:r>
          <w:rPr>
            <w:webHidden/>
          </w:rPr>
          <w:t>15</w:t>
        </w:r>
        <w:r>
          <w:rPr>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31" w:history="1">
        <w:r>
          <w:rPr>
            <w:rStyle w:val="Hyperlink"/>
          </w:rPr>
          <w:t>Noise</w:t>
        </w:r>
        <w:r>
          <w:rPr>
            <w:webHidden/>
          </w:rPr>
          <w:tab/>
        </w:r>
        <w:r>
          <w:rPr>
            <w:webHidden/>
          </w:rPr>
          <w:tab/>
        </w:r>
        <w:r>
          <w:rPr>
            <w:webHidden/>
          </w:rPr>
          <w:fldChar w:fldCharType="begin"/>
        </w:r>
        <w:r>
          <w:rPr>
            <w:webHidden/>
          </w:rPr>
          <w:instrText xml:space="preserve"> PAGEREF _Toc469407231 \h </w:instrText>
        </w:r>
        <w:r>
          <w:rPr>
            <w:webHidden/>
          </w:rPr>
        </w:r>
        <w:r>
          <w:rPr>
            <w:webHidden/>
          </w:rPr>
          <w:fldChar w:fldCharType="separate"/>
        </w:r>
        <w:r>
          <w:rPr>
            <w:webHidden/>
          </w:rPr>
          <w:t>16</w:t>
        </w:r>
        <w:r>
          <w:rPr>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32" w:history="1">
        <w:r>
          <w:rPr>
            <w:rStyle w:val="Hyperlink"/>
            <w:lang w:eastAsia="en-GB"/>
          </w:rPr>
          <w:t>Water quality and management</w:t>
        </w:r>
        <w:r>
          <w:rPr>
            <w:webHidden/>
          </w:rPr>
          <w:tab/>
        </w:r>
        <w:r>
          <w:rPr>
            <w:webHidden/>
          </w:rPr>
          <w:fldChar w:fldCharType="begin"/>
        </w:r>
        <w:r>
          <w:rPr>
            <w:webHidden/>
          </w:rPr>
          <w:instrText xml:space="preserve"> PAGEREF _Toc469407232 \h </w:instrText>
        </w:r>
        <w:r>
          <w:rPr>
            <w:webHidden/>
          </w:rPr>
        </w:r>
        <w:r>
          <w:rPr>
            <w:webHidden/>
          </w:rPr>
          <w:fldChar w:fldCharType="separate"/>
        </w:r>
        <w:r>
          <w:rPr>
            <w:webHidden/>
          </w:rPr>
          <w:t>16</w:t>
        </w:r>
        <w:r>
          <w:rPr>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33" w:history="1">
        <w:r>
          <w:rPr>
            <w:rStyle w:val="Hyperlink"/>
            <w:lang w:eastAsia="en-GB"/>
          </w:rPr>
          <w:t>Enhancing the sustainability of cities</w:t>
        </w:r>
        <w:r>
          <w:rPr>
            <w:webHidden/>
          </w:rPr>
          <w:tab/>
        </w:r>
        <w:r>
          <w:rPr>
            <w:webHidden/>
          </w:rPr>
          <w:fldChar w:fldCharType="begin"/>
        </w:r>
        <w:r>
          <w:rPr>
            <w:webHidden/>
          </w:rPr>
          <w:instrText xml:space="preserve"> PAGEREF _Toc469407233 \h </w:instrText>
        </w:r>
        <w:r>
          <w:rPr>
            <w:webHidden/>
          </w:rPr>
        </w:r>
        <w:r>
          <w:rPr>
            <w:webHidden/>
          </w:rPr>
          <w:fldChar w:fldCharType="separate"/>
        </w:r>
        <w:r>
          <w:rPr>
            <w:webHidden/>
          </w:rPr>
          <w:t>18</w:t>
        </w:r>
        <w:r>
          <w:rPr>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34" w:history="1">
        <w:r>
          <w:rPr>
            <w:rStyle w:val="Hyperlink"/>
            <w:lang w:eastAsia="en-GB"/>
          </w:rPr>
          <w:t>International agreements</w:t>
        </w:r>
        <w:r>
          <w:rPr>
            <w:webHidden/>
          </w:rPr>
          <w:tab/>
        </w:r>
        <w:r>
          <w:rPr>
            <w:webHidden/>
          </w:rPr>
          <w:fldChar w:fldCharType="begin"/>
        </w:r>
        <w:r>
          <w:rPr>
            <w:webHidden/>
          </w:rPr>
          <w:instrText xml:space="preserve"> PAGEREF _Toc469407234 \h </w:instrText>
        </w:r>
        <w:r>
          <w:rPr>
            <w:webHidden/>
          </w:rPr>
        </w:r>
        <w:r>
          <w:rPr>
            <w:webHidden/>
          </w:rPr>
          <w:fldChar w:fldCharType="separate"/>
        </w:r>
        <w:r>
          <w:rPr>
            <w:webHidden/>
          </w:rPr>
          <w:t>19</w:t>
        </w:r>
        <w:r>
          <w:rPr>
            <w:webHidden/>
          </w:rPr>
          <w:fldChar w:fldCharType="end"/>
        </w:r>
      </w:hyperlink>
    </w:p>
    <w:p w:rsidR="00D337B9" w:rsidRDefault="009B5B10">
      <w:pPr>
        <w:pStyle w:val="TOC1"/>
        <w:rPr>
          <w:rFonts w:asciiTheme="minorHAnsi" w:eastAsiaTheme="minorEastAsia" w:hAnsiTheme="minorHAnsi" w:cstheme="minorBidi"/>
          <w:caps w:val="0"/>
          <w:noProof/>
          <w:sz w:val="22"/>
          <w:szCs w:val="22"/>
          <w:lang w:eastAsia="en-GB"/>
        </w:rPr>
      </w:pPr>
      <w:hyperlink w:anchor="_Toc469407235" w:history="1">
        <w:r>
          <w:rPr>
            <w:rStyle w:val="Hyperlink"/>
            <w:rFonts w:eastAsiaTheme="majorEastAsia" w:cstheme="majorBidi"/>
            <w:bCs/>
            <w:noProof/>
          </w:rPr>
          <w:t>Part</w:t>
        </w:r>
        <w:r>
          <w:rPr>
            <w:rStyle w:val="Hyperlink"/>
            <w:rFonts w:eastAsiaTheme="majorEastAsia" w:cstheme="majorBidi"/>
            <w:bCs/>
            <w:noProof/>
          </w:rPr>
          <w:t xml:space="preserve"> II: Enabling Framework: Implementation Tools</w:t>
        </w:r>
        <w:r>
          <w:rPr>
            <w:noProof/>
            <w:webHidden/>
          </w:rPr>
          <w:tab/>
        </w:r>
        <w:r>
          <w:rPr>
            <w:noProof/>
            <w:webHidden/>
          </w:rPr>
          <w:fldChar w:fldCharType="begin"/>
        </w:r>
        <w:r>
          <w:rPr>
            <w:noProof/>
            <w:webHidden/>
          </w:rPr>
          <w:instrText xml:space="preserve"> PAGEREF _Toc469407235 \h </w:instrText>
        </w:r>
        <w:r>
          <w:rPr>
            <w:noProof/>
            <w:webHidden/>
          </w:rPr>
        </w:r>
        <w:r>
          <w:rPr>
            <w:noProof/>
            <w:webHidden/>
          </w:rPr>
          <w:fldChar w:fldCharType="separate"/>
        </w:r>
        <w:r>
          <w:rPr>
            <w:noProof/>
            <w:webHidden/>
          </w:rPr>
          <w:t>20</w:t>
        </w:r>
        <w:r>
          <w:rPr>
            <w:noProof/>
            <w:webHidden/>
          </w:rPr>
          <w:fldChar w:fldCharType="end"/>
        </w:r>
      </w:hyperlink>
    </w:p>
    <w:p w:rsidR="00D337B9" w:rsidRDefault="009B5B10">
      <w:pPr>
        <w:pStyle w:val="TOC1"/>
        <w:rPr>
          <w:rFonts w:asciiTheme="minorHAnsi" w:eastAsiaTheme="minorEastAsia" w:hAnsiTheme="minorHAnsi" w:cstheme="minorBidi"/>
          <w:caps w:val="0"/>
          <w:noProof/>
          <w:sz w:val="22"/>
          <w:szCs w:val="22"/>
          <w:lang w:eastAsia="en-GB"/>
        </w:rPr>
      </w:pPr>
      <w:hyperlink w:anchor="_Toc469407236" w:history="1">
        <w:r>
          <w:rPr>
            <w:rStyle w:val="Hyperlink"/>
            <w:rFonts w:eastAsiaTheme="majorEastAsia" w:cstheme="majorBidi"/>
            <w:bCs/>
            <w:noProof/>
          </w:rPr>
          <w:t>4.</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Market based instruments and investment</w:t>
        </w:r>
        <w:r>
          <w:rPr>
            <w:noProof/>
            <w:webHidden/>
          </w:rPr>
          <w:tab/>
        </w:r>
        <w:r>
          <w:rPr>
            <w:noProof/>
            <w:webHidden/>
          </w:rPr>
          <w:fldChar w:fldCharType="begin"/>
        </w:r>
        <w:r>
          <w:rPr>
            <w:noProof/>
            <w:webHidden/>
          </w:rPr>
          <w:instrText xml:space="preserve"> PAGEREF _Toc469407236 \h </w:instrText>
        </w:r>
        <w:r>
          <w:rPr>
            <w:noProof/>
            <w:webHidden/>
          </w:rPr>
        </w:r>
        <w:r>
          <w:rPr>
            <w:noProof/>
            <w:webHidden/>
          </w:rPr>
          <w:fldChar w:fldCharType="separate"/>
        </w:r>
        <w:r>
          <w:rPr>
            <w:noProof/>
            <w:webHidden/>
          </w:rPr>
          <w:t>20</w:t>
        </w:r>
        <w:r>
          <w:rPr>
            <w:noProof/>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37" w:history="1">
        <w:r>
          <w:rPr>
            <w:rStyle w:val="Hyperlink"/>
          </w:rPr>
          <w:t>Green taxation and environmentally harmful subsidies</w:t>
        </w:r>
        <w:r>
          <w:rPr>
            <w:webHidden/>
          </w:rPr>
          <w:tab/>
        </w:r>
        <w:r>
          <w:rPr>
            <w:webHidden/>
          </w:rPr>
          <w:fldChar w:fldCharType="begin"/>
        </w:r>
        <w:r>
          <w:rPr>
            <w:webHidden/>
          </w:rPr>
          <w:instrText xml:space="preserve"> PAGEREF _Toc469407237 \h </w:instrText>
        </w:r>
        <w:r>
          <w:rPr>
            <w:webHidden/>
          </w:rPr>
        </w:r>
        <w:r>
          <w:rPr>
            <w:webHidden/>
          </w:rPr>
          <w:fldChar w:fldCharType="separate"/>
        </w:r>
        <w:r>
          <w:rPr>
            <w:webHidden/>
          </w:rPr>
          <w:t>20</w:t>
        </w:r>
        <w:r>
          <w:rPr>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38" w:history="1">
        <w:r>
          <w:rPr>
            <w:rStyle w:val="Hyperlink"/>
            <w:lang w:eastAsia="en-GB"/>
          </w:rPr>
          <w:t>Green Public Procurement</w:t>
        </w:r>
        <w:r>
          <w:rPr>
            <w:webHidden/>
          </w:rPr>
          <w:tab/>
        </w:r>
        <w:r>
          <w:rPr>
            <w:webHidden/>
          </w:rPr>
          <w:fldChar w:fldCharType="begin"/>
        </w:r>
        <w:r>
          <w:rPr>
            <w:webHidden/>
          </w:rPr>
          <w:instrText xml:space="preserve"> PAGEREF _Toc469407238 \h </w:instrText>
        </w:r>
        <w:r>
          <w:rPr>
            <w:webHidden/>
          </w:rPr>
        </w:r>
        <w:r>
          <w:rPr>
            <w:webHidden/>
          </w:rPr>
          <w:fldChar w:fldCharType="separate"/>
        </w:r>
        <w:r>
          <w:rPr>
            <w:webHidden/>
          </w:rPr>
          <w:t>20</w:t>
        </w:r>
        <w:r>
          <w:rPr>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39" w:history="1">
        <w:r>
          <w:rPr>
            <w:rStyle w:val="Hyperlink"/>
            <w:lang w:eastAsia="en-GB"/>
          </w:rPr>
          <w:t>Investments: the contribution of EU funds</w:t>
        </w:r>
        <w:r>
          <w:rPr>
            <w:webHidden/>
          </w:rPr>
          <w:tab/>
        </w:r>
        <w:r>
          <w:rPr>
            <w:webHidden/>
          </w:rPr>
          <w:fldChar w:fldCharType="begin"/>
        </w:r>
        <w:r>
          <w:rPr>
            <w:webHidden/>
          </w:rPr>
          <w:instrText xml:space="preserve"> PAGEREF _Toc469407239 \h </w:instrText>
        </w:r>
        <w:r>
          <w:rPr>
            <w:webHidden/>
          </w:rPr>
        </w:r>
        <w:r>
          <w:rPr>
            <w:webHidden/>
          </w:rPr>
          <w:fldChar w:fldCharType="separate"/>
        </w:r>
        <w:r>
          <w:rPr>
            <w:webHidden/>
          </w:rPr>
          <w:t>21</w:t>
        </w:r>
        <w:r>
          <w:rPr>
            <w:webHidden/>
          </w:rPr>
          <w:fldChar w:fldCharType="end"/>
        </w:r>
      </w:hyperlink>
    </w:p>
    <w:p w:rsidR="00D337B9" w:rsidRDefault="009B5B10">
      <w:pPr>
        <w:pStyle w:val="TOC1"/>
        <w:rPr>
          <w:rFonts w:asciiTheme="minorHAnsi" w:eastAsiaTheme="minorEastAsia" w:hAnsiTheme="minorHAnsi" w:cstheme="minorBidi"/>
          <w:caps w:val="0"/>
          <w:noProof/>
          <w:sz w:val="22"/>
          <w:szCs w:val="22"/>
          <w:lang w:eastAsia="en-GB"/>
        </w:rPr>
      </w:pPr>
      <w:hyperlink w:anchor="_Toc469407240" w:history="1">
        <w:r>
          <w:rPr>
            <w:rStyle w:val="Hyperlink"/>
            <w:rFonts w:eastAsiaTheme="majorEastAsia" w:cstheme="majorBidi"/>
            <w:bCs/>
            <w:noProof/>
          </w:rPr>
          <w:t>5.</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Effective governance and knowledge</w:t>
        </w:r>
        <w:r>
          <w:rPr>
            <w:noProof/>
            <w:webHidden/>
          </w:rPr>
          <w:tab/>
        </w:r>
        <w:r>
          <w:rPr>
            <w:noProof/>
            <w:webHidden/>
          </w:rPr>
          <w:fldChar w:fldCharType="begin"/>
        </w:r>
        <w:r>
          <w:rPr>
            <w:noProof/>
            <w:webHidden/>
          </w:rPr>
          <w:instrText xml:space="preserve"> PAGEREF _Toc469407240 \h </w:instrText>
        </w:r>
        <w:r>
          <w:rPr>
            <w:noProof/>
            <w:webHidden/>
          </w:rPr>
        </w:r>
        <w:r>
          <w:rPr>
            <w:noProof/>
            <w:webHidden/>
          </w:rPr>
          <w:fldChar w:fldCharType="separate"/>
        </w:r>
        <w:r>
          <w:rPr>
            <w:noProof/>
            <w:webHidden/>
          </w:rPr>
          <w:t>23</w:t>
        </w:r>
        <w:r>
          <w:rPr>
            <w:noProof/>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41" w:history="1">
        <w:r>
          <w:rPr>
            <w:rStyle w:val="Hyperlink"/>
          </w:rPr>
          <w:t>Effective governance within central, regional and local government</w:t>
        </w:r>
        <w:r>
          <w:rPr>
            <w:webHidden/>
          </w:rPr>
          <w:tab/>
        </w:r>
        <w:r>
          <w:rPr>
            <w:webHidden/>
          </w:rPr>
          <w:fldChar w:fldCharType="begin"/>
        </w:r>
        <w:r>
          <w:rPr>
            <w:webHidden/>
          </w:rPr>
          <w:instrText xml:space="preserve"> PAGEREF _Toc469407241 \h </w:instrText>
        </w:r>
        <w:r>
          <w:rPr>
            <w:webHidden/>
          </w:rPr>
        </w:r>
        <w:r>
          <w:rPr>
            <w:webHidden/>
          </w:rPr>
          <w:fldChar w:fldCharType="separate"/>
        </w:r>
        <w:r>
          <w:rPr>
            <w:webHidden/>
          </w:rPr>
          <w:t>23</w:t>
        </w:r>
        <w:r>
          <w:rPr>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42" w:history="1">
        <w:r>
          <w:rPr>
            <w:rStyle w:val="Hyperlink"/>
          </w:rPr>
          <w:t>Compliance assurance</w:t>
        </w:r>
        <w:r>
          <w:rPr>
            <w:webHidden/>
          </w:rPr>
          <w:tab/>
        </w:r>
        <w:r>
          <w:rPr>
            <w:webHidden/>
          </w:rPr>
          <w:fldChar w:fldCharType="begin"/>
        </w:r>
        <w:r>
          <w:rPr>
            <w:webHidden/>
          </w:rPr>
          <w:instrText xml:space="preserve"> PAGEREF _Toc469407242 \h </w:instrText>
        </w:r>
        <w:r>
          <w:rPr>
            <w:webHidden/>
          </w:rPr>
        </w:r>
        <w:r>
          <w:rPr>
            <w:webHidden/>
          </w:rPr>
          <w:fldChar w:fldCharType="separate"/>
        </w:r>
        <w:r>
          <w:rPr>
            <w:webHidden/>
          </w:rPr>
          <w:t>24</w:t>
        </w:r>
        <w:r>
          <w:rPr>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43" w:history="1">
        <w:r>
          <w:rPr>
            <w:rStyle w:val="Hyperlink"/>
          </w:rPr>
          <w:t>Public participation and access to justice</w:t>
        </w:r>
        <w:r>
          <w:rPr>
            <w:webHidden/>
          </w:rPr>
          <w:tab/>
        </w:r>
        <w:r>
          <w:rPr>
            <w:webHidden/>
          </w:rPr>
          <w:fldChar w:fldCharType="begin"/>
        </w:r>
        <w:r>
          <w:rPr>
            <w:webHidden/>
          </w:rPr>
          <w:instrText xml:space="preserve"> PAGEREF _Toc469407243 \h </w:instrText>
        </w:r>
        <w:r>
          <w:rPr>
            <w:webHidden/>
          </w:rPr>
        </w:r>
        <w:r>
          <w:rPr>
            <w:webHidden/>
          </w:rPr>
          <w:fldChar w:fldCharType="separate"/>
        </w:r>
        <w:r>
          <w:rPr>
            <w:webHidden/>
          </w:rPr>
          <w:t>25</w:t>
        </w:r>
        <w:r>
          <w:rPr>
            <w:webHidden/>
          </w:rPr>
          <w:fldChar w:fldCharType="end"/>
        </w:r>
      </w:hyperlink>
    </w:p>
    <w:p w:rsidR="00D337B9" w:rsidRDefault="009B5B10">
      <w:pPr>
        <w:pStyle w:val="TOC2"/>
        <w:rPr>
          <w:rFonts w:asciiTheme="minorHAnsi" w:eastAsiaTheme="minorEastAsia" w:hAnsiTheme="minorHAnsi" w:cstheme="minorBidi"/>
          <w:sz w:val="22"/>
          <w:szCs w:val="22"/>
          <w:lang w:eastAsia="en-GB"/>
        </w:rPr>
      </w:pPr>
      <w:hyperlink w:anchor="_Toc469407244" w:history="1">
        <w:r>
          <w:rPr>
            <w:rStyle w:val="Hyperlink"/>
          </w:rPr>
          <w:t>Access to information, knowledge and evidence</w:t>
        </w:r>
        <w:r>
          <w:rPr>
            <w:webHidden/>
          </w:rPr>
          <w:tab/>
        </w:r>
        <w:r>
          <w:rPr>
            <w:webHidden/>
          </w:rPr>
          <w:fldChar w:fldCharType="begin"/>
        </w:r>
        <w:r>
          <w:rPr>
            <w:webHidden/>
          </w:rPr>
          <w:instrText xml:space="preserve"> PAGEREF _Toc469407244 \h </w:instrText>
        </w:r>
        <w:r>
          <w:rPr>
            <w:webHidden/>
          </w:rPr>
        </w:r>
        <w:r>
          <w:rPr>
            <w:webHidden/>
          </w:rPr>
          <w:fldChar w:fldCharType="separate"/>
        </w:r>
        <w:r>
          <w:rPr>
            <w:webHidden/>
          </w:rPr>
          <w:t>26</w:t>
        </w:r>
        <w:r>
          <w:rPr>
            <w:webHidden/>
          </w:rPr>
          <w:fldChar w:fldCharType="end"/>
        </w:r>
      </w:hyperlink>
    </w:p>
    <w:p w:rsidR="00D337B9" w:rsidRDefault="009B5B10">
      <w:pPr>
        <w:keepNext/>
        <w:widowControl w:val="0"/>
        <w:spacing w:before="240" w:after="120" w:line="240" w:lineRule="auto"/>
        <w:ind w:left="113" w:hanging="113"/>
        <w:jc w:val="center"/>
        <w:rPr>
          <w:rFonts w:eastAsia="Times New Roman"/>
          <w:b/>
          <w:noProof/>
          <w:lang w:eastAsia="en-GB"/>
        </w:rPr>
      </w:pPr>
      <w:r>
        <w:rPr>
          <w:rFonts w:eastAsiaTheme="minorEastAsia"/>
          <w:b/>
          <w:caps/>
          <w:noProof/>
          <w:lang w:val="en-US" w:eastAsia="ja-JP"/>
        </w:rPr>
        <w:fldChar w:fldCharType="end"/>
      </w:r>
    </w:p>
    <w:p w:rsidR="00D337B9" w:rsidRDefault="009B5B10">
      <w:pPr>
        <w:widowControl w:val="0"/>
        <w:spacing w:after="120"/>
        <w:rPr>
          <w:rFonts w:cs="Times New Roman"/>
          <w:noProof/>
          <w:sz w:val="20"/>
        </w:rPr>
        <w:sectPr w:rsidR="00D337B9">
          <w:headerReference w:type="even" r:id="rId24"/>
          <w:headerReference w:type="default" r:id="rId25"/>
          <w:footerReference w:type="even" r:id="rId26"/>
          <w:footerReference w:type="default" r:id="rId27"/>
          <w:headerReference w:type="first" r:id="rId28"/>
          <w:footerReference w:type="first" r:id="rId29"/>
          <w:pgSz w:w="11906" w:h="16838"/>
          <w:pgMar w:top="1440" w:right="1281" w:bottom="1440" w:left="1281" w:header="709" w:footer="709" w:gutter="0"/>
          <w:pgNumType w:start="3"/>
          <w:cols w:space="360"/>
          <w:docGrid w:linePitch="360"/>
        </w:sectPr>
      </w:pPr>
      <w:r>
        <w:rPr>
          <w:rFonts w:cs="Times New Roman"/>
          <w:noProof/>
          <w:sz w:val="20"/>
        </w:rPr>
        <w:br w:type="page"/>
      </w:r>
    </w:p>
    <w:p w:rsidR="00D337B9" w:rsidRDefault="009B5B10">
      <w:pPr>
        <w:keepNext/>
        <w:keepLines/>
        <w:widowControl w:val="0"/>
        <w:spacing w:after="0" w:line="240" w:lineRule="auto"/>
        <w:jc w:val="center"/>
        <w:outlineLvl w:val="0"/>
        <w:rPr>
          <w:rFonts w:eastAsiaTheme="majorEastAsia" w:cstheme="majorBidi"/>
          <w:b/>
          <w:bCs/>
          <w:noProof/>
          <w:color w:val="1F497D" w:themeColor="text2"/>
          <w:sz w:val="32"/>
          <w:szCs w:val="28"/>
        </w:rPr>
      </w:pPr>
      <w:bookmarkStart w:id="5" w:name="_Toc469407219"/>
      <w:r>
        <w:rPr>
          <w:rFonts w:eastAsiaTheme="majorEastAsia" w:cstheme="majorBidi"/>
          <w:b/>
          <w:bCs/>
          <w:noProof/>
          <w:color w:val="1F497D" w:themeColor="text2"/>
          <w:sz w:val="32"/>
          <w:szCs w:val="28"/>
        </w:rPr>
        <w:lastRenderedPageBreak/>
        <w:t>Executive summary</w:t>
      </w:r>
      <w:bookmarkEnd w:id="4"/>
      <w:bookmarkEnd w:id="5"/>
    </w:p>
    <w:p w:rsidR="00D337B9" w:rsidRDefault="00D337B9">
      <w:pPr>
        <w:widowControl w:val="0"/>
        <w:spacing w:after="120" w:line="240" w:lineRule="auto"/>
        <w:jc w:val="both"/>
        <w:rPr>
          <w:rFonts w:cs="Times New Roman"/>
          <w:noProof/>
          <w:sz w:val="20"/>
        </w:rPr>
      </w:pPr>
    </w:p>
    <w:p w:rsidR="00D337B9" w:rsidRDefault="00D337B9">
      <w:pPr>
        <w:widowControl w:val="0"/>
        <w:spacing w:after="120" w:line="240" w:lineRule="auto"/>
        <w:jc w:val="both"/>
        <w:rPr>
          <w:rFonts w:cs="Times New Roman"/>
          <w:noProof/>
          <w:sz w:val="20"/>
        </w:rPr>
        <w:sectPr w:rsidR="00D337B9">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280" w:bottom="1440" w:left="1280" w:header="708" w:footer="708" w:gutter="0"/>
          <w:pgNumType w:start="4"/>
          <w:cols w:space="360"/>
          <w:docGrid w:linePitch="360"/>
        </w:sectPr>
      </w:pPr>
    </w:p>
    <w:p w:rsidR="00D337B9" w:rsidRDefault="009B5B10">
      <w:pPr>
        <w:widowControl w:val="0"/>
        <w:spacing w:after="120" w:line="240" w:lineRule="auto"/>
        <w:jc w:val="both"/>
        <w:rPr>
          <w:rFonts w:cstheme="minorHAnsi"/>
          <w:i/>
          <w:noProof/>
          <w:color w:val="1F497D" w:themeColor="text2"/>
        </w:rPr>
      </w:pPr>
      <w:r>
        <w:rPr>
          <w:rFonts w:cstheme="minorHAnsi"/>
          <w:b/>
          <w:noProof/>
          <w:color w:val="1F497D" w:themeColor="text2"/>
        </w:rPr>
        <w:t>About the Environmental Implementation Review</w:t>
      </w:r>
    </w:p>
    <w:p w:rsidR="00D337B9" w:rsidRDefault="009B5B10">
      <w:pPr>
        <w:widowControl w:val="0"/>
        <w:spacing w:after="120" w:line="240" w:lineRule="auto"/>
        <w:jc w:val="both"/>
        <w:rPr>
          <w:noProof/>
          <w:sz w:val="20"/>
        </w:rPr>
      </w:pPr>
      <w:r>
        <w:rPr>
          <w:noProof/>
          <w:sz w:val="20"/>
        </w:rPr>
        <w:t>In May</w:t>
      </w:r>
      <w:r>
        <w:rPr>
          <w:noProof/>
          <w:sz w:val="20"/>
        </w:rPr>
        <w:t xml:space="preserve"> 2016, the Commission launched the Environmental Implementation Review (EIR), a two-year cycle of analysis, dialogue and collaboration to improve the implementation of existing EU environmental policy and legislation</w:t>
      </w:r>
      <w:r>
        <w:rPr>
          <w:noProof/>
          <w:sz w:val="20"/>
          <w:vertAlign w:val="superscript"/>
        </w:rPr>
        <w:footnoteReference w:id="1"/>
      </w:r>
      <w:r>
        <w:rPr>
          <w:noProof/>
          <w:sz w:val="20"/>
        </w:rPr>
        <w:t xml:space="preserve">. As a first step, the Commission drafted 28 reports describing the main challenges and opportunities on environmental implementation for each Member State. These reports are meant to stimulate a positive debate both on shared environmental challenges for </w:t>
      </w:r>
      <w:r>
        <w:rPr>
          <w:noProof/>
          <w:sz w:val="20"/>
        </w:rPr>
        <w:t xml:space="preserve">the EU, as well as on the most effective ways to address the key implementation gaps. The reports rely on the detailed sectoral implementation reports collected or issued by the Commission under specific environmental legislation as well as the 2015 State </w:t>
      </w:r>
      <w:r>
        <w:rPr>
          <w:noProof/>
          <w:sz w:val="20"/>
        </w:rPr>
        <w:t xml:space="preserve">of the Environment Report and other reports by the European Environment Agency. These reports will not replace the specific instruments to ensure compliance with the EU legal obligations. </w:t>
      </w:r>
    </w:p>
    <w:p w:rsidR="00D337B9" w:rsidRDefault="009B5B10">
      <w:pPr>
        <w:widowControl w:val="0"/>
        <w:spacing w:after="120" w:line="240" w:lineRule="auto"/>
        <w:jc w:val="both"/>
        <w:rPr>
          <w:rFonts w:cs="Times New Roman"/>
          <w:noProof/>
          <w:sz w:val="20"/>
        </w:rPr>
      </w:pPr>
      <w:r>
        <w:rPr>
          <w:rFonts w:cs="Times New Roman"/>
          <w:noProof/>
          <w:sz w:val="20"/>
        </w:rPr>
        <w:t>The reports will broadly follow the outline of the 7th Environmenta</w:t>
      </w:r>
      <w:r>
        <w:rPr>
          <w:rFonts w:cs="Times New Roman"/>
          <w:noProof/>
          <w:sz w:val="20"/>
        </w:rPr>
        <w:t>l Action Programme</w:t>
      </w:r>
      <w:r>
        <w:rPr>
          <w:rFonts w:eastAsia="Calibri" w:cs="Times New Roman"/>
          <w:noProof/>
          <w:sz w:val="20"/>
          <w:vertAlign w:val="superscript"/>
        </w:rPr>
        <w:footnoteReference w:id="2"/>
      </w:r>
      <w:r>
        <w:rPr>
          <w:rFonts w:eastAsia="Calibri" w:cs="Times New Roman"/>
          <w:noProof/>
          <w:sz w:val="20"/>
        </w:rPr>
        <w:t xml:space="preserve"> </w:t>
      </w:r>
      <w:r>
        <w:rPr>
          <w:rFonts w:cs="Times New Roman"/>
          <w:noProof/>
          <w:sz w:val="20"/>
        </w:rPr>
        <w:t xml:space="preserve">and refer to the 2030 Agenda for Sustainable development and related </w:t>
      </w:r>
      <w:r>
        <w:rPr>
          <w:rFonts w:eastAsia="Calibri" w:cs="Times New Roman"/>
          <w:noProof/>
          <w:sz w:val="20"/>
        </w:rPr>
        <w:t>Sustainable Development Goals (SDGs)</w:t>
      </w:r>
      <w:r>
        <w:rPr>
          <w:rFonts w:eastAsia="Calibri" w:cs="Times New Roman"/>
          <w:noProof/>
          <w:sz w:val="20"/>
          <w:vertAlign w:val="superscript"/>
        </w:rPr>
        <w:footnoteReference w:id="3"/>
      </w:r>
      <w:r>
        <w:rPr>
          <w:rFonts w:eastAsia="Calibri" w:cs="Times New Roman"/>
          <w:noProof/>
          <w:sz w:val="20"/>
        </w:rPr>
        <w:t xml:space="preserve"> </w:t>
      </w:r>
      <w:r>
        <w:rPr>
          <w:rFonts w:cs="Times New Roman"/>
          <w:noProof/>
          <w:sz w:val="20"/>
        </w:rPr>
        <w:t>to the extent to which they reflect the existing obligations and policy objectives of EU environmental law</w:t>
      </w:r>
      <w:r>
        <w:rPr>
          <w:rFonts w:eastAsia="Calibri" w:cs="Times New Roman"/>
          <w:noProof/>
          <w:sz w:val="20"/>
          <w:vertAlign w:val="superscript"/>
        </w:rPr>
        <w:footnoteReference w:id="4"/>
      </w:r>
      <w:r>
        <w:rPr>
          <w:rFonts w:cs="Times New Roman"/>
          <w:noProof/>
          <w:sz w:val="20"/>
        </w:rPr>
        <w:t xml:space="preserve">. </w:t>
      </w:r>
    </w:p>
    <w:p w:rsidR="00D337B9" w:rsidRDefault="009B5B10">
      <w:pPr>
        <w:widowControl w:val="0"/>
        <w:spacing w:after="120" w:line="240" w:lineRule="auto"/>
        <w:jc w:val="both"/>
        <w:rPr>
          <w:rFonts w:cs="Times New Roman"/>
          <w:noProof/>
          <w:sz w:val="20"/>
        </w:rPr>
      </w:pPr>
      <w:r>
        <w:rPr>
          <w:noProof/>
          <w:sz w:val="20"/>
        </w:rPr>
        <w:t>The main challenges</w:t>
      </w:r>
      <w:r>
        <w:rPr>
          <w:noProof/>
          <w:sz w:val="20"/>
        </w:rPr>
        <w:t xml:space="preserve"> have been selected by taking into account factors such as the importance or the gravity of the environmental implementation issue in the light of the impact on the quality of life of the citizens, the distance to target, and financial implications.</w:t>
      </w:r>
    </w:p>
    <w:p w:rsidR="00D337B9" w:rsidRDefault="009B5B10">
      <w:pPr>
        <w:spacing w:after="120" w:line="240" w:lineRule="auto"/>
        <w:jc w:val="both"/>
        <w:rPr>
          <w:noProof/>
          <w:sz w:val="20"/>
        </w:rPr>
      </w:pPr>
      <w:r>
        <w:rPr>
          <w:noProof/>
          <w:sz w:val="20"/>
        </w:rPr>
        <w:t>The re</w:t>
      </w:r>
      <w:r>
        <w:rPr>
          <w:noProof/>
          <w:sz w:val="20"/>
        </w:rPr>
        <w:t>ports accompany the Communication "</w:t>
      </w:r>
      <w:r>
        <w:rPr>
          <w:i/>
          <w:noProof/>
          <w:sz w:val="20"/>
        </w:rPr>
        <w:t>The EU Environmental Implementation Review 2016: Common challenges and how to combine efforts to deliver better results</w:t>
      </w:r>
      <w:r>
        <w:rPr>
          <w:noProof/>
          <w:sz w:val="20"/>
        </w:rPr>
        <w:t>", which identifies challenges that are common to several Member States, provides preliminary conclusi</w:t>
      </w:r>
      <w:r>
        <w:rPr>
          <w:noProof/>
          <w:sz w:val="20"/>
        </w:rPr>
        <w:t>ons on possible root causes of implementation gaps and proposes joint actions to deliver better results. It also groups in its Annex the actions proposed in each country report to improve implementation at national level.</w:t>
      </w:r>
    </w:p>
    <w:p w:rsidR="00D337B9" w:rsidRDefault="009B5B10">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D337B9" w:rsidRDefault="009B5B10">
      <w:pPr>
        <w:widowControl w:val="0"/>
        <w:spacing w:after="120" w:line="240" w:lineRule="auto"/>
        <w:jc w:val="both"/>
        <w:rPr>
          <w:rFonts w:cs="Times New Roman"/>
          <w:noProof/>
          <w:sz w:val="20"/>
        </w:rPr>
      </w:pPr>
      <w:r>
        <w:rPr>
          <w:rFonts w:cs="Times New Roman"/>
          <w:noProof/>
          <w:sz w:val="20"/>
        </w:rPr>
        <w:t>Environmental impl</w:t>
      </w:r>
      <w:r>
        <w:rPr>
          <w:rFonts w:cs="Times New Roman"/>
          <w:noProof/>
          <w:sz w:val="20"/>
        </w:rPr>
        <w:t xml:space="preserve">ementation represents a challenge for Cyprus. Poor waste management performance, with high waste generation, low recycling rates and strong dependence on landfilling, including in illegal facilities, is one of the main concerns. Improving water management </w:t>
      </w:r>
      <w:r>
        <w:rPr>
          <w:rFonts w:cs="Times New Roman"/>
          <w:noProof/>
          <w:sz w:val="20"/>
        </w:rPr>
        <w:t>and putting in place a water pricing policy in accordance with the Water Framework Directive covering a broad range of water services is of great significance for Cyprus, with over-abstraction of groundwater and water scarcity being major challenges. Its r</w:t>
      </w:r>
      <w:r>
        <w:rPr>
          <w:rFonts w:cs="Times New Roman"/>
          <w:noProof/>
          <w:sz w:val="20"/>
        </w:rPr>
        <w:t>ich natural environment and biodiversity is one of the country's strongest assets. However, in many cases of infrastructure development in protected areas it can be observed that the necessary assessments as foreseen by European and national legislation ar</w:t>
      </w:r>
      <w:r>
        <w:rPr>
          <w:rFonts w:cs="Times New Roman"/>
          <w:noProof/>
          <w:sz w:val="20"/>
        </w:rPr>
        <w:t xml:space="preserve">e not carried out appropriately. This weakens legal certainty, slows down projects and can lead to significant environmental damage, such as fragmentation or degradation of these areas and significant endangerment of protected species. Finally, one of the </w:t>
      </w:r>
      <w:r>
        <w:rPr>
          <w:rFonts w:cs="Times New Roman"/>
          <w:noProof/>
          <w:sz w:val="20"/>
          <w:szCs w:val="19"/>
        </w:rPr>
        <w:t>most persistent problems is that of the widespread practice of illegal trapping of wild birds, especially migratory.</w:t>
      </w:r>
      <w:r>
        <w:rPr>
          <w:rFonts w:cs="Times New Roman"/>
          <w:noProof/>
          <w:sz w:val="20"/>
        </w:rPr>
        <w:t xml:space="preserve"> </w:t>
      </w:r>
    </w:p>
    <w:p w:rsidR="00D337B9" w:rsidRDefault="009B5B10">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D337B9" w:rsidRDefault="009B5B10">
      <w:pPr>
        <w:widowControl w:val="0"/>
        <w:spacing w:after="120" w:line="240" w:lineRule="auto"/>
        <w:jc w:val="both"/>
        <w:rPr>
          <w:rFonts w:cs="Times New Roman"/>
          <w:noProof/>
          <w:sz w:val="20"/>
        </w:rPr>
      </w:pPr>
      <w:r>
        <w:rPr>
          <w:rFonts w:cs="Times New Roman"/>
          <w:noProof/>
          <w:sz w:val="20"/>
        </w:rPr>
        <w:t>The three main challenges with regard to implementation of EU environmental policy and law in Cyprus are:</w:t>
      </w:r>
    </w:p>
    <w:p w:rsidR="00D337B9" w:rsidRDefault="009B5B10">
      <w:pPr>
        <w:widowControl w:val="0"/>
        <w:numPr>
          <w:ilvl w:val="0"/>
          <w:numId w:val="28"/>
        </w:numPr>
        <w:spacing w:after="120" w:line="240" w:lineRule="auto"/>
        <w:contextualSpacing/>
        <w:jc w:val="both"/>
        <w:rPr>
          <w:rFonts w:cs="Times New Roman"/>
          <w:noProof/>
          <w:sz w:val="20"/>
          <w:szCs w:val="20"/>
        </w:rPr>
      </w:pPr>
      <w:r>
        <w:rPr>
          <w:rFonts w:cs="Times New Roman"/>
          <w:noProof/>
          <w:sz w:val="20"/>
          <w:szCs w:val="20"/>
        </w:rPr>
        <w:t>Better protectin</w:t>
      </w:r>
      <w:r>
        <w:rPr>
          <w:rFonts w:cs="Times New Roman"/>
          <w:noProof/>
          <w:sz w:val="20"/>
          <w:szCs w:val="20"/>
        </w:rPr>
        <w:t>g Natura 2000 areas from incompatible activities or developments that fragment or degrade them, by ensuring that all necessary assessments are carried out properly before the approval of a project, and that the necessary mitigation measures are formally ap</w:t>
      </w:r>
      <w:r>
        <w:rPr>
          <w:rFonts w:cs="Times New Roman"/>
          <w:noProof/>
          <w:sz w:val="20"/>
          <w:szCs w:val="20"/>
        </w:rPr>
        <w:t>proved and properly applied. Enhancing policies and enforcement actions to eliminate illegal bird trapping.</w:t>
      </w:r>
    </w:p>
    <w:p w:rsidR="00D337B9" w:rsidRDefault="009B5B10">
      <w:pPr>
        <w:widowControl w:val="0"/>
        <w:numPr>
          <w:ilvl w:val="0"/>
          <w:numId w:val="28"/>
        </w:numPr>
        <w:spacing w:after="120" w:line="240" w:lineRule="auto"/>
        <w:contextualSpacing/>
        <w:jc w:val="both"/>
        <w:rPr>
          <w:rFonts w:cs="Times New Roman"/>
          <w:noProof/>
          <w:sz w:val="20"/>
          <w:szCs w:val="20"/>
        </w:rPr>
      </w:pPr>
      <w:r>
        <w:rPr>
          <w:rFonts w:cs="Times New Roman"/>
          <w:noProof/>
          <w:sz w:val="20"/>
        </w:rPr>
        <w:t xml:space="preserve">Eliminating illegal landfilling of waste and putting in place the necessary infrastructure for waste management, while paying particular attention </w:t>
      </w:r>
      <w:r>
        <w:rPr>
          <w:rFonts w:cs="Times New Roman"/>
          <w:noProof/>
          <w:sz w:val="20"/>
        </w:rPr>
        <w:t>to avoiding creating over-capacity of installations for the treatment of residual waste.</w:t>
      </w:r>
    </w:p>
    <w:p w:rsidR="00D337B9" w:rsidRDefault="009B5B10">
      <w:pPr>
        <w:widowControl w:val="0"/>
        <w:numPr>
          <w:ilvl w:val="0"/>
          <w:numId w:val="28"/>
        </w:numPr>
        <w:spacing w:before="240" w:after="120" w:line="240" w:lineRule="auto"/>
        <w:contextualSpacing/>
        <w:jc w:val="both"/>
        <w:rPr>
          <w:rFonts w:cs="Times New Roman"/>
          <w:noProof/>
          <w:sz w:val="20"/>
          <w:szCs w:val="20"/>
        </w:rPr>
      </w:pPr>
      <w:r>
        <w:rPr>
          <w:rFonts w:cs="Times New Roman"/>
          <w:noProof/>
          <w:sz w:val="20"/>
          <w:szCs w:val="20"/>
        </w:rPr>
        <w:t>Improving water management in order to effectively tackle problems such as water scarcity and over-abstraction.</w:t>
      </w:r>
    </w:p>
    <w:p w:rsidR="00D337B9" w:rsidRDefault="009B5B10">
      <w:pPr>
        <w:widowControl w:val="0"/>
        <w:spacing w:before="240" w:after="120" w:line="240" w:lineRule="auto"/>
        <w:jc w:val="both"/>
        <w:rPr>
          <w:rFonts w:cstheme="minorHAnsi"/>
          <w:b/>
          <w:noProof/>
          <w:color w:val="1F497D" w:themeColor="text2"/>
        </w:rPr>
      </w:pPr>
      <w:r>
        <w:rPr>
          <w:rFonts w:cstheme="minorHAnsi"/>
          <w:b/>
          <w:noProof/>
          <w:color w:val="1F497D" w:themeColor="text2"/>
        </w:rPr>
        <w:t>Main Opportunities</w:t>
      </w:r>
    </w:p>
    <w:p w:rsidR="00D337B9" w:rsidRDefault="009B5B10">
      <w:pPr>
        <w:widowControl w:val="0"/>
        <w:spacing w:after="120" w:line="240" w:lineRule="auto"/>
        <w:jc w:val="both"/>
        <w:rPr>
          <w:rFonts w:cs="Times New Roman"/>
          <w:noProof/>
          <w:sz w:val="20"/>
          <w:lang w:eastAsia="ja-JP"/>
        </w:rPr>
      </w:pPr>
      <w:r>
        <w:rPr>
          <w:rFonts w:cs="Times New Roman"/>
          <w:noProof/>
          <w:sz w:val="20"/>
          <w:lang w:eastAsia="ja-JP"/>
        </w:rPr>
        <w:t>Cyprus could perform better on topic</w:t>
      </w:r>
      <w:r>
        <w:rPr>
          <w:rFonts w:cs="Times New Roman"/>
          <w:noProof/>
          <w:sz w:val="20"/>
          <w:lang w:eastAsia="ja-JP"/>
        </w:rPr>
        <w:t>s where there is already a good knowledge base and good practices. This applies in particular to:</w:t>
      </w:r>
    </w:p>
    <w:p w:rsidR="00D337B9" w:rsidRDefault="009B5B10">
      <w:pPr>
        <w:widowControl w:val="0"/>
        <w:numPr>
          <w:ilvl w:val="0"/>
          <w:numId w:val="29"/>
        </w:numPr>
        <w:spacing w:after="120" w:line="240" w:lineRule="auto"/>
        <w:contextualSpacing/>
        <w:jc w:val="both"/>
        <w:rPr>
          <w:rFonts w:cs="Times New Roman"/>
          <w:noProof/>
          <w:sz w:val="20"/>
          <w:lang w:eastAsia="ja-JP"/>
        </w:rPr>
      </w:pPr>
      <w:r>
        <w:rPr>
          <w:rFonts w:cs="Times New Roman"/>
          <w:noProof/>
          <w:sz w:val="20"/>
        </w:rPr>
        <w:t>Move away from landfilling by focusing policies and investments on the implementation of the separate collection obligation to increase recycling rates, parti</w:t>
      </w:r>
      <w:r>
        <w:rPr>
          <w:rFonts w:cs="Times New Roman"/>
          <w:noProof/>
          <w:sz w:val="20"/>
        </w:rPr>
        <w:t xml:space="preserve">cularly by making more efficient use of economic instruments. </w:t>
      </w:r>
    </w:p>
    <w:p w:rsidR="00D337B9" w:rsidRDefault="009B5B10">
      <w:pPr>
        <w:widowControl w:val="0"/>
        <w:numPr>
          <w:ilvl w:val="0"/>
          <w:numId w:val="29"/>
        </w:numPr>
        <w:spacing w:after="120" w:line="240" w:lineRule="auto"/>
        <w:contextualSpacing/>
        <w:jc w:val="both"/>
        <w:rPr>
          <w:rFonts w:cs="Times New Roman"/>
          <w:noProof/>
          <w:sz w:val="20"/>
          <w:lang w:eastAsia="ja-JP"/>
        </w:rPr>
      </w:pPr>
      <w:r>
        <w:rPr>
          <w:rFonts w:cs="Times New Roman"/>
          <w:noProof/>
          <w:sz w:val="20"/>
          <w:lang w:eastAsia="ja-JP"/>
        </w:rPr>
        <w:t>Safeguard the country's natural capital, especially under the Natura 2000 network, and promote green tourism, which can bring about significant economic benefits.</w:t>
      </w:r>
    </w:p>
    <w:p w:rsidR="00D337B9" w:rsidRDefault="009B5B10">
      <w:pPr>
        <w:widowControl w:val="0"/>
        <w:numPr>
          <w:ilvl w:val="0"/>
          <w:numId w:val="29"/>
        </w:numPr>
        <w:spacing w:after="120" w:line="240" w:lineRule="auto"/>
        <w:contextualSpacing/>
        <w:jc w:val="both"/>
        <w:rPr>
          <w:rFonts w:cs="Times New Roman"/>
          <w:noProof/>
          <w:sz w:val="20"/>
          <w:lang w:eastAsia="ja-JP"/>
        </w:rPr>
      </w:pPr>
      <w:r>
        <w:rPr>
          <w:rFonts w:cs="Times New Roman"/>
          <w:noProof/>
          <w:sz w:val="20"/>
        </w:rPr>
        <w:t xml:space="preserve">Enhance investments in </w:t>
      </w:r>
      <w:r>
        <w:rPr>
          <w:rFonts w:cs="Times New Roman"/>
          <w:noProof/>
          <w:sz w:val="20"/>
        </w:rPr>
        <w:t>eco-innovation, aligning promoted activities to the country's environmental needs (e.g. water scarcity, improving recycling) and to its natural capital (e.g. potential for development of renewable energy).</w:t>
      </w:r>
    </w:p>
    <w:p w:rsidR="00D337B9" w:rsidRDefault="009B5B10">
      <w:pPr>
        <w:widowControl w:val="0"/>
        <w:spacing w:before="240" w:after="120" w:line="240" w:lineRule="auto"/>
        <w:jc w:val="both"/>
        <w:rPr>
          <w:rFonts w:cstheme="minorHAnsi"/>
          <w:b/>
          <w:noProof/>
          <w:color w:val="1F497D" w:themeColor="text2"/>
        </w:rPr>
      </w:pPr>
      <w:r>
        <w:rPr>
          <w:rFonts w:cstheme="minorHAnsi"/>
          <w:b/>
          <w:noProof/>
          <w:color w:val="1F497D" w:themeColor="text2"/>
        </w:rPr>
        <w:t>Points of Excellence</w:t>
      </w:r>
    </w:p>
    <w:p w:rsidR="00D337B9" w:rsidRDefault="009B5B10">
      <w:pPr>
        <w:widowControl w:val="0"/>
        <w:spacing w:after="120" w:line="240" w:lineRule="auto"/>
        <w:jc w:val="both"/>
        <w:rPr>
          <w:rFonts w:cs="Times New Roman"/>
          <w:noProof/>
          <w:sz w:val="20"/>
        </w:rPr>
      </w:pPr>
      <w:r>
        <w:rPr>
          <w:rFonts w:cs="Times New Roman"/>
          <w:noProof/>
          <w:sz w:val="20"/>
        </w:rPr>
        <w:t>Where Cyprus is a leader on e</w:t>
      </w:r>
      <w:r>
        <w:rPr>
          <w:rFonts w:cs="Times New Roman"/>
          <w:noProof/>
          <w:sz w:val="20"/>
        </w:rPr>
        <w:t>nvironmental implementation, innovative approaches could be shared more widely with other countries. Good examples are:</w:t>
      </w:r>
    </w:p>
    <w:p w:rsidR="00D337B9" w:rsidRDefault="009B5B10">
      <w:pPr>
        <w:widowControl w:val="0"/>
        <w:numPr>
          <w:ilvl w:val="0"/>
          <w:numId w:val="30"/>
        </w:numPr>
        <w:spacing w:after="120" w:line="240" w:lineRule="auto"/>
        <w:contextualSpacing/>
        <w:jc w:val="both"/>
        <w:rPr>
          <w:rFonts w:cs="Times New Roman"/>
          <w:noProof/>
          <w:sz w:val="20"/>
          <w:lang w:eastAsia="ja-JP"/>
        </w:rPr>
      </w:pPr>
      <w:r>
        <w:rPr>
          <w:rFonts w:cs="Times New Roman"/>
          <w:noProof/>
          <w:sz w:val="20"/>
          <w:szCs w:val="18"/>
        </w:rPr>
        <w:t xml:space="preserve">According to the EEA Report 'European Bathing Water quality in 2015', </w:t>
      </w:r>
      <w:r>
        <w:rPr>
          <w:rFonts w:cs="Times New Roman"/>
          <w:noProof/>
          <w:color w:val="000000" w:themeColor="text1"/>
          <w:sz w:val="20"/>
        </w:rPr>
        <w:t>out of 113 bathing waters in Cyprus 99.1% were of excellent qualit</w:t>
      </w:r>
      <w:r>
        <w:rPr>
          <w:rFonts w:cs="Times New Roman"/>
          <w:noProof/>
          <w:color w:val="000000" w:themeColor="text1"/>
          <w:sz w:val="20"/>
        </w:rPr>
        <w:t>y.</w:t>
      </w:r>
    </w:p>
    <w:p w:rsidR="00D337B9" w:rsidRDefault="009B5B10">
      <w:pPr>
        <w:widowControl w:val="0"/>
        <w:numPr>
          <w:ilvl w:val="0"/>
          <w:numId w:val="30"/>
        </w:numPr>
        <w:spacing w:after="120" w:line="240" w:lineRule="auto"/>
        <w:contextualSpacing/>
        <w:jc w:val="both"/>
        <w:rPr>
          <w:rFonts w:cs="Times New Roman"/>
          <w:noProof/>
          <w:sz w:val="20"/>
          <w:lang w:eastAsia="ja-JP"/>
        </w:rPr>
      </w:pPr>
      <w:r>
        <w:rPr>
          <w:rFonts w:cs="Times New Roman"/>
          <w:noProof/>
          <w:sz w:val="20"/>
          <w:lang w:eastAsia="ja-JP"/>
        </w:rPr>
        <w:t>The Natura 2000 network in Cyprus covers 28.8% of the land area, which is one of the highest percentages in the EU (EU average 18.1%), with Birds Directive SPAs covering 26.7% (EU average 12.3%).</w:t>
      </w: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D337B9">
      <w:pPr>
        <w:widowControl w:val="0"/>
        <w:spacing w:after="120" w:line="240" w:lineRule="auto"/>
        <w:jc w:val="both"/>
        <w:rPr>
          <w:rFonts w:cs="Times New Roman"/>
          <w:noProof/>
          <w:sz w:val="20"/>
          <w:lang w:eastAsia="ja-JP"/>
        </w:rPr>
      </w:pPr>
    </w:p>
    <w:p w:rsidR="00D337B9" w:rsidRDefault="009B5B10">
      <w:pPr>
        <w:keepNext/>
        <w:keepLines/>
        <w:widowControl w:val="0"/>
        <w:spacing w:after="0" w:line="240" w:lineRule="auto"/>
        <w:jc w:val="center"/>
        <w:outlineLvl w:val="0"/>
        <w:rPr>
          <w:rFonts w:eastAsiaTheme="majorEastAsia" w:cstheme="majorBidi"/>
          <w:b/>
          <w:bCs/>
          <w:noProof/>
          <w:color w:val="1F497D" w:themeColor="text2"/>
          <w:sz w:val="32"/>
          <w:szCs w:val="28"/>
        </w:rPr>
        <w:sectPr w:rsidR="00D337B9">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pgNumType w:start="5"/>
          <w:cols w:num="2" w:space="357"/>
          <w:docGrid w:linePitch="360"/>
        </w:sectPr>
      </w:pPr>
      <w:bookmarkStart w:id="6" w:name="_Toc433296150"/>
      <w:r>
        <w:rPr>
          <w:rFonts w:eastAsiaTheme="majorEastAsia" w:cstheme="majorBidi"/>
          <w:b/>
          <w:bCs/>
          <w:noProof/>
          <w:color w:val="1F497D" w:themeColor="text2"/>
          <w:sz w:val="32"/>
          <w:szCs w:val="28"/>
        </w:rPr>
        <w:br w:type="page"/>
      </w:r>
    </w:p>
    <w:p w:rsidR="00D337B9" w:rsidRDefault="009B5B10">
      <w:pPr>
        <w:keepNext/>
        <w:keepLines/>
        <w:widowControl w:val="0"/>
        <w:spacing w:after="0" w:line="240" w:lineRule="auto"/>
        <w:jc w:val="center"/>
        <w:outlineLvl w:val="0"/>
        <w:rPr>
          <w:rFonts w:eastAsiaTheme="majorEastAsia" w:cstheme="majorBidi"/>
          <w:b/>
          <w:bCs/>
          <w:noProof/>
          <w:color w:val="1F497D" w:themeColor="text2"/>
          <w:sz w:val="32"/>
          <w:szCs w:val="28"/>
        </w:rPr>
      </w:pPr>
      <w:bookmarkStart w:id="7" w:name="_Toc469407220"/>
      <w:r>
        <w:rPr>
          <w:rFonts w:eastAsiaTheme="majorEastAsia" w:cstheme="majorBidi"/>
          <w:b/>
          <w:bCs/>
          <w:noProof/>
          <w:color w:val="1F497D" w:themeColor="text2"/>
          <w:sz w:val="32"/>
          <w:szCs w:val="28"/>
        </w:rPr>
        <w:t>Part I: Thematic Areas</w:t>
      </w:r>
      <w:bookmarkEnd w:id="6"/>
      <w:bookmarkEnd w:id="7"/>
    </w:p>
    <w:p w:rsidR="00D337B9" w:rsidRDefault="00D337B9">
      <w:pPr>
        <w:widowControl w:val="0"/>
        <w:spacing w:after="120" w:line="240" w:lineRule="auto"/>
        <w:jc w:val="both"/>
        <w:rPr>
          <w:rFonts w:cs="Times New Roman"/>
          <w:noProof/>
          <w:sz w:val="20"/>
        </w:rPr>
      </w:pPr>
    </w:p>
    <w:p w:rsidR="00D337B9" w:rsidRDefault="009B5B10">
      <w:pPr>
        <w:keepNext/>
        <w:keepLines/>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8" w:name="_Toc433296151"/>
      <w:bookmarkStart w:id="9" w:name="_Toc469407221"/>
      <w:r>
        <w:rPr>
          <w:rFonts w:eastAsiaTheme="majorEastAsia" w:cstheme="majorBidi"/>
          <w:b/>
          <w:bCs/>
          <w:noProof/>
          <w:color w:val="1F497D" w:themeColor="text2"/>
          <w:sz w:val="32"/>
          <w:szCs w:val="28"/>
        </w:rPr>
        <w:t>Turning the EU into a circular, resource-efficient, green and competitive low-carbon economy</w:t>
      </w:r>
      <w:bookmarkEnd w:id="8"/>
      <w:bookmarkEnd w:id="9"/>
    </w:p>
    <w:p w:rsidR="00D337B9" w:rsidRDefault="00D337B9">
      <w:pPr>
        <w:widowControl w:val="0"/>
        <w:spacing w:after="120" w:line="240" w:lineRule="auto"/>
        <w:jc w:val="both"/>
        <w:rPr>
          <w:rFonts w:cs="Times New Roman"/>
          <w:noProof/>
          <w:sz w:val="20"/>
        </w:rPr>
      </w:pPr>
    </w:p>
    <w:p w:rsidR="00D337B9" w:rsidRDefault="00D337B9">
      <w:pPr>
        <w:widowControl w:val="0"/>
        <w:spacing w:after="120" w:line="240" w:lineRule="auto"/>
        <w:jc w:val="both"/>
        <w:rPr>
          <w:rFonts w:cs="Times New Roman"/>
          <w:noProof/>
          <w:sz w:val="20"/>
        </w:rPr>
        <w:sectPr w:rsidR="00D337B9">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6"/>
          <w:cols w:space="708"/>
          <w:titlePg/>
          <w:docGrid w:linePitch="360"/>
        </w:sectPr>
      </w:pPr>
    </w:p>
    <w:p w:rsidR="00D337B9" w:rsidRDefault="009B5B10">
      <w:pPr>
        <w:widowControl w:val="0"/>
        <w:spacing w:after="120" w:line="240" w:lineRule="auto"/>
        <w:outlineLvl w:val="1"/>
        <w:rPr>
          <w:rFonts w:cs="Times New Roman"/>
          <w:b/>
          <w:noProof/>
          <w:color w:val="1F497D" w:themeColor="text2"/>
          <w:sz w:val="24"/>
        </w:rPr>
      </w:pPr>
      <w:bookmarkStart w:id="10" w:name="_Toc469407222"/>
      <w:r>
        <w:rPr>
          <w:rFonts w:cs="Times New Roman"/>
          <w:b/>
          <w:noProof/>
          <w:color w:val="1F497D" w:themeColor="text2"/>
          <w:sz w:val="24"/>
        </w:rPr>
        <w:t>Developing a circular economy and improving resource efficiency</w:t>
      </w:r>
      <w:bookmarkEnd w:id="10"/>
    </w:p>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2015 Circular Economy Package emphasizes the need to move towards a lifecycle-driven ‘circular’ economy, </w:t>
      </w:r>
      <w:r>
        <w:rPr>
          <w:rFonts w:cs="Times New Roman"/>
          <w:noProof/>
          <w:color w:val="FFFFFF" w:themeColor="background1"/>
          <w:sz w:val="20"/>
        </w:rPr>
        <w:t>with a cascading use of resources and residual waste that is close to zero. This can be facilitated by the development of, and access to, innovative financial instruments and funding for eco-innovation.</w:t>
      </w:r>
    </w:p>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8 invites countries to promote sustained, inclusi</w:t>
      </w:r>
      <w:r>
        <w:rPr>
          <w:rFonts w:cs="Times New Roman"/>
          <w:noProof/>
          <w:color w:val="FFFFFF" w:themeColor="background1"/>
          <w:sz w:val="20"/>
        </w:rPr>
        <w:t xml:space="preserve">ve and sustainable economic growth, full and productive employment and decent work for all. SDG 9 highlights the need to build resilient infrastructure, promote inclusive and sustainable industrialization and foster innovation. SDG 12 encourages countries </w:t>
      </w:r>
      <w:r>
        <w:rPr>
          <w:rFonts w:cs="Times New Roman"/>
          <w:noProof/>
          <w:color w:val="FFFFFF" w:themeColor="background1"/>
          <w:sz w:val="20"/>
        </w:rPr>
        <w:t>to achieve the sustainable management and efficient use of natural resources by 2030.</w:t>
      </w:r>
    </w:p>
    <w:p w:rsidR="00D337B9" w:rsidRDefault="009B5B10">
      <w:pPr>
        <w:widowControl w:val="0"/>
        <w:spacing w:after="120" w:line="240" w:lineRule="auto"/>
        <w:jc w:val="both"/>
        <w:outlineLvl w:val="2"/>
        <w:rPr>
          <w:rFonts w:cs="Times New Roman"/>
          <w:b/>
          <w:noProof/>
          <w:color w:val="1F497D" w:themeColor="text2"/>
        </w:rPr>
      </w:pPr>
      <w:r>
        <w:rPr>
          <w:rFonts w:cs="Times New Roman"/>
          <w:b/>
          <w:noProof/>
          <w:color w:val="1F497D" w:themeColor="text2"/>
        </w:rPr>
        <w:t>Measures towards a circular economy</w:t>
      </w:r>
    </w:p>
    <w:p w:rsidR="00D337B9" w:rsidRDefault="009B5B10">
      <w:pPr>
        <w:widowControl w:val="0"/>
        <w:spacing w:after="120" w:line="240" w:lineRule="auto"/>
        <w:jc w:val="both"/>
        <w:rPr>
          <w:noProof/>
          <w:sz w:val="20"/>
        </w:rPr>
      </w:pPr>
      <w:r>
        <w:rPr>
          <w:noProof/>
          <w:sz w:val="20"/>
        </w:rPr>
        <w:t xml:space="preserve">Transforming our economies from linear to circular offers an opportunity to reinvent them and make them more sustainable and </w:t>
      </w:r>
      <w:r>
        <w:rPr>
          <w:noProof/>
          <w:sz w:val="20"/>
        </w:rPr>
        <w:t>competitive. This will stimulate investments and bring both short and long-term benefits for the economy, environment and citizens alike</w:t>
      </w:r>
      <w:r>
        <w:rPr>
          <w:noProof/>
          <w:sz w:val="20"/>
          <w:vertAlign w:val="superscript"/>
        </w:rPr>
        <w:footnoteReference w:id="5"/>
      </w:r>
      <w:r>
        <w:rPr>
          <w:noProof/>
          <w:sz w:val="20"/>
        </w:rPr>
        <w:t>.</w:t>
      </w:r>
    </w:p>
    <w:p w:rsidR="00D337B9" w:rsidRDefault="009B5B10">
      <w:pPr>
        <w:widowControl w:val="0"/>
        <w:spacing w:after="120" w:line="240" w:lineRule="auto"/>
        <w:jc w:val="both"/>
        <w:rPr>
          <w:rFonts w:cs="Times New Roman"/>
          <w:noProof/>
          <w:sz w:val="20"/>
        </w:rPr>
      </w:pPr>
      <w:r>
        <w:rPr>
          <w:rFonts w:cs="Times New Roman"/>
          <w:noProof/>
          <w:sz w:val="20"/>
        </w:rPr>
        <w:t>Cyprus is performing below EU average in terms of resource productivity</w:t>
      </w:r>
      <w:r>
        <w:rPr>
          <w:rFonts w:cs="Times New Roman"/>
          <w:noProof/>
          <w:sz w:val="20"/>
          <w:vertAlign w:val="superscript"/>
        </w:rPr>
        <w:footnoteReference w:id="6"/>
      </w:r>
      <w:r>
        <w:rPr>
          <w:rFonts w:cs="Times New Roman"/>
          <w:noProof/>
          <w:sz w:val="20"/>
        </w:rPr>
        <w:t xml:space="preserve"> (how efficiently the economy uses material r</w:t>
      </w:r>
      <w:r>
        <w:rPr>
          <w:rFonts w:cs="Times New Roman"/>
          <w:noProof/>
          <w:sz w:val="20"/>
        </w:rPr>
        <w:t>esources to produce wealth), with 1.85 EUR /kg (EU average is 2 EUR/kg) in 2015. Figure 1, however, shows a significant increase of resource productivity since 2011, having almost reached EU average in 2015.</w:t>
      </w:r>
    </w:p>
    <w:p w:rsidR="00D337B9" w:rsidRDefault="009B5B10">
      <w:pPr>
        <w:widowControl w:val="0"/>
        <w:spacing w:after="120" w:line="240" w:lineRule="auto"/>
        <w:jc w:val="both"/>
        <w:rPr>
          <w:rFonts w:cs="Times New Roman"/>
          <w:noProof/>
          <w:sz w:val="20"/>
        </w:rPr>
      </w:pPr>
      <w:r>
        <w:rPr>
          <w:rFonts w:cs="Times New Roman"/>
          <w:noProof/>
          <w:sz w:val="20"/>
        </w:rPr>
        <w:t xml:space="preserve">There is no overarching policy framework for the Circular Economy in Cyprus. Policy and funding measures and mechanisms promoting circular economy still largely depend on co-financing through the European Structural and Investment Funds (ESIF). </w:t>
      </w:r>
    </w:p>
    <w:p w:rsidR="00D337B9" w:rsidRDefault="009B5B10">
      <w:pPr>
        <w:widowControl w:val="0"/>
        <w:spacing w:after="120" w:line="240" w:lineRule="auto"/>
        <w:jc w:val="both"/>
        <w:rPr>
          <w:rFonts w:cs="Times New Roman"/>
          <w:noProof/>
          <w:sz w:val="20"/>
        </w:rPr>
      </w:pPr>
      <w:r>
        <w:rPr>
          <w:rFonts w:cs="Times New Roman"/>
          <w:noProof/>
          <w:sz w:val="20"/>
        </w:rPr>
        <w:t>The ESIF f</w:t>
      </w:r>
      <w:r>
        <w:rPr>
          <w:rFonts w:cs="Times New Roman"/>
          <w:noProof/>
          <w:sz w:val="20"/>
        </w:rPr>
        <w:t>or the period 2014-2020 are funding research activities, including the Energy, Environment and Water Research Centre (EEWRC), which carries out research in the areas of Solar Energy and Desalination, Climate Change and Impact, Environmental Research and Mo</w:t>
      </w:r>
      <w:r>
        <w:rPr>
          <w:rFonts w:cs="Times New Roman"/>
          <w:noProof/>
          <w:sz w:val="20"/>
        </w:rPr>
        <w:t xml:space="preserve">nitoring, Water Research and Management and Sustainability and Built Environment.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337B9">
        <w:tc>
          <w:tcPr>
            <w:tcW w:w="4909" w:type="dxa"/>
          </w:tcPr>
          <w:p w:rsidR="00D337B9" w:rsidRDefault="009B5B10">
            <w:pPr>
              <w:widowControl w:val="0"/>
              <w:spacing w:after="120"/>
              <w:jc w:val="both"/>
              <w:rPr>
                <w:rFonts w:cs="Times New Roman"/>
                <w:noProof/>
                <w:color w:val="1F497D" w:themeColor="text2"/>
                <w:sz w:val="20"/>
              </w:rPr>
            </w:pPr>
            <w:r>
              <w:rPr>
                <w:b/>
                <w:bCs/>
                <w:noProof/>
                <w:color w:val="1F497D" w:themeColor="text2"/>
                <w:sz w:val="20"/>
              </w:rPr>
              <w:t>Figure 1: Resource productivity 2003-15</w:t>
            </w:r>
            <w:r>
              <w:rPr>
                <w:b/>
                <w:bCs/>
                <w:noProof/>
                <w:color w:val="1F497D" w:themeColor="text2"/>
                <w:sz w:val="20"/>
                <w:vertAlign w:val="superscript"/>
              </w:rPr>
              <w:footnoteReference w:id="7"/>
            </w:r>
          </w:p>
        </w:tc>
      </w:tr>
      <w:tr w:rsidR="00D337B9">
        <w:tc>
          <w:tcPr>
            <w:tcW w:w="4909" w:type="dxa"/>
          </w:tcPr>
          <w:p w:rsidR="00D337B9" w:rsidRDefault="009B5B10">
            <w:pPr>
              <w:widowControl w:val="0"/>
              <w:spacing w:after="120"/>
              <w:jc w:val="both"/>
              <w:rPr>
                <w:rFonts w:cs="Times New Roman"/>
                <w:noProof/>
                <w:sz w:val="20"/>
              </w:rPr>
            </w:pPr>
            <w:r>
              <w:rPr>
                <w:rFonts w:cs="Times New Roman"/>
                <w:noProof/>
                <w:sz w:val="20"/>
                <w:lang w:eastAsia="en-GB"/>
              </w:rPr>
              <w:drawing>
                <wp:inline distT="0" distB="0" distL="0" distR="0" wp14:anchorId="2F21595C" wp14:editId="2D6DF890">
                  <wp:extent cx="3091168" cy="205208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99002" cy="2057285"/>
                          </a:xfrm>
                          <a:prstGeom prst="rect">
                            <a:avLst/>
                          </a:prstGeom>
                          <a:noFill/>
                        </pic:spPr>
                      </pic:pic>
                    </a:graphicData>
                  </a:graphic>
                </wp:inline>
              </w:drawing>
            </w:r>
          </w:p>
        </w:tc>
      </w:tr>
    </w:tbl>
    <w:p w:rsidR="00D337B9" w:rsidRDefault="009B5B10">
      <w:pPr>
        <w:widowControl w:val="0"/>
        <w:spacing w:after="120" w:line="240" w:lineRule="auto"/>
        <w:jc w:val="both"/>
        <w:outlineLvl w:val="2"/>
        <w:rPr>
          <w:rFonts w:cs="Times New Roman"/>
          <w:b/>
          <w:noProof/>
          <w:color w:val="1F497D" w:themeColor="text2"/>
        </w:rPr>
      </w:pPr>
      <w:r>
        <w:rPr>
          <w:rFonts w:cs="Times New Roman"/>
          <w:b/>
          <w:noProof/>
          <w:color w:val="1F497D" w:themeColor="text2"/>
        </w:rPr>
        <w:t>SMEs and resource efficiency</w:t>
      </w:r>
    </w:p>
    <w:p w:rsidR="00D337B9" w:rsidRDefault="009B5B10">
      <w:pPr>
        <w:widowControl w:val="0"/>
        <w:spacing w:after="120" w:line="240" w:lineRule="auto"/>
        <w:jc w:val="both"/>
        <w:rPr>
          <w:rFonts w:cs="Times New Roman"/>
          <w:i/>
          <w:noProof/>
          <w:color w:val="FF0000"/>
          <w:sz w:val="20"/>
        </w:rPr>
      </w:pPr>
      <w:r>
        <w:rPr>
          <w:rFonts w:cs="Times New Roman"/>
          <w:noProof/>
          <w:sz w:val="20"/>
        </w:rPr>
        <w:t>There is significant room for improvement; especially in crucial areas such as entrepreneurship and</w:t>
      </w:r>
      <w:r>
        <w:rPr>
          <w:rFonts w:cs="Times New Roman"/>
          <w:noProof/>
          <w:sz w:val="20"/>
        </w:rPr>
        <w:t xml:space="preserve"> ‘responsive administration’. Steps to this direction have already been taken under the National Policy Statement on the Enhancement of the Entrepreneurial Ecosystem, approved by the Council of Ministers in December 2015 and currently under implementation.</w:t>
      </w:r>
      <w:r>
        <w:rPr>
          <w:rFonts w:cs="Times New Roman"/>
          <w:noProof/>
          <w:sz w:val="20"/>
        </w:rPr>
        <w:t xml:space="preserve"> Further measures promoting waste management and renewable energy use for SMEs are urgently needed. The Flash 426 Eurobarometer "SMEs, resource efficiency and green markets" defines "green job" as a job that directly deals with information, technologies, o</w:t>
      </w:r>
      <w:r>
        <w:rPr>
          <w:rFonts w:cs="Times New Roman"/>
          <w:noProof/>
          <w:sz w:val="20"/>
        </w:rPr>
        <w:t>r materials that preserves or restores environmental quality. It shows that 35% of the SMEs in Cyprus have one or more full time employee working in a green job at least some of the time.  Cyprus has an average number of 1.4 full time green employees per S</w:t>
      </w:r>
      <w:r>
        <w:rPr>
          <w:rFonts w:cs="Times New Roman"/>
          <w:noProof/>
          <w:sz w:val="20"/>
        </w:rPr>
        <w:t xml:space="preserve">ME. </w:t>
      </w:r>
    </w:p>
    <w:p w:rsidR="00D337B9" w:rsidRDefault="009B5B10">
      <w:pPr>
        <w:widowControl w:val="0"/>
        <w:spacing w:after="120" w:line="240" w:lineRule="auto"/>
        <w:jc w:val="both"/>
        <w:outlineLvl w:val="2"/>
        <w:rPr>
          <w:rFonts w:cs="Times New Roman"/>
          <w:b/>
          <w:noProof/>
          <w:color w:val="1F497D" w:themeColor="text2"/>
        </w:rPr>
      </w:pPr>
      <w:r>
        <w:rPr>
          <w:rFonts w:cs="Times New Roman"/>
          <w:b/>
          <w:noProof/>
          <w:color w:val="1F497D" w:themeColor="text2"/>
        </w:rPr>
        <w:t>Eco-Innovation</w:t>
      </w:r>
    </w:p>
    <w:p w:rsidR="00D337B9" w:rsidRDefault="009B5B10">
      <w:pPr>
        <w:widowControl w:val="0"/>
        <w:spacing w:after="120" w:line="240" w:lineRule="auto"/>
        <w:jc w:val="both"/>
        <w:rPr>
          <w:rFonts w:cs="Times New Roman"/>
          <w:noProof/>
          <w:sz w:val="20"/>
          <w:lang w:val="en-US"/>
        </w:rPr>
      </w:pPr>
      <w:r>
        <w:rPr>
          <w:rFonts w:cs="Times New Roman"/>
          <w:noProof/>
          <w:sz w:val="20"/>
        </w:rPr>
        <w:t>Despite significant improvement, Cyprus continues to perform poorly in eco-innovation. The country scored 60 in 2015 compared to a score of 44 in the 2013 assessment (EU average = 100) as shown in Figure 2. This places the country third</w:t>
      </w:r>
      <w:r>
        <w:rPr>
          <w:rFonts w:cs="Times New Roman"/>
          <w:noProof/>
          <w:sz w:val="20"/>
        </w:rPr>
        <w:t xml:space="preserve"> from the bottom in the EU28 eco-innovation ranking. </w:t>
      </w:r>
      <w:r>
        <w:rPr>
          <w:rFonts w:cs="Times New Roman"/>
          <w:noProof/>
          <w:sz w:val="20"/>
          <w:lang w:val="en-US"/>
        </w:rPr>
        <w:t>Cyprus promotes eco-innovation through measures promoting entrepreneurial innovation in general. The measures promoting innovation are common due to their interrelation, the available synergies and above</w:t>
      </w:r>
      <w:r>
        <w:rPr>
          <w:rFonts w:cs="Times New Roman"/>
          <w:noProof/>
          <w:sz w:val="20"/>
          <w:lang w:val="en-US"/>
        </w:rPr>
        <w:t xml:space="preserve"> all due to Cyprus' small size, which does not allow for the development and running of many specialized support schemes. The entrepreneurial support scheme (developing innovative products and services) has subsidized six eco innovation projects (two on in</w:t>
      </w:r>
      <w:r>
        <w:rPr>
          <w:rFonts w:cs="Times New Roman"/>
          <w:noProof/>
          <w:sz w:val="20"/>
          <w:lang w:val="en-US"/>
        </w:rPr>
        <w:t xml:space="preserve">clusive growth, one on reuse of waste materials and three on reducing waste). </w:t>
      </w:r>
    </w:p>
    <w:p w:rsidR="00D337B9" w:rsidRDefault="009B5B10">
      <w:pPr>
        <w:widowControl w:val="0"/>
        <w:spacing w:after="120" w:line="240" w:lineRule="auto"/>
        <w:jc w:val="both"/>
        <w:rPr>
          <w:rFonts w:cs="Times New Roman"/>
          <w:noProof/>
          <w:sz w:val="20"/>
        </w:rPr>
      </w:pPr>
      <w:r>
        <w:rPr>
          <w:rFonts w:cs="Times New Roman"/>
          <w:noProof/>
          <w:sz w:val="20"/>
        </w:rPr>
        <w:t xml:space="preserve">Eco-innovation in Cyprus is dominated by individual actors – research institutes or enterprises. As such, there are no distinct and fully developed eco-innovation sectors. </w:t>
      </w:r>
    </w:p>
    <w:p w:rsidR="00D337B9" w:rsidRDefault="009B5B10">
      <w:pPr>
        <w:widowControl w:val="0"/>
        <w:spacing w:after="120" w:line="240" w:lineRule="auto"/>
        <w:jc w:val="both"/>
        <w:rPr>
          <w:rFonts w:cs="Times New Roman"/>
          <w:noProof/>
          <w:sz w:val="20"/>
        </w:rPr>
      </w:pPr>
      <w:r>
        <w:rPr>
          <w:rFonts w:cs="Times New Roman"/>
          <w:noProof/>
          <w:sz w:val="20"/>
        </w:rPr>
        <w:t>A number of EU funded research and innovation projects in the field of eco-innovation are currently under implementation. In particular, the LIFE+ instrument supported a total of 11 projects, which cover issues such as waste management, industrial waste, w</w:t>
      </w:r>
      <w:r>
        <w:rPr>
          <w:rFonts w:cs="Times New Roman"/>
          <w:noProof/>
          <w:sz w:val="20"/>
        </w:rPr>
        <w:t xml:space="preserve">ater management at the scale of the river basin, air quality, climate change and industry-production.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337B9" w:rsidRPr="009B5B10">
        <w:tc>
          <w:tcPr>
            <w:tcW w:w="4909" w:type="dxa"/>
          </w:tcPr>
          <w:p w:rsidR="00D337B9" w:rsidRDefault="009B5B10">
            <w:pPr>
              <w:widowControl w:val="0"/>
              <w:spacing w:after="120"/>
              <w:jc w:val="both"/>
              <w:rPr>
                <w:rFonts w:cs="Times New Roman"/>
                <w:noProof/>
                <w:color w:val="1F497D" w:themeColor="text2"/>
                <w:sz w:val="20"/>
                <w:lang w:val="it-IT"/>
              </w:rPr>
            </w:pPr>
            <w:r>
              <w:rPr>
                <w:b/>
                <w:noProof/>
                <w:color w:val="1F497D" w:themeColor="text2"/>
                <w:sz w:val="20"/>
                <w:lang w:val="it-IT"/>
              </w:rPr>
              <w:t>Figure 2: Eco-Innovation Index 2015 (EU=100)</w:t>
            </w:r>
            <w:r>
              <w:rPr>
                <w:b/>
                <w:noProof/>
                <w:color w:val="1F497D" w:themeColor="text2"/>
                <w:sz w:val="20"/>
                <w:vertAlign w:val="superscript"/>
                <w:lang w:val="it-IT"/>
              </w:rPr>
              <w:footnoteReference w:id="8"/>
            </w:r>
          </w:p>
        </w:tc>
      </w:tr>
      <w:tr w:rsidR="00D337B9">
        <w:tc>
          <w:tcPr>
            <w:tcW w:w="4909" w:type="dxa"/>
          </w:tcPr>
          <w:p w:rsidR="00D337B9" w:rsidRDefault="009B5B10">
            <w:pPr>
              <w:widowControl w:val="0"/>
              <w:spacing w:after="120"/>
              <w:jc w:val="both"/>
              <w:rPr>
                <w:rFonts w:cs="Times New Roman"/>
                <w:noProof/>
                <w:sz w:val="20"/>
                <w:lang w:val="it-IT"/>
              </w:rPr>
            </w:pPr>
            <w:r>
              <w:rPr>
                <w:rFonts w:cs="Times New Roman"/>
                <w:noProof/>
                <w:sz w:val="20"/>
                <w:lang w:eastAsia="en-GB"/>
              </w:rPr>
              <w:drawing>
                <wp:inline distT="0" distB="0" distL="0" distR="0" wp14:anchorId="6EE5737E" wp14:editId="738C980A">
                  <wp:extent cx="2966484" cy="404313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0611" cy="4048761"/>
                          </a:xfrm>
                          <a:prstGeom prst="rect">
                            <a:avLst/>
                          </a:prstGeom>
                          <a:noFill/>
                        </pic:spPr>
                      </pic:pic>
                    </a:graphicData>
                  </a:graphic>
                </wp:inline>
              </w:drawing>
            </w:r>
          </w:p>
        </w:tc>
      </w:tr>
    </w:tbl>
    <w:p w:rsidR="00D337B9" w:rsidRDefault="009B5B10">
      <w:pPr>
        <w:widowControl w:val="0"/>
        <w:spacing w:after="120" w:line="240" w:lineRule="auto"/>
        <w:jc w:val="both"/>
        <w:rPr>
          <w:rFonts w:cs="Times New Roman"/>
          <w:noProof/>
          <w:sz w:val="20"/>
        </w:rPr>
      </w:pPr>
      <w:r>
        <w:rPr>
          <w:rFonts w:cs="Times New Roman"/>
          <w:noProof/>
          <w:sz w:val="20"/>
        </w:rPr>
        <w:t>Given the country’s rich natural capital, new developments in renewable energies could promote eco-inno</w:t>
      </w:r>
      <w:r>
        <w:rPr>
          <w:rFonts w:cs="Times New Roman"/>
          <w:noProof/>
          <w:sz w:val="20"/>
        </w:rPr>
        <w:t>vation activities. The agricultural and food industries can also contribute to eco-innovative solutions: waste treatment in olive oil production; compost produced from recycled plants (such as lawn, garden clippings, tree leaves, vine leaves etc.); biologi</w:t>
      </w:r>
      <w:r>
        <w:rPr>
          <w:rFonts w:cs="Times New Roman"/>
          <w:noProof/>
          <w:sz w:val="20"/>
        </w:rPr>
        <w:t>cal waste treatment (that turns biodegradable waste into either high quality compost or Solid Recovered Fuel); advanced glasshouses for producing exotic flowers; organic and energy efficient production of wine and olive oil etc.</w:t>
      </w:r>
    </w:p>
    <w:p w:rsidR="00D337B9" w:rsidRDefault="009B5B10">
      <w:pPr>
        <w:widowControl w:val="0"/>
        <w:spacing w:after="120" w:line="240" w:lineRule="auto"/>
        <w:jc w:val="both"/>
        <w:rPr>
          <w:rFonts w:cs="Times New Roman"/>
          <w:noProof/>
          <w:sz w:val="20"/>
        </w:rPr>
      </w:pPr>
      <w:r>
        <w:rPr>
          <w:rFonts w:cs="Times New Roman"/>
          <w:noProof/>
          <w:sz w:val="20"/>
        </w:rPr>
        <w:t>The present economic climat</w:t>
      </w:r>
      <w:r>
        <w:rPr>
          <w:rFonts w:cs="Times New Roman"/>
          <w:noProof/>
          <w:sz w:val="20"/>
        </w:rPr>
        <w:t>e does not encourage investments in eco-innovation. Public spending for R&amp;D has been put on hold, while traditionally business spending for R&amp;D in Cyprus is anyway low. However, the financial situation is expected to improve following the exit of the count</w:t>
      </w:r>
      <w:r>
        <w:rPr>
          <w:rFonts w:cs="Times New Roman"/>
          <w:noProof/>
          <w:sz w:val="20"/>
        </w:rPr>
        <w:t xml:space="preserve">ry from the austerity plan in March 2016. </w:t>
      </w:r>
    </w:p>
    <w:p w:rsidR="00D337B9" w:rsidRDefault="009B5B10">
      <w:pPr>
        <w:widowControl w:val="0"/>
        <w:spacing w:after="120" w:line="240" w:lineRule="auto"/>
        <w:jc w:val="both"/>
        <w:rPr>
          <w:rFonts w:cs="Times New Roman"/>
          <w:noProof/>
          <w:sz w:val="20"/>
        </w:rPr>
      </w:pPr>
      <w:r>
        <w:rPr>
          <w:rFonts w:cs="Times New Roman"/>
          <w:noProof/>
          <w:sz w:val="20"/>
        </w:rPr>
        <w:t xml:space="preserve">Cyprus has 76 EMAS registered organisations, which represents 1.8% of all registered organisations. Cyprus has increased its number of registrations, particularly during the period between 2009 and 2012 by more than tripling its numbers, while in 2015 the </w:t>
      </w:r>
      <w:r>
        <w:rPr>
          <w:rFonts w:cs="Times New Roman"/>
          <w:noProof/>
          <w:sz w:val="20"/>
        </w:rPr>
        <w:t xml:space="preserve">Department of Environment was also included in the EMAS register following the verification of its environmental management system. </w:t>
      </w:r>
    </w:p>
    <w:p w:rsidR="00D337B9" w:rsidRDefault="009B5B10">
      <w:pPr>
        <w:widowControl w:val="0"/>
        <w:spacing w:after="120" w:line="240" w:lineRule="auto"/>
        <w:jc w:val="both"/>
        <w:rPr>
          <w:rFonts w:cstheme="minorHAnsi"/>
          <w:noProof/>
          <w:color w:val="1F497D" w:themeColor="text2"/>
          <w:szCs w:val="26"/>
        </w:rPr>
      </w:pPr>
      <w:bookmarkStart w:id="11" w:name="_Toc454460675"/>
      <w:bookmarkStart w:id="12" w:name="_Toc469407223"/>
      <w:r>
        <w:rPr>
          <w:rFonts w:cstheme="minorHAnsi"/>
          <w:noProof/>
          <w:color w:val="1F497D" w:themeColor="text2"/>
          <w:szCs w:val="26"/>
        </w:rPr>
        <w:t>Suggested action</w:t>
      </w:r>
    </w:p>
    <w:p w:rsidR="00D337B9" w:rsidRDefault="009B5B10">
      <w:pPr>
        <w:pStyle w:val="ListParagraph"/>
        <w:widowControl w:val="0"/>
        <w:numPr>
          <w:ilvl w:val="0"/>
          <w:numId w:val="32"/>
        </w:numPr>
        <w:ind w:left="142" w:hanging="142"/>
        <w:rPr>
          <w:noProof/>
          <w:lang w:eastAsia="ja-JP"/>
        </w:rPr>
      </w:pPr>
      <w:r>
        <w:rPr>
          <w:noProof/>
        </w:rPr>
        <w:t>Enhance investments in eco-innovation, aligning promoted activities to the country's environmental needs (</w:t>
      </w:r>
      <w:r>
        <w:rPr>
          <w:noProof/>
        </w:rPr>
        <w:t>e.g. water scarcity, improving recycling) and to its natural capital (e.g. potential for development of renewable energy).</w:t>
      </w:r>
    </w:p>
    <w:p w:rsidR="00D337B9" w:rsidRDefault="009B5B10">
      <w:pPr>
        <w:widowControl w:val="0"/>
        <w:spacing w:before="360" w:after="120" w:line="240" w:lineRule="auto"/>
        <w:outlineLvl w:val="1"/>
        <w:rPr>
          <w:rFonts w:cs="Times New Roman"/>
          <w:b/>
          <w:noProof/>
          <w:color w:val="1F497D" w:themeColor="text2"/>
          <w:sz w:val="24"/>
          <w:lang w:eastAsia="en-GB"/>
        </w:rPr>
      </w:pPr>
      <w:r>
        <w:rPr>
          <w:rFonts w:cs="Times New Roman"/>
          <w:b/>
          <w:noProof/>
          <w:color w:val="1F497D" w:themeColor="text2"/>
          <w:sz w:val="24"/>
          <w:lang w:eastAsia="en-GB"/>
        </w:rPr>
        <w:t>Waste management</w:t>
      </w:r>
      <w:bookmarkEnd w:id="11"/>
      <w:bookmarkEnd w:id="12"/>
      <w:r>
        <w:rPr>
          <w:rFonts w:cs="Times New Roman"/>
          <w:b/>
          <w:noProof/>
          <w:color w:val="1F497D" w:themeColor="text2"/>
          <w:sz w:val="24"/>
          <w:lang w:eastAsia="en-GB"/>
        </w:rPr>
        <w:t xml:space="preserve"> </w:t>
      </w:r>
    </w:p>
    <w:p w:rsidR="00D337B9" w:rsidRDefault="009B5B10">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D337B9" w:rsidRDefault="009B5B10">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implementation of Union waste legislation, which includes the waste </w:t>
      </w:r>
      <w:r>
        <w:rPr>
          <w:noProof/>
          <w:color w:val="FFFFFF" w:themeColor="background1"/>
          <w:sz w:val="20"/>
        </w:rPr>
        <w:t>hierarchy; the need to ensure separate collection of waste; the landfill diversion targets etc.</w:t>
      </w:r>
    </w:p>
    <w:p w:rsidR="00D337B9" w:rsidRDefault="009B5B10">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D337B9" w:rsidRDefault="009B5B10">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 out landfilling of</w:t>
      </w:r>
      <w:r>
        <w:rPr>
          <w:noProof/>
          <w:color w:val="FFFFFF" w:themeColor="background1"/>
          <w:sz w:val="20"/>
        </w:rPr>
        <w:t xml:space="preserve"> recyclable or recoverable waste.</w:t>
      </w:r>
    </w:p>
    <w:p w:rsidR="00D337B9" w:rsidRDefault="009B5B10">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SDG 12 invites countries to substantially reduce waste generation through prevention, reduction, recycling and reuse, by 2030.SDG 12 invites countries to substantially reduce waste generation through prevention, reduction,</w:t>
      </w:r>
      <w:r>
        <w:rPr>
          <w:noProof/>
          <w:color w:val="FFFFFF" w:themeColor="background1"/>
          <w:sz w:val="20"/>
        </w:rPr>
        <w:t xml:space="preserve"> recycling and reuse, by 2030.</w:t>
      </w:r>
    </w:p>
    <w:p w:rsidR="00D337B9" w:rsidRDefault="009B5B10">
      <w:pPr>
        <w:widowControl w:val="0"/>
        <w:spacing w:before="240" w:after="120" w:line="240" w:lineRule="auto"/>
        <w:jc w:val="both"/>
        <w:rPr>
          <w:rFonts w:cs="Times New Roman"/>
          <w:noProof/>
          <w:sz w:val="20"/>
        </w:rPr>
      </w:pPr>
      <w:r>
        <w:rPr>
          <w:rFonts w:cs="Times New Roman"/>
          <w:noProof/>
          <w:sz w:val="20"/>
        </w:rPr>
        <w:t xml:space="preserve">The EU's approach to waste management is based on the "waste hierarchy" which sets out an order of priority when shaping waste policy and managing waste at the operational level: prevention, (preparing for) reuse, recycling, </w:t>
      </w:r>
      <w:r>
        <w:rPr>
          <w:rFonts w:cs="Times New Roman"/>
          <w:noProof/>
          <w:sz w:val="20"/>
        </w:rPr>
        <w:t>recovery and, as the least preferred option, disposal (which includes landfilling and incineration without energy recovery). The progress towards reaching recycling targets and the adoption of adequate WMP/WPP</w:t>
      </w:r>
      <w:r>
        <w:rPr>
          <w:rFonts w:cs="Times New Roman"/>
          <w:noProof/>
          <w:sz w:val="20"/>
          <w:vertAlign w:val="superscript"/>
        </w:rPr>
        <w:footnoteReference w:id="9"/>
      </w:r>
      <w:r>
        <w:rPr>
          <w:rFonts w:cs="Times New Roman"/>
          <w:noProof/>
          <w:sz w:val="20"/>
        </w:rPr>
        <w:t xml:space="preserve"> should be the key items to measure the perfor</w:t>
      </w:r>
      <w:r>
        <w:rPr>
          <w:rFonts w:cs="Times New Roman"/>
          <w:noProof/>
          <w:sz w:val="20"/>
        </w:rPr>
        <w:t>mance of Member States. This section focuses on management of municipal waste</w:t>
      </w:r>
      <w:r>
        <w:rPr>
          <w:rFonts w:cs="Times New Roman"/>
          <w:noProof/>
          <w:sz w:val="20"/>
          <w:vertAlign w:val="superscript"/>
        </w:rPr>
        <w:footnoteReference w:id="10"/>
      </w:r>
      <w:r>
        <w:rPr>
          <w:rFonts w:cs="Times New Roman"/>
          <w:noProof/>
          <w:sz w:val="20"/>
        </w:rPr>
        <w:t>, for which EU law sets mandatory recycling targets.</w:t>
      </w:r>
    </w:p>
    <w:p w:rsidR="00D337B9" w:rsidRDefault="009B5B10">
      <w:pPr>
        <w:widowControl w:val="0"/>
        <w:spacing w:after="120" w:line="240" w:lineRule="auto"/>
        <w:jc w:val="both"/>
        <w:rPr>
          <w:rFonts w:cs="Times New Roman"/>
          <w:noProof/>
          <w:sz w:val="20"/>
        </w:rPr>
      </w:pPr>
      <w:r>
        <w:rPr>
          <w:rFonts w:cs="Times New Roman"/>
          <w:noProof/>
          <w:sz w:val="20"/>
        </w:rPr>
        <w:t>In Cyprus, although municipal waste generation has decreased over the years, it still remains significantly higher than the E</w:t>
      </w:r>
      <w:r>
        <w:rPr>
          <w:rFonts w:cs="Times New Roman"/>
          <w:noProof/>
          <w:sz w:val="20"/>
        </w:rPr>
        <w:t>U average (617 kg/y/inhabitant compared to around 475 kg on average in 2014) as shown in Figure 3.</w:t>
      </w:r>
    </w:p>
    <w:p w:rsidR="00D337B9" w:rsidRDefault="009B5B10">
      <w:pPr>
        <w:widowControl w:val="0"/>
        <w:spacing w:before="120" w:after="120" w:line="240" w:lineRule="auto"/>
        <w:jc w:val="both"/>
        <w:rPr>
          <w:rFonts w:eastAsia="Calibri" w:cs="Times New Roman"/>
          <w:noProof/>
          <w:sz w:val="20"/>
        </w:rPr>
      </w:pPr>
      <w:r>
        <w:rPr>
          <w:rFonts w:eastAsia="Calibri" w:cs="Times New Roman"/>
          <w:noProof/>
          <w:sz w:val="20"/>
        </w:rPr>
        <w:t>Figure 3 depicts the municipal waste treatment in Cyprus in terms of kg per capita, which shows a decrease in landfilling and an increase of recycling and co</w:t>
      </w:r>
      <w:r>
        <w:rPr>
          <w:rFonts w:eastAsia="Calibri" w:cs="Times New Roman"/>
          <w:noProof/>
          <w:sz w:val="20"/>
        </w:rPr>
        <w:t xml:space="preserve">mposting.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337B9">
        <w:tc>
          <w:tcPr>
            <w:tcW w:w="4909" w:type="dxa"/>
          </w:tcPr>
          <w:p w:rsidR="00D337B9" w:rsidRDefault="009B5B10">
            <w:pPr>
              <w:widowControl w:val="0"/>
              <w:spacing w:after="120"/>
              <w:jc w:val="both"/>
              <w:rPr>
                <w:rFonts w:cs="Times New Roman"/>
                <w:noProof/>
                <w:color w:val="1F497D" w:themeColor="text2"/>
                <w:sz w:val="20"/>
              </w:rPr>
            </w:pPr>
            <w:r>
              <w:rPr>
                <w:rFonts w:cs="Times New Roman"/>
                <w:b/>
                <w:bCs/>
                <w:noProof/>
                <w:color w:val="1F497D" w:themeColor="text2"/>
                <w:sz w:val="20"/>
              </w:rPr>
              <w:t>Figure 3: Municipal waste by treatment in Cyprus 2007-14</w:t>
            </w:r>
            <w:r>
              <w:rPr>
                <w:b/>
                <w:bCs/>
                <w:noProof/>
                <w:color w:val="1F497D" w:themeColor="text2"/>
                <w:sz w:val="20"/>
                <w:vertAlign w:val="superscript"/>
              </w:rPr>
              <w:footnoteReference w:id="11"/>
            </w:r>
          </w:p>
        </w:tc>
      </w:tr>
      <w:tr w:rsidR="00D337B9">
        <w:tc>
          <w:tcPr>
            <w:tcW w:w="4909" w:type="dxa"/>
          </w:tcPr>
          <w:p w:rsidR="00D337B9" w:rsidRDefault="009B5B10">
            <w:pPr>
              <w:widowControl w:val="0"/>
              <w:spacing w:after="120"/>
              <w:jc w:val="both"/>
              <w:rPr>
                <w:rFonts w:cs="Times New Roman"/>
                <w:noProof/>
                <w:sz w:val="20"/>
              </w:rPr>
            </w:pPr>
            <w:r>
              <w:rPr>
                <w:rFonts w:cs="Times New Roman"/>
                <w:noProof/>
                <w:sz w:val="20"/>
                <w:lang w:eastAsia="en-GB"/>
              </w:rPr>
              <w:drawing>
                <wp:inline distT="0" distB="0" distL="0" distR="0" wp14:anchorId="73B1ADCB" wp14:editId="02652FD3">
                  <wp:extent cx="3026669" cy="2721935"/>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28686" cy="2723749"/>
                          </a:xfrm>
                          <a:prstGeom prst="rect">
                            <a:avLst/>
                          </a:prstGeom>
                        </pic:spPr>
                      </pic:pic>
                    </a:graphicData>
                  </a:graphic>
                </wp:inline>
              </w:drawing>
            </w:r>
          </w:p>
        </w:tc>
      </w:tr>
    </w:tbl>
    <w:p w:rsidR="00D337B9" w:rsidRDefault="00D337B9">
      <w:pPr>
        <w:widowControl w:val="0"/>
        <w:spacing w:after="120" w:line="240" w:lineRule="auto"/>
        <w:jc w:val="both"/>
        <w:rPr>
          <w:rFonts w:cs="Times New Roman"/>
          <w:noProof/>
          <w:sz w:val="20"/>
        </w:rPr>
      </w:pPr>
    </w:p>
    <w:p w:rsidR="00D337B9" w:rsidRDefault="009B5B10">
      <w:pPr>
        <w:widowControl w:val="0"/>
        <w:spacing w:after="120" w:line="240" w:lineRule="auto"/>
        <w:jc w:val="both"/>
        <w:rPr>
          <w:rFonts w:cs="Times New Roman"/>
          <w:noProof/>
          <w:sz w:val="20"/>
        </w:rPr>
      </w:pPr>
      <w:r>
        <w:rPr>
          <w:rFonts w:cs="Times New Roman"/>
          <w:noProof/>
          <w:sz w:val="20"/>
        </w:rPr>
        <w:t xml:space="preserve">Cyprus landfills the majority of its municipal waste (80%, compared to the EU-average of 28%). Recycling accounts for 19%, including 4% of composting, which is significantly below the EU average (44%). </w:t>
      </w:r>
    </w:p>
    <w:p w:rsidR="00D337B9" w:rsidRDefault="009B5B10">
      <w:pPr>
        <w:widowControl w:val="0"/>
        <w:spacing w:after="120" w:line="240" w:lineRule="auto"/>
        <w:jc w:val="both"/>
        <w:rPr>
          <w:rFonts w:cs="Times New Roman"/>
          <w:noProof/>
          <w:sz w:val="20"/>
        </w:rPr>
      </w:pPr>
      <w:r>
        <w:rPr>
          <w:rFonts w:cs="Times New Roman"/>
          <w:noProof/>
          <w:sz w:val="20"/>
        </w:rPr>
        <w:t>Figure 4 shows that Cyprus must strongly invest in re</w:t>
      </w:r>
      <w:r>
        <w:rPr>
          <w:rFonts w:cs="Times New Roman"/>
          <w:noProof/>
          <w:sz w:val="20"/>
        </w:rPr>
        <w:t>cycling in the coming years in order to reach the 2020 recycling target</w:t>
      </w:r>
      <w:r>
        <w:rPr>
          <w:rFonts w:cs="Times New Roman"/>
          <w:noProof/>
          <w:sz w:val="20"/>
          <w:vertAlign w:val="superscript"/>
        </w:rPr>
        <w:footnoteReference w:id="12"/>
      </w:r>
      <w:r>
        <w:rPr>
          <w:rFonts w:cs="Times New Roman"/>
          <w:noProof/>
          <w:sz w:val="20"/>
        </w:rPr>
        <w:t>.</w:t>
      </w:r>
    </w:p>
    <w:p w:rsidR="00D337B9" w:rsidRDefault="00D337B9">
      <w:pPr>
        <w:widowControl w:val="0"/>
        <w:spacing w:after="120" w:line="240" w:lineRule="auto"/>
        <w:jc w:val="both"/>
        <w:rPr>
          <w:rFonts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337B9">
        <w:tc>
          <w:tcPr>
            <w:tcW w:w="4909" w:type="dxa"/>
          </w:tcPr>
          <w:p w:rsidR="00D337B9" w:rsidRDefault="00D337B9">
            <w:pPr>
              <w:widowControl w:val="0"/>
              <w:spacing w:after="120"/>
              <w:jc w:val="both"/>
              <w:rPr>
                <w:rFonts w:cs="Times New Roman"/>
                <w:b/>
                <w:bCs/>
                <w:noProof/>
                <w:color w:val="1F497D" w:themeColor="text2"/>
                <w:sz w:val="20"/>
              </w:rPr>
            </w:pPr>
          </w:p>
          <w:p w:rsidR="00D337B9" w:rsidRDefault="00D337B9">
            <w:pPr>
              <w:widowControl w:val="0"/>
              <w:spacing w:after="120"/>
              <w:jc w:val="both"/>
              <w:rPr>
                <w:rFonts w:cs="Times New Roman"/>
                <w:b/>
                <w:bCs/>
                <w:noProof/>
                <w:color w:val="1F497D" w:themeColor="text2"/>
                <w:sz w:val="20"/>
              </w:rPr>
            </w:pPr>
          </w:p>
          <w:p w:rsidR="00D337B9" w:rsidRDefault="00D337B9">
            <w:pPr>
              <w:widowControl w:val="0"/>
              <w:spacing w:after="120"/>
              <w:jc w:val="both"/>
              <w:rPr>
                <w:rFonts w:cs="Times New Roman"/>
                <w:b/>
                <w:bCs/>
                <w:noProof/>
                <w:color w:val="1F497D" w:themeColor="text2"/>
                <w:sz w:val="20"/>
              </w:rPr>
            </w:pPr>
          </w:p>
          <w:p w:rsidR="00D337B9" w:rsidRDefault="00D337B9">
            <w:pPr>
              <w:widowControl w:val="0"/>
              <w:spacing w:after="120"/>
              <w:jc w:val="both"/>
              <w:rPr>
                <w:rFonts w:cs="Times New Roman"/>
                <w:b/>
                <w:bCs/>
                <w:noProof/>
                <w:color w:val="1F497D" w:themeColor="text2"/>
                <w:sz w:val="20"/>
              </w:rPr>
            </w:pPr>
          </w:p>
          <w:p w:rsidR="00D337B9" w:rsidRDefault="009B5B10">
            <w:pPr>
              <w:widowControl w:val="0"/>
              <w:spacing w:after="120"/>
              <w:jc w:val="both"/>
              <w:rPr>
                <w:rFonts w:cs="Times New Roman"/>
                <w:noProof/>
                <w:color w:val="1F497D" w:themeColor="text2"/>
                <w:sz w:val="20"/>
              </w:rPr>
            </w:pPr>
            <w:r>
              <w:rPr>
                <w:rFonts w:cs="Times New Roman"/>
                <w:b/>
                <w:bCs/>
                <w:noProof/>
                <w:color w:val="1F497D" w:themeColor="text2"/>
                <w:sz w:val="20"/>
              </w:rPr>
              <w:t>Figure 4: Recycling rate of municipal waste 2007-14</w:t>
            </w:r>
            <w:r>
              <w:rPr>
                <w:b/>
                <w:bCs/>
                <w:noProof/>
                <w:color w:val="1F497D" w:themeColor="text2"/>
                <w:sz w:val="20"/>
                <w:vertAlign w:val="superscript"/>
              </w:rPr>
              <w:footnoteReference w:id="13"/>
            </w:r>
          </w:p>
        </w:tc>
      </w:tr>
      <w:tr w:rsidR="00D337B9">
        <w:tc>
          <w:tcPr>
            <w:tcW w:w="4909" w:type="dxa"/>
          </w:tcPr>
          <w:p w:rsidR="00D337B9" w:rsidRDefault="009B5B10">
            <w:pPr>
              <w:widowControl w:val="0"/>
              <w:spacing w:after="120"/>
              <w:jc w:val="both"/>
              <w:rPr>
                <w:rFonts w:cs="Times New Roman"/>
                <w:noProof/>
                <w:sz w:val="20"/>
              </w:rPr>
            </w:pPr>
            <w:r>
              <w:rPr>
                <w:rFonts w:cs="Times New Roman"/>
                <w:noProof/>
                <w:sz w:val="20"/>
                <w:lang w:eastAsia="en-GB"/>
              </w:rPr>
              <w:drawing>
                <wp:inline distT="0" distB="0" distL="0" distR="0" wp14:anchorId="7EE8547E" wp14:editId="31FE5160">
                  <wp:extent cx="2935644" cy="26328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4895" cy="2668043"/>
                          </a:xfrm>
                          <a:prstGeom prst="rect">
                            <a:avLst/>
                          </a:prstGeom>
                          <a:noFill/>
                        </pic:spPr>
                      </pic:pic>
                    </a:graphicData>
                  </a:graphic>
                </wp:inline>
              </w:drawing>
            </w:r>
          </w:p>
        </w:tc>
      </w:tr>
    </w:tbl>
    <w:p w:rsidR="00D337B9" w:rsidRDefault="009B5B10">
      <w:pPr>
        <w:widowControl w:val="0"/>
        <w:spacing w:after="120" w:line="240" w:lineRule="auto"/>
        <w:jc w:val="both"/>
        <w:rPr>
          <w:rFonts w:cs="Times New Roman"/>
          <w:noProof/>
          <w:sz w:val="20"/>
        </w:rPr>
      </w:pPr>
      <w:r>
        <w:rPr>
          <w:rFonts w:cs="Times New Roman"/>
          <w:noProof/>
          <w:sz w:val="20"/>
        </w:rPr>
        <w:t xml:space="preserve">There is scope to step up efforts to develop separate collection at source, combined with the required facilities to </w:t>
      </w:r>
      <w:r>
        <w:rPr>
          <w:rFonts w:cs="Times New Roman"/>
          <w:noProof/>
          <w:sz w:val="20"/>
        </w:rPr>
        <w:t>ensure a high level of recycling/composting. A reduction of landfilling can be observed; however, this is happening at a very slow pace. Two illegal landfills remain operational in the territory. The 2010 target for the diversion of biodegradable municipal</w:t>
      </w:r>
      <w:r>
        <w:rPr>
          <w:rFonts w:cs="Times New Roman"/>
          <w:noProof/>
          <w:sz w:val="20"/>
        </w:rPr>
        <w:t xml:space="preserve"> waste from landfills was not met and the minimum quantity allowed to be disposed was exceeded by 64%. In light of the on-going review of the landfill restrictions for municipal waste, additional significant efforts will have to be undertaken in order to l</w:t>
      </w:r>
      <w:r>
        <w:rPr>
          <w:rFonts w:cs="Times New Roman"/>
          <w:noProof/>
          <w:sz w:val="20"/>
        </w:rPr>
        <w:t>imit landfilling only to residual waste by 2030 (max. 10%)</w:t>
      </w:r>
      <w:r>
        <w:rPr>
          <w:rFonts w:cs="Times New Roman"/>
          <w:noProof/>
          <w:sz w:val="20"/>
          <w:vertAlign w:val="superscript"/>
        </w:rPr>
        <w:footnoteReference w:id="14"/>
      </w:r>
      <w:r>
        <w:rPr>
          <w:rFonts w:cs="Times New Roman"/>
          <w:noProof/>
          <w:sz w:val="20"/>
        </w:rPr>
        <w:t>.</w:t>
      </w:r>
    </w:p>
    <w:p w:rsidR="00D337B9" w:rsidRDefault="009B5B10">
      <w:pPr>
        <w:widowControl w:val="0"/>
        <w:spacing w:after="120" w:line="240" w:lineRule="auto"/>
        <w:jc w:val="both"/>
        <w:rPr>
          <w:rFonts w:cs="Times New Roman"/>
          <w:noProof/>
          <w:sz w:val="20"/>
        </w:rPr>
      </w:pPr>
      <w:r>
        <w:rPr>
          <w:rFonts w:cs="Times New Roman"/>
          <w:noProof/>
          <w:sz w:val="20"/>
        </w:rPr>
        <w:t>There are no landfill taxes in place in Cyprus. Limited producer responsibility (EPR) (few waste streams covered) or equivalent systems are in place and those are not able to cover the full costs</w:t>
      </w:r>
      <w:r>
        <w:rPr>
          <w:rFonts w:cs="Times New Roman"/>
          <w:noProof/>
          <w:sz w:val="20"/>
        </w:rPr>
        <w:t xml:space="preserve"> of separate collection and recycling of the main waste streams. There are no incentive systems to favour prevention and participation in separate collection and very limited incentives have been provided so far for local authorities to develop separate co</w:t>
      </w:r>
      <w:r>
        <w:rPr>
          <w:rFonts w:cs="Times New Roman"/>
          <w:noProof/>
          <w:sz w:val="20"/>
        </w:rPr>
        <w:t>llection systems. The use of EU funds could be more focused on activities higher up the waste hierarchy and avoid creating installations with more capacity than necessary for the treatment of residual waste. As soon as separate collections are in place, Pa</w:t>
      </w:r>
      <w:r>
        <w:rPr>
          <w:rFonts w:cs="Times New Roman"/>
          <w:noProof/>
          <w:sz w:val="20"/>
        </w:rPr>
        <w:t>y-As-You-Throw (PAYT) schemes could be encouraged and generalised at local level. One PAYT pilot currently runs in one of the municipalities and has so far had encouraging results.</w:t>
      </w:r>
    </w:p>
    <w:p w:rsidR="00D337B9" w:rsidRDefault="009B5B10">
      <w:pPr>
        <w:widowControl w:val="0"/>
        <w:spacing w:after="120" w:line="240" w:lineRule="auto"/>
        <w:jc w:val="both"/>
        <w:rPr>
          <w:rFonts w:cs="Times New Roman"/>
          <w:noProof/>
          <w:sz w:val="20"/>
        </w:rPr>
      </w:pPr>
      <w:r>
        <w:rPr>
          <w:rFonts w:cs="Times New Roman"/>
          <w:noProof/>
          <w:sz w:val="20"/>
        </w:rPr>
        <w:t>Cyprus has been taking steps in the right direction in 2015, by improving s</w:t>
      </w:r>
      <w:r>
        <w:rPr>
          <w:rFonts w:cs="Times New Roman"/>
          <w:noProof/>
          <w:sz w:val="20"/>
        </w:rPr>
        <w:t>eparate collection and recycling rates. However, managing waste efficiently and fulfilling the obligations from the EU Directives on waste remains a challenge. The updated national Waste Management Plan (for municipal waste only) and the Waste Prevention P</w:t>
      </w:r>
      <w:r>
        <w:rPr>
          <w:rFonts w:cs="Times New Roman"/>
          <w:noProof/>
          <w:sz w:val="20"/>
        </w:rPr>
        <w:t>rogramme were approved by the Council of Ministers in November 2015 - their absence had resulted in the self-suspension of EU funds for the 2014-2020 programming period. However, other waste streams are still not covered by a national Waste Management Plan</w:t>
      </w:r>
      <w:r>
        <w:rPr>
          <w:rFonts w:cs="Times New Roman"/>
          <w:noProof/>
          <w:sz w:val="20"/>
        </w:rPr>
        <w:t xml:space="preserve"> and this is expected to happen by the end of 2016.</w:t>
      </w:r>
    </w:p>
    <w:p w:rsidR="00D337B9" w:rsidRDefault="009B5B10">
      <w:pPr>
        <w:widowControl w:val="0"/>
        <w:spacing w:after="120" w:line="240" w:lineRule="auto"/>
        <w:jc w:val="both"/>
        <w:rPr>
          <w:rFonts w:cs="Times New Roman"/>
          <w:noProof/>
          <w:sz w:val="20"/>
        </w:rPr>
      </w:pPr>
      <w:r>
        <w:rPr>
          <w:rFonts w:eastAsia="Calibri" w:cs="Times New Roman"/>
          <w:noProof/>
          <w:sz w:val="20"/>
        </w:rPr>
        <w:t>In order to help bridge the implementation gap in Cyprus, the Commission has delivered a roadmap for compliance</w:t>
      </w:r>
      <w:r>
        <w:rPr>
          <w:rFonts w:eastAsia="Calibri" w:cs="Times New Roman"/>
          <w:noProof/>
          <w:sz w:val="20"/>
          <w:vertAlign w:val="superscript"/>
        </w:rPr>
        <w:footnoteReference w:id="15"/>
      </w:r>
      <w:r>
        <w:rPr>
          <w:rFonts w:eastAsia="Calibri" w:cs="Times New Roman"/>
          <w:noProof/>
          <w:sz w:val="20"/>
        </w:rPr>
        <w:t>.</w:t>
      </w:r>
    </w:p>
    <w:p w:rsidR="00D337B9" w:rsidRDefault="009B5B10">
      <w:pPr>
        <w:widowControl w:val="0"/>
        <w:spacing w:after="120" w:line="240" w:lineRule="auto"/>
        <w:jc w:val="both"/>
        <w:rPr>
          <w:rFonts w:eastAsia="Calibri" w:cs="Times New Roman"/>
          <w:noProof/>
          <w:sz w:val="20"/>
        </w:rPr>
      </w:pPr>
      <w:r>
        <w:rPr>
          <w:rFonts w:cs="Times New Roman"/>
          <w:noProof/>
          <w:sz w:val="20"/>
        </w:rPr>
        <w:t>Preventing and reducing waste generation together with the necessary increase in reuse and</w:t>
      </w:r>
      <w:r>
        <w:rPr>
          <w:rFonts w:cs="Times New Roman"/>
          <w:noProof/>
          <w:sz w:val="20"/>
        </w:rPr>
        <w:t xml:space="preserve"> recycling could improve the resource efficiency of the Cypriot economy, increase business opportunities and provide jobs in the recycling sector. Full implementation of the existing legislation could create more than 2.000 jobs in Cyprus and increase the </w:t>
      </w:r>
      <w:r>
        <w:rPr>
          <w:rFonts w:cs="Times New Roman"/>
          <w:noProof/>
          <w:sz w:val="20"/>
        </w:rPr>
        <w:t>annual turnover of the waste sector by over EUR 200 million. Moving towards the targets of the Roadmap on Resource Efficiency which outlines how we can transform Europe's economy into a sustainable one by 2050, could create over 2.400 additional jobs and i</w:t>
      </w:r>
      <w:r>
        <w:rPr>
          <w:rFonts w:cs="Times New Roman"/>
          <w:noProof/>
          <w:sz w:val="20"/>
        </w:rPr>
        <w:t>ncrease the annual turnover of the waste sector by over EUR 250 million.</w:t>
      </w:r>
      <w:r>
        <w:rPr>
          <w:rFonts w:eastAsia="Calibri" w:cs="Times New Roman"/>
          <w:noProof/>
          <w:sz w:val="20"/>
          <w:vertAlign w:val="superscript"/>
        </w:rPr>
        <w:t xml:space="preserve"> </w:t>
      </w:r>
      <w:r>
        <w:rPr>
          <w:rFonts w:eastAsia="Calibri" w:cs="Times New Roman"/>
          <w:noProof/>
          <w:sz w:val="20"/>
          <w:vertAlign w:val="superscript"/>
        </w:rPr>
        <w:footnoteReference w:id="16"/>
      </w:r>
    </w:p>
    <w:p w:rsidR="00D337B9" w:rsidRDefault="009B5B10">
      <w:pPr>
        <w:widowControl w:val="0"/>
        <w:spacing w:after="120" w:line="240" w:lineRule="auto"/>
        <w:jc w:val="both"/>
        <w:rPr>
          <w:rFonts w:eastAsia="Calibri" w:cs="Times New Roman"/>
          <w:noProof/>
          <w:sz w:val="20"/>
        </w:rPr>
      </w:pPr>
      <w:r>
        <w:rPr>
          <w:rFonts w:cs="Times New Roman"/>
          <w:noProof/>
          <w:sz w:val="20"/>
          <w:lang w:eastAsia="en-GB"/>
        </w:rPr>
        <w:drawing>
          <wp:inline distT="0" distB="0" distL="0" distR="0" wp14:anchorId="048493FD" wp14:editId="6D2E08A8">
            <wp:extent cx="2980055" cy="2490927"/>
            <wp:effectExtent l="0" t="0" r="0" b="5080"/>
            <wp:docPr id="12" name="Picture 12" descr="P:\ENV-E2\1. ENV IMPLEMENTATION REVIEW\EIR Data management\Pictures\LIFE pictures\Pictures_by_Country1\Cyprus\99TCY_CY_041_b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1\Cyprus\99TCY_CY_041_b1.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0055" cy="2490927"/>
                    </a:xfrm>
                    <a:prstGeom prst="rect">
                      <a:avLst/>
                    </a:prstGeom>
                    <a:noFill/>
                    <a:ln>
                      <a:noFill/>
                    </a:ln>
                  </pic:spPr>
                </pic:pic>
              </a:graphicData>
            </a:graphic>
          </wp:inline>
        </w:drawing>
      </w:r>
    </w:p>
    <w:p w:rsidR="00D337B9" w:rsidRDefault="009B5B10">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D337B9" w:rsidRDefault="009B5B10">
      <w:pPr>
        <w:pStyle w:val="NoSpacing"/>
        <w:rPr>
          <w:noProof/>
        </w:rPr>
      </w:pPr>
      <w:r>
        <w:rPr>
          <w:noProof/>
        </w:rPr>
        <w:t xml:space="preserve">Finalise the work on removing the two remaining illegal landfills. </w:t>
      </w:r>
    </w:p>
    <w:p w:rsidR="00D337B9" w:rsidRDefault="009B5B10">
      <w:pPr>
        <w:pStyle w:val="NoSpacing"/>
        <w:rPr>
          <w:noProof/>
        </w:rPr>
      </w:pPr>
      <w:r>
        <w:rPr>
          <w:noProof/>
        </w:rPr>
        <w:t xml:space="preserve">Introduce and gradually increase landfill taxes to phase-out landfilling of recyclable and </w:t>
      </w:r>
      <w:r>
        <w:rPr>
          <w:noProof/>
        </w:rPr>
        <w:t>recoverable waste. Use the revenues to support the separate collection and alternative infrastructure in conjunction with a better allocation of the cohesion policy funds to the first steps of waste hierarchy. Avoid building excessive infrastructure for th</w:t>
      </w:r>
      <w:r>
        <w:rPr>
          <w:noProof/>
        </w:rPr>
        <w:t>e treatment of residual waste.</w:t>
      </w:r>
    </w:p>
    <w:p w:rsidR="00D337B9" w:rsidRDefault="009B5B10">
      <w:pPr>
        <w:pStyle w:val="NoSpacing"/>
        <w:rPr>
          <w:noProof/>
        </w:rPr>
      </w:pPr>
      <w:r>
        <w:rPr>
          <w:noProof/>
        </w:rPr>
        <w:t>Focus on implementation of the separate collection obligation to increase recycling rates, particularly by making more efficient use of economic instruments (such as PAYT schemes).</w:t>
      </w:r>
    </w:p>
    <w:p w:rsidR="00D337B9" w:rsidRDefault="009B5B10">
      <w:pPr>
        <w:pStyle w:val="NoSpacing"/>
        <w:rPr>
          <w:noProof/>
        </w:rPr>
      </w:pPr>
      <w:r>
        <w:rPr>
          <w:bCs/>
          <w:noProof/>
          <w:szCs w:val="20"/>
        </w:rPr>
        <w:t>Extend and improve the cost-effectiveness, m</w:t>
      </w:r>
      <w:r>
        <w:rPr>
          <w:bCs/>
          <w:noProof/>
          <w:szCs w:val="20"/>
        </w:rPr>
        <w:t>onitoring and transparency of existing EPR schemes.</w:t>
      </w:r>
    </w:p>
    <w:p w:rsidR="00D337B9" w:rsidRDefault="00D337B9">
      <w:pPr>
        <w:widowControl w:val="0"/>
        <w:spacing w:after="120" w:line="240" w:lineRule="auto"/>
        <w:contextualSpacing/>
        <w:jc w:val="both"/>
        <w:rPr>
          <w:rFonts w:cs="Times New Roman"/>
          <w:noProof/>
          <w:sz w:val="20"/>
        </w:rPr>
      </w:pPr>
    </w:p>
    <w:p w:rsidR="00D337B9" w:rsidRDefault="00D337B9">
      <w:pPr>
        <w:keepNext/>
        <w:keepLines/>
        <w:widowControl w:val="0"/>
        <w:spacing w:after="0" w:line="240" w:lineRule="auto"/>
        <w:jc w:val="center"/>
        <w:outlineLvl w:val="0"/>
        <w:rPr>
          <w:rFonts w:cstheme="majorBidi"/>
          <w:b/>
          <w:bCs/>
          <w:noProof/>
          <w:color w:val="1F497D" w:themeColor="text2"/>
          <w:sz w:val="32"/>
          <w:szCs w:val="28"/>
        </w:rPr>
        <w:sectPr w:rsidR="00D337B9">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40" w:right="1080" w:bottom="1440" w:left="1080" w:header="708" w:footer="708" w:gutter="0"/>
          <w:pgNumType w:start="6"/>
          <w:cols w:num="2" w:space="360"/>
          <w:titlePg/>
          <w:docGrid w:linePitch="360"/>
        </w:sectPr>
      </w:pPr>
    </w:p>
    <w:p w:rsidR="00D337B9" w:rsidRDefault="009B5B10">
      <w:pPr>
        <w:keepNext/>
        <w:keepLines/>
        <w:widowControl w:val="0"/>
        <w:numPr>
          <w:ilvl w:val="0"/>
          <w:numId w:val="25"/>
        </w:numPr>
        <w:spacing w:after="0" w:line="240" w:lineRule="auto"/>
        <w:jc w:val="center"/>
        <w:outlineLvl w:val="0"/>
        <w:rPr>
          <w:rFonts w:cstheme="majorBidi"/>
          <w:b/>
          <w:bCs/>
          <w:noProof/>
          <w:color w:val="1F497D" w:themeColor="text2"/>
          <w:sz w:val="32"/>
          <w:szCs w:val="28"/>
        </w:rPr>
      </w:pPr>
      <w:bookmarkStart w:id="13" w:name="_Toc433296159"/>
      <w:bookmarkStart w:id="14" w:name="_Toc469407224"/>
      <w:r>
        <w:rPr>
          <w:rFonts w:cstheme="majorBidi"/>
          <w:b/>
          <w:bCs/>
          <w:noProof/>
          <w:color w:val="1F497D" w:themeColor="text2"/>
          <w:sz w:val="32"/>
          <w:szCs w:val="28"/>
        </w:rPr>
        <w:t>Protecting, conserving and enhancing natural capital</w:t>
      </w:r>
      <w:bookmarkStart w:id="15" w:name="_Toc432413878"/>
      <w:bookmarkEnd w:id="13"/>
      <w:bookmarkEnd w:id="15"/>
      <w:bookmarkEnd w:id="14"/>
    </w:p>
    <w:p w:rsidR="00D337B9" w:rsidRDefault="00D337B9">
      <w:pPr>
        <w:widowControl w:val="0"/>
        <w:spacing w:after="120" w:line="240" w:lineRule="auto"/>
        <w:jc w:val="both"/>
        <w:rPr>
          <w:rFonts w:cs="Times New Roman"/>
          <w:noProof/>
          <w:sz w:val="20"/>
        </w:rPr>
      </w:pPr>
    </w:p>
    <w:p w:rsidR="00D337B9" w:rsidRDefault="00D337B9">
      <w:pPr>
        <w:widowControl w:val="0"/>
        <w:spacing w:after="120" w:line="240" w:lineRule="auto"/>
        <w:jc w:val="both"/>
        <w:rPr>
          <w:rFonts w:cs="Times New Roman"/>
          <w:noProof/>
          <w:sz w:val="20"/>
        </w:rPr>
        <w:sectPr w:rsidR="00D337B9">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40" w:right="1080" w:bottom="1440" w:left="1080" w:header="708" w:footer="708" w:gutter="0"/>
          <w:cols w:space="566"/>
          <w:docGrid w:linePitch="360"/>
        </w:sectPr>
      </w:pPr>
    </w:p>
    <w:p w:rsidR="00D337B9" w:rsidRDefault="009B5B10">
      <w:pPr>
        <w:widowControl w:val="0"/>
        <w:spacing w:after="120" w:line="240" w:lineRule="auto"/>
        <w:outlineLvl w:val="1"/>
        <w:rPr>
          <w:rFonts w:cs="Times New Roman"/>
          <w:b/>
          <w:noProof/>
          <w:color w:val="1F497D" w:themeColor="text2"/>
          <w:sz w:val="24"/>
        </w:rPr>
      </w:pPr>
      <w:bookmarkStart w:id="16" w:name="_Toc433296160"/>
      <w:bookmarkStart w:id="17" w:name="_Toc454813109"/>
      <w:bookmarkStart w:id="18" w:name="_Toc469407225"/>
      <w:r>
        <w:rPr>
          <w:rFonts w:cs="Times New Roman"/>
          <w:b/>
          <w:noProof/>
          <w:color w:val="1F497D" w:themeColor="text2"/>
          <w:sz w:val="24"/>
        </w:rPr>
        <w:t>Nature and Biodiversity</w:t>
      </w:r>
      <w:bookmarkEnd w:id="16"/>
      <w:bookmarkEnd w:id="17"/>
      <w:bookmarkEnd w:id="18"/>
      <w:r>
        <w:rPr>
          <w:rFonts w:cs="Times New Roman"/>
          <w:b/>
          <w:noProof/>
          <w:color w:val="1F497D" w:themeColor="text2"/>
          <w:sz w:val="24"/>
        </w:rPr>
        <w:t xml:space="preserve"> </w:t>
      </w:r>
    </w:p>
    <w:p w:rsidR="00D337B9" w:rsidRDefault="009B5B10">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D337B9" w:rsidRDefault="009B5B10">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w:t>
      </w:r>
      <w:r>
        <w:rPr>
          <w:rFonts w:cs="Times New Roman"/>
          <w:noProof/>
          <w:color w:val="FFFFFF" w:themeColor="background1"/>
          <w:sz w:val="20"/>
        </w:rPr>
        <w:t>strial ecosystems, sustainably manage forests, combat desertification, and halt and reverse land degradation and halt biodiversity loss.</w:t>
      </w:r>
    </w:p>
    <w:p w:rsidR="00D337B9" w:rsidRDefault="009B5B10">
      <w:pPr>
        <w:widowControl w:val="0"/>
        <w:spacing w:after="120" w:line="240" w:lineRule="auto"/>
        <w:jc w:val="both"/>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w:t>
      </w:r>
      <w:r>
        <w:rPr>
          <w:rFonts w:cs="Times New Roman"/>
          <w:iCs/>
          <w:noProof/>
          <w:sz w:val="20"/>
        </w:rPr>
        <w:t>e conservation of the EU's wildlife. Natura 2000,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long-term protection, conservation and survival of Eu</w:t>
      </w:r>
      <w:r>
        <w:rPr>
          <w:rFonts w:cs="Times New Roman"/>
          <w:bCs/>
          <w:noProof/>
          <w:sz w:val="20"/>
          <w:lang w:val="en"/>
        </w:rPr>
        <w:t>rope's most valuable and threatened species and habitats</w:t>
      </w:r>
      <w:r>
        <w:rPr>
          <w:rFonts w:cs="Times New Roman"/>
          <w:bCs/>
          <w:noProof/>
          <w:sz w:val="20"/>
          <w:szCs w:val="20"/>
          <w:lang w:val="en"/>
        </w:rPr>
        <w:t xml:space="preserve"> and the ecosystems they underpin.</w:t>
      </w:r>
    </w:p>
    <w:p w:rsidR="00D337B9" w:rsidRDefault="009B5B10">
      <w:pPr>
        <w:widowControl w:val="0"/>
        <w:spacing w:after="120" w:line="240" w:lineRule="auto"/>
        <w:jc w:val="both"/>
        <w:rPr>
          <w:rFonts w:cs="Times New Roman"/>
          <w:noProof/>
          <w:sz w:val="20"/>
        </w:rPr>
      </w:pPr>
      <w:r>
        <w:rPr>
          <w:rFonts w:cs="Times New Roman"/>
          <w:noProof/>
          <w:sz w:val="20"/>
          <w:lang w:val="en"/>
        </w:rPr>
        <w:t xml:space="preserve">The adequate designation of protected sites as Special Ares of Conservation (SAC) under the Habitats Directive and as Special Protection Areas (SPA) under the Birds </w:t>
      </w:r>
      <w:r>
        <w:rPr>
          <w:rFonts w:cs="Times New Roman"/>
          <w:noProof/>
          <w:sz w:val="20"/>
          <w:lang w:val="en"/>
        </w:rPr>
        <w:t xml:space="preserve">Directive is a key milestone towards meeting the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designation</w:t>
      </w:r>
      <w:r>
        <w:rPr>
          <w:rFonts w:cs="Times New Roman"/>
          <w:noProof/>
          <w:sz w:val="20"/>
          <w:vertAlign w:val="superscript"/>
        </w:rPr>
        <w:footnoteReference w:id="17"/>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D337B9" w:rsidRDefault="009B5B10">
      <w:pPr>
        <w:widowControl w:val="0"/>
        <w:spacing w:after="120" w:line="240" w:lineRule="auto"/>
        <w:jc w:val="both"/>
        <w:rPr>
          <w:rFonts w:cs="Times New Roman"/>
          <w:noProof/>
          <w:sz w:val="20"/>
        </w:rPr>
      </w:pPr>
      <w:r>
        <w:rPr>
          <w:rFonts w:cs="Times New Roman"/>
          <w:noProof/>
          <w:sz w:val="20"/>
        </w:rPr>
        <w:t>An area of 28.8% of the national land of Cyprus (area under government control) is designated as Natura 2000 (EU average 18.1%), where designation under the Bir</w:t>
      </w:r>
      <w:r>
        <w:rPr>
          <w:rFonts w:cs="Times New Roman"/>
          <w:noProof/>
          <w:sz w:val="20"/>
        </w:rPr>
        <w:t xml:space="preserve">ds Directive SPAs covers 26.7% (EU average 12.3%) and designation under the Habitats Directive SCIs covers 13.49% (EU average 13.8%). </w:t>
      </w:r>
      <w:r>
        <w:rPr>
          <w:rFonts w:eastAsia="Calibri" w:cs="Times New Roman"/>
          <w:noProof/>
          <w:sz w:val="20"/>
        </w:rPr>
        <w:t>Cyprus has designated so far 63 Natura 2000 sites, including 40 SCIs and 30 SPAs. There are 7 Natura 2000 sites designated</w:t>
      </w:r>
      <w:r>
        <w:rPr>
          <w:rFonts w:eastAsia="Calibri" w:cs="Times New Roman"/>
          <w:noProof/>
          <w:sz w:val="20"/>
        </w:rPr>
        <w:t xml:space="preserve"> for both Habitats and Birds Directives covering the same area.</w:t>
      </w:r>
    </w:p>
    <w:p w:rsidR="00D337B9" w:rsidRDefault="009B5B10">
      <w:pPr>
        <w:widowControl w:val="0"/>
        <w:spacing w:before="240" w:after="120" w:line="240" w:lineRule="auto"/>
        <w:jc w:val="both"/>
        <w:rPr>
          <w:rFonts w:cs="Times New Roman"/>
          <w:noProof/>
          <w:sz w:val="20"/>
        </w:rPr>
      </w:pPr>
      <w:r>
        <w:rPr>
          <w:rFonts w:cs="Times New Roman"/>
          <w:noProof/>
          <w:sz w:val="20"/>
        </w:rPr>
        <w:t>The terrestrial part of the Natura 2000 network can be considered almost complete</w:t>
      </w:r>
      <w:r>
        <w:rPr>
          <w:rFonts w:eastAsia="Calibri" w:cs="Times New Roman"/>
          <w:noProof/>
          <w:sz w:val="20"/>
          <w:lang w:val="en-US"/>
        </w:rPr>
        <w:t xml:space="preserve">. However, </w:t>
      </w:r>
      <w:r>
        <w:rPr>
          <w:rFonts w:eastAsia="Calibri" w:cs="Times New Roman"/>
          <w:noProof/>
          <w:sz w:val="20"/>
        </w:rPr>
        <w:t xml:space="preserve">despite its large coverage on land, according to the conclusions of the biogeographical seminar for </w:t>
      </w:r>
      <w:r>
        <w:rPr>
          <w:rFonts w:eastAsia="Calibri" w:cs="Times New Roman"/>
          <w:noProof/>
          <w:sz w:val="20"/>
        </w:rPr>
        <w:t>the Mediterranean region the Cypriot Natura 2000 network still presents significant insufficiencies at sea, especially in the offshore marine areas, both for SCIs and SPAs</w:t>
      </w:r>
      <w:r>
        <w:rPr>
          <w:rFonts w:eastAsia="Calibri" w:cs="Times New Roman"/>
          <w:noProof/>
          <w:sz w:val="20"/>
          <w:vertAlign w:val="superscript"/>
        </w:rPr>
        <w:footnoteReference w:id="18"/>
      </w:r>
      <w:r>
        <w:rPr>
          <w:rFonts w:cs="Times New Roman"/>
          <w:noProof/>
          <w:sz w:val="20"/>
        </w:rPr>
        <w:t xml:space="preserve"> (see Figure 5</w:t>
      </w:r>
      <w:r>
        <w:rPr>
          <w:rStyle w:val="FootnoteReference"/>
          <w:rFonts w:cs="Times New Roman"/>
          <w:noProof/>
          <w:sz w:val="20"/>
        </w:rPr>
        <w:footnoteReference w:id="19"/>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337B9">
        <w:tc>
          <w:tcPr>
            <w:tcW w:w="4909" w:type="dxa"/>
          </w:tcPr>
          <w:p w:rsidR="00D337B9" w:rsidRDefault="009B5B10">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5: Sufficiency assessment of SCI networks in Cyprus </w:t>
            </w:r>
            <w:r>
              <w:rPr>
                <w:rFonts w:cs="Times New Roman"/>
                <w:b/>
                <w:noProof/>
                <w:color w:val="1F497D" w:themeColor="text2"/>
                <w:sz w:val="20"/>
              </w:rPr>
              <w:t xml:space="preserve">based </w:t>
            </w:r>
            <w:r>
              <w:rPr>
                <w:rFonts w:cs="Times New Roman"/>
                <w:b/>
                <w:noProof/>
                <w:color w:val="1F497D" w:themeColor="text2"/>
                <w:sz w:val="20"/>
              </w:rPr>
              <w:t xml:space="preserve">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20"/>
            </w:r>
            <w:r>
              <w:rPr>
                <w:rFonts w:cs="Times New Roman"/>
                <w:b/>
                <w:bCs/>
                <w:noProof/>
                <w:color w:val="1F497D" w:themeColor="text2"/>
                <w:sz w:val="20"/>
              </w:rPr>
              <w:t xml:space="preserve"> </w:t>
            </w:r>
          </w:p>
        </w:tc>
      </w:tr>
      <w:tr w:rsidR="00D337B9">
        <w:tc>
          <w:tcPr>
            <w:tcW w:w="4909" w:type="dxa"/>
          </w:tcPr>
          <w:p w:rsidR="00D337B9" w:rsidRDefault="009B5B10">
            <w:pPr>
              <w:widowControl w:val="0"/>
              <w:spacing w:after="120"/>
              <w:jc w:val="both"/>
              <w:rPr>
                <w:rFonts w:cs="Times New Roman"/>
                <w:noProof/>
                <w:sz w:val="20"/>
              </w:rPr>
            </w:pPr>
            <w:r>
              <w:rPr>
                <w:rFonts w:cs="Times New Roman"/>
                <w:noProof/>
                <w:sz w:val="20"/>
                <w:lang w:eastAsia="en-GB"/>
              </w:rPr>
              <w:drawing>
                <wp:anchor distT="0" distB="0" distL="114300" distR="114300" simplePos="0" relativeHeight="251659264" behindDoc="0" locked="0" layoutInCell="1" allowOverlap="1" wp14:anchorId="1A0EF445" wp14:editId="4ABDA972">
                  <wp:simplePos x="3954780" y="3189605"/>
                  <wp:positionH relativeFrom="margin">
                    <wp:align>center</wp:align>
                  </wp:positionH>
                  <wp:positionV relativeFrom="margin">
                    <wp:align>top</wp:align>
                  </wp:positionV>
                  <wp:extent cx="2597150" cy="2699385"/>
                  <wp:effectExtent l="0" t="0" r="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7150" cy="2699385"/>
                          </a:xfrm>
                          <a:prstGeom prst="rect">
                            <a:avLst/>
                          </a:prstGeom>
                          <a:noFill/>
                        </pic:spPr>
                      </pic:pic>
                    </a:graphicData>
                  </a:graphic>
                </wp:anchor>
              </w:drawing>
            </w:r>
          </w:p>
        </w:tc>
      </w:tr>
    </w:tbl>
    <w:p w:rsidR="00D337B9" w:rsidRDefault="009B5B10">
      <w:pPr>
        <w:widowControl w:val="0"/>
        <w:spacing w:after="120" w:line="240" w:lineRule="auto"/>
        <w:jc w:val="both"/>
        <w:rPr>
          <w:rFonts w:eastAsia="Calibri" w:cs="Times New Roman"/>
          <w:noProof/>
          <w:sz w:val="20"/>
        </w:rPr>
      </w:pPr>
      <w:r>
        <w:rPr>
          <w:rFonts w:eastAsia="Calibri" w:cs="Times New Roman"/>
          <w:noProof/>
          <w:sz w:val="20"/>
        </w:rPr>
        <w:t xml:space="preserve">For 36 SCIs the 6-year deadline laid down by the Habitats Directive for designating these as Special Areas of Conservation (SACs) and establishing appropriate conservation objectives and measures expired in </w:t>
      </w:r>
      <w:r>
        <w:rPr>
          <w:rFonts w:eastAsia="Calibri" w:cs="Times New Roman"/>
          <w:noProof/>
          <w:sz w:val="20"/>
        </w:rPr>
        <w:t>early 2016. However, only 3 SCIs have been designated as SACs so far, based on</w:t>
      </w:r>
      <w:r>
        <w:rPr>
          <w:rFonts w:cs="Times New Roman"/>
          <w:noProof/>
          <w:sz w:val="20"/>
        </w:rPr>
        <w:t xml:space="preserve"> </w:t>
      </w:r>
      <w:r>
        <w:rPr>
          <w:rFonts w:eastAsia="Calibri" w:cs="Times New Roman"/>
          <w:noProof/>
          <w:sz w:val="20"/>
        </w:rPr>
        <w:t xml:space="preserve">the last Art. 17 Habitats Directive report of Cyprus. Information provided by the member state suggest that there are now 40 SCIs and according to the provision of Article 6 of </w:t>
      </w:r>
      <w:r>
        <w:rPr>
          <w:rFonts w:eastAsia="Calibri" w:cs="Times New Roman"/>
          <w:noProof/>
          <w:sz w:val="20"/>
        </w:rPr>
        <w:t xml:space="preserve">the Habitats Directive there are 26 designated SACs so far, and 4 SAC areas for which a Ministerial Decree included the necessary conservation measures. </w:t>
      </w:r>
    </w:p>
    <w:p w:rsidR="00D337B9" w:rsidRDefault="009B5B10">
      <w:pPr>
        <w:widowControl w:val="0"/>
        <w:spacing w:after="120" w:line="240" w:lineRule="auto"/>
        <w:jc w:val="both"/>
        <w:rPr>
          <w:rFonts w:eastAsia="Calibri" w:cs="Times New Roman"/>
          <w:noProof/>
          <w:sz w:val="20"/>
        </w:rPr>
      </w:pPr>
      <w:r>
        <w:rPr>
          <w:rFonts w:eastAsia="Calibri" w:cs="Times New Roman"/>
          <w:noProof/>
          <w:sz w:val="20"/>
        </w:rPr>
        <w:t xml:space="preserve">Management plans have been drawn up for most of the SCI/SAC areas and are underway for the SPAs which </w:t>
      </w:r>
      <w:r>
        <w:rPr>
          <w:rFonts w:eastAsia="Calibri" w:cs="Times New Roman"/>
          <w:noProof/>
          <w:sz w:val="20"/>
        </w:rPr>
        <w:t>are to be finalized by the end of 2016. Consequently Ministerial Decrees have been adopted for enacting management plans including ministerial decrees for 4 SAC areas, as well as a horizontal ministerial decree for all areas thus including measures and act</w:t>
      </w:r>
      <w:r>
        <w:rPr>
          <w:rFonts w:eastAsia="Calibri" w:cs="Times New Roman"/>
          <w:noProof/>
          <w:sz w:val="20"/>
        </w:rPr>
        <w:t>ions regarding the protection of the areas and the integration with the Common Agricultural Policy (Rural Development Plan 2014-2020) as well as integration through measures that have been considered for the 2</w:t>
      </w:r>
      <w:r>
        <w:rPr>
          <w:rFonts w:eastAsia="Calibri" w:cs="Times New Roman"/>
          <w:noProof/>
          <w:sz w:val="20"/>
          <w:vertAlign w:val="superscript"/>
        </w:rPr>
        <w:t>nd</w:t>
      </w:r>
      <w:r>
        <w:rPr>
          <w:rFonts w:eastAsia="Calibri" w:cs="Times New Roman"/>
          <w:noProof/>
          <w:sz w:val="20"/>
        </w:rPr>
        <w:t xml:space="preserve"> River Basin Management Plan (Water Framework</w:t>
      </w:r>
      <w:r>
        <w:rPr>
          <w:rFonts w:eastAsia="Calibri" w:cs="Times New Roman"/>
          <w:noProof/>
          <w:sz w:val="20"/>
        </w:rPr>
        <w:t xml:space="preserve"> Directive). </w:t>
      </w:r>
    </w:p>
    <w:p w:rsidR="00D337B9" w:rsidRDefault="009B5B10">
      <w:pPr>
        <w:widowControl w:val="0"/>
        <w:spacing w:after="120" w:line="240" w:lineRule="auto"/>
        <w:jc w:val="both"/>
        <w:rPr>
          <w:rFonts w:cs="Times New Roman"/>
          <w:noProof/>
          <w:sz w:val="20"/>
        </w:rPr>
      </w:pPr>
      <w:r>
        <w:rPr>
          <w:rFonts w:cs="Times New Roman"/>
          <w:noProof/>
          <w:sz w:val="20"/>
        </w:rPr>
        <w:t>A major challenge to the effective management of the Natura 2000 areas is their protection from incompatible activities or developments that fragment or degrade them, especially within private land. Regarding the development of projects and p</w:t>
      </w:r>
      <w:r>
        <w:rPr>
          <w:rFonts w:cs="Times New Roman"/>
          <w:noProof/>
          <w:sz w:val="20"/>
        </w:rPr>
        <w:t>lans affecting Natura 2000 sites there is a recurrent issue caused by the lack of a sound procedure for applying the Appropriate Assessments under Art. 6 of the Habitats Directive, which is reflected in several complaints and infringement cases (where no o</w:t>
      </w:r>
      <w:r>
        <w:rPr>
          <w:rFonts w:cs="Times New Roman"/>
          <w:noProof/>
          <w:sz w:val="20"/>
        </w:rPr>
        <w:t>r inadequate assessments have been carried out).</w:t>
      </w:r>
    </w:p>
    <w:p w:rsidR="00D337B9" w:rsidRDefault="009B5B10">
      <w:pPr>
        <w:widowControl w:val="0"/>
        <w:spacing w:after="120" w:line="240" w:lineRule="auto"/>
        <w:jc w:val="both"/>
        <w:rPr>
          <w:rFonts w:ascii="Verdana" w:hAnsi="Verdana" w:cs="Times New Roman"/>
          <w:noProof/>
          <w:color w:val="333333"/>
          <w:sz w:val="19"/>
          <w:szCs w:val="19"/>
        </w:rPr>
      </w:pPr>
      <w:r>
        <w:rPr>
          <w:rFonts w:cs="Times New Roman"/>
          <w:noProof/>
          <w:sz w:val="20"/>
        </w:rPr>
        <w:t xml:space="preserve">The sound management of areas is also undermined by the lack of understanding and acceptance of nature sites by several local communities and land-owners. This is important because a significant part of </w:t>
      </w:r>
      <w:r>
        <w:rPr>
          <w:rFonts w:cs="Times New Roman"/>
          <w:noProof/>
          <w:sz w:val="20"/>
        </w:rPr>
        <w:t>designated Natura 2000 areas (mainly agricultural land) in Cyprus is private land.</w:t>
      </w:r>
    </w:p>
    <w:p w:rsidR="00D337B9" w:rsidRDefault="009B5B10">
      <w:pPr>
        <w:widowControl w:val="0"/>
        <w:spacing w:after="120" w:line="240" w:lineRule="auto"/>
        <w:jc w:val="both"/>
        <w:rPr>
          <w:rFonts w:cs="Times New Roman"/>
          <w:noProof/>
          <w:sz w:val="20"/>
          <w:szCs w:val="20"/>
        </w:rPr>
      </w:pPr>
      <w:r>
        <w:rPr>
          <w:rFonts w:cs="Times New Roman"/>
          <w:noProof/>
          <w:sz w:val="20"/>
          <w:szCs w:val="19"/>
        </w:rPr>
        <w:t>Another important challenge for implementing nature legislation is the persisting problem of illegal trapping of wild birds, especially migratory birds, with the use of nets</w:t>
      </w:r>
      <w:r>
        <w:rPr>
          <w:rFonts w:cs="Times New Roman"/>
          <w:noProof/>
          <w:sz w:val="20"/>
          <w:szCs w:val="19"/>
        </w:rPr>
        <w:t>, lime-sticks and sound producing devices. Although progress has been made in comparison to 10 years ago, the trapping numbers still remain at unacceptably high levels at over one million a year. Illegal consumption in restaurants also remains an issue.</w:t>
      </w:r>
      <w:r>
        <w:rPr>
          <w:rFonts w:cs="Times New Roman"/>
          <w:noProof/>
          <w:sz w:val="20"/>
          <w:szCs w:val="20"/>
        </w:rPr>
        <w:t xml:space="preserve"> </w:t>
      </w:r>
    </w:p>
    <w:p w:rsidR="00D337B9" w:rsidRDefault="009B5B10">
      <w:pPr>
        <w:widowControl w:val="0"/>
        <w:spacing w:after="120" w:line="240" w:lineRule="auto"/>
        <w:jc w:val="both"/>
        <w:rPr>
          <w:rFonts w:cs="Times New Roman"/>
          <w:noProof/>
          <w:color w:val="FF0000"/>
          <w:sz w:val="20"/>
        </w:rPr>
      </w:pPr>
      <w:r>
        <w:rPr>
          <w:rFonts w:cs="Times New Roman"/>
          <w:noProof/>
          <w:sz w:val="20"/>
          <w:szCs w:val="20"/>
        </w:rPr>
        <w:t>A</w:t>
      </w:r>
      <w:r>
        <w:rPr>
          <w:rFonts w:cs="Times New Roman"/>
          <w:noProof/>
          <w:sz w:val="20"/>
          <w:szCs w:val="20"/>
        </w:rPr>
        <w:t>ccording to the latest report on the conservation status of habitats and species covered by the Habitats Directive</w:t>
      </w:r>
      <w:r>
        <w:rPr>
          <w:rFonts w:eastAsia="Calibri" w:cs="Times New Roman"/>
          <w:noProof/>
          <w:sz w:val="20"/>
          <w:szCs w:val="20"/>
          <w:vertAlign w:val="superscript"/>
        </w:rPr>
        <w:footnoteReference w:id="21"/>
      </w:r>
      <w:r>
        <w:rPr>
          <w:rFonts w:cs="Times New Roman"/>
          <w:noProof/>
          <w:sz w:val="20"/>
          <w:szCs w:val="20"/>
        </w:rPr>
        <w:t>, 98% of the habitats' biogeographic assessments were favourable in 2013 (EU 27: 16 %). Furthermore, 0% are considered to be unfavourable–ina</w:t>
      </w:r>
      <w:r>
        <w:rPr>
          <w:rFonts w:cs="Times New Roman"/>
          <w:noProof/>
          <w:sz w:val="20"/>
          <w:szCs w:val="20"/>
        </w:rPr>
        <w:t>dequate</w:t>
      </w:r>
      <w:r>
        <w:rPr>
          <w:rFonts w:cs="Times New Roman"/>
          <w:noProof/>
          <w:sz w:val="20"/>
          <w:szCs w:val="20"/>
          <w:vertAlign w:val="superscript"/>
        </w:rPr>
        <w:footnoteReference w:id="22"/>
      </w:r>
      <w:r>
        <w:rPr>
          <w:rFonts w:cs="Times New Roman"/>
          <w:noProof/>
          <w:sz w:val="20"/>
          <w:szCs w:val="20"/>
        </w:rPr>
        <w:t xml:space="preserve"> (EU27: 47%) and 2% are unfavourable – bad (EU27: 30%). As for the species, 69% of the assessments were favourable in 2013 (EU 27: 23%) 13% at unfavourable-inadequate (EU27: 42%) and 2% unfavourable-bad status (EU27: 18%). This is depicted in Figur</w:t>
      </w:r>
      <w:r>
        <w:rPr>
          <w:rFonts w:cs="Times New Roman"/>
          <w:noProof/>
          <w:sz w:val="20"/>
          <w:szCs w:val="20"/>
        </w:rPr>
        <w:t>e 6</w:t>
      </w:r>
      <w:r>
        <w:rPr>
          <w:rFonts w:cs="Times New Roman"/>
          <w:noProof/>
          <w:sz w:val="20"/>
          <w:szCs w:val="20"/>
          <w:vertAlign w:val="superscript"/>
        </w:rPr>
        <w:footnoteReference w:id="23"/>
      </w:r>
      <w:r>
        <w:rPr>
          <w:rFonts w:cs="Times New Roman"/>
          <w:noProof/>
          <w:sz w:val="20"/>
          <w:szCs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D337B9">
        <w:tc>
          <w:tcPr>
            <w:tcW w:w="4806" w:type="dxa"/>
          </w:tcPr>
          <w:p w:rsidR="00D337B9" w:rsidRDefault="009B5B10">
            <w:pPr>
              <w:widowControl w:val="0"/>
              <w:spacing w:after="120"/>
              <w:jc w:val="both"/>
              <w:rPr>
                <w:rFonts w:cs="Times New Roman"/>
                <w:b/>
                <w:bCs/>
                <w:noProof/>
                <w:color w:val="1F497D" w:themeColor="text2"/>
                <w:sz w:val="20"/>
              </w:rPr>
            </w:pPr>
            <w:r>
              <w:rPr>
                <w:rFonts w:cs="Times New Roman"/>
                <w:b/>
                <w:bCs/>
                <w:noProof/>
                <w:color w:val="1F497D" w:themeColor="text2"/>
                <w:sz w:val="20"/>
              </w:rPr>
              <w:t>Figure 6: Conservation status of habitats and species in Cyprus in 2007/2013 (%)</w:t>
            </w:r>
            <w:r>
              <w:rPr>
                <w:rFonts w:cs="Times New Roman"/>
                <w:b/>
                <w:bCs/>
                <w:noProof/>
                <w:color w:val="1F497D" w:themeColor="text2"/>
                <w:sz w:val="20"/>
                <w:vertAlign w:val="superscript"/>
              </w:rPr>
              <w:footnoteReference w:id="24"/>
            </w:r>
          </w:p>
        </w:tc>
      </w:tr>
      <w:tr w:rsidR="00D337B9">
        <w:tc>
          <w:tcPr>
            <w:tcW w:w="4806" w:type="dxa"/>
          </w:tcPr>
          <w:p w:rsidR="00D337B9" w:rsidRDefault="009B5B10">
            <w:pPr>
              <w:widowControl w:val="0"/>
              <w:spacing w:after="120"/>
              <w:jc w:val="both"/>
              <w:rPr>
                <w:rFonts w:cs="Times New Roman"/>
                <w:noProof/>
                <w:sz w:val="20"/>
              </w:rPr>
            </w:pPr>
            <w:r>
              <w:rPr>
                <w:rFonts w:cs="Times New Roman"/>
                <w:noProof/>
                <w:sz w:val="20"/>
                <w:lang w:eastAsia="en-GB"/>
              </w:rPr>
              <w:drawing>
                <wp:inline distT="0" distB="0" distL="0" distR="0" wp14:anchorId="691A64F6" wp14:editId="34A01672">
                  <wp:extent cx="3030279" cy="33806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27146" cy="3377133"/>
                          </a:xfrm>
                          <a:prstGeom prst="rect">
                            <a:avLst/>
                          </a:prstGeom>
                          <a:noFill/>
                        </pic:spPr>
                      </pic:pic>
                    </a:graphicData>
                  </a:graphic>
                </wp:inline>
              </w:drawing>
            </w:r>
          </w:p>
        </w:tc>
      </w:tr>
    </w:tbl>
    <w:p w:rsidR="00D337B9" w:rsidRDefault="009B5B10">
      <w:pPr>
        <w:widowControl w:val="0"/>
        <w:spacing w:after="120" w:line="240" w:lineRule="auto"/>
        <w:jc w:val="both"/>
        <w:rPr>
          <w:rFonts w:cs="Times New Roman"/>
          <w:noProof/>
          <w:sz w:val="20"/>
        </w:rPr>
      </w:pPr>
      <w:r>
        <w:rPr>
          <w:rFonts w:cs="Times New Roman"/>
          <w:noProof/>
          <w:sz w:val="20"/>
        </w:rPr>
        <w:t>As shown in Figure 7, according to the official report under Article 12 of the Birds Directive</w:t>
      </w:r>
      <w:r>
        <w:rPr>
          <w:rFonts w:cs="Times New Roman"/>
          <w:noProof/>
          <w:sz w:val="20"/>
          <w:vertAlign w:val="superscript"/>
        </w:rPr>
        <w:footnoteReference w:id="25"/>
      </w:r>
      <w:r>
        <w:rPr>
          <w:rFonts w:cs="Times New Roman"/>
          <w:noProof/>
          <w:sz w:val="20"/>
        </w:rPr>
        <w:t>,</w:t>
      </w:r>
      <w:r>
        <w:rPr>
          <w:rFonts w:cs="Times New Roman"/>
          <w:b/>
          <w:noProof/>
          <w:sz w:val="20"/>
        </w:rPr>
        <w:t xml:space="preserve"> </w:t>
      </w:r>
      <w:r>
        <w:rPr>
          <w:rFonts w:cs="Times New Roman"/>
          <w:noProof/>
          <w:sz w:val="20"/>
        </w:rPr>
        <w:t xml:space="preserve">74% of the breeding species and wintering species showed </w:t>
      </w:r>
      <w:r>
        <w:rPr>
          <w:rFonts w:cs="Times New Roman"/>
          <w:noProof/>
          <w:sz w:val="20"/>
        </w:rPr>
        <w:t>short-term increasing or stable population trends.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337B9">
        <w:tc>
          <w:tcPr>
            <w:tcW w:w="4909" w:type="dxa"/>
          </w:tcPr>
          <w:p w:rsidR="00D337B9" w:rsidRDefault="009B5B10">
            <w:pPr>
              <w:widowControl w:val="0"/>
              <w:spacing w:after="120"/>
              <w:jc w:val="both"/>
              <w:rPr>
                <w:rFonts w:cs="Times New Roman"/>
                <w:noProof/>
                <w:color w:val="1F497D" w:themeColor="text2"/>
                <w:sz w:val="20"/>
              </w:rPr>
            </w:pPr>
            <w:r>
              <w:rPr>
                <w:rFonts w:cs="Times New Roman"/>
                <w:b/>
                <w:bCs/>
                <w:noProof/>
                <w:color w:val="1F497D" w:themeColor="text2"/>
                <w:sz w:val="20"/>
              </w:rPr>
              <w:t>Figure 7: Short-term population trend of breeding and wintering bird species in Cyprus in 2012 (%)</w:t>
            </w:r>
            <w:r>
              <w:rPr>
                <w:rFonts w:cs="Times New Roman"/>
                <w:b/>
                <w:bCs/>
                <w:noProof/>
                <w:color w:val="1F497D" w:themeColor="text2"/>
                <w:sz w:val="20"/>
                <w:vertAlign w:val="superscript"/>
              </w:rPr>
              <w:footnoteReference w:id="26"/>
            </w:r>
          </w:p>
        </w:tc>
      </w:tr>
      <w:tr w:rsidR="00D337B9">
        <w:tc>
          <w:tcPr>
            <w:tcW w:w="4909" w:type="dxa"/>
          </w:tcPr>
          <w:p w:rsidR="00D337B9" w:rsidRDefault="009B5B10">
            <w:pPr>
              <w:widowControl w:val="0"/>
              <w:spacing w:after="120"/>
              <w:jc w:val="both"/>
              <w:rPr>
                <w:rFonts w:cs="Times New Roman"/>
                <w:noProof/>
                <w:sz w:val="20"/>
              </w:rPr>
            </w:pPr>
            <w:r>
              <w:rPr>
                <w:rFonts w:cs="Times New Roman"/>
                <w:noProof/>
                <w:sz w:val="20"/>
                <w:lang w:eastAsia="en-GB"/>
              </w:rPr>
              <w:drawing>
                <wp:inline distT="0" distB="0" distL="0" distR="0" wp14:anchorId="7C89EE86" wp14:editId="52908616">
                  <wp:extent cx="2600960" cy="1848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06678" cy="1853050"/>
                          </a:xfrm>
                          <a:prstGeom prst="rect">
                            <a:avLst/>
                          </a:prstGeom>
                          <a:noFill/>
                        </pic:spPr>
                      </pic:pic>
                    </a:graphicData>
                  </a:graphic>
                </wp:inline>
              </w:drawing>
            </w:r>
          </w:p>
        </w:tc>
      </w:tr>
    </w:tbl>
    <w:p w:rsidR="00D337B9" w:rsidRDefault="009B5B10">
      <w:pPr>
        <w:widowControl w:val="0"/>
        <w:spacing w:after="120" w:line="240" w:lineRule="auto"/>
        <w:jc w:val="both"/>
        <w:rPr>
          <w:rFonts w:cs="Times New Roman"/>
          <w:noProof/>
          <w:sz w:val="20"/>
        </w:rPr>
      </w:pPr>
      <w:r>
        <w:rPr>
          <w:rFonts w:cs="Times New Roman"/>
          <w:noProof/>
          <w:sz w:val="20"/>
        </w:rPr>
        <w:t>Cyprus is a biodiversity hotspot area with a mosaic of biotopes, extensive natural coniferous forests</w:t>
      </w:r>
      <w:r>
        <w:rPr>
          <w:rFonts w:cs="Times New Roman"/>
          <w:noProof/>
          <w:sz w:val="20"/>
        </w:rPr>
        <w:t xml:space="preserve"> and expansion of phrygana</w:t>
      </w:r>
      <w:r>
        <w:rPr>
          <w:rFonts w:cs="Times New Roman"/>
          <w:noProof/>
          <w:sz w:val="20"/>
          <w:szCs w:val="20"/>
          <w:vertAlign w:val="superscript"/>
        </w:rPr>
        <w:footnoteReference w:id="27"/>
      </w:r>
      <w:r>
        <w:rPr>
          <w:rFonts w:cs="Times New Roman"/>
          <w:noProof/>
          <w:sz w:val="20"/>
        </w:rPr>
        <w:t xml:space="preserve">, traditional cultivated orchard trees and vineyards, which constitute important habitats for rare species. </w:t>
      </w:r>
    </w:p>
    <w:p w:rsidR="00D337B9" w:rsidRDefault="009B5B10">
      <w:pPr>
        <w:widowControl w:val="0"/>
        <w:spacing w:after="120" w:line="240" w:lineRule="auto"/>
        <w:jc w:val="both"/>
        <w:rPr>
          <w:rFonts w:cs="Times New Roman"/>
          <w:noProof/>
          <w:sz w:val="20"/>
        </w:rPr>
      </w:pPr>
      <w:r>
        <w:rPr>
          <w:rFonts w:cs="Times New Roman"/>
          <w:noProof/>
          <w:sz w:val="20"/>
        </w:rPr>
        <w:t xml:space="preserve">Pressures on biodiversity arise from urbanisation and coastal developments, isolated and scattered development, tourism </w:t>
      </w:r>
      <w:r>
        <w:rPr>
          <w:rFonts w:cs="Times New Roman"/>
          <w:noProof/>
          <w:sz w:val="20"/>
        </w:rPr>
        <w:t>and recreation projects (golf courses, marinas), wind turbine and photovoltaic parks, road and electricity infrastructure in wildness areas, fragmentation and land use changes. Land use changes and soil sealing have particularly high and increasing impacts</w:t>
      </w:r>
      <w:r>
        <w:rPr>
          <w:rFonts w:cs="Times New Roman"/>
          <w:noProof/>
          <w:sz w:val="20"/>
        </w:rPr>
        <w:t>.</w:t>
      </w:r>
      <w:r>
        <w:rPr>
          <w:rFonts w:cs="Times New Roman"/>
          <w:noProof/>
          <w:sz w:val="20"/>
          <w:szCs w:val="20"/>
          <w:vertAlign w:val="superscript"/>
        </w:rPr>
        <w:footnoteReference w:id="28"/>
      </w:r>
      <w:r>
        <w:rPr>
          <w:rFonts w:cs="Times New Roman"/>
          <w:noProof/>
          <w:sz w:val="20"/>
          <w:szCs w:val="18"/>
        </w:rPr>
        <w:t xml:space="preserve"> Cyprus is facing a challenge since private land is very expensive and therefore there is a struggling procedure for managing private land in situations where nature and development are in conflict and this has led to slow resolution of infringements.</w:t>
      </w:r>
    </w:p>
    <w:p w:rsidR="00D337B9" w:rsidRDefault="009B5B10">
      <w:pPr>
        <w:widowControl w:val="0"/>
        <w:spacing w:after="120" w:line="240" w:lineRule="auto"/>
        <w:jc w:val="both"/>
        <w:rPr>
          <w:rFonts w:cs="Times New Roman"/>
          <w:noProof/>
          <w:sz w:val="20"/>
        </w:rPr>
      </w:pPr>
      <w:r>
        <w:rPr>
          <w:rFonts w:cs="Times New Roman"/>
          <w:noProof/>
          <w:sz w:val="20"/>
        </w:rPr>
        <w:t>Th</w:t>
      </w:r>
      <w:r>
        <w:rPr>
          <w:rFonts w:cs="Times New Roman"/>
          <w:noProof/>
          <w:sz w:val="20"/>
        </w:rPr>
        <w:t>e forests of Cyprus are an important national resource and the forest sector is subject to pressures coming mainly from development and climate change. Forests –private and state-owned - cover an area of 172,535 hectares (18.65% of the total area of the is</w:t>
      </w:r>
      <w:r>
        <w:rPr>
          <w:rFonts w:cs="Times New Roman"/>
          <w:noProof/>
          <w:sz w:val="20"/>
        </w:rPr>
        <w:t xml:space="preserve">land) and Other Wooded Land -private and state-owned - an area of 213,859 hectares or 23.12%, including phrygana formations. </w:t>
      </w:r>
    </w:p>
    <w:tbl>
      <w:tblPr>
        <w:tblW w:w="4519" w:type="dxa"/>
        <w:shd w:val="clear" w:color="auto" w:fill="FFFFFF"/>
        <w:tblCellMar>
          <w:top w:w="15" w:type="dxa"/>
          <w:left w:w="15" w:type="dxa"/>
          <w:bottom w:w="15" w:type="dxa"/>
          <w:right w:w="15" w:type="dxa"/>
        </w:tblCellMar>
        <w:tblLook w:val="04A0" w:firstRow="1" w:lastRow="0" w:firstColumn="1" w:lastColumn="0" w:noHBand="0" w:noVBand="1"/>
      </w:tblPr>
      <w:tblGrid>
        <w:gridCol w:w="2689"/>
        <w:gridCol w:w="610"/>
        <w:gridCol w:w="610"/>
        <w:gridCol w:w="610"/>
      </w:tblGrid>
      <w:tr w:rsidR="00D337B9">
        <w:trPr>
          <w:trHeight w:val="184"/>
          <w:tblHeader/>
        </w:trPr>
        <w:tc>
          <w:tcPr>
            <w:tcW w:w="0" w:type="auto"/>
            <w:gridSpan w:val="4"/>
            <w:vMerge w:val="restart"/>
            <w:tcBorders>
              <w:top w:val="nil"/>
              <w:left w:val="nil"/>
              <w:bottom w:val="nil"/>
              <w:right w:val="nil"/>
            </w:tcBorders>
            <w:shd w:val="clear" w:color="auto" w:fill="5C73B8"/>
            <w:tcMar>
              <w:top w:w="45" w:type="dxa"/>
              <w:left w:w="45" w:type="dxa"/>
              <w:bottom w:w="45" w:type="dxa"/>
              <w:right w:w="45" w:type="dxa"/>
            </w:tcMar>
            <w:vAlign w:val="center"/>
            <w:hideMark/>
          </w:tcPr>
          <w:p w:rsidR="00D337B9" w:rsidRDefault="009B5B10">
            <w:pPr>
              <w:widowControl w:val="0"/>
              <w:spacing w:after="0" w:line="240" w:lineRule="auto"/>
              <w:jc w:val="center"/>
              <w:rPr>
                <w:rFonts w:ascii="Arial" w:eastAsia="Times New Roman" w:hAnsi="Arial" w:cs="Arial"/>
                <w:b/>
                <w:bCs/>
                <w:noProof/>
                <w:color w:val="000000"/>
                <w:sz w:val="16"/>
                <w:szCs w:val="13"/>
                <w:lang w:eastAsia="en-GB"/>
              </w:rPr>
            </w:pPr>
            <w:r>
              <w:rPr>
                <w:rFonts w:ascii="Arial" w:eastAsia="Times New Roman" w:hAnsi="Arial" w:cs="Arial"/>
                <w:b/>
                <w:bCs/>
                <w:noProof/>
                <w:color w:val="000000"/>
                <w:sz w:val="20"/>
                <w:szCs w:val="13"/>
                <w:lang w:eastAsia="en-GB"/>
              </w:rPr>
              <w:t>Extent of forest and other wooded land</w:t>
            </w:r>
          </w:p>
        </w:tc>
      </w:tr>
      <w:tr w:rsidR="00D337B9">
        <w:trPr>
          <w:trHeight w:val="259"/>
          <w:tblHeader/>
        </w:trPr>
        <w:tc>
          <w:tcPr>
            <w:tcW w:w="0" w:type="auto"/>
            <w:vMerge w:val="restart"/>
            <w:shd w:val="clear" w:color="auto" w:fill="5C73B8"/>
            <w:tcMar>
              <w:top w:w="45" w:type="dxa"/>
              <w:left w:w="45" w:type="dxa"/>
              <w:bottom w:w="45" w:type="dxa"/>
              <w:right w:w="45" w:type="dxa"/>
            </w:tcMar>
            <w:vAlign w:val="center"/>
            <w:hideMark/>
          </w:tcPr>
          <w:p w:rsidR="00D337B9" w:rsidRDefault="009B5B10">
            <w:pPr>
              <w:widowControl w:val="0"/>
              <w:spacing w:after="0" w:line="264" w:lineRule="atLeast"/>
              <w:jc w:val="center"/>
              <w:rPr>
                <w:rFonts w:ascii="Arial" w:eastAsia="Times New Roman" w:hAnsi="Arial" w:cs="Arial"/>
                <w:b/>
                <w:bCs/>
                <w:noProof/>
                <w:color w:val="FFFFFF"/>
                <w:sz w:val="16"/>
                <w:szCs w:val="11"/>
                <w:lang w:eastAsia="en-GB"/>
              </w:rPr>
            </w:pPr>
            <w:r>
              <w:rPr>
                <w:rFonts w:ascii="Arial" w:eastAsia="Times New Roman" w:hAnsi="Arial" w:cs="Arial"/>
                <w:b/>
                <w:bCs/>
                <w:noProof/>
                <w:color w:val="FFFFFF"/>
                <w:sz w:val="16"/>
                <w:szCs w:val="11"/>
                <w:lang w:eastAsia="en-GB"/>
              </w:rPr>
              <w:t>FRA 2005 categories</w:t>
            </w:r>
          </w:p>
        </w:tc>
        <w:tc>
          <w:tcPr>
            <w:tcW w:w="0" w:type="auto"/>
            <w:gridSpan w:val="3"/>
            <w:shd w:val="clear" w:color="auto" w:fill="5C73B8"/>
            <w:tcMar>
              <w:top w:w="45" w:type="dxa"/>
              <w:left w:w="45" w:type="dxa"/>
              <w:bottom w:w="45" w:type="dxa"/>
              <w:right w:w="45" w:type="dxa"/>
            </w:tcMar>
            <w:vAlign w:val="center"/>
            <w:hideMark/>
          </w:tcPr>
          <w:p w:rsidR="00D337B9" w:rsidRDefault="009B5B10">
            <w:pPr>
              <w:widowControl w:val="0"/>
              <w:spacing w:after="0" w:line="264" w:lineRule="atLeast"/>
              <w:jc w:val="center"/>
              <w:rPr>
                <w:rFonts w:ascii="Arial" w:eastAsia="Times New Roman" w:hAnsi="Arial" w:cs="Arial"/>
                <w:b/>
                <w:bCs/>
                <w:noProof/>
                <w:color w:val="FFFFFF"/>
                <w:sz w:val="16"/>
                <w:szCs w:val="11"/>
                <w:lang w:eastAsia="en-GB"/>
              </w:rPr>
            </w:pPr>
            <w:r>
              <w:rPr>
                <w:rFonts w:ascii="Arial" w:eastAsia="Times New Roman" w:hAnsi="Arial" w:cs="Arial"/>
                <w:b/>
                <w:bCs/>
                <w:noProof/>
                <w:color w:val="FFFFFF"/>
                <w:sz w:val="16"/>
                <w:szCs w:val="11"/>
                <w:lang w:eastAsia="en-GB"/>
              </w:rPr>
              <w:t>Area (1000 hectares)</w:t>
            </w:r>
          </w:p>
        </w:tc>
      </w:tr>
      <w:tr w:rsidR="00D337B9">
        <w:trPr>
          <w:trHeight w:val="123"/>
          <w:tblHeader/>
        </w:trPr>
        <w:tc>
          <w:tcPr>
            <w:tcW w:w="0" w:type="auto"/>
            <w:vMerge/>
            <w:shd w:val="clear" w:color="auto" w:fill="FFFFFF"/>
            <w:vAlign w:val="center"/>
            <w:hideMark/>
          </w:tcPr>
          <w:p w:rsidR="00D337B9" w:rsidRDefault="00D337B9">
            <w:pPr>
              <w:widowControl w:val="0"/>
              <w:spacing w:after="0" w:line="240" w:lineRule="auto"/>
              <w:rPr>
                <w:rFonts w:ascii="Arial" w:eastAsia="Times New Roman" w:hAnsi="Arial" w:cs="Arial"/>
                <w:b/>
                <w:bCs/>
                <w:noProof/>
                <w:color w:val="FFFFFF"/>
                <w:sz w:val="16"/>
                <w:szCs w:val="11"/>
                <w:lang w:eastAsia="en-GB"/>
              </w:rPr>
            </w:pPr>
          </w:p>
        </w:tc>
        <w:tc>
          <w:tcPr>
            <w:tcW w:w="0" w:type="auto"/>
            <w:shd w:val="clear" w:color="auto" w:fill="5C73B8"/>
            <w:tcMar>
              <w:top w:w="45" w:type="dxa"/>
              <w:left w:w="45" w:type="dxa"/>
              <w:bottom w:w="45" w:type="dxa"/>
              <w:right w:w="45" w:type="dxa"/>
            </w:tcMar>
            <w:vAlign w:val="center"/>
            <w:hideMark/>
          </w:tcPr>
          <w:p w:rsidR="00D337B9" w:rsidRDefault="009B5B10">
            <w:pPr>
              <w:widowControl w:val="0"/>
              <w:spacing w:after="0" w:line="264" w:lineRule="atLeast"/>
              <w:jc w:val="center"/>
              <w:rPr>
                <w:rFonts w:ascii="Arial" w:eastAsia="Times New Roman" w:hAnsi="Arial" w:cs="Arial"/>
                <w:b/>
                <w:bCs/>
                <w:noProof/>
                <w:color w:val="FFFFFF"/>
                <w:sz w:val="16"/>
                <w:szCs w:val="11"/>
                <w:lang w:eastAsia="en-GB"/>
              </w:rPr>
            </w:pPr>
            <w:r>
              <w:rPr>
                <w:rFonts w:ascii="Arial" w:eastAsia="Times New Roman" w:hAnsi="Arial" w:cs="Arial"/>
                <w:b/>
                <w:bCs/>
                <w:noProof/>
                <w:color w:val="FFFFFF"/>
                <w:sz w:val="16"/>
                <w:szCs w:val="11"/>
                <w:lang w:eastAsia="en-GB"/>
              </w:rPr>
              <w:t>1990</w:t>
            </w:r>
          </w:p>
        </w:tc>
        <w:tc>
          <w:tcPr>
            <w:tcW w:w="0" w:type="auto"/>
            <w:shd w:val="clear" w:color="auto" w:fill="5C73B8"/>
            <w:tcMar>
              <w:top w:w="45" w:type="dxa"/>
              <w:left w:w="45" w:type="dxa"/>
              <w:bottom w:w="45" w:type="dxa"/>
              <w:right w:w="45" w:type="dxa"/>
            </w:tcMar>
            <w:vAlign w:val="center"/>
            <w:hideMark/>
          </w:tcPr>
          <w:p w:rsidR="00D337B9" w:rsidRDefault="009B5B10">
            <w:pPr>
              <w:widowControl w:val="0"/>
              <w:spacing w:after="0" w:line="264" w:lineRule="atLeast"/>
              <w:jc w:val="center"/>
              <w:rPr>
                <w:rFonts w:ascii="Arial" w:eastAsia="Times New Roman" w:hAnsi="Arial" w:cs="Arial"/>
                <w:b/>
                <w:bCs/>
                <w:noProof/>
                <w:color w:val="FFFFFF"/>
                <w:sz w:val="16"/>
                <w:szCs w:val="11"/>
                <w:lang w:eastAsia="en-GB"/>
              </w:rPr>
            </w:pPr>
            <w:r>
              <w:rPr>
                <w:rFonts w:ascii="Arial" w:eastAsia="Times New Roman" w:hAnsi="Arial" w:cs="Arial"/>
                <w:b/>
                <w:bCs/>
                <w:noProof/>
                <w:color w:val="FFFFFF"/>
                <w:sz w:val="16"/>
                <w:szCs w:val="11"/>
                <w:lang w:eastAsia="en-GB"/>
              </w:rPr>
              <w:t>2000</w:t>
            </w:r>
          </w:p>
        </w:tc>
        <w:tc>
          <w:tcPr>
            <w:tcW w:w="0" w:type="auto"/>
            <w:shd w:val="clear" w:color="auto" w:fill="5C73B8"/>
            <w:tcMar>
              <w:top w:w="45" w:type="dxa"/>
              <w:left w:w="45" w:type="dxa"/>
              <w:bottom w:w="45" w:type="dxa"/>
              <w:right w:w="45" w:type="dxa"/>
            </w:tcMar>
            <w:vAlign w:val="center"/>
            <w:hideMark/>
          </w:tcPr>
          <w:p w:rsidR="00D337B9" w:rsidRDefault="009B5B10">
            <w:pPr>
              <w:widowControl w:val="0"/>
              <w:spacing w:after="0" w:line="264" w:lineRule="atLeast"/>
              <w:jc w:val="center"/>
              <w:rPr>
                <w:rFonts w:ascii="Arial" w:eastAsia="Times New Roman" w:hAnsi="Arial" w:cs="Arial"/>
                <w:b/>
                <w:bCs/>
                <w:noProof/>
                <w:color w:val="FFFFFF"/>
                <w:sz w:val="16"/>
                <w:szCs w:val="11"/>
                <w:lang w:eastAsia="en-GB"/>
              </w:rPr>
            </w:pPr>
            <w:r>
              <w:rPr>
                <w:rFonts w:ascii="Arial" w:eastAsia="Times New Roman" w:hAnsi="Arial" w:cs="Arial"/>
                <w:b/>
                <w:bCs/>
                <w:noProof/>
                <w:color w:val="FFFFFF"/>
                <w:sz w:val="16"/>
                <w:szCs w:val="11"/>
                <w:lang w:eastAsia="en-GB"/>
              </w:rPr>
              <w:t>2005</w:t>
            </w:r>
          </w:p>
        </w:tc>
      </w:tr>
      <w:tr w:rsidR="00D337B9">
        <w:trPr>
          <w:trHeight w:val="373"/>
        </w:trPr>
        <w:tc>
          <w:tcPr>
            <w:tcW w:w="0" w:type="auto"/>
            <w:tcBorders>
              <w:top w:val="nil"/>
              <w:left w:val="nil"/>
              <w:bottom w:val="nil"/>
              <w:right w:val="nil"/>
            </w:tcBorders>
            <w:shd w:val="clear" w:color="auto" w:fill="E4E8F3"/>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Forest</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161</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173</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174</w:t>
            </w:r>
          </w:p>
        </w:tc>
      </w:tr>
      <w:tr w:rsidR="00D337B9">
        <w:trPr>
          <w:trHeight w:val="388"/>
        </w:trPr>
        <w:tc>
          <w:tcPr>
            <w:tcW w:w="0" w:type="auto"/>
            <w:tcBorders>
              <w:top w:val="nil"/>
              <w:left w:val="nil"/>
              <w:bottom w:val="nil"/>
              <w:right w:val="nil"/>
            </w:tcBorders>
            <w:shd w:val="clear" w:color="auto" w:fill="E4E8F3"/>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 xml:space="preserve">Other </w:t>
            </w:r>
            <w:r>
              <w:rPr>
                <w:rFonts w:ascii="Arial" w:eastAsia="Times New Roman" w:hAnsi="Arial" w:cs="Arial"/>
                <w:noProof/>
                <w:color w:val="000000"/>
                <w:sz w:val="16"/>
                <w:szCs w:val="11"/>
                <w:lang w:eastAsia="en-GB"/>
              </w:rPr>
              <w:t>wooded land</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214</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214</w:t>
            </w:r>
          </w:p>
        </w:tc>
      </w:tr>
      <w:tr w:rsidR="00D337B9">
        <w:trPr>
          <w:trHeight w:val="373"/>
        </w:trPr>
        <w:tc>
          <w:tcPr>
            <w:tcW w:w="0" w:type="auto"/>
            <w:tcBorders>
              <w:top w:val="nil"/>
              <w:left w:val="nil"/>
              <w:bottom w:val="nil"/>
              <w:right w:val="nil"/>
            </w:tcBorders>
            <w:shd w:val="clear" w:color="auto" w:fill="C9D0E7"/>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b/>
                <w:bCs/>
                <w:noProof/>
                <w:color w:val="000000"/>
                <w:sz w:val="16"/>
                <w:szCs w:val="11"/>
                <w:lang w:eastAsia="en-GB"/>
              </w:rPr>
            </w:pPr>
            <w:r>
              <w:rPr>
                <w:rFonts w:ascii="Arial" w:eastAsia="Times New Roman" w:hAnsi="Arial" w:cs="Arial"/>
                <w:b/>
                <w:bCs/>
                <w:noProof/>
                <w:color w:val="000000"/>
                <w:sz w:val="16"/>
                <w:szCs w:val="11"/>
                <w:lang w:eastAsia="en-GB"/>
              </w:rPr>
              <w:t>Forest and other wooded land</w:t>
            </w:r>
          </w:p>
        </w:tc>
        <w:tc>
          <w:tcPr>
            <w:tcW w:w="0" w:type="auto"/>
            <w:tcBorders>
              <w:top w:val="nil"/>
              <w:left w:val="nil"/>
              <w:bottom w:val="nil"/>
              <w:right w:val="nil"/>
            </w:tcBorders>
            <w:shd w:val="clear" w:color="auto" w:fill="EBEEF6"/>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b/>
                <w:bCs/>
                <w:noProof/>
                <w:color w:val="000000"/>
                <w:sz w:val="16"/>
                <w:szCs w:val="11"/>
                <w:lang w:eastAsia="en-GB"/>
              </w:rPr>
            </w:pPr>
            <w:r>
              <w:rPr>
                <w:rFonts w:ascii="Arial" w:eastAsia="Times New Roman" w:hAnsi="Arial" w:cs="Arial"/>
                <w:b/>
                <w:bCs/>
                <w:noProof/>
                <w:color w:val="000000"/>
                <w:sz w:val="16"/>
                <w:szCs w:val="11"/>
                <w:lang w:eastAsia="en-GB"/>
              </w:rPr>
              <w:t>161</w:t>
            </w:r>
          </w:p>
        </w:tc>
        <w:tc>
          <w:tcPr>
            <w:tcW w:w="0" w:type="auto"/>
            <w:tcBorders>
              <w:top w:val="nil"/>
              <w:left w:val="nil"/>
              <w:bottom w:val="nil"/>
              <w:right w:val="nil"/>
            </w:tcBorders>
            <w:shd w:val="clear" w:color="auto" w:fill="EBEEF6"/>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b/>
                <w:bCs/>
                <w:noProof/>
                <w:color w:val="000000"/>
                <w:sz w:val="16"/>
                <w:szCs w:val="11"/>
                <w:lang w:eastAsia="en-GB"/>
              </w:rPr>
            </w:pPr>
            <w:r>
              <w:rPr>
                <w:rFonts w:ascii="Arial" w:eastAsia="Times New Roman" w:hAnsi="Arial" w:cs="Arial"/>
                <w:b/>
                <w:bCs/>
                <w:noProof/>
                <w:color w:val="000000"/>
                <w:sz w:val="16"/>
                <w:szCs w:val="11"/>
                <w:lang w:eastAsia="en-GB"/>
              </w:rPr>
              <w:t>387</w:t>
            </w:r>
          </w:p>
        </w:tc>
        <w:tc>
          <w:tcPr>
            <w:tcW w:w="0" w:type="auto"/>
            <w:tcBorders>
              <w:top w:val="nil"/>
              <w:left w:val="nil"/>
              <w:bottom w:val="nil"/>
              <w:right w:val="nil"/>
            </w:tcBorders>
            <w:shd w:val="clear" w:color="auto" w:fill="EBEEF6"/>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b/>
                <w:bCs/>
                <w:noProof/>
                <w:color w:val="000000"/>
                <w:sz w:val="16"/>
                <w:szCs w:val="11"/>
                <w:lang w:eastAsia="en-GB"/>
              </w:rPr>
            </w:pPr>
            <w:r>
              <w:rPr>
                <w:rFonts w:ascii="Arial" w:eastAsia="Times New Roman" w:hAnsi="Arial" w:cs="Arial"/>
                <w:b/>
                <w:bCs/>
                <w:noProof/>
                <w:color w:val="000000"/>
                <w:sz w:val="16"/>
                <w:szCs w:val="11"/>
                <w:lang w:eastAsia="en-GB"/>
              </w:rPr>
              <w:t>388</w:t>
            </w:r>
          </w:p>
        </w:tc>
      </w:tr>
      <w:tr w:rsidR="00D337B9">
        <w:trPr>
          <w:trHeight w:val="373"/>
        </w:trPr>
        <w:tc>
          <w:tcPr>
            <w:tcW w:w="0" w:type="auto"/>
            <w:tcBorders>
              <w:top w:val="nil"/>
              <w:left w:val="nil"/>
              <w:bottom w:val="nil"/>
              <w:right w:val="nil"/>
            </w:tcBorders>
            <w:shd w:val="clear" w:color="auto" w:fill="E4E8F3"/>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Other land</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537</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536</w:t>
            </w:r>
          </w:p>
        </w:tc>
      </w:tr>
      <w:tr w:rsidR="00D337B9">
        <w:trPr>
          <w:trHeight w:val="373"/>
        </w:trPr>
        <w:tc>
          <w:tcPr>
            <w:tcW w:w="0" w:type="auto"/>
            <w:tcBorders>
              <w:top w:val="nil"/>
              <w:left w:val="nil"/>
              <w:bottom w:val="nil"/>
              <w:right w:val="nil"/>
            </w:tcBorders>
            <w:shd w:val="clear" w:color="auto" w:fill="E4E8F3"/>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...of which with tree cover</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26</w:t>
            </w:r>
          </w:p>
        </w:tc>
      </w:tr>
      <w:tr w:rsidR="00D337B9">
        <w:trPr>
          <w:trHeight w:val="388"/>
        </w:trPr>
        <w:tc>
          <w:tcPr>
            <w:tcW w:w="0" w:type="auto"/>
            <w:tcBorders>
              <w:top w:val="nil"/>
              <w:left w:val="nil"/>
              <w:bottom w:val="nil"/>
              <w:right w:val="nil"/>
            </w:tcBorders>
            <w:shd w:val="clear" w:color="auto" w:fill="C9D0E7"/>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b/>
                <w:bCs/>
                <w:noProof/>
                <w:color w:val="000000"/>
                <w:sz w:val="16"/>
                <w:szCs w:val="11"/>
                <w:lang w:eastAsia="en-GB"/>
              </w:rPr>
            </w:pPr>
            <w:r>
              <w:rPr>
                <w:rFonts w:ascii="Arial" w:eastAsia="Times New Roman" w:hAnsi="Arial" w:cs="Arial"/>
                <w:b/>
                <w:bCs/>
                <w:noProof/>
                <w:color w:val="000000"/>
                <w:sz w:val="16"/>
                <w:szCs w:val="11"/>
                <w:lang w:eastAsia="en-GB"/>
              </w:rPr>
              <w:t>Total land area</w:t>
            </w:r>
          </w:p>
        </w:tc>
        <w:tc>
          <w:tcPr>
            <w:tcW w:w="0" w:type="auto"/>
            <w:tcBorders>
              <w:top w:val="nil"/>
              <w:left w:val="nil"/>
              <w:bottom w:val="nil"/>
              <w:right w:val="nil"/>
            </w:tcBorders>
            <w:shd w:val="clear" w:color="auto" w:fill="EBEEF6"/>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b/>
                <w:bCs/>
                <w:noProof/>
                <w:color w:val="000000"/>
                <w:sz w:val="16"/>
                <w:szCs w:val="11"/>
                <w:lang w:eastAsia="en-GB"/>
              </w:rPr>
            </w:pPr>
            <w:r>
              <w:rPr>
                <w:rFonts w:ascii="Arial" w:eastAsia="Times New Roman" w:hAnsi="Arial" w:cs="Arial"/>
                <w:b/>
                <w:bCs/>
                <w:noProof/>
                <w:color w:val="000000"/>
                <w:sz w:val="16"/>
                <w:szCs w:val="11"/>
                <w:lang w:eastAsia="en-GB"/>
              </w:rPr>
              <w:t>922</w:t>
            </w:r>
          </w:p>
        </w:tc>
        <w:tc>
          <w:tcPr>
            <w:tcW w:w="0" w:type="auto"/>
            <w:tcBorders>
              <w:top w:val="nil"/>
              <w:left w:val="nil"/>
              <w:bottom w:val="nil"/>
              <w:right w:val="nil"/>
            </w:tcBorders>
            <w:shd w:val="clear" w:color="auto" w:fill="EBEEF6"/>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b/>
                <w:bCs/>
                <w:noProof/>
                <w:color w:val="000000"/>
                <w:sz w:val="16"/>
                <w:szCs w:val="11"/>
                <w:lang w:eastAsia="en-GB"/>
              </w:rPr>
            </w:pPr>
            <w:r>
              <w:rPr>
                <w:rFonts w:ascii="Arial" w:eastAsia="Times New Roman" w:hAnsi="Arial" w:cs="Arial"/>
                <w:b/>
                <w:bCs/>
                <w:noProof/>
                <w:color w:val="000000"/>
                <w:sz w:val="16"/>
                <w:szCs w:val="11"/>
                <w:lang w:eastAsia="en-GB"/>
              </w:rPr>
              <w:t>924</w:t>
            </w:r>
          </w:p>
        </w:tc>
        <w:tc>
          <w:tcPr>
            <w:tcW w:w="0" w:type="auto"/>
            <w:tcBorders>
              <w:top w:val="nil"/>
              <w:left w:val="nil"/>
              <w:bottom w:val="nil"/>
              <w:right w:val="nil"/>
            </w:tcBorders>
            <w:shd w:val="clear" w:color="auto" w:fill="EBEEF6"/>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b/>
                <w:bCs/>
                <w:noProof/>
                <w:color w:val="000000"/>
                <w:sz w:val="16"/>
                <w:szCs w:val="11"/>
                <w:lang w:eastAsia="en-GB"/>
              </w:rPr>
            </w:pPr>
            <w:r>
              <w:rPr>
                <w:rFonts w:ascii="Arial" w:eastAsia="Times New Roman" w:hAnsi="Arial" w:cs="Arial"/>
                <w:b/>
                <w:bCs/>
                <w:noProof/>
                <w:color w:val="000000"/>
                <w:sz w:val="16"/>
                <w:szCs w:val="11"/>
                <w:lang w:eastAsia="en-GB"/>
              </w:rPr>
              <w:t>924</w:t>
            </w:r>
          </w:p>
        </w:tc>
      </w:tr>
      <w:tr w:rsidR="00D337B9">
        <w:trPr>
          <w:trHeight w:val="373"/>
        </w:trPr>
        <w:tc>
          <w:tcPr>
            <w:tcW w:w="0" w:type="auto"/>
            <w:tcBorders>
              <w:top w:val="nil"/>
              <w:left w:val="nil"/>
              <w:bottom w:val="nil"/>
              <w:right w:val="nil"/>
            </w:tcBorders>
            <w:shd w:val="clear" w:color="auto" w:fill="E4E8F3"/>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Inland water bodies</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1</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1</w:t>
            </w:r>
          </w:p>
        </w:tc>
        <w:tc>
          <w:tcPr>
            <w:tcW w:w="0" w:type="auto"/>
            <w:tcBorders>
              <w:top w:val="nil"/>
              <w:left w:val="nil"/>
              <w:bottom w:val="nil"/>
              <w:right w:val="nil"/>
            </w:tcBorders>
            <w:shd w:val="clear" w:color="auto" w:fill="F7F8FC"/>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noProof/>
                <w:color w:val="000000"/>
                <w:sz w:val="16"/>
                <w:szCs w:val="11"/>
                <w:lang w:eastAsia="en-GB"/>
              </w:rPr>
            </w:pPr>
            <w:r>
              <w:rPr>
                <w:rFonts w:ascii="Arial" w:eastAsia="Times New Roman" w:hAnsi="Arial" w:cs="Arial"/>
                <w:noProof/>
                <w:color w:val="000000"/>
                <w:sz w:val="16"/>
                <w:szCs w:val="11"/>
                <w:lang w:eastAsia="en-GB"/>
              </w:rPr>
              <w:t>1</w:t>
            </w:r>
          </w:p>
        </w:tc>
      </w:tr>
      <w:tr w:rsidR="00D337B9">
        <w:trPr>
          <w:trHeight w:val="373"/>
        </w:trPr>
        <w:tc>
          <w:tcPr>
            <w:tcW w:w="0" w:type="auto"/>
            <w:tcBorders>
              <w:top w:val="nil"/>
              <w:left w:val="nil"/>
              <w:bottom w:val="nil"/>
              <w:right w:val="nil"/>
            </w:tcBorders>
            <w:shd w:val="clear" w:color="auto" w:fill="C9D0E7"/>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b/>
                <w:bCs/>
                <w:noProof/>
                <w:color w:val="000000"/>
                <w:sz w:val="16"/>
                <w:szCs w:val="11"/>
                <w:lang w:eastAsia="en-GB"/>
              </w:rPr>
            </w:pPr>
            <w:r>
              <w:rPr>
                <w:rFonts w:ascii="Arial" w:eastAsia="Times New Roman" w:hAnsi="Arial" w:cs="Arial"/>
                <w:b/>
                <w:bCs/>
                <w:noProof/>
                <w:color w:val="000000"/>
                <w:sz w:val="16"/>
                <w:szCs w:val="11"/>
                <w:lang w:eastAsia="en-GB"/>
              </w:rPr>
              <w:t>Total area of country</w:t>
            </w:r>
          </w:p>
        </w:tc>
        <w:tc>
          <w:tcPr>
            <w:tcW w:w="0" w:type="auto"/>
            <w:tcBorders>
              <w:top w:val="nil"/>
              <w:left w:val="nil"/>
              <w:bottom w:val="nil"/>
              <w:right w:val="nil"/>
            </w:tcBorders>
            <w:shd w:val="clear" w:color="auto" w:fill="EBEEF6"/>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b/>
                <w:bCs/>
                <w:noProof/>
                <w:color w:val="000000"/>
                <w:sz w:val="16"/>
                <w:szCs w:val="11"/>
                <w:lang w:eastAsia="en-GB"/>
              </w:rPr>
            </w:pPr>
            <w:r>
              <w:rPr>
                <w:rFonts w:ascii="Arial" w:eastAsia="Times New Roman" w:hAnsi="Arial" w:cs="Arial"/>
                <w:b/>
                <w:bCs/>
                <w:noProof/>
                <w:color w:val="000000"/>
                <w:sz w:val="16"/>
                <w:szCs w:val="11"/>
                <w:lang w:eastAsia="en-GB"/>
              </w:rPr>
              <w:t>925</w:t>
            </w:r>
          </w:p>
        </w:tc>
        <w:tc>
          <w:tcPr>
            <w:tcW w:w="0" w:type="auto"/>
            <w:tcBorders>
              <w:top w:val="nil"/>
              <w:left w:val="nil"/>
              <w:bottom w:val="nil"/>
              <w:right w:val="nil"/>
            </w:tcBorders>
            <w:shd w:val="clear" w:color="auto" w:fill="EBEEF6"/>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b/>
                <w:bCs/>
                <w:noProof/>
                <w:color w:val="000000"/>
                <w:sz w:val="16"/>
                <w:szCs w:val="11"/>
                <w:lang w:eastAsia="en-GB"/>
              </w:rPr>
            </w:pPr>
            <w:r>
              <w:rPr>
                <w:rFonts w:ascii="Arial" w:eastAsia="Times New Roman" w:hAnsi="Arial" w:cs="Arial"/>
                <w:b/>
                <w:bCs/>
                <w:noProof/>
                <w:color w:val="000000"/>
                <w:sz w:val="16"/>
                <w:szCs w:val="11"/>
                <w:lang w:eastAsia="en-GB"/>
              </w:rPr>
              <w:t>925</w:t>
            </w:r>
          </w:p>
        </w:tc>
        <w:tc>
          <w:tcPr>
            <w:tcW w:w="0" w:type="auto"/>
            <w:tcBorders>
              <w:top w:val="nil"/>
              <w:left w:val="nil"/>
              <w:bottom w:val="nil"/>
              <w:right w:val="nil"/>
            </w:tcBorders>
            <w:shd w:val="clear" w:color="auto" w:fill="EBEEF6"/>
            <w:tcMar>
              <w:top w:w="15" w:type="dxa"/>
              <w:left w:w="45" w:type="dxa"/>
              <w:bottom w:w="15" w:type="dxa"/>
              <w:right w:w="45" w:type="dxa"/>
            </w:tcMar>
            <w:hideMark/>
          </w:tcPr>
          <w:p w:rsidR="00D337B9" w:rsidRDefault="009B5B10">
            <w:pPr>
              <w:widowControl w:val="0"/>
              <w:spacing w:after="0" w:line="240" w:lineRule="auto"/>
              <w:rPr>
                <w:rFonts w:ascii="Arial" w:eastAsia="Times New Roman" w:hAnsi="Arial" w:cs="Arial"/>
                <w:b/>
                <w:bCs/>
                <w:noProof/>
                <w:color w:val="000000"/>
                <w:sz w:val="16"/>
                <w:szCs w:val="11"/>
                <w:lang w:eastAsia="en-GB"/>
              </w:rPr>
            </w:pPr>
            <w:r>
              <w:rPr>
                <w:rFonts w:ascii="Arial" w:eastAsia="Times New Roman" w:hAnsi="Arial" w:cs="Arial"/>
                <w:b/>
                <w:bCs/>
                <w:noProof/>
                <w:color w:val="000000"/>
                <w:sz w:val="16"/>
                <w:szCs w:val="11"/>
                <w:lang w:eastAsia="en-GB"/>
              </w:rPr>
              <w:t>925</w:t>
            </w:r>
          </w:p>
        </w:tc>
      </w:tr>
    </w:tbl>
    <w:p w:rsidR="00D337B9" w:rsidRDefault="009B5B10">
      <w:pPr>
        <w:widowControl w:val="0"/>
        <w:spacing w:before="240" w:after="120" w:line="240" w:lineRule="auto"/>
        <w:jc w:val="both"/>
        <w:rPr>
          <w:rFonts w:cs="Times New Roman"/>
          <w:noProof/>
          <w:sz w:val="20"/>
          <w:szCs w:val="20"/>
        </w:rPr>
      </w:pPr>
      <w:r>
        <w:rPr>
          <w:rFonts w:cs="Times New Roman"/>
          <w:noProof/>
          <w:sz w:val="20"/>
          <w:szCs w:val="20"/>
        </w:rPr>
        <w:t xml:space="preserve">So far Cyprus has not started working on </w:t>
      </w:r>
      <w:r>
        <w:rPr>
          <w:rFonts w:cs="Times New Roman"/>
          <w:noProof/>
          <w:sz w:val="20"/>
          <w:szCs w:val="20"/>
        </w:rPr>
        <w:t>the EU initiative on Mapping and Assessment of Ecosystems and their Services</w:t>
      </w:r>
      <w:r>
        <w:rPr>
          <w:rFonts w:cs="Times New Roman"/>
          <w:noProof/>
          <w:sz w:val="20"/>
          <w:szCs w:val="20"/>
          <w:vertAlign w:val="superscript"/>
        </w:rPr>
        <w:footnoteReference w:id="29"/>
      </w:r>
      <w:r>
        <w:rPr>
          <w:rFonts w:cs="Times New Roman"/>
          <w:noProof/>
          <w:sz w:val="20"/>
          <w:szCs w:val="20"/>
        </w:rPr>
        <w:t xml:space="preserve">, but has participated in 2 workshops (MESEU and ESMERALDA) on the creation and evaluation of mapping and evaluation of ecosystem services. </w:t>
      </w:r>
    </w:p>
    <w:p w:rsidR="00D337B9" w:rsidRDefault="009B5B10">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D337B9" w:rsidRDefault="009B5B10">
      <w:pPr>
        <w:pStyle w:val="NoSpacing"/>
        <w:rPr>
          <w:noProof/>
        </w:rPr>
      </w:pPr>
      <w:bookmarkStart w:id="19" w:name="_Toc433296161"/>
      <w:r>
        <w:rPr>
          <w:noProof/>
        </w:rPr>
        <w:t xml:space="preserve">Complete SCI and SPA designations, especially in offshore marine waters. Available funds </w:t>
      </w:r>
      <w:r>
        <w:rPr>
          <w:noProof/>
          <w:lang w:val="en-US"/>
        </w:rPr>
        <w:t>from the Maritime and Fisheries Fund are to be used for covering knowledge gaps on marine waters.</w:t>
      </w:r>
      <w:r>
        <w:rPr>
          <w:noProof/>
        </w:rPr>
        <w:t xml:space="preserve"> Complete the SAC designation process and put in place clearly defined</w:t>
      </w:r>
      <w:r>
        <w:rPr>
          <w:noProof/>
        </w:rPr>
        <w:t xml:space="preserve"> conservation objectives and the necessary conservation measures for the sites and provide adequate resources for their implementation in order to maintain/restore species and habitats of community interest to a favourable conservation status across their </w:t>
      </w:r>
      <w:r>
        <w:rPr>
          <w:noProof/>
        </w:rPr>
        <w:t xml:space="preserve">natural range. </w:t>
      </w:r>
    </w:p>
    <w:p w:rsidR="00D337B9" w:rsidRDefault="009B5B10">
      <w:pPr>
        <w:pStyle w:val="NoSpacing"/>
        <w:rPr>
          <w:noProof/>
        </w:rPr>
      </w:pPr>
      <w:r>
        <w:rPr>
          <w:noProof/>
        </w:rPr>
        <w:t>Build the capacity of the administration in order to improve Appropriate Assessment procedures and prevent deterioration of Natura 2000 sites from damaging developments. Enhance awareness-raising (among authorities, stakeholders, land owner</w:t>
      </w:r>
      <w:r>
        <w:rPr>
          <w:noProof/>
        </w:rPr>
        <w:t>s, public) as regards Natura 2000 and its benefits. Strengthen communication with stakeholders.</w:t>
      </w:r>
    </w:p>
    <w:p w:rsidR="00D337B9" w:rsidRDefault="009B5B10">
      <w:pPr>
        <w:pStyle w:val="NoSpacing"/>
        <w:rPr>
          <w:noProof/>
        </w:rPr>
      </w:pPr>
      <w:r>
        <w:rPr>
          <w:noProof/>
        </w:rPr>
        <w:t xml:space="preserve">Step up efforts to eliminate illegal bird trapping, in cooperation with all parties involved. </w:t>
      </w:r>
    </w:p>
    <w:p w:rsidR="00D337B9" w:rsidRDefault="009B5B10">
      <w:pPr>
        <w:pStyle w:val="NoSpacing"/>
        <w:rPr>
          <w:noProof/>
        </w:rPr>
      </w:pPr>
      <w:r>
        <w:rPr>
          <w:noProof/>
        </w:rPr>
        <w:t>Take part and provide support to the mapping and assessment of ec</w:t>
      </w:r>
      <w:r>
        <w:rPr>
          <w:noProof/>
        </w:rPr>
        <w:t>osystems and their services, evaluation and development of natural capital accounting systems.</w:t>
      </w:r>
      <w:r>
        <w:rPr>
          <w:rFonts w:cstheme="minorHAnsi"/>
          <w:noProof/>
          <w:color w:val="1F497D" w:themeColor="text2"/>
          <w:szCs w:val="26"/>
          <w:lang w:eastAsia="en-GB"/>
        </w:rPr>
        <w:t xml:space="preserve"> </w:t>
      </w:r>
    </w:p>
    <w:p w:rsidR="00D337B9" w:rsidRDefault="009B5B10">
      <w:pPr>
        <w:pStyle w:val="NoSpacing"/>
        <w:numPr>
          <w:ilvl w:val="0"/>
          <w:numId w:val="0"/>
        </w:numPr>
        <w:rPr>
          <w:noProof/>
        </w:rPr>
      </w:pPr>
      <w:r>
        <w:rPr>
          <w:rFonts w:cstheme="minorHAnsi"/>
          <w:noProof/>
          <w:color w:val="1F497D" w:themeColor="text2"/>
          <w:szCs w:val="26"/>
          <w:lang w:eastAsia="en-GB"/>
        </w:rPr>
        <w:drawing>
          <wp:inline distT="0" distB="0" distL="0" distR="0" wp14:anchorId="0D74DA21" wp14:editId="56E0D930">
            <wp:extent cx="2914650" cy="18053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 fig tree bay iStock_56966810_SMAL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14650" cy="1805305"/>
                    </a:xfrm>
                    <a:prstGeom prst="rect">
                      <a:avLst/>
                    </a:prstGeom>
                  </pic:spPr>
                </pic:pic>
              </a:graphicData>
            </a:graphic>
          </wp:inline>
        </w:drawing>
      </w:r>
    </w:p>
    <w:p w:rsidR="00D337B9" w:rsidRDefault="009B5B10">
      <w:pPr>
        <w:widowControl w:val="0"/>
        <w:spacing w:before="360" w:after="120" w:line="240" w:lineRule="auto"/>
        <w:outlineLvl w:val="1"/>
        <w:rPr>
          <w:rFonts w:cs="Times New Roman"/>
          <w:b/>
          <w:noProof/>
          <w:color w:val="1F497D" w:themeColor="text2"/>
          <w:sz w:val="24"/>
          <w:lang w:eastAsia="en-GB"/>
        </w:rPr>
      </w:pPr>
      <w:bookmarkStart w:id="20" w:name="_Toc454460679"/>
      <w:bookmarkStart w:id="21" w:name="_Toc469407226"/>
      <w:r>
        <w:rPr>
          <w:rFonts w:cs="Times New Roman"/>
          <w:b/>
          <w:noProof/>
          <w:color w:val="1F497D" w:themeColor="text2"/>
          <w:sz w:val="24"/>
          <w:lang w:eastAsia="en-GB"/>
        </w:rPr>
        <w:t>Green Infrastructure</w:t>
      </w:r>
      <w:bookmarkEnd w:id="20"/>
      <w:bookmarkEnd w:id="21"/>
      <w:r>
        <w:rPr>
          <w:rFonts w:cs="Times New Roman"/>
          <w:b/>
          <w:noProof/>
          <w:color w:val="1F497D" w:themeColor="text2"/>
          <w:sz w:val="24"/>
          <w:lang w:eastAsia="en-GB"/>
        </w:rPr>
        <w:t xml:space="preserve"> </w:t>
      </w:r>
    </w:p>
    <w:p w:rsidR="00D337B9" w:rsidRDefault="009B5B10">
      <w:pPr>
        <w:widowControl w:val="0"/>
        <w:shd w:val="clear" w:color="auto" w:fill="4F81BD" w:themeFill="accent1"/>
        <w:spacing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30"/>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 xml:space="preserve">incorporation of green infrastructure into related plans and programmes to help </w:t>
      </w:r>
      <w:r>
        <w:rPr>
          <w:rFonts w:ascii="Calibri" w:eastAsia="Calibri" w:hAnsi="Calibri" w:cs="Times New Roman"/>
          <w:noProof/>
          <w:color w:val="FFFFFF" w:themeColor="background1"/>
          <w:sz w:val="20"/>
          <w:lang w:eastAsia="ar-SA"/>
        </w:rPr>
        <w:t>overcome fragmentation of habitats and preserve or restore ecological connectivity, enhance ecosystem resilience and thereby ensure the continued provision of ecosystem services.</w:t>
      </w:r>
    </w:p>
    <w:p w:rsidR="00D337B9" w:rsidRDefault="009B5B10">
      <w:pPr>
        <w:widowControl w:val="0"/>
        <w:spacing w:after="120" w:line="240" w:lineRule="auto"/>
        <w:jc w:val="both"/>
        <w:rPr>
          <w:rFonts w:cs="Times New Roman"/>
          <w:noProof/>
          <w:sz w:val="20"/>
        </w:rPr>
      </w:pPr>
      <w:r>
        <w:rPr>
          <w:rFonts w:cs="Times New Roman"/>
          <w:noProof/>
          <w:sz w:val="20"/>
        </w:rPr>
        <w:t xml:space="preserve">Green Infrastructure provides ecological, economic and social benefits </w:t>
      </w:r>
      <w:r>
        <w:rPr>
          <w:rFonts w:cs="Times New Roman"/>
          <w:noProof/>
          <w:sz w:val="20"/>
        </w:rPr>
        <w:t>through natural solutions. It helps to understand the value of the benefits that nature provides to human society and to mobilise investments to sustain and enhance them.</w:t>
      </w:r>
    </w:p>
    <w:p w:rsidR="00D337B9" w:rsidRDefault="009B5B10">
      <w:pPr>
        <w:widowControl w:val="0"/>
        <w:spacing w:after="120" w:line="240" w:lineRule="auto"/>
        <w:jc w:val="both"/>
        <w:rPr>
          <w:rFonts w:cs="Times New Roman"/>
          <w:noProof/>
          <w:sz w:val="20"/>
        </w:rPr>
      </w:pPr>
      <w:r>
        <w:rPr>
          <w:rFonts w:cs="Times New Roman"/>
          <w:noProof/>
          <w:sz w:val="20"/>
        </w:rPr>
        <w:t>Cyprus has focused on the protection of Natura 2000 areas for habitats and species, a</w:t>
      </w:r>
      <w:r>
        <w:rPr>
          <w:rFonts w:cs="Times New Roman"/>
          <w:noProof/>
          <w:sz w:val="20"/>
        </w:rPr>
        <w:t xml:space="preserve">s well as the connectivity of the network. Landscape elements have been incorporated in the Rural Development Plan (2014-2020) for protection, conservation and rehabilitation. </w:t>
      </w:r>
    </w:p>
    <w:p w:rsidR="00D337B9" w:rsidRDefault="009B5B10">
      <w:pPr>
        <w:widowControl w:val="0"/>
        <w:spacing w:after="120" w:line="240" w:lineRule="auto"/>
        <w:jc w:val="both"/>
        <w:rPr>
          <w:rFonts w:cs="Times New Roman"/>
          <w:noProof/>
          <w:sz w:val="20"/>
        </w:rPr>
      </w:pPr>
      <w:r>
        <w:rPr>
          <w:rFonts w:cs="Times New Roman"/>
          <w:noProof/>
          <w:sz w:val="20"/>
        </w:rPr>
        <w:t xml:space="preserve">Cyprus has formulated National Action Plans on Climate Change, Desertification </w:t>
      </w:r>
      <w:r>
        <w:rPr>
          <w:rFonts w:cs="Times New Roman"/>
          <w:noProof/>
          <w:sz w:val="20"/>
        </w:rPr>
        <w:t>and Biodiversity. All three plans include measures for the conservation and restoration of habitats' function and structure, in order to reverse biodiversity loss, adapt to climate change, combat desertification and integrate biodiversity into other sector</w:t>
      </w:r>
      <w:r>
        <w:rPr>
          <w:rFonts w:cs="Times New Roman"/>
          <w:noProof/>
          <w:sz w:val="20"/>
        </w:rPr>
        <w:t>s, policies and strategies.</w:t>
      </w:r>
      <w:bookmarkStart w:id="22" w:name="_Toc454460680"/>
    </w:p>
    <w:p w:rsidR="00D337B9" w:rsidRDefault="009B5B10">
      <w:pPr>
        <w:widowControl w:val="0"/>
        <w:spacing w:before="240" w:after="120" w:line="240" w:lineRule="auto"/>
        <w:outlineLvl w:val="1"/>
        <w:rPr>
          <w:rFonts w:cs="Times New Roman"/>
          <w:b/>
          <w:noProof/>
          <w:color w:val="1F497D" w:themeColor="text2"/>
          <w:sz w:val="24"/>
          <w:lang w:eastAsia="en-GB"/>
        </w:rPr>
      </w:pPr>
      <w:bookmarkStart w:id="23" w:name="_Toc469407227"/>
      <w:r>
        <w:rPr>
          <w:rFonts w:cs="Times New Roman"/>
          <w:b/>
          <w:noProof/>
          <w:color w:val="1F497D" w:themeColor="text2"/>
          <w:sz w:val="24"/>
          <w:lang w:eastAsia="en-GB"/>
        </w:rPr>
        <w:t>Soil protection</w:t>
      </w:r>
      <w:bookmarkEnd w:id="22"/>
      <w:bookmarkEnd w:id="23"/>
      <w:r>
        <w:rPr>
          <w:rFonts w:cs="Times New Roman"/>
          <w:b/>
          <w:noProof/>
          <w:color w:val="1F497D" w:themeColor="text2"/>
          <w:sz w:val="24"/>
          <w:lang w:eastAsia="en-GB"/>
        </w:rPr>
        <w:t xml:space="preserve"> </w:t>
      </w:r>
    </w:p>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Soil Thematic Strategy highlights the need to ensure a sustainable use of soils. This requires the prevention of further soil degradation and the preservation of its functions, as well as the restoration </w:t>
      </w:r>
      <w:r>
        <w:rPr>
          <w:rFonts w:cs="Times New Roman"/>
          <w:noProof/>
          <w:color w:val="FFFFFF" w:themeColor="background1"/>
          <w:sz w:val="20"/>
        </w:rPr>
        <w:t>of degraded soils. The 2011 Road Map for Resource-Efficient Europe, part of Europe 2020 Strategy provides that by 2020, EU policies take into account their direct and indirect impact on land use in the EU and globally, and the rate of land take is on track</w:t>
      </w:r>
      <w:r>
        <w:rPr>
          <w:rFonts w:cs="Times New Roman"/>
          <w:noProof/>
          <w:color w:val="FFFFFF" w:themeColor="background1"/>
          <w:sz w:val="20"/>
        </w:rPr>
        <w:t xml:space="preserve"> with an aim to achieve no net land take by 2050.</w:t>
      </w:r>
    </w:p>
    <w:p w:rsidR="00D337B9" w:rsidRDefault="009B5B10">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 floods, and strive to achieve a land-degradation-neutral world by</w:t>
      </w:r>
      <w:r>
        <w:rPr>
          <w:rFonts w:ascii="Calibri" w:eastAsia="Calibri" w:hAnsi="Calibri" w:cs="Times New Roman"/>
          <w:noProof/>
          <w:color w:val="FFFFFF"/>
          <w:sz w:val="20"/>
          <w:lang w:eastAsia="ar-SA"/>
        </w:rPr>
        <w:t xml:space="preserve"> 2030.</w:t>
      </w:r>
    </w:p>
    <w:p w:rsidR="00D337B9" w:rsidRDefault="009B5B10">
      <w:pPr>
        <w:widowControl w:val="0"/>
        <w:spacing w:before="120" w:after="120" w:line="240" w:lineRule="auto"/>
        <w:jc w:val="both"/>
        <w:rPr>
          <w:noProof/>
          <w:sz w:val="20"/>
          <w:lang w:eastAsia="en-GB"/>
        </w:rPr>
      </w:pPr>
      <w:r>
        <w:rPr>
          <w:noProof/>
          <w:sz w:val="20"/>
          <w:lang w:eastAsia="en-GB"/>
        </w:rPr>
        <w:t>Soil is an important resource for life and the economy. It provides key ecosystem services including the provision of food, fibre and biomass for renewable energy, carbon sequestration, water purification and flood regulation, the provision of raw a</w:t>
      </w:r>
      <w:r>
        <w:rPr>
          <w:noProof/>
          <w:sz w:val="20"/>
          <w:lang w:eastAsia="en-GB"/>
        </w:rPr>
        <w:t xml:space="preserve">nd building material. Soil is a finite and extremely fragile resource and increasingly degrading in the EU. Land taken by urban development and infrastructure is highly unlikely to be reverted to its natural state; it consumes mostly agricultural land and </w:t>
      </w:r>
      <w:r>
        <w:rPr>
          <w:noProof/>
          <w:sz w:val="20"/>
          <w:lang w:eastAsia="en-GB"/>
        </w:rPr>
        <w:t>increases fragmentation of habitats. Soil protection is indirectly addressed in existing EU policies in areas such as agriculture, water, waste, chemicals, and prevention of industrial pollution.</w:t>
      </w:r>
    </w:p>
    <w:p w:rsidR="00D337B9" w:rsidRDefault="009B5B10">
      <w:pPr>
        <w:widowControl w:val="0"/>
        <w:spacing w:after="120" w:line="240" w:lineRule="auto"/>
        <w:jc w:val="both"/>
        <w:rPr>
          <w:rFonts w:cs="Times New Roman"/>
          <w:noProof/>
          <w:sz w:val="20"/>
          <w:szCs w:val="20"/>
        </w:rPr>
      </w:pPr>
      <w:r>
        <w:rPr>
          <w:rFonts w:cs="Times New Roman"/>
          <w:noProof/>
          <w:sz w:val="20"/>
          <w:szCs w:val="20"/>
        </w:rPr>
        <w:t>Artificial land cover is used for settlements, production sy</w:t>
      </w:r>
      <w:r>
        <w:rPr>
          <w:rFonts w:cs="Times New Roman"/>
          <w:noProof/>
          <w:sz w:val="20"/>
          <w:szCs w:val="20"/>
        </w:rPr>
        <w:t>stems and infrastructure. It may itself be split between built-up areas (buildings) and non-built-up areas (such as linear transport networks and associated areas).</w:t>
      </w:r>
    </w:p>
    <w:p w:rsidR="00D337B9" w:rsidRDefault="009B5B10">
      <w:pPr>
        <w:widowControl w:val="0"/>
        <w:spacing w:after="120" w:line="240" w:lineRule="auto"/>
        <w:jc w:val="both"/>
        <w:rPr>
          <w:rFonts w:cs="Times New Roman"/>
          <w:noProof/>
          <w:sz w:val="20"/>
          <w:szCs w:val="20"/>
        </w:rPr>
      </w:pPr>
      <w:r>
        <w:rPr>
          <w:rFonts w:cs="Times New Roman"/>
          <w:noProof/>
          <w:sz w:val="20"/>
          <w:szCs w:val="20"/>
        </w:rPr>
        <w:t>The annual land take rate (growth of artificial areas) as provided by CORINE Land Cover was</w:t>
      </w:r>
      <w:r>
        <w:rPr>
          <w:rFonts w:cs="Times New Roman"/>
          <w:noProof/>
          <w:sz w:val="20"/>
          <w:szCs w:val="20"/>
        </w:rPr>
        <w:t xml:space="preserve"> 0.58% in Cyprus over the period 2006-12, above the EU average (0.41%). It represented 471 hectares per year and was mainly driven by housing, services and recreation</w:t>
      </w:r>
      <w:r>
        <w:rPr>
          <w:rFonts w:cs="Times New Roman"/>
          <w:noProof/>
          <w:sz w:val="20"/>
          <w:szCs w:val="20"/>
          <w:vertAlign w:val="superscript"/>
        </w:rPr>
        <w:footnoteReference w:id="31"/>
      </w:r>
      <w:r>
        <w:rPr>
          <w:rFonts w:cs="Times New Roman"/>
          <w:noProof/>
          <w:sz w:val="20"/>
          <w:szCs w:val="20"/>
        </w:rPr>
        <w:t>.</w:t>
      </w:r>
    </w:p>
    <w:p w:rsidR="00D337B9" w:rsidRDefault="009B5B10">
      <w:pPr>
        <w:widowControl w:val="0"/>
        <w:spacing w:after="120" w:line="240" w:lineRule="auto"/>
        <w:jc w:val="both"/>
        <w:rPr>
          <w:rFonts w:cs="Times New Roman"/>
          <w:noProof/>
          <w:sz w:val="20"/>
        </w:rPr>
      </w:pPr>
      <w:r>
        <w:rPr>
          <w:rFonts w:cs="Times New Roman"/>
          <w:noProof/>
          <w:sz w:val="20"/>
          <w:szCs w:val="20"/>
        </w:rPr>
        <w:t xml:space="preserve">The soil erosion rate in 2010 was 2.89 tonnes per hectare per year, close to EU-28 </w:t>
      </w:r>
      <w:r>
        <w:rPr>
          <w:rFonts w:cs="Times New Roman"/>
          <w:noProof/>
          <w:sz w:val="20"/>
          <w:szCs w:val="20"/>
        </w:rPr>
        <w:t>average (2.46 tonnes)</w:t>
      </w:r>
      <w:r>
        <w:rPr>
          <w:rFonts w:cs="Times New Roman"/>
          <w:noProof/>
          <w:sz w:val="20"/>
          <w:szCs w:val="20"/>
          <w:vertAlign w:val="superscript"/>
        </w:rPr>
        <w:footnoteReference w:id="32"/>
      </w:r>
      <w:r>
        <w:rPr>
          <w:rFonts w:cs="Times New Roman"/>
          <w:noProof/>
          <w:sz w:val="20"/>
          <w:szCs w:val="20"/>
        </w:rPr>
        <w:t xml:space="preserve">. Soil erosion is also one of the priority sectors under the National Climate Change Adaptation Plan. </w:t>
      </w:r>
      <w:r>
        <w:rPr>
          <w:rFonts w:cs="Times New Roman"/>
          <w:noProof/>
          <w:sz w:val="20"/>
        </w:rPr>
        <w:t>Figure 8 shows the different land cover types in Cyprus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D337B9">
        <w:tc>
          <w:tcPr>
            <w:tcW w:w="4919" w:type="dxa"/>
          </w:tcPr>
          <w:p w:rsidR="00D337B9" w:rsidRDefault="009B5B10">
            <w:pPr>
              <w:widowControl w:val="0"/>
              <w:spacing w:after="120"/>
              <w:jc w:val="both"/>
              <w:rPr>
                <w:rFonts w:cs="Times New Roman"/>
                <w:b/>
                <w:bCs/>
                <w:noProof/>
                <w:color w:val="1F497D" w:themeColor="text2"/>
                <w:sz w:val="20"/>
              </w:rPr>
            </w:pPr>
            <w:r>
              <w:rPr>
                <w:rFonts w:cs="Times New Roman"/>
                <w:b/>
                <w:bCs/>
                <w:noProof/>
                <w:color w:val="1F497D" w:themeColor="text2"/>
                <w:sz w:val="20"/>
              </w:rPr>
              <w:t>Figure 8: Land Cover types in Cyprus in 2012</w:t>
            </w:r>
            <w:r>
              <w:rPr>
                <w:rFonts w:cs="Times New Roman"/>
                <w:b/>
                <w:bCs/>
                <w:noProof/>
                <w:color w:val="1F497D" w:themeColor="text2"/>
                <w:sz w:val="20"/>
                <w:vertAlign w:val="superscript"/>
              </w:rPr>
              <w:footnoteReference w:id="33"/>
            </w:r>
          </w:p>
        </w:tc>
      </w:tr>
      <w:tr w:rsidR="00D337B9">
        <w:tc>
          <w:tcPr>
            <w:tcW w:w="4919" w:type="dxa"/>
          </w:tcPr>
          <w:p w:rsidR="00D337B9" w:rsidRDefault="009B5B10">
            <w:pPr>
              <w:widowControl w:val="0"/>
              <w:spacing w:after="120"/>
              <w:jc w:val="both"/>
              <w:rPr>
                <w:rFonts w:cs="Times New Roman"/>
                <w:noProof/>
                <w:sz w:val="20"/>
              </w:rPr>
            </w:pPr>
            <w:r>
              <w:rPr>
                <w:rFonts w:ascii="Arial" w:hAnsi="Arial" w:cs="Arial"/>
                <w:noProof/>
                <w:sz w:val="20"/>
                <w:szCs w:val="20"/>
                <w:lang w:eastAsia="en-GB"/>
              </w:rPr>
              <w:drawing>
                <wp:inline distT="0" distB="0" distL="0" distR="0" wp14:anchorId="0AF8DEEE" wp14:editId="088D17CC">
                  <wp:extent cx="3061970" cy="3646805"/>
                  <wp:effectExtent l="0" t="0" r="5080" b="0"/>
                  <wp:docPr id="30" name="Picture 30" descr="CY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_CS_CLC_typ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1970" cy="3646805"/>
                          </a:xfrm>
                          <a:prstGeom prst="rect">
                            <a:avLst/>
                          </a:prstGeom>
                          <a:noFill/>
                          <a:ln>
                            <a:noFill/>
                          </a:ln>
                        </pic:spPr>
                      </pic:pic>
                    </a:graphicData>
                  </a:graphic>
                </wp:inline>
              </w:drawing>
            </w:r>
          </w:p>
        </w:tc>
      </w:tr>
    </w:tbl>
    <w:p w:rsidR="00D337B9" w:rsidRDefault="009B5B10">
      <w:pPr>
        <w:widowControl w:val="0"/>
        <w:spacing w:after="120" w:line="240" w:lineRule="auto"/>
        <w:jc w:val="both"/>
        <w:rPr>
          <w:rFonts w:cs="Times New Roman"/>
          <w:noProof/>
          <w:sz w:val="20"/>
          <w:szCs w:val="20"/>
        </w:rPr>
      </w:pPr>
      <w:r>
        <w:rPr>
          <w:rFonts w:cs="Times New Roman"/>
          <w:noProof/>
          <w:sz w:val="20"/>
          <w:szCs w:val="20"/>
        </w:rPr>
        <w:t xml:space="preserve">There are still </w:t>
      </w:r>
      <w:r>
        <w:rPr>
          <w:rFonts w:cs="Times New Roman"/>
          <w:noProof/>
          <w:sz w:val="20"/>
          <w:szCs w:val="20"/>
        </w:rPr>
        <w:t>no EU-wide datasets enabling the provision of benchmark indicators for soil organic matter decline, contaminated sites, pressures on soil biology and diffuse pollution. An updated inventory and assessment of soil protection policy instruments in Cyprus and</w:t>
      </w:r>
      <w:r>
        <w:rPr>
          <w:rFonts w:cs="Times New Roman"/>
          <w:noProof/>
          <w:sz w:val="20"/>
          <w:szCs w:val="20"/>
        </w:rPr>
        <w:t xml:space="preserve"> other EU Member States is being performed by the EU Expert Group on Soil Protection.</w:t>
      </w:r>
    </w:p>
    <w:p w:rsidR="00D337B9" w:rsidRDefault="009B5B10">
      <w:pPr>
        <w:widowControl w:val="0"/>
        <w:spacing w:before="120" w:after="120" w:line="240" w:lineRule="auto"/>
        <w:outlineLvl w:val="1"/>
        <w:rPr>
          <w:rFonts w:cs="Times New Roman"/>
          <w:b/>
          <w:noProof/>
          <w:color w:val="1F497D" w:themeColor="text2"/>
          <w:sz w:val="24"/>
          <w:lang w:eastAsia="en-GB"/>
        </w:rPr>
      </w:pPr>
      <w:bookmarkStart w:id="24" w:name="_Toc454460681"/>
      <w:bookmarkStart w:id="25" w:name="_Toc469407228"/>
      <w:bookmarkEnd w:id="19"/>
      <w:r>
        <w:rPr>
          <w:rFonts w:cs="Times New Roman"/>
          <w:b/>
          <w:noProof/>
          <w:color w:val="1F497D" w:themeColor="text2"/>
          <w:sz w:val="24"/>
          <w:lang w:eastAsia="en-GB"/>
        </w:rPr>
        <w:t>Marine protection</w:t>
      </w:r>
      <w:bookmarkEnd w:id="24"/>
      <w:bookmarkEnd w:id="25"/>
    </w:p>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Coastal and Marine Policy and legislation require that by 2020 the impact of pressures on marine waters is reduced to achieve or maintain good en</w:t>
      </w:r>
      <w:r>
        <w:rPr>
          <w:rFonts w:cs="Times New Roman"/>
          <w:noProof/>
          <w:color w:val="FFFFFF" w:themeColor="background1"/>
          <w:sz w:val="20"/>
        </w:rPr>
        <w:t>vironmental status and coastal zones are managed sustainably.</w:t>
      </w:r>
    </w:p>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for sustainable development.</w:t>
      </w:r>
    </w:p>
    <w:p w:rsidR="00D337B9" w:rsidRDefault="009B5B10">
      <w:pPr>
        <w:widowControl w:val="0"/>
        <w:spacing w:after="120" w:line="240" w:lineRule="auto"/>
        <w:jc w:val="both"/>
        <w:rPr>
          <w:rFonts w:cs="Times New Roman"/>
          <w:noProof/>
          <w:sz w:val="20"/>
        </w:rPr>
      </w:pPr>
      <w:r>
        <w:rPr>
          <w:rFonts w:cs="Times New Roman"/>
          <w:noProof/>
          <w:sz w:val="20"/>
        </w:rPr>
        <w:t>The Marine Strategy Framework Directive (MSFD)</w:t>
      </w:r>
      <w:r>
        <w:rPr>
          <w:rFonts w:cs="Times New Roman"/>
          <w:noProof/>
          <w:sz w:val="20"/>
          <w:vertAlign w:val="superscript"/>
        </w:rPr>
        <w:footnoteReference w:id="34"/>
      </w:r>
      <w:r>
        <w:rPr>
          <w:rFonts w:cs="Times New Roman"/>
          <w:noProof/>
          <w:sz w:val="20"/>
        </w:rPr>
        <w:t xml:space="preserve"> aims to achieve Good Environmental Status (GES)</w:t>
      </w:r>
      <w:r>
        <w:rPr>
          <w:rFonts w:cs="Times New Roman"/>
          <w:noProof/>
          <w:sz w:val="20"/>
          <w:vertAlign w:val="superscript"/>
        </w:rPr>
        <w:footnoteReference w:id="35"/>
      </w:r>
      <w:r>
        <w:rPr>
          <w:rFonts w:cs="Times New Roman"/>
          <w:noProof/>
          <w:sz w:val="20"/>
        </w:rPr>
        <w:t xml:space="preserve">  of the EU's marine waters by 2020 by</w:t>
      </w:r>
      <w:r>
        <w:rPr>
          <w:rFonts w:cs="Times New Roman"/>
          <w:noProof/>
          <w:sz w:val="20"/>
          <w:lang w:val="en"/>
        </w:rPr>
        <w:t xml:space="preserve"> providing an ecosystem approach to the management of human activities with impact on the marine environment</w:t>
      </w:r>
      <w:r>
        <w:rPr>
          <w:rFonts w:cs="Times New Roman"/>
          <w:noProof/>
          <w:sz w:val="20"/>
        </w:rPr>
        <w:t>. The Directive requires Member States to develop and impleme</w:t>
      </w:r>
      <w:r>
        <w:rPr>
          <w:rFonts w:cs="Times New Roman"/>
          <w:noProof/>
          <w:sz w:val="20"/>
        </w:rPr>
        <w:t>nt a marine strategy for their marine waters, and cooperate with Member States sharing the same marine region or subregion.</w:t>
      </w:r>
    </w:p>
    <w:p w:rsidR="00D337B9" w:rsidRDefault="009B5B10">
      <w:pPr>
        <w:widowControl w:val="0"/>
        <w:spacing w:after="120" w:line="240" w:lineRule="auto"/>
        <w:jc w:val="both"/>
        <w:rPr>
          <w:rFonts w:cs="Times New Roman"/>
          <w:noProof/>
          <w:color w:val="FF0000"/>
          <w:sz w:val="20"/>
        </w:rPr>
      </w:pPr>
      <w:r>
        <w:rPr>
          <w:rFonts w:cs="Times New Roman"/>
          <w:noProof/>
          <w:sz w:val="20"/>
          <w:lang w:eastAsia="en-GB"/>
        </w:rPr>
        <w:drawing>
          <wp:inline distT="0" distB="0" distL="0" distR="0" wp14:anchorId="27D69D97" wp14:editId="6F687156">
            <wp:extent cx="2986405" cy="19659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_2 new coast iStock-531928828 - letty17 (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86405" cy="1965960"/>
                    </a:xfrm>
                    <a:prstGeom prst="rect">
                      <a:avLst/>
                    </a:prstGeom>
                  </pic:spPr>
                </pic:pic>
              </a:graphicData>
            </a:graphic>
          </wp:inline>
        </w:drawing>
      </w:r>
      <w:r>
        <w:rPr>
          <w:rFonts w:cs="Times New Roman"/>
          <w:noProof/>
          <w:sz w:val="20"/>
        </w:rPr>
        <w:t>As part of their marine strategies, Member States had to make an initial assessment of their marine waters, determine GES and estab</w:t>
      </w:r>
      <w:r>
        <w:rPr>
          <w:rFonts w:cs="Times New Roman"/>
          <w:noProof/>
          <w:sz w:val="20"/>
        </w:rPr>
        <w:t>lish environmental targets by July 2012. They also had to establish monitoring programmes for the on-going assessment of their marine waters by July 2014. The next element of their marine strategy is to establish a Programme of Measures (2016). The Commiss</w:t>
      </w:r>
      <w:r>
        <w:rPr>
          <w:rFonts w:cs="Times New Roman"/>
          <w:noProof/>
          <w:sz w:val="20"/>
        </w:rPr>
        <w:t>ion assesses whether these elements constitute an appropriate framework to meet the requirements of the MSFD.</w:t>
      </w:r>
    </w:p>
    <w:p w:rsidR="00D337B9" w:rsidRDefault="009B5B10">
      <w:pPr>
        <w:widowControl w:val="0"/>
        <w:spacing w:after="120" w:line="240" w:lineRule="auto"/>
        <w:jc w:val="both"/>
        <w:rPr>
          <w:rFonts w:cs="Times New Roman"/>
          <w:noProof/>
          <w:sz w:val="20"/>
          <w:lang w:val="en-US"/>
        </w:rPr>
      </w:pPr>
      <w:r>
        <w:rPr>
          <w:rFonts w:eastAsia="Times New Roman" w:cs="Times New Roman"/>
          <w:noProof/>
          <w:sz w:val="20"/>
        </w:rPr>
        <w:t>The Mediterranean Sea region has been identified by the EEA in its 2015 State of the Environment report as one of the main climate change hotspots</w:t>
      </w:r>
      <w:r>
        <w:rPr>
          <w:rFonts w:eastAsia="Times New Roman" w:cs="Times New Roman"/>
          <w:noProof/>
          <w:sz w:val="20"/>
        </w:rPr>
        <w:t xml:space="preserve"> (i.e. one of the areas most responsive to climate change) due to water scarcity, concentration of economic activities in coastal areas, and reliance on climate-sensitive agriculture. The introduction of invasive alien species presents an important threat,</w:t>
      </w:r>
      <w:r>
        <w:rPr>
          <w:rFonts w:eastAsia="Times New Roman" w:cs="Times New Roman"/>
          <w:noProof/>
          <w:sz w:val="20"/>
        </w:rPr>
        <w:t xml:space="preserve"> especially for Cyprus due to its proximity with the Suez Canal, with the number of invasive alien species increasing significantly since 1970. Finally, the unique biodiversity of the Mediterranean Sea Region is also threatened by pollution from land-based</w:t>
      </w:r>
      <w:r>
        <w:rPr>
          <w:rFonts w:eastAsia="Times New Roman" w:cs="Times New Roman"/>
          <w:noProof/>
          <w:sz w:val="20"/>
        </w:rPr>
        <w:t xml:space="preserve"> sources, such as discharges of excess nutrients and hazardous substances, marine litter, over-fishing and degradation of critical habitats.</w:t>
      </w:r>
    </w:p>
    <w:p w:rsidR="00D337B9" w:rsidRDefault="009B5B10">
      <w:pPr>
        <w:widowControl w:val="0"/>
        <w:spacing w:after="120" w:line="240" w:lineRule="auto"/>
        <w:jc w:val="both"/>
        <w:rPr>
          <w:rFonts w:cs="Times New Roman"/>
          <w:noProof/>
          <w:sz w:val="20"/>
          <w:lang w:val="en-US"/>
        </w:rPr>
      </w:pPr>
      <w:r>
        <w:rPr>
          <w:rFonts w:cs="Times New Roman"/>
          <w:noProof/>
          <w:sz w:val="20"/>
          <w:lang w:val="en-US"/>
        </w:rPr>
        <w:t>In its implementation of the MSFD, Cyprus has set GES for nearly all descriptors, but in a way that is too general.</w:t>
      </w:r>
      <w:r>
        <w:rPr>
          <w:rFonts w:cs="Times New Roman"/>
          <w:noProof/>
          <w:sz w:val="20"/>
          <w:lang w:val="en-US"/>
        </w:rPr>
        <w:t xml:space="preserve"> There is no systematic use of the 2010 Commission Decision criteria and indicators when setting Good Environmental Status, there is lack of clarity in what constitutes Good Environmental Status and what the environmental targets and associated indicators </w:t>
      </w:r>
      <w:r>
        <w:rPr>
          <w:rFonts w:cs="Times New Roman"/>
          <w:noProof/>
          <w:sz w:val="20"/>
          <w:lang w:val="en-US"/>
        </w:rPr>
        <w:t>are</w:t>
      </w:r>
      <w:r>
        <w:rPr>
          <w:rFonts w:cs="Times New Roman"/>
          <w:noProof/>
          <w:sz w:val="20"/>
          <w:vertAlign w:val="superscript"/>
          <w:lang w:val="en-US"/>
        </w:rPr>
        <w:footnoteReference w:id="36"/>
      </w:r>
      <w:r>
        <w:rPr>
          <w:rFonts w:cs="Times New Roman"/>
          <w:noProof/>
          <w:sz w:val="20"/>
          <w:lang w:val="en-US"/>
        </w:rPr>
        <w:t>. It is therefore too early to conclude whether Cypriot marine waters are in a good status, as there were weaknesses in identifying what GES is in the first place.</w:t>
      </w:r>
    </w:p>
    <w:p w:rsidR="00D337B9" w:rsidRDefault="009B5B10">
      <w:pPr>
        <w:widowControl w:val="0"/>
        <w:spacing w:after="120" w:line="240" w:lineRule="auto"/>
        <w:jc w:val="both"/>
        <w:rPr>
          <w:rFonts w:cs="Times New Roman"/>
          <w:noProof/>
          <w:sz w:val="20"/>
        </w:rPr>
      </w:pPr>
      <w:r>
        <w:rPr>
          <w:rFonts w:cs="Times New Roman"/>
          <w:noProof/>
          <w:sz w:val="20"/>
        </w:rPr>
        <w:t>Cyprus also established a monitoring programme of its marine waters in 2014. However, it</w:t>
      </w:r>
      <w:r>
        <w:rPr>
          <w:rFonts w:cs="Times New Roman"/>
          <w:noProof/>
          <w:sz w:val="20"/>
        </w:rPr>
        <w:t xml:space="preserve"> seems that its monitoring sub-programmes for biodiversity, non-indigenous species, hydrographical changes, contaminants, marine litter and underwater noise need further refinement and development to constitute an appropriate framework for monitoring progr</w:t>
      </w:r>
      <w:r>
        <w:rPr>
          <w:rFonts w:cs="Times New Roman"/>
          <w:noProof/>
          <w:sz w:val="20"/>
        </w:rPr>
        <w:t>ess towards GES</w:t>
      </w:r>
      <w:r>
        <w:rPr>
          <w:rFonts w:cs="Times New Roman"/>
          <w:noProof/>
          <w:sz w:val="20"/>
          <w:vertAlign w:val="superscript"/>
        </w:rPr>
        <w:footnoteReference w:id="37"/>
      </w:r>
      <w:r>
        <w:rPr>
          <w:rFonts w:cs="Times New Roman"/>
          <w:noProof/>
          <w:sz w:val="20"/>
        </w:rPr>
        <w:t>. Marine ecosystems and biodiversity are also covered by the National Climate Change Adaptation Plan.</w:t>
      </w:r>
    </w:p>
    <w:p w:rsidR="00D337B9" w:rsidRDefault="009B5B10">
      <w:pPr>
        <w:widowControl w:val="0"/>
        <w:spacing w:after="120" w:line="240" w:lineRule="auto"/>
        <w:jc w:val="both"/>
        <w:rPr>
          <w:rFonts w:cs="Times New Roman"/>
          <w:noProof/>
          <w:color w:val="FF0000"/>
          <w:sz w:val="20"/>
          <w:lang w:val="en-US"/>
        </w:rPr>
      </w:pPr>
      <w:r>
        <w:rPr>
          <w:rFonts w:cs="Times New Roman"/>
          <w:noProof/>
          <w:sz w:val="20"/>
        </w:rPr>
        <w:t>In 2012, Cypriot marine protected areas covered 131.4 square kilometres of its marine waters in the Aegean and Levantine Sea</w:t>
      </w:r>
      <w:r>
        <w:rPr>
          <w:rFonts w:cs="Times New Roman"/>
          <w:noProof/>
          <w:sz w:val="20"/>
          <w:vertAlign w:val="superscript"/>
        </w:rPr>
        <w:footnoteReference w:id="38"/>
      </w:r>
      <w:r>
        <w:rPr>
          <w:rFonts w:cs="Times New Roman"/>
          <w:noProof/>
          <w:sz w:val="20"/>
        </w:rPr>
        <w:t>.</w:t>
      </w:r>
    </w:p>
    <w:p w:rsidR="00D337B9" w:rsidRDefault="009B5B10">
      <w:pPr>
        <w:widowControl w:val="0"/>
        <w:spacing w:after="120" w:line="240" w:lineRule="auto"/>
        <w:jc w:val="both"/>
        <w:rPr>
          <w:rFonts w:cs="Times New Roman"/>
          <w:noProof/>
          <w:sz w:val="20"/>
          <w:szCs w:val="20"/>
        </w:rPr>
      </w:pPr>
      <w:r>
        <w:rPr>
          <w:rFonts w:cs="Times New Roman"/>
          <w:noProof/>
          <w:sz w:val="20"/>
          <w:szCs w:val="20"/>
        </w:rPr>
        <w:t>In its repo</w:t>
      </w:r>
      <w:r>
        <w:rPr>
          <w:rFonts w:cs="Times New Roman"/>
          <w:noProof/>
          <w:sz w:val="20"/>
          <w:szCs w:val="20"/>
        </w:rPr>
        <w:t>rts on the implementation of the MSFD</w:t>
      </w:r>
      <w:r>
        <w:rPr>
          <w:rFonts w:cs="Times New Roman"/>
          <w:noProof/>
          <w:sz w:val="20"/>
          <w:szCs w:val="20"/>
          <w:vertAlign w:val="superscript"/>
        </w:rPr>
        <w:footnoteReference w:id="39"/>
      </w:r>
      <w:r>
        <w:rPr>
          <w:rFonts w:cs="Times New Roman"/>
          <w:noProof/>
          <w:sz w:val="20"/>
          <w:szCs w:val="20"/>
        </w:rPr>
        <w:t>, the Commission has provided guidance to assist Cyprus in its implementation of the MSFD.</w:t>
      </w:r>
    </w:p>
    <w:p w:rsidR="00D337B9" w:rsidRDefault="009B5B10">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D337B9" w:rsidRDefault="009B5B10">
      <w:pPr>
        <w:pStyle w:val="NoSpacing"/>
        <w:rPr>
          <w:noProof/>
        </w:rPr>
      </w:pPr>
      <w:r>
        <w:rPr>
          <w:noProof/>
        </w:rPr>
        <w:t xml:space="preserve">Continue work to improve the definitions of GES (in particular for the biodiversity descriptors), including </w:t>
      </w:r>
      <w:r>
        <w:rPr>
          <w:noProof/>
        </w:rPr>
        <w:t>through regional cooperation by using the work of the relevant Regional Sea Convention.</w:t>
      </w:r>
    </w:p>
    <w:p w:rsidR="00D337B9" w:rsidRDefault="009B5B10">
      <w:pPr>
        <w:pStyle w:val="NoSpacing"/>
        <w:rPr>
          <w:noProof/>
        </w:rPr>
      </w:pPr>
      <w:r>
        <w:rPr>
          <w:noProof/>
        </w:rPr>
        <w:t xml:space="preserve">Address knowledge gaps. </w:t>
      </w:r>
    </w:p>
    <w:p w:rsidR="00D337B9" w:rsidRDefault="009B5B10">
      <w:pPr>
        <w:pStyle w:val="NoSpacing"/>
        <w:rPr>
          <w:noProof/>
        </w:rPr>
      </w:pPr>
      <w:r>
        <w:rPr>
          <w:noProof/>
        </w:rPr>
        <w:t>Further develop approaches assessing (and quantifying) impacts from the main pressures in order to lead to improved and more conclusive assessm</w:t>
      </w:r>
      <w:r>
        <w:rPr>
          <w:noProof/>
        </w:rPr>
        <w:t>ent results for 2018 reporting.</w:t>
      </w:r>
    </w:p>
    <w:p w:rsidR="00D337B9" w:rsidRDefault="009B5B10">
      <w:pPr>
        <w:pStyle w:val="NoSpacing"/>
        <w:widowControl w:val="0"/>
        <w:rPr>
          <w:noProof/>
        </w:rPr>
      </w:pPr>
      <w:r>
        <w:rPr>
          <w:bCs/>
          <w:noProof/>
        </w:rPr>
        <w:t>Continue to integrate existing monitoring programmes required under other EU legislation and to implement other joint monitoring programmes, where they exist, developed at (sub)regional level, for instance by the Barcelona C</w:t>
      </w:r>
      <w:r>
        <w:rPr>
          <w:bCs/>
          <w:noProof/>
        </w:rPr>
        <w:t>onvention.</w:t>
      </w:r>
    </w:p>
    <w:p w:rsidR="00D337B9" w:rsidRDefault="009B5B10">
      <w:pPr>
        <w:pStyle w:val="NoSpacing"/>
        <w:widowControl w:val="0"/>
        <w:rPr>
          <w:noProof/>
        </w:rPr>
      </w:pPr>
      <w:r>
        <w:rPr>
          <w:bCs/>
          <w:noProof/>
        </w:rPr>
        <w:t>Enhance comparability and consistency of monitoring methods within its marine region.</w:t>
      </w:r>
    </w:p>
    <w:p w:rsidR="00D337B9" w:rsidRDefault="009B5B10">
      <w:pPr>
        <w:pStyle w:val="NoSpacing"/>
        <w:widowControl w:val="0"/>
        <w:rPr>
          <w:noProof/>
        </w:rPr>
      </w:pPr>
      <w:r>
        <w:rPr>
          <w:noProof/>
        </w:rPr>
        <w:t>Urgently report and implement its programme of measures</w:t>
      </w:r>
      <w:r>
        <w:rPr>
          <w:noProof/>
          <w:vertAlign w:val="superscript"/>
        </w:rPr>
        <w:footnoteReference w:id="40"/>
      </w:r>
      <w:r>
        <w:rPr>
          <w:noProof/>
        </w:rPr>
        <w:t>.</w:t>
      </w:r>
    </w:p>
    <w:p w:rsidR="00D337B9" w:rsidRDefault="009B5B10">
      <w:pPr>
        <w:pStyle w:val="NoSpacing"/>
        <w:widowControl w:val="0"/>
        <w:rPr>
          <w:noProof/>
        </w:rPr>
      </w:pPr>
      <w:r>
        <w:rPr>
          <w:noProof/>
        </w:rPr>
        <w:t>Ensure that its monitoring programme is appropriate to monitor progress towards its GES.</w:t>
      </w:r>
    </w:p>
    <w:p w:rsidR="00D337B9" w:rsidRDefault="009B5B10">
      <w:pPr>
        <w:pStyle w:val="NoSpacing"/>
        <w:widowControl w:val="0"/>
        <w:rPr>
          <w:noProof/>
        </w:rPr>
      </w:pPr>
      <w:r>
        <w:rPr>
          <w:noProof/>
        </w:rPr>
        <w:t xml:space="preserve">Ensure that </w:t>
      </w:r>
      <w:r>
        <w:rPr>
          <w:noProof/>
        </w:rPr>
        <w:t>the monitoring programme is implemented without delay, and is appropriate to monitor progress towards its GES.</w:t>
      </w:r>
    </w:p>
    <w:p w:rsidR="00D337B9" w:rsidRDefault="00D337B9">
      <w:pPr>
        <w:widowControl w:val="0"/>
        <w:pBdr>
          <w:top w:val="nil"/>
          <w:left w:val="nil"/>
          <w:bottom w:val="nil"/>
          <w:right w:val="nil"/>
          <w:between w:val="nil"/>
          <w:bar w:val="nil"/>
        </w:pBdr>
        <w:spacing w:after="120" w:line="240" w:lineRule="auto"/>
        <w:ind w:left="3"/>
        <w:jc w:val="both"/>
        <w:rPr>
          <w:rFonts w:cs="Times New Roman"/>
          <w:noProof/>
          <w:sz w:val="20"/>
        </w:rPr>
        <w:sectPr w:rsidR="00D337B9">
          <w:headerReference w:type="even" r:id="rId71"/>
          <w:headerReference w:type="default" r:id="rId72"/>
          <w:footerReference w:type="even" r:id="rId73"/>
          <w:footerReference w:type="default" r:id="rId74"/>
          <w:headerReference w:type="first" r:id="rId75"/>
          <w:footerReference w:type="first" r:id="rId76"/>
          <w:type w:val="continuous"/>
          <w:pgSz w:w="11906" w:h="16838"/>
          <w:pgMar w:top="1440" w:right="1080" w:bottom="1440" w:left="1080" w:header="708" w:footer="708" w:gutter="0"/>
          <w:cols w:num="2" w:space="340"/>
          <w:docGrid w:linePitch="360"/>
        </w:sectPr>
      </w:pPr>
    </w:p>
    <w:p w:rsidR="00D337B9" w:rsidRDefault="009B5B10">
      <w:pPr>
        <w:keepNext/>
        <w:keepLines/>
        <w:widowControl w:val="0"/>
        <w:numPr>
          <w:ilvl w:val="0"/>
          <w:numId w:val="25"/>
        </w:numPr>
        <w:spacing w:line="240" w:lineRule="auto"/>
        <w:jc w:val="center"/>
        <w:outlineLvl w:val="0"/>
        <w:rPr>
          <w:rFonts w:eastAsiaTheme="majorEastAsia" w:cstheme="majorBidi"/>
          <w:b/>
          <w:bCs/>
          <w:noProof/>
          <w:color w:val="1F497D" w:themeColor="text2"/>
          <w:sz w:val="32"/>
          <w:szCs w:val="28"/>
        </w:rPr>
      </w:pPr>
      <w:bookmarkStart w:id="26" w:name="_Toc469407229"/>
      <w:r>
        <w:rPr>
          <w:rFonts w:eastAsiaTheme="majorEastAsia" w:cstheme="majorBidi"/>
          <w:b/>
          <w:bCs/>
          <w:noProof/>
          <w:color w:val="1F497D" w:themeColor="text2"/>
          <w:sz w:val="32"/>
          <w:szCs w:val="28"/>
        </w:rPr>
        <w:t>Ensuring citizens' health and</w:t>
      </w:r>
      <w:r>
        <w:rPr>
          <w:rFonts w:eastAsiaTheme="majorEastAsia" w:cstheme="majorBidi"/>
          <w:b/>
          <w:bCs/>
          <w:noProof/>
          <w:color w:val="1F497D" w:themeColor="text2"/>
          <w:sz w:val="32"/>
          <w:szCs w:val="28"/>
        </w:rPr>
        <w:t xml:space="preserve"> quality of life</w:t>
      </w:r>
      <w:bookmarkEnd w:id="26"/>
    </w:p>
    <w:p w:rsidR="00D337B9" w:rsidRDefault="00D337B9">
      <w:pPr>
        <w:widowControl w:val="0"/>
        <w:spacing w:after="120" w:line="240" w:lineRule="auto"/>
        <w:jc w:val="both"/>
        <w:rPr>
          <w:rFonts w:cs="Times New Roman"/>
          <w:noProof/>
          <w:sz w:val="20"/>
        </w:rPr>
        <w:sectPr w:rsidR="00D337B9">
          <w:headerReference w:type="even" r:id="rId77"/>
          <w:headerReference w:type="default" r:id="rId78"/>
          <w:footerReference w:type="even" r:id="rId79"/>
          <w:footerReference w:type="default" r:id="rId80"/>
          <w:headerReference w:type="first" r:id="rId81"/>
          <w:footerReference w:type="first" r:id="rId82"/>
          <w:type w:val="continuous"/>
          <w:pgSz w:w="11906" w:h="16838"/>
          <w:pgMar w:top="1440" w:right="1080" w:bottom="1440" w:left="1080" w:header="708" w:footer="708" w:gutter="0"/>
          <w:cols w:space="566"/>
          <w:docGrid w:linePitch="360"/>
        </w:sectPr>
      </w:pPr>
    </w:p>
    <w:p w:rsidR="00D337B9" w:rsidRDefault="009B5B10">
      <w:pPr>
        <w:widowControl w:val="0"/>
        <w:spacing w:after="0" w:line="240" w:lineRule="auto"/>
        <w:outlineLvl w:val="1"/>
        <w:rPr>
          <w:rFonts w:cs="Times New Roman"/>
          <w:b/>
          <w:noProof/>
          <w:color w:val="1F497D" w:themeColor="text2"/>
          <w:sz w:val="24"/>
        </w:rPr>
      </w:pPr>
      <w:bookmarkStart w:id="27" w:name="_Toc433296166"/>
      <w:bookmarkStart w:id="28" w:name="_Toc454813115"/>
      <w:bookmarkStart w:id="29" w:name="_Toc469407230"/>
      <w:r>
        <w:rPr>
          <w:rFonts w:cs="Times New Roman"/>
          <w:b/>
          <w:noProof/>
          <w:color w:val="1F497D" w:themeColor="text2"/>
          <w:sz w:val="24"/>
        </w:rPr>
        <w:t>Air quality</w:t>
      </w:r>
      <w:bookmarkEnd w:id="27"/>
      <w:bookmarkEnd w:id="28"/>
      <w:bookmarkEnd w:id="29"/>
      <w:r>
        <w:rPr>
          <w:rFonts w:cs="Times New Roman"/>
          <w:b/>
          <w:noProof/>
          <w:color w:val="1F497D" w:themeColor="text2"/>
          <w:sz w:val="24"/>
        </w:rPr>
        <w:t xml:space="preserve"> </w:t>
      </w:r>
    </w:p>
    <w:p w:rsidR="00D337B9" w:rsidRDefault="009B5B10">
      <w:pPr>
        <w:widowControl w:val="0"/>
        <w:shd w:val="clear" w:color="auto" w:fill="4F81BD" w:themeFill="accent1"/>
        <w:spacing w:after="120" w:line="240" w:lineRule="auto"/>
        <w:jc w:val="both"/>
        <w:rPr>
          <w:rFonts w:cs="Times New Roman"/>
          <w:noProof/>
          <w:color w:val="FFFFFF" w:themeColor="background1"/>
          <w:sz w:val="20"/>
          <w:szCs w:val="20"/>
        </w:rPr>
      </w:pPr>
      <w:bookmarkStart w:id="30" w:name="_Toc433296167"/>
      <w:r>
        <w:rPr>
          <w:rFonts w:cs="Times New Roman"/>
          <w:noProof/>
          <w:color w:val="FFFFFF" w:themeColor="background1"/>
          <w:sz w:val="20"/>
          <w:szCs w:val="20"/>
        </w:rPr>
        <w:t xml:space="preserve"> The EU Clean Air Policy and legislation require that air quality in the Union is significantly improved, moving closer to the WHO recommended levels. Air pollution and its impacts on ecosystems and biodiversity should be further reduced with the long-term</w:t>
      </w:r>
      <w:r>
        <w:rPr>
          <w:rFonts w:cs="Times New Roman"/>
          <w:noProof/>
          <w:color w:val="FFFFFF" w:themeColor="background1"/>
          <w:sz w:val="20"/>
          <w:szCs w:val="20"/>
        </w:rPr>
        <w:t xml:space="preserve"> aim of not exceeding critical loads and levels. This requires strengthening efforts to reach full compliance with Union air quality legislation and defining strategic targets and actions beyond 2020.</w:t>
      </w:r>
    </w:p>
    <w:tbl>
      <w:tblPr>
        <w:tblStyle w:val="TableGrid2"/>
        <w:tblpPr w:leftFromText="180" w:rightFromText="180" w:vertAnchor="text" w:horzAnchor="margin" w:tblpY="146"/>
        <w:tblW w:w="993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D337B9">
        <w:trPr>
          <w:trHeight w:val="311"/>
        </w:trPr>
        <w:tc>
          <w:tcPr>
            <w:tcW w:w="9936" w:type="dxa"/>
          </w:tcPr>
          <w:p w:rsidR="00D337B9" w:rsidRDefault="009B5B10">
            <w:pPr>
              <w:spacing w:after="120"/>
              <w:jc w:val="both"/>
              <w:rPr>
                <w:rFonts w:cs="Times New Roman"/>
                <w:b/>
                <w:bCs/>
                <w:noProof/>
                <w:color w:val="1F497D" w:themeColor="text2"/>
                <w:sz w:val="20"/>
              </w:rPr>
            </w:pPr>
            <w:r>
              <w:rPr>
                <w:rFonts w:cs="Times New Roman"/>
                <w:b/>
                <w:bCs/>
                <w:noProof/>
                <w:color w:val="1F497D" w:themeColor="text2"/>
                <w:sz w:val="20"/>
              </w:rPr>
              <w:t xml:space="preserve">Figure 9: Attainment situation for PM10, NO2 and O3 in </w:t>
            </w:r>
            <w:r>
              <w:rPr>
                <w:rFonts w:cs="Times New Roman"/>
                <w:b/>
                <w:bCs/>
                <w:noProof/>
                <w:color w:val="1F497D" w:themeColor="text2"/>
                <w:sz w:val="20"/>
              </w:rPr>
              <w:t>2014</w:t>
            </w:r>
          </w:p>
        </w:tc>
      </w:tr>
      <w:tr w:rsidR="00D337B9">
        <w:trPr>
          <w:trHeight w:val="3601"/>
        </w:trPr>
        <w:tc>
          <w:tcPr>
            <w:tcW w:w="9936" w:type="dxa"/>
          </w:tcPr>
          <w:p w:rsidR="00D337B9" w:rsidRDefault="009B5B10">
            <w:pPr>
              <w:jc w:val="both"/>
              <w:rPr>
                <w:rFonts w:cs="Times New Roman"/>
                <w:noProof/>
                <w:sz w:val="20"/>
              </w:rPr>
            </w:pPr>
            <w:r>
              <w:rPr>
                <w:rFonts w:cs="Times New Roman"/>
                <w:noProof/>
                <w:sz w:val="20"/>
                <w:lang w:eastAsia="en-GB"/>
              </w:rPr>
              <w:drawing>
                <wp:inline distT="0" distB="0" distL="0" distR="0" wp14:anchorId="14D0D506" wp14:editId="2A89067F">
                  <wp:extent cx="6145530" cy="30359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45530" cy="3035935"/>
                          </a:xfrm>
                          <a:prstGeom prst="rect">
                            <a:avLst/>
                          </a:prstGeom>
                          <a:noFill/>
                        </pic:spPr>
                      </pic:pic>
                    </a:graphicData>
                  </a:graphic>
                </wp:inline>
              </w:drawing>
            </w:r>
          </w:p>
        </w:tc>
      </w:tr>
    </w:tbl>
    <w:p w:rsidR="00D337B9" w:rsidRDefault="009B5B10">
      <w:pPr>
        <w:widowControl w:val="0"/>
        <w:spacing w:after="120" w:line="240" w:lineRule="auto"/>
        <w:jc w:val="both"/>
        <w:rPr>
          <w:rFonts w:cs="Times New Roman"/>
          <w:noProof/>
          <w:sz w:val="20"/>
          <w:szCs w:val="20"/>
        </w:rPr>
      </w:pPr>
      <w:r>
        <w:rPr>
          <w:rFonts w:cs="Times New Roman"/>
          <w:noProof/>
          <w:sz w:val="20"/>
          <w:szCs w:val="20"/>
        </w:rPr>
        <w:t>The EU has developed a comprehensive suite of air quality legislation</w:t>
      </w:r>
      <w:r>
        <w:rPr>
          <w:rFonts w:cs="Times New Roman"/>
          <w:noProof/>
          <w:sz w:val="20"/>
          <w:szCs w:val="20"/>
          <w:vertAlign w:val="superscript"/>
        </w:rPr>
        <w:footnoteReference w:id="41"/>
      </w:r>
      <w:r>
        <w:rPr>
          <w:rFonts w:cs="Times New Roman"/>
          <w:noProof/>
          <w:sz w:val="20"/>
          <w:szCs w:val="20"/>
        </w:rPr>
        <w:t>,</w:t>
      </w:r>
      <w:r>
        <w:rPr>
          <w:rFonts w:cs="Times New Roman"/>
          <w:noProof/>
          <w:sz w:val="20"/>
          <w:szCs w:val="20"/>
          <w:lang w:val="en"/>
        </w:rPr>
        <w:t xml:space="preserve"> </w:t>
      </w:r>
      <w:r>
        <w:rPr>
          <w:rFonts w:cs="Times New Roman"/>
          <w:noProof/>
          <w:sz w:val="20"/>
          <w:szCs w:val="20"/>
        </w:rPr>
        <w:t>which establishes health-based standards and objectives for a number of air pollutants. As part of this, Member States are also required to ensure that up-to-date information on ambient concentrations of different air pollutants is routinely made available</w:t>
      </w:r>
      <w:r>
        <w:rPr>
          <w:rFonts w:cs="Times New Roman"/>
          <w:noProof/>
          <w:sz w:val="20"/>
          <w:szCs w:val="20"/>
        </w:rPr>
        <w:t xml:space="preserve"> to the public. In addition, the National Emission Ceilings Directive provides for emission reductions at national level that should be achieved for main pollutants. </w:t>
      </w:r>
    </w:p>
    <w:p w:rsidR="00D337B9" w:rsidRDefault="009B5B10">
      <w:pPr>
        <w:widowControl w:val="0"/>
        <w:spacing w:after="120" w:line="240" w:lineRule="auto"/>
        <w:jc w:val="both"/>
        <w:rPr>
          <w:rFonts w:cs="Times New Roman"/>
          <w:noProof/>
          <w:sz w:val="20"/>
          <w:szCs w:val="20"/>
        </w:rPr>
      </w:pPr>
      <w:r>
        <w:rPr>
          <w:rFonts w:cs="Times New Roman"/>
          <w:noProof/>
          <w:sz w:val="20"/>
          <w:szCs w:val="20"/>
          <w:lang w:eastAsia="en-GB"/>
        </w:rPr>
        <w:t>The emission of several air pollutants has decreased in Cyprus</w:t>
      </w:r>
      <w:r>
        <w:rPr>
          <w:rFonts w:cs="Times New Roman"/>
          <w:noProof/>
          <w:sz w:val="20"/>
          <w:szCs w:val="20"/>
          <w:vertAlign w:val="superscript"/>
          <w:lang w:eastAsia="en-GB"/>
        </w:rPr>
        <w:footnoteReference w:id="42"/>
      </w:r>
      <w:r>
        <w:rPr>
          <w:rFonts w:cs="Times New Roman"/>
          <w:noProof/>
          <w:sz w:val="20"/>
          <w:szCs w:val="20"/>
          <w:lang w:eastAsia="en-GB"/>
        </w:rPr>
        <w:t>. Significant emission red</w:t>
      </w:r>
      <w:r>
        <w:rPr>
          <w:rFonts w:cs="Times New Roman"/>
          <w:noProof/>
          <w:sz w:val="20"/>
          <w:szCs w:val="20"/>
          <w:lang w:eastAsia="en-GB"/>
        </w:rPr>
        <w:t>uctions between 1990 and 2014 for sulphur oxides (-46%), ammonia (-12%) and for volatile organic compounds (-58%) ensure that air emissions for these pollutants are within the currently applicable national emission ceilings</w:t>
      </w:r>
      <w:r>
        <w:rPr>
          <w:rFonts w:cs="Times New Roman"/>
          <w:noProof/>
          <w:sz w:val="20"/>
          <w:szCs w:val="20"/>
          <w:vertAlign w:val="superscript"/>
          <w:lang w:eastAsia="en-GB"/>
        </w:rPr>
        <w:footnoteReference w:id="43"/>
      </w:r>
      <w:r>
        <w:rPr>
          <w:rFonts w:cs="Times New Roman"/>
          <w:noProof/>
          <w:sz w:val="20"/>
          <w:szCs w:val="20"/>
          <w:lang w:eastAsia="en-GB"/>
        </w:rPr>
        <w:t>. Although nitrogen oxides</w:t>
      </w:r>
      <w:r>
        <w:rPr>
          <w:rFonts w:cs="Times New Roman"/>
          <w:noProof/>
          <w:sz w:val="20"/>
          <w:szCs w:val="20"/>
          <w:vertAlign w:val="superscript"/>
          <w:lang w:eastAsia="en-GB"/>
        </w:rPr>
        <w:footnoteReference w:id="44"/>
      </w:r>
      <w:r>
        <w:rPr>
          <w:rFonts w:cs="Times New Roman"/>
          <w:noProof/>
          <w:sz w:val="20"/>
          <w:szCs w:val="20"/>
          <w:lang w:eastAsia="en-GB"/>
        </w:rPr>
        <w:t xml:space="preserve"> incr</w:t>
      </w:r>
      <w:r>
        <w:rPr>
          <w:rFonts w:cs="Times New Roman"/>
          <w:noProof/>
          <w:sz w:val="20"/>
          <w:szCs w:val="20"/>
          <w:lang w:eastAsia="en-GB"/>
        </w:rPr>
        <w:t>eased by 1%, the total emissions are still within the currently applicable ceiling.</w:t>
      </w:r>
    </w:p>
    <w:p w:rsidR="00D337B9" w:rsidRDefault="009B5B10">
      <w:pPr>
        <w:spacing w:after="120" w:line="240" w:lineRule="auto"/>
        <w:jc w:val="both"/>
        <w:rPr>
          <w:rFonts w:cs="Times New Roman"/>
          <w:noProof/>
          <w:sz w:val="20"/>
          <w:szCs w:val="20"/>
          <w:lang w:eastAsia="en-GB"/>
        </w:rPr>
      </w:pPr>
      <w:r>
        <w:rPr>
          <w:rFonts w:cs="Times New Roman"/>
          <w:noProof/>
          <w:sz w:val="20"/>
          <w:szCs w:val="20"/>
          <w:lang w:eastAsia="en-GB"/>
        </w:rPr>
        <w:t>Air quality in Cyprus is reported to be generally good, with exceptions. Nevertheless, for the year 2013, the European Environment Agency estimated that about 450 premature</w:t>
      </w:r>
      <w:r>
        <w:rPr>
          <w:rFonts w:cs="Times New Roman"/>
          <w:noProof/>
          <w:sz w:val="20"/>
          <w:szCs w:val="20"/>
          <w:lang w:eastAsia="en-GB"/>
        </w:rPr>
        <w:t xml:space="preserve"> deaths were attributable to fine particulate matter</w:t>
      </w:r>
      <w:r>
        <w:rPr>
          <w:rFonts w:cs="Times New Roman"/>
          <w:noProof/>
          <w:sz w:val="20"/>
          <w:szCs w:val="20"/>
          <w:vertAlign w:val="superscript"/>
          <w:lang w:eastAsia="en-GB"/>
        </w:rPr>
        <w:footnoteReference w:id="45"/>
      </w:r>
      <w:r>
        <w:rPr>
          <w:rFonts w:cs="Times New Roman"/>
          <w:noProof/>
          <w:sz w:val="20"/>
          <w:szCs w:val="20"/>
          <w:lang w:eastAsia="en-GB"/>
        </w:rPr>
        <w:t xml:space="preserve"> concentrations, and a further 30 to ozone</w:t>
      </w:r>
      <w:r>
        <w:rPr>
          <w:rFonts w:cs="Times New Roman"/>
          <w:noProof/>
          <w:sz w:val="20"/>
          <w:szCs w:val="20"/>
          <w:vertAlign w:val="superscript"/>
          <w:lang w:eastAsia="en-GB"/>
        </w:rPr>
        <w:footnoteReference w:id="46"/>
      </w:r>
      <w:r>
        <w:rPr>
          <w:rFonts w:cs="Times New Roman"/>
          <w:noProof/>
          <w:sz w:val="20"/>
          <w:szCs w:val="20"/>
          <w:lang w:eastAsia="en-GB"/>
        </w:rPr>
        <w:t xml:space="preserve"> concentrations.</w:t>
      </w:r>
      <w:r>
        <w:rPr>
          <w:rFonts w:cs="Times New Roman"/>
          <w:noProof/>
          <w:sz w:val="20"/>
          <w:szCs w:val="20"/>
          <w:vertAlign w:val="superscript"/>
          <w:lang w:eastAsia="en-GB"/>
        </w:rPr>
        <w:footnoteReference w:id="47"/>
      </w:r>
      <w:r>
        <w:rPr>
          <w:rFonts w:cs="Times New Roman"/>
          <w:noProof/>
          <w:sz w:val="20"/>
          <w:szCs w:val="20"/>
          <w:lang w:eastAsia="en-GB"/>
        </w:rPr>
        <w:t xml:space="preserve"> Figure 9</w:t>
      </w:r>
      <w:r>
        <w:rPr>
          <w:rFonts w:cs="Times New Roman"/>
          <w:noProof/>
          <w:sz w:val="20"/>
          <w:szCs w:val="20"/>
          <w:vertAlign w:val="superscript"/>
          <w:lang w:eastAsia="en-GB"/>
        </w:rPr>
        <w:footnoteReference w:id="48"/>
      </w:r>
      <w:r>
        <w:rPr>
          <w:rFonts w:cs="Times New Roman"/>
          <w:noProof/>
          <w:sz w:val="20"/>
          <w:szCs w:val="20"/>
          <w:lang w:eastAsia="en-GB"/>
        </w:rPr>
        <w:t xml:space="preserve"> depicts the attainment situation for PM</w:t>
      </w:r>
      <w:r>
        <w:rPr>
          <w:rFonts w:cs="Times New Roman"/>
          <w:noProof/>
          <w:sz w:val="20"/>
          <w:szCs w:val="20"/>
          <w:vertAlign w:val="subscript"/>
          <w:lang w:eastAsia="en-GB"/>
        </w:rPr>
        <w:t>10</w:t>
      </w:r>
      <w:r>
        <w:rPr>
          <w:rFonts w:cs="Times New Roman"/>
          <w:noProof/>
          <w:sz w:val="20"/>
          <w:szCs w:val="20"/>
          <w:lang w:eastAsia="en-GB"/>
        </w:rPr>
        <w:t>, NO</w:t>
      </w:r>
      <w:r>
        <w:rPr>
          <w:rFonts w:cs="Times New Roman"/>
          <w:noProof/>
          <w:sz w:val="20"/>
          <w:szCs w:val="20"/>
          <w:vertAlign w:val="subscript"/>
          <w:lang w:eastAsia="en-GB"/>
        </w:rPr>
        <w:t>2</w:t>
      </w:r>
      <w:r>
        <w:rPr>
          <w:rFonts w:cs="Times New Roman"/>
          <w:noProof/>
          <w:sz w:val="20"/>
          <w:szCs w:val="20"/>
          <w:lang w:eastAsia="en-GB"/>
        </w:rPr>
        <w:t xml:space="preserve"> and ozone in 2014</w:t>
      </w:r>
      <w:r>
        <w:rPr>
          <w:rFonts w:cs="Times New Roman"/>
          <w:noProof/>
          <w:sz w:val="20"/>
          <w:szCs w:val="20"/>
          <w:vertAlign w:val="superscript"/>
          <w:lang w:eastAsia="en-GB"/>
        </w:rPr>
        <w:footnoteReference w:id="49"/>
      </w:r>
      <w:r>
        <w:rPr>
          <w:rFonts w:cs="Times New Roman"/>
          <w:noProof/>
          <w:sz w:val="20"/>
          <w:szCs w:val="20"/>
          <w:lang w:eastAsia="en-GB"/>
        </w:rPr>
        <w:t xml:space="preserve">. </w:t>
      </w:r>
    </w:p>
    <w:p w:rsidR="00D337B9" w:rsidRDefault="009B5B10">
      <w:pPr>
        <w:spacing w:after="120" w:line="240" w:lineRule="auto"/>
        <w:jc w:val="both"/>
        <w:rPr>
          <w:rFonts w:cs="Times New Roman"/>
          <w:noProof/>
          <w:sz w:val="20"/>
          <w:szCs w:val="20"/>
          <w:lang w:eastAsia="en-GB"/>
        </w:rPr>
      </w:pPr>
      <w:r>
        <w:rPr>
          <w:rFonts w:cs="Times New Roman"/>
          <w:noProof/>
          <w:sz w:val="20"/>
          <w:szCs w:val="20"/>
          <w:lang w:eastAsia="en-GB"/>
        </w:rPr>
        <w:t>For 2014, exceedances above the EU air quality standards have be</w:t>
      </w:r>
      <w:r>
        <w:rPr>
          <w:rFonts w:cs="Times New Roman"/>
          <w:noProof/>
          <w:sz w:val="20"/>
          <w:szCs w:val="20"/>
          <w:lang w:eastAsia="en-GB"/>
        </w:rPr>
        <w:t>en registered regarding only the target value for ozone</w:t>
      </w:r>
      <w:r>
        <w:rPr>
          <w:rFonts w:cs="Times New Roman"/>
          <w:noProof/>
          <w:sz w:val="20"/>
          <w:szCs w:val="20"/>
          <w:vertAlign w:val="superscript"/>
          <w:lang w:eastAsia="en-GB"/>
        </w:rPr>
        <w:footnoteReference w:id="50"/>
      </w:r>
      <w:r>
        <w:rPr>
          <w:rFonts w:cs="Times New Roman"/>
          <w:noProof/>
          <w:sz w:val="20"/>
          <w:szCs w:val="20"/>
          <w:lang w:eastAsia="en-GB"/>
        </w:rPr>
        <w:t>.</w:t>
      </w:r>
    </w:p>
    <w:p w:rsidR="00D337B9" w:rsidRDefault="009B5B10">
      <w:pPr>
        <w:widowControl w:val="0"/>
        <w:spacing w:after="120" w:line="240" w:lineRule="auto"/>
        <w:jc w:val="both"/>
        <w:rPr>
          <w:rFonts w:cs="Times New Roman"/>
          <w:noProof/>
          <w:sz w:val="20"/>
          <w:szCs w:val="20"/>
          <w:lang w:eastAsia="en-GB"/>
        </w:rPr>
      </w:pPr>
      <w:r>
        <w:rPr>
          <w:rFonts w:cs="Times New Roman"/>
          <w:noProof/>
          <w:sz w:val="20"/>
          <w:szCs w:val="20"/>
          <w:lang w:eastAsia="en-GB"/>
        </w:rPr>
        <w:t>It has been estimated that the health-related external costs from air pollution in Cyprus are above EUR 549 million/year (income adjusted, 2010), which include not only the intrinsic value of living</w:t>
      </w:r>
      <w:r>
        <w:rPr>
          <w:rFonts w:cs="Times New Roman"/>
          <w:noProof/>
          <w:sz w:val="20"/>
          <w:szCs w:val="20"/>
          <w:lang w:eastAsia="en-GB"/>
        </w:rPr>
        <w:t xml:space="preserve"> a full, healthy life, but also direct costs to the economy. These direct economic costs relate to 213,000 workdays lost each year due to sickness related to air pollution, with associated costs for employers of EUR 17 million/year (income adjusted, 2010) </w:t>
      </w:r>
      <w:r>
        <w:rPr>
          <w:rFonts w:cs="Times New Roman"/>
          <w:noProof/>
          <w:sz w:val="20"/>
          <w:szCs w:val="20"/>
          <w:lang w:eastAsia="en-GB"/>
        </w:rPr>
        <w:t>and for healthcare of above EUR 1 – 3 million/year (income adjusted, 2010).</w:t>
      </w:r>
      <w:r>
        <w:rPr>
          <w:rFonts w:cs="Times New Roman"/>
          <w:noProof/>
          <w:sz w:val="20"/>
          <w:szCs w:val="20"/>
          <w:vertAlign w:val="superscript"/>
          <w:lang w:eastAsia="en-GB"/>
        </w:rPr>
        <w:footnoteReference w:id="51"/>
      </w:r>
    </w:p>
    <w:p w:rsidR="00D337B9" w:rsidRDefault="009B5B10">
      <w:pPr>
        <w:widowControl w:val="0"/>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D337B9" w:rsidRDefault="009B5B10">
      <w:pPr>
        <w:pStyle w:val="NoSpacing"/>
        <w:rPr>
          <w:b/>
          <w:noProof/>
          <w:color w:val="1F497D" w:themeColor="text2"/>
          <w:sz w:val="24"/>
        </w:rPr>
      </w:pPr>
      <w:r>
        <w:rPr>
          <w:noProof/>
        </w:rPr>
        <w:t>Maintain downward emissions trends of air pollutants - and reduce adverse air pollution impacts on health, environment and economy.</w:t>
      </w:r>
    </w:p>
    <w:p w:rsidR="00D337B9" w:rsidRDefault="009B5B10">
      <w:pPr>
        <w:widowControl w:val="0"/>
        <w:spacing w:before="360" w:after="120" w:line="240" w:lineRule="auto"/>
        <w:outlineLvl w:val="1"/>
        <w:rPr>
          <w:rFonts w:cs="Times New Roman"/>
          <w:b/>
          <w:noProof/>
          <w:color w:val="FF0000"/>
          <w:sz w:val="24"/>
        </w:rPr>
      </w:pPr>
      <w:bookmarkStart w:id="31" w:name="_Toc469407231"/>
      <w:r>
        <w:rPr>
          <w:rFonts w:cs="Times New Roman"/>
          <w:b/>
          <w:noProof/>
          <w:color w:val="1F497D" w:themeColor="text2"/>
          <w:sz w:val="24"/>
        </w:rPr>
        <w:t>Noise</w:t>
      </w:r>
      <w:bookmarkEnd w:id="31"/>
    </w:p>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Environmental Noise </w:t>
      </w:r>
      <w:r>
        <w:rPr>
          <w:rFonts w:cs="Times New Roman"/>
          <w:noProof/>
          <w:color w:val="FFFFFF" w:themeColor="background1"/>
          <w:sz w:val="20"/>
        </w:rPr>
        <w:t>Directive provides for a common approach for the avoidance, prevention and reduction of harmful effects due to exposure to environmental noise.</w:t>
      </w:r>
    </w:p>
    <w:p w:rsidR="00D337B9" w:rsidRDefault="009B5B10">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52"/>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w:t>
      </w:r>
      <w:r>
        <w:rPr>
          <w:rFonts w:cs="Times New Roman"/>
          <w:noProof/>
          <w:sz w:val="20"/>
        </w:rPr>
        <w:t>equirements, including assessing the exposure to environmental noise through noise mapping, ensuring that information on environmental noise and its effects is made available to the public, and adopting action plans with a view to preventing and reducing e</w:t>
      </w:r>
      <w:r>
        <w:rPr>
          <w:rFonts w:cs="Times New Roman"/>
          <w:noProof/>
          <w:sz w:val="20"/>
        </w:rPr>
        <w:t>nvironmental noise where necessary and to preserving the acoustic environment quality where it is good.</w:t>
      </w:r>
    </w:p>
    <w:p w:rsidR="00D337B9" w:rsidRDefault="009B5B10">
      <w:pPr>
        <w:widowControl w:val="0"/>
        <w:spacing w:after="120" w:line="240" w:lineRule="auto"/>
        <w:jc w:val="both"/>
        <w:rPr>
          <w:rFonts w:eastAsia="Times New Roman" w:cs="Times New Roman"/>
          <w:noProof/>
          <w:color w:val="000000"/>
          <w:kern w:val="1"/>
          <w:sz w:val="20"/>
          <w:szCs w:val="20"/>
          <w:lang w:eastAsia="hi-IN" w:bidi="hi-IN"/>
        </w:rPr>
      </w:pPr>
      <w:r>
        <w:rPr>
          <w:rFonts w:eastAsia="Times New Roman" w:cs="Times New Roman"/>
          <w:noProof/>
          <w:color w:val="000000"/>
          <w:kern w:val="1"/>
          <w:sz w:val="20"/>
          <w:szCs w:val="20"/>
          <w:lang w:eastAsia="hi-IN" w:bidi="hi-IN"/>
        </w:rPr>
        <w:t>Cyprus’s implementation of the Environmental Noise Directive</w:t>
      </w:r>
      <w:r>
        <w:rPr>
          <w:rFonts w:eastAsia="Times New Roman" w:cs="Times New Roman"/>
          <w:noProof/>
          <w:color w:val="000000"/>
          <w:kern w:val="1"/>
          <w:sz w:val="20"/>
          <w:szCs w:val="20"/>
          <w:vertAlign w:val="superscript"/>
          <w:lang w:eastAsia="hi-IN" w:bidi="hi-IN"/>
        </w:rPr>
        <w:footnoteReference w:id="53"/>
      </w:r>
      <w:r>
        <w:rPr>
          <w:rFonts w:eastAsia="Times New Roman" w:cs="Times New Roman"/>
          <w:noProof/>
          <w:color w:val="000000"/>
          <w:kern w:val="1"/>
          <w:sz w:val="20"/>
          <w:szCs w:val="20"/>
          <w:lang w:eastAsia="hi-IN" w:bidi="hi-IN"/>
        </w:rPr>
        <w:t xml:space="preserve"> is significantly delayed. Action plans for noise management in the current period have not been adopted for any of the agglomerations or roads within the scope of the Directive. The Commission contacted the Cypriot authorities with regard to the missing a</w:t>
      </w:r>
      <w:r>
        <w:rPr>
          <w:rFonts w:eastAsia="Times New Roman" w:cs="Times New Roman"/>
          <w:noProof/>
          <w:color w:val="000000"/>
          <w:kern w:val="1"/>
          <w:sz w:val="20"/>
          <w:szCs w:val="20"/>
          <w:lang w:eastAsia="hi-IN" w:bidi="hi-IN"/>
        </w:rPr>
        <w:t>ction plans, and continues to follow up on the situation.</w:t>
      </w:r>
    </w:p>
    <w:p w:rsidR="00D337B9" w:rsidRDefault="009B5B10">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D337B9" w:rsidRDefault="009B5B10">
      <w:pPr>
        <w:pStyle w:val="NoSpacing"/>
        <w:rPr>
          <w:noProof/>
        </w:rPr>
      </w:pPr>
      <w:r>
        <w:rPr>
          <w:noProof/>
        </w:rPr>
        <w:t>Complete action plans for noise management.</w:t>
      </w:r>
      <w:bookmarkStart w:id="32" w:name="_Toc454460685"/>
      <w:bookmarkEnd w:id="30"/>
    </w:p>
    <w:p w:rsidR="00D337B9" w:rsidRDefault="009B5B10">
      <w:pPr>
        <w:widowControl w:val="0"/>
        <w:spacing w:before="360" w:after="120" w:line="240" w:lineRule="auto"/>
        <w:outlineLvl w:val="1"/>
        <w:rPr>
          <w:rFonts w:cs="Times New Roman"/>
          <w:b/>
          <w:noProof/>
          <w:color w:val="1F497D" w:themeColor="text2"/>
          <w:sz w:val="24"/>
          <w:lang w:eastAsia="en-GB"/>
        </w:rPr>
      </w:pPr>
      <w:bookmarkStart w:id="33" w:name="_Toc469407232"/>
      <w:r>
        <w:rPr>
          <w:rFonts w:cs="Times New Roman"/>
          <w:b/>
          <w:noProof/>
          <w:color w:val="1F497D" w:themeColor="text2"/>
          <w:sz w:val="24"/>
          <w:lang w:eastAsia="en-GB"/>
        </w:rPr>
        <w:t>Water quality and management</w:t>
      </w:r>
      <w:bookmarkEnd w:id="32"/>
      <w:bookmarkEnd w:id="33"/>
    </w:p>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water policy and legislation require that the impact of pressures on transitional, coastal and fresh </w:t>
      </w:r>
      <w:r>
        <w:rPr>
          <w:rFonts w:cs="Times New Roman"/>
          <w:noProof/>
          <w:color w:val="FFFFFF" w:themeColor="background1"/>
          <w:sz w:val="20"/>
        </w:rPr>
        <w:t>waters (including surface and ground waters) is significantly reduced to achieve, maintain or enhance good status of water bodies, as defined by the Water Framework Directive; that citizens throughout the Union benefit from high standards for safe drinking</w:t>
      </w:r>
      <w:r>
        <w:rPr>
          <w:rFonts w:cs="Times New Roman"/>
          <w:noProof/>
          <w:color w:val="FFFFFF" w:themeColor="background1"/>
          <w:sz w:val="20"/>
        </w:rPr>
        <w:t xml:space="preserve"> and bathing water; and that the nutrient cycle (nitrogen and phosphorus) is managed in a more sustainable and resource-efficient way.</w:t>
      </w:r>
    </w:p>
    <w:p w:rsidR="00D337B9" w:rsidRDefault="009B5B10">
      <w:pPr>
        <w:widowControl w:val="0"/>
        <w:shd w:val="clear" w:color="auto" w:fill="4F81BD" w:themeFill="accent1"/>
        <w:spacing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countries to ensure availability and sustainable management of water and sanitation for all.</w:t>
      </w:r>
    </w:p>
    <w:p w:rsidR="00D337B9" w:rsidRDefault="009B5B10">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main ov</w:t>
      </w:r>
      <w:r>
        <w:rPr>
          <w:rFonts w:eastAsia="Times New Roman" w:cs="Times New Roman"/>
          <w:noProof/>
          <w:color w:val="000000"/>
          <w:sz w:val="20"/>
          <w:szCs w:val="20"/>
        </w:rPr>
        <w:t xml:space="preserve">erall objective of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54"/>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w:t>
      </w:r>
      <w:r>
        <w:rPr>
          <w:rFonts w:eastAsia="Times New Roman" w:cs="Times New Roman"/>
          <w:noProof/>
          <w:color w:val="000000"/>
          <w:sz w:val="20"/>
          <w:szCs w:val="20"/>
        </w:rPr>
        <w:t xml:space="preserve"> </w:t>
      </w:r>
    </w:p>
    <w:p w:rsidR="00D337B9" w:rsidRDefault="009B5B10">
      <w:pPr>
        <w:widowControl w:val="0"/>
        <w:autoSpaceDE w:val="0"/>
        <w:spacing w:after="120" w:line="240" w:lineRule="auto"/>
        <w:jc w:val="both"/>
        <w:rPr>
          <w:rFonts w:cs="Times New Roman"/>
          <w:noProof/>
          <w:sz w:val="20"/>
        </w:rPr>
      </w:pPr>
      <w:r>
        <w:rPr>
          <w:rFonts w:cs="Times New Roman"/>
          <w:noProof/>
          <w:sz w:val="20"/>
        </w:rPr>
        <w:t>River Basin Management Plans (RBMPs) are a requirement of the Water Framework Directive and a means of achieving the protection, improvement and sustainable use of the water environment across Europe. This includes surface freshwaters such as lakes and r</w:t>
      </w:r>
      <w:r>
        <w:rPr>
          <w:rFonts w:cs="Times New Roman"/>
          <w:noProof/>
          <w:sz w:val="20"/>
        </w:rPr>
        <w:t>ivers, groundwater, estuaries and coastal waters up to one nautical mile.</w:t>
      </w:r>
    </w:p>
    <w:p w:rsidR="00D337B9" w:rsidRDefault="009B5B10">
      <w:pPr>
        <w:widowControl w:val="0"/>
        <w:spacing w:after="120" w:line="240" w:lineRule="auto"/>
        <w:jc w:val="both"/>
        <w:rPr>
          <w:rFonts w:cs="Times New Roman"/>
          <w:noProof/>
          <w:sz w:val="20"/>
          <w:lang w:eastAsia="hi-IN" w:bidi="hi-IN"/>
        </w:rPr>
      </w:pPr>
      <w:r>
        <w:rPr>
          <w:rFonts w:cs="Times New Roman"/>
          <w:noProof/>
          <w:sz w:val="20"/>
          <w:lang w:eastAsia="hi-IN" w:bidi="hi-IN"/>
        </w:rPr>
        <w:t>In its first generation of RBMPs under the WFD Cyprus reported the status of 216 rivers, 18 lakes, 27 coastal and 20 groundwater bodies. Only 43% of natural surface water bodies achi</w:t>
      </w:r>
      <w:r>
        <w:rPr>
          <w:rFonts w:cs="Times New Roman"/>
          <w:noProof/>
          <w:sz w:val="20"/>
          <w:lang w:eastAsia="hi-IN" w:bidi="hi-IN"/>
        </w:rPr>
        <w:t>eve a good or high ecological status</w:t>
      </w:r>
      <w:r>
        <w:rPr>
          <w:rFonts w:eastAsia="Times New Roman" w:cs="Times New Roman"/>
          <w:noProof/>
          <w:color w:val="000000"/>
          <w:kern w:val="1"/>
          <w:sz w:val="20"/>
          <w:szCs w:val="20"/>
          <w:vertAlign w:val="superscript"/>
          <w:lang w:eastAsia="hi-IN" w:bidi="hi-IN"/>
        </w:rPr>
        <w:footnoteReference w:id="55"/>
      </w:r>
      <w:r>
        <w:rPr>
          <w:rFonts w:cs="Times New Roman"/>
          <w:noProof/>
          <w:sz w:val="20"/>
          <w:lang w:eastAsia="hi-IN" w:bidi="hi-IN"/>
        </w:rPr>
        <w:t xml:space="preserve"> (while the status of 23% is unknown) and 32% of heavily modified or artificial water bodies</w:t>
      </w:r>
      <w:r>
        <w:rPr>
          <w:rFonts w:eastAsia="Times New Roman" w:cs="Times New Roman"/>
          <w:noProof/>
          <w:color w:val="000000"/>
          <w:kern w:val="1"/>
          <w:sz w:val="20"/>
          <w:szCs w:val="20"/>
          <w:vertAlign w:val="superscript"/>
          <w:lang w:eastAsia="hi-IN" w:bidi="hi-IN"/>
        </w:rPr>
        <w:footnoteReference w:id="56"/>
      </w:r>
      <w:r>
        <w:rPr>
          <w:rFonts w:cs="Times New Roman"/>
          <w:noProof/>
          <w:sz w:val="20"/>
          <w:lang w:eastAsia="hi-IN" w:bidi="hi-IN"/>
        </w:rPr>
        <w:t xml:space="preserve"> achieve a good or high ecological potential. 74% of surface water bodies (24% unknown), 75% of heavily modified and artificia</w:t>
      </w:r>
      <w:r>
        <w:rPr>
          <w:rFonts w:cs="Times New Roman"/>
          <w:noProof/>
          <w:sz w:val="20"/>
          <w:lang w:eastAsia="hi-IN" w:bidi="hi-IN"/>
        </w:rPr>
        <w:t>l water bodies and 55% of groundwater bodies achieve good chemical status</w:t>
      </w:r>
      <w:r>
        <w:rPr>
          <w:rFonts w:eastAsia="Times New Roman" w:cs="Times New Roman"/>
          <w:noProof/>
          <w:color w:val="000000"/>
          <w:kern w:val="1"/>
          <w:sz w:val="20"/>
          <w:szCs w:val="20"/>
          <w:vertAlign w:val="superscript"/>
          <w:lang w:eastAsia="hi-IN" w:bidi="hi-IN"/>
        </w:rPr>
        <w:footnoteReference w:id="57"/>
      </w:r>
      <w:r>
        <w:rPr>
          <w:rFonts w:cs="Times New Roman"/>
          <w:noProof/>
          <w:sz w:val="20"/>
          <w:lang w:eastAsia="hi-IN" w:bidi="hi-IN"/>
        </w:rPr>
        <w:t>. Only 20% of groundwater bodies</w:t>
      </w:r>
      <w:r>
        <w:rPr>
          <w:rFonts w:eastAsia="Times New Roman" w:cs="Times New Roman"/>
          <w:noProof/>
          <w:color w:val="000000"/>
          <w:kern w:val="1"/>
          <w:sz w:val="20"/>
          <w:szCs w:val="20"/>
          <w:vertAlign w:val="superscript"/>
          <w:lang w:eastAsia="hi-IN" w:bidi="hi-IN"/>
        </w:rPr>
        <w:footnoteReference w:id="58"/>
      </w:r>
      <w:r>
        <w:rPr>
          <w:rFonts w:cs="Times New Roman"/>
          <w:noProof/>
          <w:sz w:val="20"/>
          <w:lang w:eastAsia="hi-IN" w:bidi="hi-IN"/>
        </w:rPr>
        <w:t xml:space="preserve"> are in good quantitative status.</w:t>
      </w:r>
    </w:p>
    <w:p w:rsidR="00D337B9" w:rsidRDefault="009B5B10">
      <w:pPr>
        <w:widowControl w:val="0"/>
        <w:spacing w:after="120" w:line="240" w:lineRule="auto"/>
        <w:jc w:val="both"/>
        <w:rPr>
          <w:rFonts w:cs="Times New Roman"/>
          <w:noProof/>
          <w:sz w:val="20"/>
          <w:lang w:eastAsia="hi-IN" w:bidi="hi-IN"/>
        </w:rPr>
      </w:pPr>
      <w:r>
        <w:rPr>
          <w:rFonts w:cs="Times New Roman"/>
          <w:noProof/>
          <w:sz w:val="20"/>
          <w:lang w:eastAsia="hi-IN" w:bidi="hi-IN"/>
        </w:rPr>
        <w:t>The major water management problem in Cyprus is over-abstraction of groundwater. The main pressure on Cypriot surfa</w:t>
      </w:r>
      <w:r>
        <w:rPr>
          <w:rFonts w:cs="Times New Roman"/>
          <w:noProof/>
          <w:sz w:val="20"/>
          <w:lang w:eastAsia="hi-IN" w:bidi="hi-IN"/>
        </w:rPr>
        <w:t xml:space="preserve">ce waters comes from diffuse sources that affect 43% of surface water bodies. 17% of water bodies are affected by point sources and 20% by flow regulation or hydromorphological alterations. </w:t>
      </w:r>
    </w:p>
    <w:p w:rsidR="00D337B9" w:rsidRDefault="009B5B10">
      <w:pPr>
        <w:widowControl w:val="0"/>
        <w:spacing w:after="120" w:line="240" w:lineRule="auto"/>
        <w:jc w:val="both"/>
        <w:rPr>
          <w:rFonts w:cs="Times New Roman"/>
          <w:noProof/>
          <w:color w:val="FF0000"/>
          <w:sz w:val="20"/>
        </w:rPr>
      </w:pPr>
      <w:r>
        <w:rPr>
          <w:rFonts w:cs="Times New Roman"/>
          <w:noProof/>
          <w:sz w:val="20"/>
        </w:rPr>
        <w:t>Due to its semi-arid climate associated with limited water resour</w:t>
      </w:r>
      <w:r>
        <w:rPr>
          <w:rFonts w:cs="Times New Roman"/>
          <w:noProof/>
          <w:sz w:val="20"/>
        </w:rPr>
        <w:t>ces, Cyprus faces significant challenges related to water scarcity. The government is investing in desalination and recycling of water to tackle the issue. This has allowed Cyprus to minimize its dependency on rainfall of urban, suburban and tourist centre</w:t>
      </w:r>
      <w:r>
        <w:rPr>
          <w:rFonts w:cs="Times New Roman"/>
          <w:noProof/>
          <w:sz w:val="20"/>
        </w:rPr>
        <w:t>s. The use of recycled water is promoted for irrigation and recharge of aquifers</w:t>
      </w:r>
      <w:r>
        <w:rPr>
          <w:rFonts w:cs="Times New Roman"/>
          <w:noProof/>
          <w:sz w:val="20"/>
          <w:vertAlign w:val="superscript"/>
        </w:rPr>
        <w:footnoteReference w:id="59"/>
      </w:r>
      <w:r>
        <w:rPr>
          <w:rFonts w:cs="Times New Roman"/>
          <w:noProof/>
          <w:sz w:val="20"/>
        </w:rPr>
        <w:t>, which is good practice and can contribute under some conditions.</w:t>
      </w:r>
    </w:p>
    <w:p w:rsidR="00D337B9" w:rsidRDefault="009B5B10">
      <w:pPr>
        <w:widowControl w:val="0"/>
        <w:spacing w:after="120" w:line="240" w:lineRule="auto"/>
        <w:jc w:val="both"/>
        <w:rPr>
          <w:rFonts w:cs="Times New Roman"/>
          <w:noProof/>
          <w:sz w:val="20"/>
          <w:lang w:eastAsia="hi-IN" w:bidi="hi-IN"/>
        </w:rPr>
      </w:pPr>
      <w:r>
        <w:rPr>
          <w:rFonts w:cs="Times New Roman"/>
          <w:noProof/>
          <w:sz w:val="20"/>
          <w:lang w:eastAsia="hi-IN" w:bidi="hi-IN"/>
        </w:rPr>
        <w:t xml:space="preserve">The Cypriot RBMP has a number of deficiencies that result in uncertainties concerning the status, pressures </w:t>
      </w:r>
      <w:r>
        <w:rPr>
          <w:rFonts w:cs="Times New Roman"/>
          <w:noProof/>
          <w:sz w:val="20"/>
          <w:lang w:eastAsia="hi-IN" w:bidi="hi-IN"/>
        </w:rPr>
        <w:t>and effectiveness of its Programmes of Measures (PoMs). The measures planned are not expected to bring any improvement of the most pressing problems with groundwater quantitative and qualitative status, but should result in significant improvement of ecolo</w:t>
      </w:r>
      <w:r>
        <w:rPr>
          <w:rFonts w:cs="Times New Roman"/>
          <w:noProof/>
          <w:sz w:val="20"/>
          <w:lang w:eastAsia="hi-IN" w:bidi="hi-IN"/>
        </w:rPr>
        <w:t>gical status of surface water bodies (25% improvement) and only slight improvement (3%) in chemical status.</w:t>
      </w:r>
    </w:p>
    <w:p w:rsidR="00D337B9" w:rsidRDefault="009B5B10">
      <w:pPr>
        <w:widowControl w:val="0"/>
        <w:spacing w:after="120" w:line="240" w:lineRule="auto"/>
        <w:jc w:val="both"/>
        <w:rPr>
          <w:rFonts w:cs="Times New Roman"/>
          <w:noProof/>
          <w:sz w:val="20"/>
          <w:lang w:eastAsia="hi-IN" w:bidi="hi-IN"/>
        </w:rPr>
      </w:pPr>
      <w:r>
        <w:rPr>
          <w:rFonts w:cs="Times New Roman"/>
          <w:noProof/>
          <w:sz w:val="20"/>
          <w:lang w:eastAsia="hi-IN" w:bidi="hi-IN"/>
        </w:rPr>
        <w:t xml:space="preserve">A series of Regulations establishing a water pricing policy which would cover a broad range of water services were to be adopted by the end of 2015 </w:t>
      </w:r>
      <w:r>
        <w:rPr>
          <w:rFonts w:cs="Times New Roman"/>
          <w:noProof/>
          <w:sz w:val="20"/>
          <w:lang w:eastAsia="hi-IN" w:bidi="hi-IN"/>
        </w:rPr>
        <w:t>(Action Plan agreed between Cyprus and the Commission during the adoption of the Cypriot Operational Programme Competitiveness and Sustainable Development 2014-2020). To date, the pricing policy has not been fully implemented, with the adoption of new tari</w:t>
      </w:r>
      <w:r>
        <w:rPr>
          <w:rFonts w:cs="Times New Roman"/>
          <w:noProof/>
          <w:sz w:val="20"/>
          <w:lang w:eastAsia="hi-IN" w:bidi="hi-IN"/>
        </w:rPr>
        <w:t>ffs pending.</w:t>
      </w:r>
    </w:p>
    <w:p w:rsidR="00D337B9" w:rsidRDefault="009B5B10">
      <w:pPr>
        <w:widowControl w:val="0"/>
        <w:spacing w:after="120" w:line="240" w:lineRule="auto"/>
        <w:jc w:val="both"/>
        <w:rPr>
          <w:rFonts w:cs="Times New Roman"/>
          <w:noProof/>
          <w:sz w:val="20"/>
        </w:rPr>
      </w:pPr>
      <w:r>
        <w:rPr>
          <w:rFonts w:cs="Times New Roman"/>
          <w:noProof/>
          <w:sz w:val="20"/>
        </w:rPr>
        <w:t>There are some issues with nitrate levels from agricultural sources, with around 25% of the reported monitoring sites being affected (nitrates concentrations above 25mg/l) by pollution in the reporting period 2008-2011 and an increase in the a</w:t>
      </w:r>
      <w:r>
        <w:rPr>
          <w:rFonts w:cs="Times New Roman"/>
          <w:noProof/>
          <w:sz w:val="20"/>
        </w:rPr>
        <w:t xml:space="preserve">pplication rates of livestock manure. </w:t>
      </w:r>
    </w:p>
    <w:p w:rsidR="00D337B9" w:rsidRDefault="009B5B10">
      <w:pPr>
        <w:widowControl w:val="0"/>
        <w:spacing w:after="120" w:line="240" w:lineRule="auto"/>
        <w:jc w:val="both"/>
        <w:rPr>
          <w:rFonts w:cs="Times New Roman"/>
          <w:noProof/>
          <w:sz w:val="20"/>
        </w:rPr>
      </w:pPr>
      <w:r>
        <w:rPr>
          <w:rFonts w:cs="Times New Roman"/>
          <w:noProof/>
          <w:sz w:val="20"/>
        </w:rPr>
        <w:t>Only part of the territory under government control (around 7.5%) is identified as a nitrate vulnerable zone and therefore subject to obligatory measures of pollution control.</w:t>
      </w:r>
    </w:p>
    <w:p w:rsidR="00D337B9" w:rsidRDefault="009B5B10">
      <w:pPr>
        <w:widowControl w:val="0"/>
        <w:spacing w:after="120" w:line="240" w:lineRule="auto"/>
        <w:jc w:val="both"/>
        <w:rPr>
          <w:rFonts w:cs="Times New Roman"/>
          <w:noProof/>
          <w:sz w:val="20"/>
          <w:lang w:val="en-US"/>
        </w:rPr>
      </w:pPr>
      <w:r>
        <w:rPr>
          <w:rFonts w:cs="Times New Roman"/>
          <w:noProof/>
          <w:sz w:val="20"/>
        </w:rPr>
        <w:t>As regards drinking water, Cyprus reaches</w:t>
      </w:r>
      <w:r>
        <w:rPr>
          <w:rFonts w:cs="Times New Roman"/>
          <w:noProof/>
          <w:sz w:val="20"/>
        </w:rPr>
        <w:t xml:space="preserve"> very high compliance rates of 99-100% for microbiological and chemical parameters, and shows a 96.3% compliance rate with indicator parameters laid down in the Drinking Water Directive</w:t>
      </w:r>
      <w:r>
        <w:rPr>
          <w:rFonts w:cs="Times New Roman"/>
          <w:noProof/>
          <w:sz w:val="20"/>
          <w:lang w:val="en-US"/>
        </w:rPr>
        <w:t>.</w:t>
      </w:r>
      <w:r>
        <w:rPr>
          <w:rFonts w:cs="Times New Roman"/>
          <w:noProof/>
          <w:sz w:val="20"/>
          <w:vertAlign w:val="superscript"/>
          <w:lang w:val="en-US"/>
        </w:rPr>
        <w:footnoteReference w:id="60"/>
      </w:r>
      <w:r>
        <w:rPr>
          <w:rFonts w:cs="Times New Roman"/>
          <w:noProof/>
          <w:sz w:val="20"/>
          <w:lang w:val="en-US"/>
        </w:rPr>
        <w:t xml:space="preserve"> It is up to Member States to decide on the health risks linked to non-compliance with indicator parameters. </w:t>
      </w:r>
    </w:p>
    <w:p w:rsidR="00D337B9" w:rsidRDefault="009B5B10">
      <w:pPr>
        <w:widowControl w:val="0"/>
        <w:spacing w:after="120" w:line="240" w:lineRule="auto"/>
        <w:jc w:val="both"/>
        <w:rPr>
          <w:rFonts w:cs="Times New Roman"/>
          <w:noProof/>
          <w:color w:val="000000" w:themeColor="text1"/>
          <w:sz w:val="20"/>
        </w:rPr>
      </w:pPr>
      <w:r>
        <w:rPr>
          <w:rFonts w:cs="Times New Roman"/>
          <w:noProof/>
          <w:color w:val="000000" w:themeColor="text1"/>
          <w:sz w:val="20"/>
          <w:lang w:val="en-US"/>
        </w:rPr>
        <w:t xml:space="preserve">As shown in Figure 10, </w:t>
      </w:r>
      <w:r>
        <w:rPr>
          <w:rFonts w:cs="Times New Roman"/>
          <w:noProof/>
          <w:color w:val="000000" w:themeColor="text1"/>
          <w:sz w:val="20"/>
        </w:rPr>
        <w:t>in 2015 in Cyprus, out of 113 bathing waters 99.1% were of excellent quality, while it was not possible to assess the remai</w:t>
      </w:r>
      <w:r>
        <w:rPr>
          <w:rFonts w:cs="Times New Roman"/>
          <w:noProof/>
          <w:color w:val="000000" w:themeColor="text1"/>
          <w:sz w:val="20"/>
        </w:rPr>
        <w:t>ning 1 bathing waters.</w:t>
      </w:r>
      <w:r>
        <w:rPr>
          <w:rFonts w:cs="Times New Roman"/>
          <w:noProof/>
          <w:color w:val="000000" w:themeColor="text1"/>
          <w:sz w:val="20"/>
          <w:vertAlign w:val="superscript"/>
        </w:rPr>
        <w:footnoteReference w:id="61"/>
      </w:r>
      <w:r>
        <w:rPr>
          <w:rFonts w:cs="Times New Roman"/>
          <w:noProof/>
          <w:color w:val="000000" w:themeColor="text1"/>
          <w:sz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337B9">
        <w:tc>
          <w:tcPr>
            <w:tcW w:w="4909" w:type="dxa"/>
          </w:tcPr>
          <w:p w:rsidR="00D337B9" w:rsidRDefault="009B5B10">
            <w:pPr>
              <w:widowControl w:val="0"/>
              <w:spacing w:after="120"/>
              <w:jc w:val="both"/>
              <w:rPr>
                <w:rFonts w:cs="Times New Roman"/>
                <w:b/>
                <w:bCs/>
                <w:noProof/>
                <w:color w:val="1F497D" w:themeColor="text2"/>
                <w:sz w:val="20"/>
              </w:rPr>
            </w:pPr>
            <w:r>
              <w:rPr>
                <w:rFonts w:cs="Times New Roman"/>
                <w:b/>
                <w:bCs/>
                <w:noProof/>
                <w:color w:val="1F497D" w:themeColor="text2"/>
                <w:sz w:val="20"/>
              </w:rPr>
              <w:t>Figure 10: Bathing water quality 2012 – 2015</w:t>
            </w:r>
            <w:r>
              <w:rPr>
                <w:rFonts w:cs="Times New Roman"/>
                <w:b/>
                <w:bCs/>
                <w:noProof/>
                <w:color w:val="1F497D" w:themeColor="text2"/>
                <w:sz w:val="20"/>
                <w:vertAlign w:val="superscript"/>
              </w:rPr>
              <w:footnoteReference w:id="62"/>
            </w:r>
          </w:p>
        </w:tc>
      </w:tr>
      <w:tr w:rsidR="00D337B9">
        <w:tc>
          <w:tcPr>
            <w:tcW w:w="4909" w:type="dxa"/>
          </w:tcPr>
          <w:p w:rsidR="00D337B9" w:rsidRDefault="009B5B10">
            <w:pPr>
              <w:widowControl w:val="0"/>
              <w:spacing w:after="120"/>
              <w:jc w:val="both"/>
              <w:rPr>
                <w:rFonts w:cs="Times New Roman"/>
                <w:noProof/>
                <w:sz w:val="20"/>
              </w:rPr>
            </w:pPr>
            <w:r>
              <w:rPr>
                <w:rFonts w:cs="Times New Roman"/>
                <w:noProof/>
                <w:sz w:val="20"/>
                <w:lang w:eastAsia="en-GB"/>
              </w:rPr>
              <w:drawing>
                <wp:inline distT="0" distB="0" distL="0" distR="0" wp14:anchorId="65CAFC45" wp14:editId="373CBD81">
                  <wp:extent cx="2968512" cy="254118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70143" cy="2542577"/>
                          </a:xfrm>
                          <a:prstGeom prst="rect">
                            <a:avLst/>
                          </a:prstGeom>
                          <a:noFill/>
                        </pic:spPr>
                      </pic:pic>
                    </a:graphicData>
                  </a:graphic>
                </wp:inline>
              </w:drawing>
            </w:r>
          </w:p>
        </w:tc>
      </w:tr>
    </w:tbl>
    <w:p w:rsidR="00D337B9" w:rsidRDefault="009B5B10">
      <w:pPr>
        <w:widowControl w:val="0"/>
        <w:spacing w:after="120" w:line="240" w:lineRule="auto"/>
        <w:jc w:val="both"/>
        <w:rPr>
          <w:rFonts w:cs="Times New Roman"/>
          <w:noProof/>
          <w:sz w:val="20"/>
        </w:rPr>
      </w:pPr>
      <w:r>
        <w:rPr>
          <w:rFonts w:cs="Times New Roman"/>
          <w:noProof/>
          <w:sz w:val="20"/>
        </w:rPr>
        <w:t>The final deadline for Cyprus to reach compliance with the Urban Waste Water Treatment Directive was 31 December 2012. The Commission has so far assessed compliance with the expired</w:t>
      </w:r>
      <w:r>
        <w:rPr>
          <w:rFonts w:cs="Times New Roman"/>
          <w:noProof/>
          <w:sz w:val="20"/>
        </w:rPr>
        <w:t xml:space="preserve"> deadlines (2008, 2009, and 2011) that concerned only four agglomerations of more than 15,000 population equivalent (p.e.)</w:t>
      </w:r>
      <w:r>
        <w:rPr>
          <w:rFonts w:cs="Times New Roman"/>
          <w:noProof/>
          <w:sz w:val="20"/>
          <w:vertAlign w:val="superscript"/>
        </w:rPr>
        <w:footnoteReference w:id="63"/>
      </w:r>
      <w:r>
        <w:rPr>
          <w:rFonts w:cs="Times New Roman"/>
          <w:noProof/>
          <w:sz w:val="20"/>
        </w:rPr>
        <w:t>. For those four agglomerations in 2011, 96% of the waste water load is connected to a collecting system and 3.8 % addressed by an in</w:t>
      </w:r>
      <w:r>
        <w:rPr>
          <w:rFonts w:cs="Times New Roman"/>
          <w:noProof/>
          <w:sz w:val="20"/>
        </w:rPr>
        <w:t>dividual or appropriate system. Thus, 99.8% of the load is deemed compliant in accordance with Article 3 of the Urban Waste Water Treatment Directive. However, only 59.8% is correctly treated as regards the secondary treatment requirement. This is mainly d</w:t>
      </w:r>
      <w:r>
        <w:rPr>
          <w:rFonts w:cs="Times New Roman"/>
          <w:noProof/>
          <w:sz w:val="20"/>
        </w:rPr>
        <w:t>ue to lack of performance information about the Mia Milia wastewater treatment plant that is in the north part of Cyprus. However, all the monitoring data from this plant have been provided for the year 2014 with the submission of the 9</w:t>
      </w:r>
      <w:r>
        <w:rPr>
          <w:rFonts w:cs="Times New Roman"/>
          <w:noProof/>
          <w:sz w:val="20"/>
          <w:vertAlign w:val="superscript"/>
        </w:rPr>
        <w:t>th</w:t>
      </w:r>
      <w:r>
        <w:rPr>
          <w:rFonts w:cs="Times New Roman"/>
          <w:noProof/>
          <w:sz w:val="20"/>
        </w:rPr>
        <w:t xml:space="preserve"> Art. 15 reporting</w:t>
      </w:r>
      <w:r>
        <w:rPr>
          <w:rFonts w:cs="Times New Roman"/>
          <w:noProof/>
          <w:sz w:val="20"/>
        </w:rPr>
        <w:t xml:space="preserve"> exercise. All of the waste water subject to more stringent treatment is correctly treated in accordance with Article 5 of the Urban Waste Water Treatment Directive</w:t>
      </w:r>
      <w:r>
        <w:rPr>
          <w:rFonts w:cs="Times New Roman"/>
          <w:noProof/>
          <w:sz w:val="20"/>
          <w:vertAlign w:val="superscript"/>
        </w:rPr>
        <w:footnoteReference w:id="64"/>
      </w:r>
      <w:r>
        <w:rPr>
          <w:rFonts w:cs="Times New Roman"/>
          <w:noProof/>
          <w:sz w:val="20"/>
        </w:rPr>
        <w:t>. Cyprus belongs to a pilot project which aims to improve dissemination of data</w:t>
      </w:r>
      <w:r>
        <w:rPr>
          <w:rFonts w:cs="Times New Roman"/>
          <w:noProof/>
          <w:sz w:val="20"/>
          <w:vertAlign w:val="superscript"/>
        </w:rPr>
        <w:footnoteReference w:id="65"/>
      </w:r>
      <w:r>
        <w:rPr>
          <w:rFonts w:cs="Times New Roman"/>
          <w:noProof/>
          <w:sz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D337B9">
        <w:trPr>
          <w:trHeight w:val="273"/>
        </w:trPr>
        <w:tc>
          <w:tcPr>
            <w:tcW w:w="4910" w:type="dxa"/>
            <w:shd w:val="clear" w:color="auto" w:fill="auto"/>
          </w:tcPr>
          <w:p w:rsidR="00D337B9" w:rsidRDefault="009B5B10">
            <w:pPr>
              <w:widowControl w:val="0"/>
              <w:spacing w:after="120"/>
              <w:jc w:val="both"/>
              <w:rPr>
                <w:rFonts w:cs="Times New Roman"/>
                <w:noProof/>
                <w:sz w:val="20"/>
              </w:rPr>
            </w:pPr>
            <w:r>
              <w:rPr>
                <w:rFonts w:cs="Times New Roman"/>
                <w:b/>
                <w:bCs/>
                <w:noProof/>
                <w:color w:val="1F497D" w:themeColor="text2"/>
                <w:sz w:val="20"/>
              </w:rPr>
              <w:t>Figure 1</w:t>
            </w:r>
            <w:r>
              <w:rPr>
                <w:rFonts w:cs="Times New Roman"/>
                <w:b/>
                <w:bCs/>
                <w:noProof/>
                <w:color w:val="1F497D" w:themeColor="text2"/>
                <w:sz w:val="20"/>
              </w:rPr>
              <w:t>1: Urban waste water Cypriot situation 2011 – Final deadline 2012</w:t>
            </w:r>
            <w:r>
              <w:rPr>
                <w:rFonts w:cs="Times New Roman"/>
                <w:b/>
                <w:bCs/>
                <w:noProof/>
                <w:color w:val="1F497D" w:themeColor="text2"/>
                <w:sz w:val="20"/>
                <w:vertAlign w:val="superscript"/>
              </w:rPr>
              <w:footnoteReference w:id="66"/>
            </w:r>
          </w:p>
        </w:tc>
      </w:tr>
      <w:tr w:rsidR="00D337B9">
        <w:trPr>
          <w:trHeight w:val="261"/>
        </w:trPr>
        <w:tc>
          <w:tcPr>
            <w:tcW w:w="4910" w:type="dxa"/>
            <w:shd w:val="clear" w:color="auto" w:fill="auto"/>
          </w:tcPr>
          <w:p w:rsidR="00D337B9" w:rsidRDefault="009B5B10">
            <w:pPr>
              <w:widowControl w:val="0"/>
              <w:spacing w:after="120"/>
              <w:jc w:val="both"/>
              <w:rPr>
                <w:rFonts w:cs="Times New Roman"/>
                <w:b/>
                <w:bCs/>
                <w:noProof/>
                <w:color w:val="1F497D" w:themeColor="text2"/>
                <w:sz w:val="20"/>
              </w:rPr>
            </w:pPr>
            <w:r>
              <w:rPr>
                <w:rFonts w:cs="Times New Roman"/>
                <w:b/>
                <w:bCs/>
                <w:noProof/>
                <w:color w:val="1F497D" w:themeColor="text2"/>
                <w:sz w:val="20"/>
                <w:lang w:eastAsia="en-GB"/>
              </w:rPr>
              <w:drawing>
                <wp:inline distT="0" distB="0" distL="0" distR="0" wp14:anchorId="303EE0EB" wp14:editId="77477627">
                  <wp:extent cx="2822713" cy="2906842"/>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22713" cy="2906842"/>
                          </a:xfrm>
                          <a:prstGeom prst="rect">
                            <a:avLst/>
                          </a:prstGeom>
                          <a:noFill/>
                        </pic:spPr>
                      </pic:pic>
                    </a:graphicData>
                  </a:graphic>
                </wp:inline>
              </w:drawing>
            </w:r>
          </w:p>
        </w:tc>
      </w:tr>
    </w:tbl>
    <w:p w:rsidR="00D337B9" w:rsidRDefault="009B5B10">
      <w:pPr>
        <w:widowControl w:val="0"/>
        <w:spacing w:after="120" w:line="240" w:lineRule="auto"/>
        <w:jc w:val="both"/>
        <w:rPr>
          <w:rFonts w:cs="Times New Roman"/>
          <w:noProof/>
          <w:sz w:val="20"/>
        </w:rPr>
      </w:pPr>
      <w:r>
        <w:rPr>
          <w:rFonts w:cs="Times New Roman"/>
          <w:noProof/>
          <w:sz w:val="20"/>
        </w:rPr>
        <w:t xml:space="preserve">Figure 11 shows the total generated load at Member State level (in population equivalent and regardless of agglomerations) and the load that remains to be addressed by Cyprus. </w:t>
      </w:r>
    </w:p>
    <w:p w:rsidR="00D337B9" w:rsidRDefault="009B5B10">
      <w:pPr>
        <w:widowControl w:val="0"/>
        <w:spacing w:after="120" w:line="240" w:lineRule="auto"/>
        <w:jc w:val="both"/>
        <w:rPr>
          <w:rFonts w:cs="Times New Roman"/>
          <w:noProof/>
          <w:sz w:val="20"/>
        </w:rPr>
      </w:pPr>
      <w:r>
        <w:rPr>
          <w:rFonts w:cs="Times New Roman"/>
          <w:noProof/>
          <w:sz w:val="20"/>
        </w:rPr>
        <w:t xml:space="preserve">The </w:t>
      </w:r>
      <w:r>
        <w:rPr>
          <w:rFonts w:cs="Times New Roman"/>
          <w:noProof/>
          <w:sz w:val="20"/>
        </w:rPr>
        <w:t>estimated investment needs (reported by Cyprus under Article 17 of the Urban Waste Water Treatment Directive) to reach full compliance with the Directive are of EUR 826 million</w:t>
      </w:r>
      <w:r>
        <w:rPr>
          <w:rFonts w:cs="Times New Roman"/>
          <w:noProof/>
          <w:sz w:val="20"/>
          <w:vertAlign w:val="superscript"/>
        </w:rPr>
        <w:footnoteReference w:id="67"/>
      </w:r>
      <w:r>
        <w:rPr>
          <w:rFonts w:cs="Times New Roman"/>
          <w:noProof/>
          <w:sz w:val="20"/>
        </w:rPr>
        <w:t>.</w:t>
      </w:r>
    </w:p>
    <w:p w:rsidR="00D337B9" w:rsidRDefault="009B5B10">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r>
        <w:rPr>
          <w:rFonts w:cstheme="minorHAnsi"/>
          <w:noProof/>
          <w:color w:val="1F497D" w:themeColor="text2"/>
          <w:szCs w:val="26"/>
          <w:vertAlign w:val="superscript"/>
        </w:rPr>
        <w:footnoteReference w:id="68"/>
      </w:r>
    </w:p>
    <w:p w:rsidR="00D337B9" w:rsidRDefault="009B5B10">
      <w:pPr>
        <w:pStyle w:val="NoSpacing"/>
        <w:rPr>
          <w:noProof/>
          <w:lang w:eastAsia="hi-IN" w:bidi="hi-IN"/>
        </w:rPr>
      </w:pPr>
      <w:r>
        <w:rPr>
          <w:noProof/>
          <w:lang w:eastAsia="hi-IN" w:bidi="hi-IN"/>
        </w:rPr>
        <w:t>Improve water policy in line with the intervention logic of</w:t>
      </w:r>
      <w:r>
        <w:rPr>
          <w:noProof/>
          <w:lang w:eastAsia="hi-IN" w:bidi="hi-IN"/>
        </w:rPr>
        <w:t xml:space="preserve"> the Water Framework Directive, i.e. do a more detailed assessment of pressures to improve monitoring to know the status of water bodies and design PoMs that address all the main pressures identified, in particular from agriculture. </w:t>
      </w:r>
    </w:p>
    <w:p w:rsidR="00D337B9" w:rsidRDefault="009B5B10">
      <w:pPr>
        <w:pStyle w:val="NoSpacing"/>
        <w:rPr>
          <w:noProof/>
          <w:lang w:eastAsia="hi-IN" w:bidi="hi-IN"/>
        </w:rPr>
      </w:pPr>
      <w:r>
        <w:rPr>
          <w:noProof/>
          <w:lang w:eastAsia="hi-IN" w:bidi="hi-IN"/>
        </w:rPr>
        <w:t>Promote water efficien</w:t>
      </w:r>
      <w:r>
        <w:rPr>
          <w:noProof/>
          <w:lang w:eastAsia="hi-IN" w:bidi="hi-IN"/>
        </w:rPr>
        <w:t>cy and sustainable water retention including natural water retention measures in the PoM and ensure adequate funding.</w:t>
      </w:r>
    </w:p>
    <w:p w:rsidR="00D337B9" w:rsidRDefault="009B5B10">
      <w:pPr>
        <w:pStyle w:val="NoSpacing"/>
        <w:rPr>
          <w:noProof/>
          <w:lang w:eastAsia="hi-IN" w:bidi="hi-IN"/>
        </w:rPr>
      </w:pPr>
      <w:r>
        <w:rPr>
          <w:noProof/>
          <w:lang w:eastAsia="hi-IN" w:bidi="hi-IN"/>
        </w:rPr>
        <w:t>Establish a water pricing policy covering a broad range of water services and based on metering that would include tariffs reflecting envi</w:t>
      </w:r>
      <w:r>
        <w:rPr>
          <w:noProof/>
          <w:lang w:eastAsia="hi-IN" w:bidi="hi-IN"/>
        </w:rPr>
        <w:t>ronmental and resource costs and provide incentives for more efficient use of water.</w:t>
      </w:r>
    </w:p>
    <w:p w:rsidR="00D337B9" w:rsidRDefault="009B5B10">
      <w:pPr>
        <w:pStyle w:val="NoSpacing"/>
        <w:rPr>
          <w:noProof/>
          <w:lang w:eastAsia="hi-IN" w:bidi="hi-IN"/>
        </w:rPr>
      </w:pPr>
      <w:r>
        <w:rPr>
          <w:noProof/>
          <w:lang w:eastAsia="hi-IN" w:bidi="hi-IN"/>
        </w:rPr>
        <w:t>Enforce the laws concerning the groundwater use to control self-abstraction. Water permits should be consistent with environmental objectives. Water from desalination shou</w:t>
      </w:r>
      <w:r>
        <w:rPr>
          <w:noProof/>
          <w:lang w:eastAsia="hi-IN" w:bidi="hi-IN"/>
        </w:rPr>
        <w:t xml:space="preserve">ld not be destined for agricultural use. </w:t>
      </w:r>
    </w:p>
    <w:p w:rsidR="00D337B9" w:rsidRDefault="009B5B10">
      <w:pPr>
        <w:pStyle w:val="NoSpacing"/>
        <w:rPr>
          <w:noProof/>
        </w:rPr>
      </w:pPr>
      <w:r>
        <w:rPr>
          <w:noProof/>
        </w:rPr>
        <w:t>Monitor the development of agricultural pressure and the consequent water quality changes, with a view to reviewing and if necessary revising the nitrate vulnerable zones and the implementation and control of the A</w:t>
      </w:r>
      <w:r>
        <w:rPr>
          <w:noProof/>
        </w:rPr>
        <w:t>ction Programme measures.</w:t>
      </w:r>
    </w:p>
    <w:p w:rsidR="00D337B9" w:rsidRDefault="009B5B10">
      <w:pPr>
        <w:pStyle w:val="NoSpacing"/>
        <w:spacing w:after="240"/>
        <w:rPr>
          <w:rFonts w:cstheme="minorHAnsi"/>
          <w:noProof/>
          <w:color w:val="1F497D" w:themeColor="text2"/>
          <w:szCs w:val="26"/>
        </w:rPr>
      </w:pPr>
      <w:r>
        <w:rPr>
          <w:noProof/>
        </w:rPr>
        <w:t>Ensure that all the waste water collected is treated in accordance with the secondary treatment requirements.</w:t>
      </w:r>
    </w:p>
    <w:p w:rsidR="00D337B9" w:rsidRDefault="009B5B10">
      <w:pPr>
        <w:widowControl w:val="0"/>
        <w:spacing w:after="120" w:line="240" w:lineRule="auto"/>
        <w:outlineLvl w:val="1"/>
        <w:rPr>
          <w:rFonts w:cs="Times New Roman"/>
          <w:b/>
          <w:noProof/>
          <w:color w:val="1F497D" w:themeColor="text2"/>
          <w:sz w:val="24"/>
          <w:lang w:eastAsia="en-GB"/>
        </w:rPr>
      </w:pPr>
      <w:bookmarkStart w:id="34" w:name="_Toc436815691"/>
      <w:bookmarkStart w:id="35" w:name="_Toc454460686"/>
      <w:bookmarkStart w:id="36" w:name="_Toc469407233"/>
      <w:r>
        <w:rPr>
          <w:rFonts w:cs="Times New Roman"/>
          <w:b/>
          <w:noProof/>
          <w:color w:val="1F497D" w:themeColor="text2"/>
          <w:sz w:val="24"/>
          <w:lang w:eastAsia="en-GB"/>
        </w:rPr>
        <w:t>Enhancing the sustainability of cities</w:t>
      </w:r>
      <w:bookmarkEnd w:id="34"/>
      <w:bookmarkEnd w:id="35"/>
      <w:bookmarkEnd w:id="36"/>
      <w:r>
        <w:rPr>
          <w:rFonts w:cs="Times New Roman"/>
          <w:b/>
          <w:noProof/>
          <w:color w:val="1F497D" w:themeColor="text2"/>
          <w:sz w:val="24"/>
          <w:lang w:eastAsia="en-GB"/>
        </w:rPr>
        <w:t xml:space="preserve"> </w:t>
      </w:r>
    </w:p>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 urban environment encourages cities to implement policies for sustainable urban planning and design, including innovative approaches for urban public transport and mobility, sustainable buildings, energy efficiency and urban biodiversi</w:t>
      </w:r>
      <w:r>
        <w:rPr>
          <w:rFonts w:cs="Times New Roman"/>
          <w:noProof/>
          <w:color w:val="FFFFFF" w:themeColor="background1"/>
          <w:sz w:val="20"/>
        </w:rPr>
        <w:t xml:space="preserve">ty conservation. </w:t>
      </w:r>
    </w:p>
    <w:p w:rsidR="00D337B9" w:rsidRDefault="009B5B10">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D337B9" w:rsidRDefault="009B5B10">
      <w:pPr>
        <w:widowControl w:val="0"/>
        <w:spacing w:after="120" w:line="240" w:lineRule="auto"/>
        <w:jc w:val="both"/>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69"/>
      </w:r>
      <w:r>
        <w:rPr>
          <w:rFonts w:cs="Times New Roman"/>
          <w:noProof/>
          <w:sz w:val="20"/>
        </w:rPr>
        <w:t xml:space="preserve"> The urban environment poses particular challe</w:t>
      </w:r>
      <w:r>
        <w:rPr>
          <w:rFonts w:cs="Times New Roman"/>
          <w:noProof/>
          <w:sz w:val="20"/>
        </w:rPr>
        <w:t xml:space="preserve">nges for the environment and human health, whilst also providing opportunities and efficiency gains in the use of resources. </w:t>
      </w:r>
    </w:p>
    <w:p w:rsidR="00D337B9" w:rsidRDefault="009B5B10">
      <w:pPr>
        <w:widowControl w:val="0"/>
        <w:spacing w:after="120" w:line="240" w:lineRule="auto"/>
        <w:jc w:val="both"/>
        <w:rPr>
          <w:rFonts w:cs="Times New Roman"/>
          <w:noProof/>
          <w:sz w:val="20"/>
        </w:rPr>
      </w:pPr>
      <w:r>
        <w:rPr>
          <w:rFonts w:cs="Times New Roman"/>
          <w:noProof/>
          <w:sz w:val="20"/>
        </w:rPr>
        <w:t>The Member States, European institutions, cities and stakeholders have prepared a new Urban Agenda for the EU (incorporating the S</w:t>
      </w:r>
      <w:r>
        <w:rPr>
          <w:rFonts w:cs="Times New Roman"/>
          <w:noProof/>
          <w:sz w:val="20"/>
        </w:rPr>
        <w:t>mart Cities initiative) to tackle these issues in a comprehensive way, including their connections with social and economic challenges. At the heart of this Urban Agenda will be the development of twelve partnerships on the identified urban challenges, inc</w:t>
      </w:r>
      <w:r>
        <w:rPr>
          <w:rFonts w:cs="Times New Roman"/>
          <w:noProof/>
          <w:sz w:val="20"/>
        </w:rPr>
        <w:t>luding air quality and housing</w:t>
      </w:r>
      <w:r>
        <w:rPr>
          <w:rFonts w:cs="Times New Roman"/>
          <w:noProof/>
          <w:sz w:val="20"/>
          <w:vertAlign w:val="superscript"/>
        </w:rPr>
        <w:footnoteReference w:id="70"/>
      </w:r>
      <w:r>
        <w:rPr>
          <w:rFonts w:cs="Times New Roman"/>
          <w:noProof/>
          <w:sz w:val="20"/>
        </w:rPr>
        <w:t xml:space="preserve">. </w:t>
      </w:r>
    </w:p>
    <w:p w:rsidR="00D337B9" w:rsidRDefault="009B5B10">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71"/>
      </w:r>
      <w:r>
        <w:rPr>
          <w:rFonts w:cs="Times New Roman"/>
          <w:noProof/>
          <w:sz w:val="20"/>
        </w:rPr>
        <w:t>.</w:t>
      </w:r>
    </w:p>
    <w:p w:rsidR="00D337B9" w:rsidRDefault="009B5B10">
      <w:pPr>
        <w:widowControl w:val="0"/>
        <w:spacing w:after="120" w:line="240" w:lineRule="auto"/>
        <w:jc w:val="both"/>
        <w:rPr>
          <w:rFonts w:cs="Times New Roman"/>
          <w:noProof/>
          <w:sz w:val="20"/>
        </w:rPr>
      </w:pPr>
      <w:r>
        <w:rPr>
          <w:rFonts w:cs="Times New Roman"/>
          <w:noProof/>
          <w:sz w:val="20"/>
        </w:rPr>
        <w:t xml:space="preserve">The EU stimulates green cities through awards and funding, such as the EU Green Capital Award aimed at cities with more than 100,000 inhabitants and the EU Green Leaf initiative aimed at cities and towns, with between 20,000 and 100,000 inhabitants. </w:t>
      </w:r>
    </w:p>
    <w:p w:rsidR="00D337B9" w:rsidRDefault="009B5B10">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0B8CADC2" wp14:editId="2EF29B0F">
            <wp:extent cx="2914015" cy="1941830"/>
            <wp:effectExtent l="0" t="0" r="63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 Nicosia iStock_61059376_SMALL.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14015" cy="1941830"/>
                    </a:xfrm>
                    <a:prstGeom prst="rect">
                      <a:avLst/>
                    </a:prstGeom>
                  </pic:spPr>
                </pic:pic>
              </a:graphicData>
            </a:graphic>
          </wp:inline>
        </w:drawing>
      </w:r>
    </w:p>
    <w:p w:rsidR="00D337B9" w:rsidRDefault="009B5B10">
      <w:pPr>
        <w:widowControl w:val="0"/>
        <w:spacing w:before="360" w:after="120" w:line="240" w:lineRule="auto"/>
        <w:outlineLvl w:val="1"/>
        <w:rPr>
          <w:rFonts w:cs="Times New Roman"/>
          <w:b/>
          <w:noProof/>
          <w:color w:val="1F497D" w:themeColor="text2"/>
          <w:sz w:val="24"/>
          <w:lang w:eastAsia="en-GB"/>
        </w:rPr>
      </w:pPr>
      <w:bookmarkStart w:id="37" w:name="_Toc454460687"/>
      <w:bookmarkStart w:id="38" w:name="_Toc469407234"/>
      <w:r>
        <w:rPr>
          <w:rFonts w:cs="Times New Roman"/>
          <w:b/>
          <w:noProof/>
          <w:color w:val="1F497D" w:themeColor="text2"/>
          <w:sz w:val="24"/>
          <w:lang w:eastAsia="en-GB"/>
        </w:rPr>
        <w:t>Int</w:t>
      </w:r>
      <w:r>
        <w:rPr>
          <w:rFonts w:cs="Times New Roman"/>
          <w:b/>
          <w:noProof/>
          <w:color w:val="1F497D" w:themeColor="text2"/>
          <w:sz w:val="24"/>
          <w:lang w:eastAsia="en-GB"/>
        </w:rPr>
        <w:t>ernational agreements</w:t>
      </w:r>
      <w:bookmarkEnd w:id="37"/>
      <w:bookmarkEnd w:id="38"/>
      <w:r>
        <w:rPr>
          <w:rFonts w:cs="Times New Roman"/>
          <w:b/>
          <w:noProof/>
          <w:color w:val="1F497D" w:themeColor="text2"/>
          <w:sz w:val="24"/>
          <w:lang w:eastAsia="en-GB"/>
        </w:rPr>
        <w:t xml:space="preserve"> </w:t>
      </w:r>
    </w:p>
    <w:p w:rsidR="00D337B9" w:rsidRDefault="009B5B10">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 the international level to deal with regional or worldwide environmental problems.</w:t>
      </w:r>
    </w:p>
    <w:p w:rsidR="00D337B9" w:rsidRDefault="009B5B10">
      <w:pPr>
        <w:widowControl w:val="0"/>
        <w:spacing w:after="120" w:line="240" w:lineRule="auto"/>
        <w:jc w:val="both"/>
        <w:rPr>
          <w:rFonts w:cs="Times New Roman"/>
          <w:noProof/>
          <w:sz w:val="20"/>
        </w:rPr>
      </w:pPr>
      <w:r>
        <w:rPr>
          <w:rFonts w:cs="Times New Roman"/>
          <w:noProof/>
          <w:sz w:val="20"/>
        </w:rPr>
        <w:t>Most environmental problems have a transboundary nature and ofte</w:t>
      </w:r>
      <w:r>
        <w:rPr>
          <w:rFonts w:cs="Times New Roman"/>
          <w:noProof/>
          <w:sz w:val="20"/>
        </w:rPr>
        <w:t xml:space="preserve">n a global scope and they can only be addressed effectively through international co-operation. International environmental agreements concluded by the Union are binding upon the institutions of the Union and on its Member States. This requires the EU and </w:t>
      </w:r>
      <w:r>
        <w:rPr>
          <w:rFonts w:cs="Times New Roman"/>
          <w:noProof/>
          <w:sz w:val="20"/>
        </w:rPr>
        <w:t>the Member States to sign, ratify and effectively implement all relevant multilateral environmental agreements (MEAs) in a timely manner. This will also be an important contribution towards the achievement of the SDGs, which Member States committed to in 2</w:t>
      </w:r>
      <w:r>
        <w:rPr>
          <w:rFonts w:cs="Times New Roman"/>
          <w:noProof/>
          <w:sz w:val="20"/>
        </w:rPr>
        <w:t>015 and include many commitments contained already in legally binding agreements.</w:t>
      </w:r>
    </w:p>
    <w:p w:rsidR="00D337B9" w:rsidRDefault="009B5B10">
      <w:pPr>
        <w:widowControl w:val="0"/>
        <w:spacing w:after="120" w:line="240" w:lineRule="auto"/>
        <w:jc w:val="both"/>
        <w:rPr>
          <w:rFonts w:cs="Times New Roman"/>
          <w:noProof/>
          <w:sz w:val="20"/>
        </w:rPr>
      </w:pPr>
      <w:r>
        <w:rPr>
          <w:rFonts w:cs="Times New Roman"/>
          <w:noProof/>
          <w:sz w:val="20"/>
        </w:rPr>
        <w:t>The fact that some Member States did not sign and/or ratify a number of MEAs compromises environmental implementation, including within the Union, as well as the Union’s cred</w:t>
      </w:r>
      <w:r>
        <w:rPr>
          <w:rFonts w:cs="Times New Roman"/>
          <w:noProof/>
          <w:sz w:val="20"/>
        </w:rPr>
        <w:t xml:space="preserve">ibility in related negotiations and international meetings where supporting the participation of third countries to such agreements is an established EU policy objective. In agreements where voting takes place it has a direct impact on the number of votes </w:t>
      </w:r>
      <w:r>
        <w:rPr>
          <w:rFonts w:cs="Times New Roman"/>
          <w:noProof/>
          <w:sz w:val="20"/>
        </w:rPr>
        <w:t>to be cast by the EU.</w:t>
      </w:r>
    </w:p>
    <w:p w:rsidR="00D337B9" w:rsidRDefault="009B5B10">
      <w:pPr>
        <w:widowControl w:val="0"/>
        <w:spacing w:after="120" w:line="240" w:lineRule="auto"/>
        <w:jc w:val="both"/>
        <w:rPr>
          <w:rFonts w:cs="Times New Roman"/>
          <w:noProof/>
          <w:sz w:val="20"/>
        </w:rPr>
      </w:pPr>
      <w:r>
        <w:rPr>
          <w:rFonts w:cs="Times New Roman"/>
          <w:noProof/>
          <w:sz w:val="20"/>
        </w:rPr>
        <w:t>Currently, Cyprus has signed, but not yet ratified, the Kiev Protocol on Pollutant Release and Transfer Registers, the Protocol on Strategic Environmental Assessment to the Espoo Convention and the Nagoya Protocol</w:t>
      </w:r>
      <w:r>
        <w:rPr>
          <w:rFonts w:cs="Times New Roman"/>
          <w:noProof/>
          <w:sz w:val="20"/>
          <w:vertAlign w:val="superscript"/>
        </w:rPr>
        <w:footnoteReference w:id="72"/>
      </w:r>
      <w:r>
        <w:rPr>
          <w:rFonts w:cs="Times New Roman"/>
          <w:noProof/>
          <w:sz w:val="20"/>
        </w:rPr>
        <w:t>. It has neither sig</w:t>
      </w:r>
      <w:r>
        <w:rPr>
          <w:rFonts w:cs="Times New Roman"/>
          <w:noProof/>
          <w:sz w:val="20"/>
        </w:rPr>
        <w:t>ned nor ratified the Protocol on Integrated Coastal Zone Management and the Helsinki Convention on Watercourses and Lakes.</w:t>
      </w:r>
    </w:p>
    <w:p w:rsidR="00D337B9" w:rsidRDefault="00D337B9">
      <w:pPr>
        <w:widowControl w:val="0"/>
        <w:spacing w:after="120" w:line="240" w:lineRule="auto"/>
        <w:jc w:val="both"/>
        <w:rPr>
          <w:rFonts w:cs="Times New Roman"/>
          <w:noProof/>
          <w:sz w:val="20"/>
        </w:rPr>
        <w:sectPr w:rsidR="00D337B9">
          <w:headerReference w:type="even" r:id="rId87"/>
          <w:headerReference w:type="default" r:id="rId88"/>
          <w:footerReference w:type="even" r:id="rId89"/>
          <w:footerReference w:type="default" r:id="rId90"/>
          <w:headerReference w:type="first" r:id="rId91"/>
          <w:footerReference w:type="first" r:id="rId92"/>
          <w:type w:val="continuous"/>
          <w:pgSz w:w="11906" w:h="16838"/>
          <w:pgMar w:top="1440" w:right="1080" w:bottom="1440" w:left="1080" w:header="708" w:footer="708" w:gutter="0"/>
          <w:cols w:num="2" w:space="357"/>
          <w:docGrid w:linePitch="360"/>
        </w:sectPr>
      </w:pPr>
    </w:p>
    <w:p w:rsidR="00D337B9" w:rsidRDefault="009B5B10">
      <w:pPr>
        <w:keepNext/>
        <w:keepLines/>
        <w:widowControl w:val="0"/>
        <w:spacing w:after="0" w:line="240" w:lineRule="auto"/>
        <w:jc w:val="center"/>
        <w:outlineLvl w:val="0"/>
        <w:rPr>
          <w:rFonts w:eastAsiaTheme="majorEastAsia" w:cstheme="majorBidi"/>
          <w:b/>
          <w:bCs/>
          <w:noProof/>
          <w:color w:val="1F497D" w:themeColor="text2"/>
          <w:sz w:val="32"/>
          <w:szCs w:val="28"/>
        </w:rPr>
      </w:pPr>
      <w:bookmarkStart w:id="39" w:name="_Toc433296176"/>
      <w:bookmarkStart w:id="40" w:name="_Toc469407235"/>
      <w:r>
        <w:rPr>
          <w:rFonts w:eastAsiaTheme="majorEastAsia" w:cstheme="majorBidi"/>
          <w:b/>
          <w:bCs/>
          <w:noProof/>
          <w:color w:val="1F497D" w:themeColor="text2"/>
          <w:sz w:val="32"/>
          <w:szCs w:val="28"/>
        </w:rPr>
        <w:t xml:space="preserve">Part II: </w:t>
      </w:r>
      <w:bookmarkEnd w:id="39"/>
      <w:r>
        <w:rPr>
          <w:rFonts w:eastAsiaTheme="majorEastAsia" w:cstheme="majorBidi"/>
          <w:b/>
          <w:bCs/>
          <w:noProof/>
          <w:color w:val="1F497D" w:themeColor="text2"/>
          <w:sz w:val="32"/>
          <w:szCs w:val="28"/>
        </w:rPr>
        <w:t>Enabling</w:t>
      </w:r>
      <w:r>
        <w:rPr>
          <w:rFonts w:eastAsiaTheme="majorEastAsia" w:cstheme="majorBidi"/>
          <w:b/>
          <w:bCs/>
          <w:noProof/>
          <w:color w:val="1F497D" w:themeColor="text2"/>
          <w:sz w:val="32"/>
          <w:szCs w:val="28"/>
        </w:rPr>
        <w:t xml:space="preserve"> Framework: Implementation Tools</w:t>
      </w:r>
      <w:bookmarkEnd w:id="40"/>
    </w:p>
    <w:p w:rsidR="00D337B9" w:rsidRDefault="00D337B9">
      <w:pPr>
        <w:widowControl w:val="0"/>
        <w:spacing w:after="120" w:line="240" w:lineRule="auto"/>
        <w:jc w:val="both"/>
        <w:rPr>
          <w:rFonts w:cs="Times New Roman"/>
          <w:noProof/>
          <w:sz w:val="20"/>
        </w:rPr>
      </w:pPr>
    </w:p>
    <w:p w:rsidR="00D337B9" w:rsidRDefault="00D337B9">
      <w:pPr>
        <w:widowControl w:val="0"/>
        <w:spacing w:after="120" w:line="240" w:lineRule="auto"/>
        <w:jc w:val="both"/>
        <w:rPr>
          <w:rFonts w:cs="Times New Roman"/>
          <w:noProof/>
          <w:sz w:val="20"/>
        </w:rPr>
        <w:sectPr w:rsidR="00D337B9">
          <w:headerReference w:type="even" r:id="rId93"/>
          <w:headerReference w:type="default" r:id="rId94"/>
          <w:footerReference w:type="even" r:id="rId95"/>
          <w:footerReference w:type="default" r:id="rId96"/>
          <w:headerReference w:type="first" r:id="rId97"/>
          <w:footerReference w:type="first" r:id="rId98"/>
          <w:type w:val="continuous"/>
          <w:pgSz w:w="11906" w:h="16838"/>
          <w:pgMar w:top="1440" w:right="1080" w:bottom="1440" w:left="1080" w:header="708" w:footer="708" w:gutter="0"/>
          <w:cols w:space="566"/>
          <w:docGrid w:linePitch="360"/>
        </w:sectPr>
      </w:pPr>
    </w:p>
    <w:p w:rsidR="00D337B9" w:rsidRDefault="009B5B10">
      <w:pPr>
        <w:keepNext/>
        <w:keepLines/>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41" w:name="_Toc469407236"/>
      <w:r>
        <w:rPr>
          <w:rFonts w:eastAsiaTheme="majorEastAsia" w:cstheme="majorBidi"/>
          <w:b/>
          <w:bCs/>
          <w:noProof/>
          <w:color w:val="1F497D" w:themeColor="text2"/>
          <w:sz w:val="32"/>
          <w:szCs w:val="28"/>
        </w:rPr>
        <w:t>Market based instruments and investment</w:t>
      </w:r>
      <w:bookmarkEnd w:id="41"/>
      <w:r>
        <w:rPr>
          <w:rFonts w:eastAsiaTheme="majorEastAsia" w:cstheme="majorBidi"/>
          <w:b/>
          <w:bCs/>
          <w:noProof/>
          <w:color w:val="1F497D" w:themeColor="text2"/>
          <w:sz w:val="32"/>
          <w:szCs w:val="28"/>
        </w:rPr>
        <w:t xml:space="preserve"> </w:t>
      </w:r>
    </w:p>
    <w:p w:rsidR="00D337B9" w:rsidRDefault="00D337B9">
      <w:pPr>
        <w:widowControl w:val="0"/>
        <w:spacing w:after="120" w:line="240" w:lineRule="auto"/>
        <w:jc w:val="both"/>
        <w:rPr>
          <w:rFonts w:cs="Times New Roman"/>
          <w:noProof/>
          <w:sz w:val="20"/>
        </w:rPr>
      </w:pPr>
    </w:p>
    <w:p w:rsidR="00D337B9" w:rsidRDefault="00D337B9">
      <w:pPr>
        <w:widowControl w:val="0"/>
        <w:spacing w:before="360" w:after="120" w:line="240" w:lineRule="auto"/>
        <w:outlineLvl w:val="1"/>
        <w:rPr>
          <w:rFonts w:cs="Times New Roman"/>
          <w:b/>
          <w:noProof/>
          <w:color w:val="1F497D" w:themeColor="text2"/>
          <w:sz w:val="24"/>
        </w:rPr>
        <w:sectPr w:rsidR="00D337B9">
          <w:headerReference w:type="even" r:id="rId99"/>
          <w:headerReference w:type="default" r:id="rId100"/>
          <w:footerReference w:type="even" r:id="rId101"/>
          <w:footerReference w:type="default" r:id="rId102"/>
          <w:headerReference w:type="first" r:id="rId103"/>
          <w:footerReference w:type="first" r:id="rId104"/>
          <w:type w:val="continuous"/>
          <w:pgSz w:w="11906" w:h="16838"/>
          <w:pgMar w:top="1440" w:right="1080" w:bottom="1440" w:left="1080" w:header="708" w:footer="708" w:gutter="0"/>
          <w:cols w:space="566"/>
          <w:docGrid w:linePitch="360"/>
        </w:sectPr>
      </w:pPr>
    </w:p>
    <w:p w:rsidR="00D337B9" w:rsidRDefault="009B5B10">
      <w:pPr>
        <w:widowControl w:val="0"/>
        <w:spacing w:after="120" w:line="240" w:lineRule="auto"/>
        <w:outlineLvl w:val="1"/>
        <w:rPr>
          <w:rFonts w:cs="Times New Roman"/>
          <w:b/>
          <w:noProof/>
          <w:color w:val="1F497D" w:themeColor="text2"/>
          <w:sz w:val="24"/>
        </w:rPr>
      </w:pPr>
      <w:bookmarkStart w:id="42" w:name="_Toc469407237"/>
      <w:r>
        <w:rPr>
          <w:rFonts w:cs="Times New Roman"/>
          <w:b/>
          <w:noProof/>
          <w:color w:val="1F497D" w:themeColor="text2"/>
          <w:sz w:val="24"/>
        </w:rPr>
        <w:t>Green taxation and environmentally harmful subsidies</w:t>
      </w:r>
      <w:bookmarkEnd w:id="42"/>
      <w:r>
        <w:rPr>
          <w:rFonts w:cs="Times New Roman"/>
          <w:b/>
          <w:noProof/>
          <w:color w:val="1F497D" w:themeColor="text2"/>
          <w:sz w:val="24"/>
        </w:rPr>
        <w:t xml:space="preserve"> </w:t>
      </w:r>
    </w:p>
    <w:p w:rsidR="00D337B9" w:rsidRDefault="009B5B10">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Circular Economy Action Plan encourages the use of financial incentives and economic instruments, such as taxation to ensure that </w:t>
      </w:r>
      <w:r>
        <w:rPr>
          <w:rFonts w:ascii="Calibri" w:eastAsia="Calibri" w:hAnsi="Calibri" w:cs="Times New Roman"/>
          <w:noProof/>
          <w:color w:val="FFFFFF"/>
          <w:sz w:val="20"/>
          <w:lang w:eastAsia="ar-SA"/>
        </w:rPr>
        <w:t>product prices better reflect environmental costs. The phasing out of environmentally harmful subsidies is monitored in the context of the European Semester and in national reform programmes submitted by Member States.</w:t>
      </w:r>
    </w:p>
    <w:p w:rsidR="00D337B9" w:rsidRDefault="009B5B10">
      <w:pPr>
        <w:widowControl w:val="0"/>
        <w:spacing w:after="120" w:line="240" w:lineRule="auto"/>
        <w:jc w:val="both"/>
        <w:rPr>
          <w:rFonts w:cs="Times New Roman"/>
          <w:noProof/>
          <w:sz w:val="20"/>
        </w:rPr>
      </w:pPr>
      <w:r>
        <w:rPr>
          <w:rFonts w:cs="Times New Roman"/>
          <w:noProof/>
          <w:sz w:val="20"/>
        </w:rPr>
        <w:t>Taxing pollution and resource use can</w:t>
      </w:r>
      <w:r>
        <w:rPr>
          <w:rFonts w:cs="Times New Roman"/>
          <w:noProof/>
          <w:sz w:val="20"/>
        </w:rPr>
        <w:t xml:space="preserve"> generate increased revenue and bring important social and environmental benefits.</w:t>
      </w:r>
    </w:p>
    <w:p w:rsidR="00D337B9" w:rsidRDefault="009B5B10">
      <w:pPr>
        <w:widowControl w:val="0"/>
        <w:spacing w:after="120" w:line="240" w:lineRule="auto"/>
        <w:jc w:val="both"/>
        <w:rPr>
          <w:rFonts w:cs="Times New Roman"/>
          <w:noProof/>
          <w:sz w:val="20"/>
          <w:szCs w:val="24"/>
        </w:rPr>
      </w:pPr>
      <w:r>
        <w:rPr>
          <w:rFonts w:eastAsia="Times New Roman" w:cs="Times New Roman"/>
          <w:noProof/>
          <w:sz w:val="20"/>
        </w:rPr>
        <w:t>Revenues from environment-related taxes amounted to</w:t>
      </w:r>
      <w:r>
        <w:rPr>
          <w:rFonts w:cs="Times New Roman"/>
          <w:noProof/>
          <w:sz w:val="20"/>
        </w:rPr>
        <w:t xml:space="preserve"> 3.08% of GDP in 2014 in Cyprus (up from 2.73 in 2013), above the EU average of 2.46%. Energy taxes accounted for the greatest proportion of environmental taxes in 2013, amounting to 2.37% of Cyprus’ GDP. Revenues from transport (excluding fuel) taxes amou</w:t>
      </w:r>
      <w:r>
        <w:rPr>
          <w:rFonts w:cs="Times New Roman"/>
          <w:noProof/>
          <w:sz w:val="20"/>
        </w:rPr>
        <w:t>nted to 0.71% of GDP. According to Eurostat, Cyprus does not generate any revenue from taxation placed on pollution and resources</w:t>
      </w:r>
      <w:r>
        <w:rPr>
          <w:rFonts w:cs="Times New Roman"/>
          <w:noProof/>
          <w:sz w:val="20"/>
          <w:vertAlign w:val="superscript"/>
        </w:rPr>
        <w:footnoteReference w:id="73"/>
      </w:r>
      <w:r>
        <w:rPr>
          <w:rFonts w:cs="Times New Roman"/>
          <w:noProof/>
          <w:sz w:val="20"/>
        </w:rPr>
        <w:t xml:space="preserve">. </w:t>
      </w:r>
      <w:r>
        <w:rPr>
          <w:rFonts w:cs="Times New Roman"/>
          <w:noProof/>
          <w:sz w:val="20"/>
          <w:szCs w:val="24"/>
        </w:rPr>
        <w:t>In the same year environmental tax revenues accounted for 9.01% of total revenues from taxes and social-security contributio</w:t>
      </w:r>
      <w:r>
        <w:rPr>
          <w:rFonts w:cs="Times New Roman"/>
          <w:noProof/>
          <w:sz w:val="20"/>
          <w:szCs w:val="24"/>
        </w:rPr>
        <w:t>ns (EU 28 average: 6.35%)</w:t>
      </w:r>
      <w:r>
        <w:rPr>
          <w:rFonts w:cs="Times New Roman"/>
          <w:noProof/>
          <w:sz w:val="20"/>
        </w:rPr>
        <w:t xml:space="preserve"> </w:t>
      </w:r>
      <w:r>
        <w:rPr>
          <w:rFonts w:cs="Times New Roman"/>
          <w:noProof/>
          <w:sz w:val="20"/>
          <w:szCs w:val="24"/>
        </w:rPr>
        <w:t xml:space="preserve">as shown in Figure 12. </w:t>
      </w:r>
    </w:p>
    <w:p w:rsidR="00D337B9" w:rsidRDefault="009B5B10">
      <w:pPr>
        <w:widowControl w:val="0"/>
        <w:spacing w:after="120" w:line="240" w:lineRule="auto"/>
        <w:jc w:val="both"/>
        <w:rPr>
          <w:rFonts w:cs="Times New Roman"/>
          <w:noProof/>
          <w:sz w:val="20"/>
          <w:szCs w:val="24"/>
        </w:rPr>
      </w:pPr>
      <w:r>
        <w:rPr>
          <w:rFonts w:cs="Times New Roman"/>
          <w:noProof/>
          <w:sz w:val="20"/>
          <w:szCs w:val="24"/>
        </w:rPr>
        <w:t xml:space="preserve">A 2016 study suggests that there is considerable potential </w:t>
      </w:r>
      <w:r>
        <w:rPr>
          <w:rFonts w:ascii="Calibri" w:eastAsia="Times New Roman" w:hAnsi="Calibri" w:cs="Times New Roman"/>
          <w:noProof/>
          <w:sz w:val="20"/>
          <w:lang w:eastAsia="ar-SA"/>
        </w:rPr>
        <w:t>for shifting taxes from labour to environmental taxes</w:t>
      </w:r>
      <w:r>
        <w:rPr>
          <w:rFonts w:ascii="Calibri" w:eastAsia="Times New Roman" w:hAnsi="Calibri" w:cs="Times New Roman"/>
          <w:noProof/>
          <w:sz w:val="20"/>
          <w:vertAlign w:val="superscript"/>
          <w:lang w:eastAsia="ar-SA"/>
        </w:rPr>
        <w:footnoteReference w:id="74"/>
      </w:r>
      <w:r>
        <w:rPr>
          <w:rFonts w:ascii="Calibri" w:eastAsia="Times New Roman" w:hAnsi="Calibri" w:cs="Times New Roman"/>
          <w:noProof/>
          <w:sz w:val="20"/>
          <w:lang w:eastAsia="ar-SA"/>
        </w:rPr>
        <w:t>. Under a good practice scenario</w:t>
      </w:r>
      <w:r>
        <w:rPr>
          <w:rFonts w:ascii="Calibri" w:eastAsia="Times New Roman" w:hAnsi="Calibri" w:cs="Times New Roman"/>
          <w:noProof/>
          <w:sz w:val="20"/>
          <w:vertAlign w:val="superscript"/>
          <w:lang w:eastAsia="ar-SA"/>
        </w:rPr>
        <w:footnoteReference w:id="75"/>
      </w:r>
      <w:r>
        <w:rPr>
          <w:rFonts w:cs="Times New Roman"/>
          <w:noProof/>
          <w:sz w:val="20"/>
          <w:szCs w:val="24"/>
        </w:rPr>
        <w:t xml:space="preserve"> the amount could be as high as EUR 0.17 billion in 2018, ri</w:t>
      </w:r>
      <w:r>
        <w:rPr>
          <w:rFonts w:cs="Times New Roman"/>
          <w:noProof/>
          <w:sz w:val="20"/>
          <w:szCs w:val="24"/>
        </w:rPr>
        <w:t>sing to EUR 0.23 billion in 2030 (both in real 2015 terms). This is equivalent to an additional 0.95% and 1.09% of GDP in 2018 and 2030, respectively. The largest potential contribution to revenue would come from the suggested passenger aviation tax. In th</w:t>
      </w:r>
      <w:r>
        <w:rPr>
          <w:rFonts w:cs="Times New Roman"/>
          <w:noProof/>
          <w:sz w:val="20"/>
          <w:szCs w:val="24"/>
        </w:rPr>
        <w:t>e absence of resource and pollution taxes, Cyprus could reconsider implementation of resource taxes, such as water abstraction tax, aggregates tax and landfill tax.</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D337B9">
        <w:tc>
          <w:tcPr>
            <w:tcW w:w="4896" w:type="dxa"/>
          </w:tcPr>
          <w:p w:rsidR="00D337B9" w:rsidRDefault="009B5B10">
            <w:pPr>
              <w:spacing w:after="120"/>
              <w:jc w:val="both"/>
              <w:rPr>
                <w:rFonts w:cs="Times New Roman"/>
                <w:noProof/>
                <w:color w:val="1F497D" w:themeColor="text2"/>
                <w:sz w:val="20"/>
              </w:rPr>
            </w:pPr>
            <w:r>
              <w:rPr>
                <w:rFonts w:cs="Times New Roman"/>
                <w:b/>
                <w:bCs/>
                <w:noProof/>
                <w:color w:val="1F497D" w:themeColor="text2"/>
                <w:sz w:val="20"/>
              </w:rPr>
              <w:t>Figure 12: Environmental tax revenues as a share of total revenues from taxes and social co</w:t>
            </w:r>
            <w:r>
              <w:rPr>
                <w:rFonts w:cs="Times New Roman"/>
                <w:b/>
                <w:bCs/>
                <w:noProof/>
                <w:color w:val="1F497D" w:themeColor="text2"/>
                <w:sz w:val="20"/>
              </w:rPr>
              <w:t>ntributions  (excluding imputed social contributions) in 2014</w:t>
            </w:r>
            <w:r>
              <w:rPr>
                <w:rFonts w:cs="Times New Roman"/>
                <w:b/>
                <w:bCs/>
                <w:noProof/>
                <w:color w:val="1F497D" w:themeColor="text2"/>
                <w:sz w:val="20"/>
                <w:vertAlign w:val="superscript"/>
              </w:rPr>
              <w:footnoteReference w:id="76"/>
            </w:r>
          </w:p>
        </w:tc>
      </w:tr>
      <w:tr w:rsidR="00D337B9">
        <w:tc>
          <w:tcPr>
            <w:tcW w:w="4896" w:type="dxa"/>
          </w:tcPr>
          <w:p w:rsidR="00D337B9" w:rsidRDefault="009B5B10">
            <w:pPr>
              <w:widowControl w:val="0"/>
              <w:spacing w:after="120"/>
              <w:jc w:val="both"/>
              <w:rPr>
                <w:rFonts w:cs="Times New Roman"/>
                <w:noProof/>
                <w:sz w:val="20"/>
              </w:rPr>
            </w:pPr>
            <w:r>
              <w:rPr>
                <w:rFonts w:cs="Times New Roman"/>
                <w:noProof/>
                <w:sz w:val="20"/>
                <w:lang w:eastAsia="en-GB"/>
              </w:rPr>
              <w:drawing>
                <wp:inline distT="0" distB="0" distL="0" distR="0" wp14:anchorId="2C334F0A" wp14:editId="476BFC23">
                  <wp:extent cx="2968013" cy="4221125"/>
                  <wp:effectExtent l="0" t="0" r="381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70035" cy="4224001"/>
                          </a:xfrm>
                          <a:prstGeom prst="rect">
                            <a:avLst/>
                          </a:prstGeom>
                          <a:noFill/>
                        </pic:spPr>
                      </pic:pic>
                    </a:graphicData>
                  </a:graphic>
                </wp:inline>
              </w:drawing>
            </w:r>
          </w:p>
        </w:tc>
      </w:tr>
    </w:tbl>
    <w:p w:rsidR="00D337B9" w:rsidRDefault="009B5B10">
      <w:pPr>
        <w:widowControl w:val="0"/>
        <w:spacing w:before="360" w:after="120" w:line="240" w:lineRule="auto"/>
        <w:outlineLvl w:val="1"/>
        <w:rPr>
          <w:rFonts w:cs="Times New Roman"/>
          <w:b/>
          <w:noProof/>
          <w:color w:val="1F497D" w:themeColor="text2"/>
          <w:sz w:val="24"/>
          <w:lang w:eastAsia="en-GB"/>
        </w:rPr>
      </w:pPr>
      <w:bookmarkStart w:id="43" w:name="_Toc454460691"/>
      <w:bookmarkStart w:id="44" w:name="_Toc469407238"/>
      <w:bookmarkStart w:id="45" w:name="_Toc448925421"/>
      <w:r>
        <w:rPr>
          <w:rFonts w:cs="Times New Roman"/>
          <w:b/>
          <w:noProof/>
          <w:color w:val="1F497D" w:themeColor="text2"/>
          <w:sz w:val="24"/>
          <w:lang w:eastAsia="en-GB"/>
        </w:rPr>
        <w:t>Green Public Procurement</w:t>
      </w:r>
      <w:bookmarkEnd w:id="43"/>
      <w:bookmarkEnd w:id="44"/>
      <w:r>
        <w:rPr>
          <w:rFonts w:cs="Times New Roman"/>
          <w:b/>
          <w:noProof/>
          <w:color w:val="1F497D" w:themeColor="text2"/>
          <w:sz w:val="24"/>
          <w:lang w:eastAsia="en-GB"/>
        </w:rPr>
        <w:t xml:space="preserve"> </w:t>
      </w:r>
    </w:p>
    <w:p w:rsidR="00D337B9" w:rsidRDefault="009B5B10">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 xml:space="preserve">The EU green public procurement policies encourage Member States to take further steps to reach the target of applying green procurement criteria to at least 50% </w:t>
      </w:r>
      <w:r>
        <w:rPr>
          <w:rFonts w:cs="Times New Roman"/>
          <w:noProof/>
          <w:color w:val="FFFFFF" w:themeColor="background1"/>
          <w:sz w:val="20"/>
        </w:rPr>
        <w:t>of public tenders.</w:t>
      </w:r>
    </w:p>
    <w:p w:rsidR="00D337B9" w:rsidRDefault="009B5B10">
      <w:pPr>
        <w:widowControl w:val="0"/>
        <w:spacing w:before="240" w:after="120" w:line="240" w:lineRule="auto"/>
        <w:jc w:val="both"/>
        <w:rPr>
          <w:rFonts w:cs="Times New Roman"/>
          <w:noProof/>
          <w:sz w:val="20"/>
        </w:rPr>
      </w:pPr>
      <w:r>
        <w:rPr>
          <w:rFonts w:cs="Times New Roman"/>
          <w:noProof/>
          <w:sz w:val="20"/>
        </w:rPr>
        <w:t>Green Public Procurement (GPP) is a process whereby public authorities seek to procure goods, services and works with a reduced environmental impact throughout their life-cycle when compared to goods, services and works with the same pri</w:t>
      </w:r>
      <w:r>
        <w:rPr>
          <w:rFonts w:cs="Times New Roman"/>
          <w:noProof/>
          <w:sz w:val="20"/>
        </w:rPr>
        <w:t xml:space="preserve">mary function that would otherwise be procured. </w:t>
      </w:r>
    </w:p>
    <w:p w:rsidR="00D337B9" w:rsidRDefault="009B5B10">
      <w:pPr>
        <w:widowControl w:val="0"/>
        <w:spacing w:after="120" w:line="240" w:lineRule="auto"/>
        <w:jc w:val="both"/>
        <w:rPr>
          <w:rFonts w:cs="Times New Roman"/>
          <w:noProof/>
          <w:sz w:val="20"/>
        </w:rPr>
      </w:pPr>
      <w:r>
        <w:rPr>
          <w:rFonts w:cs="Times New Roman"/>
          <w:noProof/>
          <w:sz w:val="20"/>
        </w:rPr>
        <w:t>The purchasing power of public procurement equals to approximately 14% of GDP</w:t>
      </w:r>
      <w:r>
        <w:rPr>
          <w:rFonts w:cs="Times New Roman"/>
          <w:noProof/>
          <w:sz w:val="20"/>
          <w:vertAlign w:val="superscript"/>
        </w:rPr>
        <w:footnoteReference w:id="77"/>
      </w:r>
      <w:r>
        <w:rPr>
          <w:rFonts w:cs="Times New Roman"/>
          <w:noProof/>
          <w:sz w:val="20"/>
        </w:rPr>
        <w:t>. A substantial part of this money is spent on sectors with high environmental impact such as construction or transport, so GPP c</w:t>
      </w:r>
      <w:r>
        <w:rPr>
          <w:rFonts w:cs="Times New Roman"/>
          <w:noProof/>
          <w:sz w:val="20"/>
        </w:rPr>
        <w:t>an help to significantly lower the impact of public spending and foster sustainable innovative businesses</w:t>
      </w:r>
      <w:r>
        <w:rPr>
          <w:noProof/>
          <w:sz w:val="20"/>
        </w:rPr>
        <w:t xml:space="preserve">. </w:t>
      </w:r>
      <w:r>
        <w:rPr>
          <w:rFonts w:cs="Times New Roman"/>
          <w:noProof/>
          <w:sz w:val="20"/>
        </w:rPr>
        <w:t>The Commission has proposed EU GPP criteria</w:t>
      </w:r>
      <w:r>
        <w:rPr>
          <w:rFonts w:cs="Times New Roman"/>
          <w:noProof/>
          <w:sz w:val="20"/>
          <w:vertAlign w:val="superscript"/>
        </w:rPr>
        <w:footnoteReference w:id="78"/>
      </w:r>
      <w:r>
        <w:rPr>
          <w:rFonts w:cs="Times New Roman"/>
          <w:noProof/>
          <w:sz w:val="20"/>
        </w:rPr>
        <w:t>.</w:t>
      </w:r>
    </w:p>
    <w:bookmarkEnd w:id="45"/>
    <w:p w:rsidR="00D337B9" w:rsidRDefault="009B5B10">
      <w:pPr>
        <w:widowControl w:val="0"/>
        <w:spacing w:after="120" w:line="240" w:lineRule="auto"/>
        <w:jc w:val="both"/>
        <w:rPr>
          <w:rFonts w:cs="Times New Roman"/>
          <w:noProof/>
          <w:sz w:val="20"/>
        </w:rPr>
      </w:pPr>
      <w:r>
        <w:rPr>
          <w:rFonts w:cs="Times New Roman"/>
          <w:noProof/>
          <w:sz w:val="20"/>
        </w:rPr>
        <w:t>The second National Action Plan (NAP) for GPP was adopted by the Council of Ministers on 31 January 201</w:t>
      </w:r>
      <w:r>
        <w:rPr>
          <w:rFonts w:cs="Times New Roman"/>
          <w:noProof/>
          <w:sz w:val="20"/>
        </w:rPr>
        <w:t>2. EU GPP criteria are recommended for the following product groups: office equipment, paper, electricity, cleaning products and services, sanitary ware, construction (building and road), food products and services, furniture, textiles, transport, gardenin</w:t>
      </w:r>
      <w:r>
        <w:rPr>
          <w:rFonts w:cs="Times New Roman"/>
          <w:noProof/>
          <w:sz w:val="20"/>
        </w:rPr>
        <w:t>g products and services.</w:t>
      </w:r>
    </w:p>
    <w:p w:rsidR="00D337B9" w:rsidRDefault="009B5B10">
      <w:pPr>
        <w:widowControl w:val="0"/>
        <w:spacing w:after="120" w:line="240" w:lineRule="auto"/>
        <w:jc w:val="both"/>
        <w:rPr>
          <w:rFonts w:cs="Times New Roman"/>
          <w:noProof/>
          <w:sz w:val="20"/>
        </w:rPr>
      </w:pPr>
      <w:r>
        <w:rPr>
          <w:rFonts w:cs="Times New Roman"/>
          <w:noProof/>
          <w:sz w:val="20"/>
        </w:rPr>
        <w:t>All public procurers have to adopt at least the core criteria from the GPP NAP (includes the EU GOO Toolkit criteria and national criteria for some categories for which there are no EU criteria), with a target of at least 50%</w:t>
      </w:r>
      <w:r>
        <w:rPr>
          <w:rFonts w:cs="Times New Roman"/>
          <w:noProof/>
          <w:sz w:val="20"/>
          <w:vertAlign w:val="superscript"/>
        </w:rPr>
        <w:footnoteReference w:id="79"/>
      </w:r>
      <w:r>
        <w:rPr>
          <w:rFonts w:cs="Times New Roman"/>
          <w:noProof/>
          <w:sz w:val="20"/>
        </w:rPr>
        <w:t xml:space="preserve">. </w:t>
      </w:r>
    </w:p>
    <w:p w:rsidR="00D337B9" w:rsidRDefault="009B5B10">
      <w:pPr>
        <w:widowControl w:val="0"/>
        <w:spacing w:after="120" w:line="240" w:lineRule="auto"/>
        <w:jc w:val="both"/>
        <w:rPr>
          <w:rFonts w:cs="Times New Roman"/>
          <w:noProof/>
          <w:sz w:val="20"/>
        </w:rPr>
      </w:pPr>
      <w:r>
        <w:rPr>
          <w:rFonts w:cs="Times New Roman"/>
          <w:noProof/>
          <w:sz w:val="20"/>
        </w:rPr>
        <w:t>In</w:t>
      </w:r>
      <w:r>
        <w:rPr>
          <w:rFonts w:cs="Times New Roman"/>
          <w:noProof/>
          <w:sz w:val="20"/>
        </w:rPr>
        <w:t xml:space="preserve"> a 2010 study, the share of Cypriot authorities that included GPP requirements in between 50% and 100% of their contracts was estimated between 10 and 20%</w:t>
      </w:r>
      <w:r>
        <w:rPr>
          <w:rFonts w:cs="Times New Roman"/>
          <w:noProof/>
          <w:sz w:val="20"/>
          <w:vertAlign w:val="superscript"/>
        </w:rPr>
        <w:footnoteReference w:id="80"/>
      </w:r>
      <w:r>
        <w:rPr>
          <w:rFonts w:cs="Times New Roman"/>
          <w:noProof/>
          <w:sz w:val="20"/>
        </w:rPr>
        <w:t>.</w:t>
      </w:r>
    </w:p>
    <w:p w:rsidR="00D337B9" w:rsidRDefault="009B5B10">
      <w:pPr>
        <w:widowControl w:val="0"/>
        <w:spacing w:after="120" w:line="240" w:lineRule="auto"/>
        <w:jc w:val="both"/>
        <w:rPr>
          <w:rFonts w:cs="Times New Roman"/>
          <w:noProof/>
          <w:sz w:val="20"/>
        </w:rPr>
      </w:pPr>
      <w:r>
        <w:rPr>
          <w:rFonts w:cs="Times New Roman"/>
          <w:noProof/>
          <w:sz w:val="20"/>
        </w:rPr>
        <w:t>According to the latest survey Cypriot authorities used green criteria in more than 50% of the case</w:t>
      </w:r>
      <w:r>
        <w:rPr>
          <w:rFonts w:cs="Times New Roman"/>
          <w:noProof/>
          <w:sz w:val="20"/>
        </w:rPr>
        <w:t>s in selected categories (e.g. 70%-100% for IT equipment, recycled kitchen paper, stationery, etc.), which is slightly more than the EU average</w:t>
      </w:r>
      <w:r>
        <w:rPr>
          <w:rFonts w:cs="Times New Roman"/>
          <w:noProof/>
          <w:sz w:val="20"/>
          <w:vertAlign w:val="superscript"/>
        </w:rPr>
        <w:footnoteReference w:id="81"/>
      </w:r>
      <w:r>
        <w:rPr>
          <w:rFonts w:cs="Times New Roman"/>
          <w:noProof/>
          <w:sz w:val="20"/>
        </w:rPr>
        <w:t>, although data are not available for all categories.</w:t>
      </w:r>
    </w:p>
    <w:p w:rsidR="00D337B9" w:rsidRDefault="009B5B10">
      <w:pPr>
        <w:widowControl w:val="0"/>
        <w:spacing w:before="360" w:after="120" w:line="240" w:lineRule="auto"/>
        <w:outlineLvl w:val="1"/>
        <w:rPr>
          <w:rFonts w:cs="Times New Roman"/>
          <w:b/>
          <w:noProof/>
          <w:color w:val="1F497D" w:themeColor="text2"/>
          <w:sz w:val="24"/>
          <w:lang w:eastAsia="en-GB"/>
        </w:rPr>
      </w:pPr>
      <w:bookmarkStart w:id="46" w:name="_Toc454460692"/>
      <w:bookmarkStart w:id="47" w:name="_Toc469407239"/>
      <w:r>
        <w:rPr>
          <w:rFonts w:cs="Times New Roman"/>
          <w:b/>
          <w:noProof/>
          <w:color w:val="1F497D" w:themeColor="text2"/>
          <w:sz w:val="24"/>
          <w:lang w:eastAsia="en-GB"/>
        </w:rPr>
        <w:t>Investments: the contribution of EU funds</w:t>
      </w:r>
      <w:bookmarkEnd w:id="46"/>
      <w:bookmarkEnd w:id="47"/>
    </w:p>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European </w:t>
      </w:r>
      <w:r>
        <w:rPr>
          <w:rFonts w:cs="Times New Roman"/>
          <w:noProof/>
          <w:color w:val="FFFFFF" w:themeColor="background1"/>
          <w:sz w:val="20"/>
        </w:rPr>
        <w:t>Structural and Investment Funds Regulations provide that Member States promote environment and climate objectives in their funding strategies and programmes for economic, social and territorial cohesion, rural development and maritime policy, and reinforce</w:t>
      </w:r>
      <w:r>
        <w:rPr>
          <w:rFonts w:cs="Times New Roman"/>
          <w:noProof/>
          <w:color w:val="FFFFFF" w:themeColor="background1"/>
          <w:sz w:val="20"/>
        </w:rPr>
        <w:t xml:space="preserve"> the capacity of implementing bodies to deliver cost-effective and sustainable investments in these areas.</w:t>
      </w:r>
    </w:p>
    <w:p w:rsidR="00D337B9" w:rsidRDefault="009B5B10">
      <w:pPr>
        <w:widowControl w:val="0"/>
        <w:spacing w:after="120" w:line="240" w:lineRule="auto"/>
        <w:jc w:val="both"/>
        <w:rPr>
          <w:rFonts w:cs="Times New Roman"/>
          <w:noProof/>
          <w:sz w:val="20"/>
        </w:rPr>
      </w:pPr>
      <w:r>
        <w:rPr>
          <w:rFonts w:cs="Times New Roman"/>
          <w:noProof/>
          <w:sz w:val="20"/>
        </w:rPr>
        <w:t xml:space="preserve">Making good use of the </w:t>
      </w:r>
      <w:r>
        <w:rPr>
          <w:rFonts w:cs="Times New Roman"/>
          <w:noProof/>
          <w:sz w:val="20"/>
          <w:szCs w:val="24"/>
        </w:rPr>
        <w:t>European Structural and Investment Funds (ESIF)</w:t>
      </w:r>
      <w:r>
        <w:rPr>
          <w:rFonts w:cs="Times New Roman"/>
          <w:noProof/>
          <w:sz w:val="20"/>
          <w:szCs w:val="24"/>
          <w:vertAlign w:val="superscript"/>
        </w:rPr>
        <w:footnoteReference w:id="82"/>
      </w:r>
      <w:r>
        <w:rPr>
          <w:rFonts w:cs="Times New Roman"/>
          <w:noProof/>
          <w:sz w:val="20"/>
          <w:szCs w:val="24"/>
        </w:rPr>
        <w:t xml:space="preserve"> </w:t>
      </w:r>
      <w:r>
        <w:rPr>
          <w:rFonts w:cs="Times New Roman"/>
          <w:noProof/>
          <w:sz w:val="20"/>
        </w:rPr>
        <w:t>is essential to achieve the environmental goals and integrate these into othe</w:t>
      </w:r>
      <w:r>
        <w:rPr>
          <w:rFonts w:cs="Times New Roman"/>
          <w:noProof/>
          <w:sz w:val="20"/>
        </w:rPr>
        <w:t>r policy areas. Other instruments such as the Horizon 2020, the LIFE programme and European Fund for Strategic Investment</w:t>
      </w:r>
      <w:r>
        <w:rPr>
          <w:rFonts w:cs="Times New Roman"/>
          <w:noProof/>
          <w:sz w:val="20"/>
          <w:vertAlign w:val="superscript"/>
        </w:rPr>
        <w:footnoteReference w:id="83"/>
      </w:r>
      <w:r>
        <w:rPr>
          <w:rFonts w:cs="Times New Roman"/>
          <w:noProof/>
          <w:sz w:val="20"/>
        </w:rPr>
        <w:t xml:space="preserve"> (EFSI) may also support implementation and spread off best practice.</w:t>
      </w:r>
    </w:p>
    <w:p w:rsidR="00D337B9" w:rsidRDefault="009B5B10">
      <w:pPr>
        <w:widowControl w:val="0"/>
        <w:spacing w:after="120" w:line="240" w:lineRule="auto"/>
        <w:jc w:val="both"/>
        <w:rPr>
          <w:rFonts w:cs="Times New Roman"/>
          <w:noProof/>
          <w:sz w:val="20"/>
        </w:rPr>
      </w:pPr>
      <w:r>
        <w:rPr>
          <w:rFonts w:cs="Times New Roman"/>
          <w:noProof/>
          <w:sz w:val="20"/>
        </w:rPr>
        <w:t>With regard to EFSI there are a number of projects under consult</w:t>
      </w:r>
      <w:r>
        <w:rPr>
          <w:rFonts w:cs="Times New Roman"/>
          <w:noProof/>
          <w:sz w:val="20"/>
        </w:rPr>
        <w:t xml:space="preserve">ation with EIB concerning Renewable Energy.           </w:t>
      </w:r>
    </w:p>
    <w:p w:rsidR="00D337B9" w:rsidRDefault="009B5B10">
      <w:pPr>
        <w:widowControl w:val="0"/>
        <w:spacing w:after="120" w:line="240" w:lineRule="auto"/>
        <w:jc w:val="both"/>
        <w:rPr>
          <w:rFonts w:cs="Times New Roman"/>
          <w:noProof/>
          <w:sz w:val="20"/>
        </w:rPr>
      </w:pPr>
      <w:r>
        <w:rPr>
          <w:rFonts w:cs="Times New Roman"/>
          <w:iCs/>
          <w:noProof/>
          <w:sz w:val="20"/>
        </w:rPr>
        <w:t>For</w:t>
      </w:r>
      <w:r>
        <w:rPr>
          <w:rFonts w:cs="Times New Roman"/>
          <w:noProof/>
          <w:sz w:val="20"/>
        </w:rPr>
        <w:t xml:space="preserve"> the 2014-2020 programming period Cyprus has adopted four Operational Programmes (OPs): one for the European Agricultural Fund for Rural Development (EAFRD), one for the European Maritime and Fisher</w:t>
      </w:r>
      <w:r>
        <w:rPr>
          <w:rFonts w:cs="Times New Roman"/>
          <w:noProof/>
          <w:sz w:val="20"/>
        </w:rPr>
        <w:t xml:space="preserve">ies Fund (EMFF), one for the European Social Fund (ESF) and one for the European Regional Development Fund (ERDF) and the Cohesion Fund (CF). </w:t>
      </w:r>
    </w:p>
    <w:p w:rsidR="00D337B9" w:rsidRDefault="009B5B10">
      <w:pPr>
        <w:widowControl w:val="0"/>
        <w:spacing w:after="120" w:line="240" w:lineRule="auto"/>
        <w:jc w:val="both"/>
        <w:rPr>
          <w:rFonts w:cs="Times New Roman"/>
          <w:noProof/>
          <w:sz w:val="20"/>
        </w:rPr>
      </w:pPr>
      <w:r>
        <w:rPr>
          <w:rFonts w:cs="Times New Roman"/>
          <w:noProof/>
          <w:sz w:val="20"/>
        </w:rPr>
        <w:t>The total EU allocation of ESIF for Cyprus will be EUR 874 million (see figure 13), which is an increase compared</w:t>
      </w:r>
      <w:r>
        <w:rPr>
          <w:rFonts w:cs="Times New Roman"/>
          <w:noProof/>
          <w:sz w:val="20"/>
        </w:rPr>
        <w:t xml:space="preserve"> to the 2007-2013 programming period, when the EU allocated funds amounted to EUR 612 million.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D337B9">
        <w:tc>
          <w:tcPr>
            <w:tcW w:w="4910" w:type="dxa"/>
          </w:tcPr>
          <w:p w:rsidR="00D337B9" w:rsidRDefault="009B5B10">
            <w:pPr>
              <w:widowControl w:val="0"/>
              <w:spacing w:after="120"/>
              <w:jc w:val="both"/>
              <w:rPr>
                <w:rFonts w:cs="Times New Roman"/>
                <w:noProof/>
                <w:sz w:val="20"/>
              </w:rPr>
            </w:pPr>
            <w:r>
              <w:rPr>
                <w:rFonts w:cs="Times New Roman"/>
                <w:b/>
                <w:bCs/>
                <w:noProof/>
                <w:color w:val="1F497D" w:themeColor="text2"/>
                <w:sz w:val="20"/>
              </w:rPr>
              <w:t>Figure 13: European Structural and Investment Funds 2014-2020: Budget Cyprus by theme, EUR billion</w:t>
            </w:r>
            <w:r>
              <w:rPr>
                <w:rFonts w:cs="Times New Roman"/>
                <w:b/>
                <w:bCs/>
                <w:noProof/>
                <w:color w:val="1F497D" w:themeColor="text2"/>
                <w:sz w:val="20"/>
                <w:vertAlign w:val="superscript"/>
              </w:rPr>
              <w:footnoteReference w:id="84"/>
            </w:r>
          </w:p>
        </w:tc>
      </w:tr>
      <w:tr w:rsidR="00D337B9">
        <w:tc>
          <w:tcPr>
            <w:tcW w:w="4910" w:type="dxa"/>
          </w:tcPr>
          <w:p w:rsidR="00D337B9" w:rsidRDefault="009B5B10">
            <w:pPr>
              <w:widowControl w:val="0"/>
              <w:spacing w:after="120"/>
              <w:jc w:val="both"/>
              <w:rPr>
                <w:rFonts w:cs="Times New Roman"/>
                <w:noProof/>
                <w:sz w:val="20"/>
              </w:rPr>
            </w:pPr>
            <w:r>
              <w:rPr>
                <w:rFonts w:cs="Times New Roman"/>
                <w:noProof/>
                <w:sz w:val="20"/>
                <w:lang w:eastAsia="en-GB"/>
              </w:rPr>
              <w:drawing>
                <wp:inline distT="0" distB="0" distL="0" distR="0" wp14:anchorId="14B4ABD3" wp14:editId="723080B6">
                  <wp:extent cx="2743200" cy="3636212"/>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745050" cy="3638665"/>
                          </a:xfrm>
                          <a:prstGeom prst="rect">
                            <a:avLst/>
                          </a:prstGeom>
                        </pic:spPr>
                      </pic:pic>
                    </a:graphicData>
                  </a:graphic>
                </wp:inline>
              </w:drawing>
            </w:r>
          </w:p>
        </w:tc>
      </w:tr>
    </w:tbl>
    <w:p w:rsidR="00D337B9" w:rsidRDefault="009B5B10">
      <w:pPr>
        <w:widowControl w:val="0"/>
        <w:spacing w:after="120" w:line="240" w:lineRule="auto"/>
        <w:jc w:val="both"/>
        <w:rPr>
          <w:rFonts w:cs="Times New Roman"/>
          <w:noProof/>
          <w:sz w:val="20"/>
        </w:rPr>
      </w:pPr>
      <w:r>
        <w:rPr>
          <w:rFonts w:cs="Times New Roman"/>
          <w:noProof/>
          <w:sz w:val="20"/>
        </w:rPr>
        <w:t xml:space="preserve">The biggest share – EUR 292.1 million (33.4%) of funding </w:t>
      </w:r>
      <w:r>
        <w:rPr>
          <w:rFonts w:cs="Times New Roman"/>
          <w:noProof/>
          <w:sz w:val="20"/>
        </w:rPr>
        <w:t>is coming from the European Fund for Regional Development (ERDF).</w:t>
      </w:r>
    </w:p>
    <w:p w:rsidR="00D337B9" w:rsidRDefault="009B5B10">
      <w:pPr>
        <w:widowControl w:val="0"/>
        <w:spacing w:after="120" w:line="240" w:lineRule="auto"/>
        <w:jc w:val="both"/>
        <w:rPr>
          <w:rFonts w:cs="Times New Roman"/>
          <w:noProof/>
          <w:sz w:val="20"/>
        </w:rPr>
      </w:pPr>
      <w:r>
        <w:rPr>
          <w:rFonts w:cs="Times New Roman"/>
          <w:noProof/>
          <w:sz w:val="20"/>
        </w:rPr>
        <w:t>EUR 269.5 million (30.8%) - from the Cohesion Fund (CF).</w:t>
      </w:r>
    </w:p>
    <w:p w:rsidR="00D337B9" w:rsidRDefault="009B5B10">
      <w:pPr>
        <w:widowControl w:val="0"/>
        <w:spacing w:after="120" w:line="240" w:lineRule="auto"/>
        <w:jc w:val="both"/>
        <w:rPr>
          <w:rFonts w:cs="Times New Roman"/>
          <w:noProof/>
          <w:sz w:val="20"/>
        </w:rPr>
      </w:pPr>
      <w:r>
        <w:rPr>
          <w:rFonts w:cs="Times New Roman"/>
          <w:noProof/>
          <w:sz w:val="20"/>
        </w:rPr>
        <w:t>EUR 132.2 million (15.1%) – from the European Agricultural Fund for Rural Development (EAFRD).</w:t>
      </w:r>
    </w:p>
    <w:p w:rsidR="00D337B9" w:rsidRDefault="009B5B10">
      <w:pPr>
        <w:widowControl w:val="0"/>
        <w:spacing w:after="120" w:line="240" w:lineRule="auto"/>
        <w:jc w:val="both"/>
        <w:rPr>
          <w:rFonts w:cs="Times New Roman"/>
          <w:noProof/>
          <w:sz w:val="20"/>
        </w:rPr>
      </w:pPr>
      <w:r>
        <w:rPr>
          <w:rFonts w:cs="Times New Roman"/>
          <w:noProof/>
          <w:sz w:val="20"/>
        </w:rPr>
        <w:t>EUR 128.9 million (14.8%) - from the E</w:t>
      </w:r>
      <w:r>
        <w:rPr>
          <w:rFonts w:cs="Times New Roman"/>
          <w:noProof/>
          <w:sz w:val="20"/>
        </w:rPr>
        <w:t>uropean Social Fund (ESF).</w:t>
      </w:r>
    </w:p>
    <w:p w:rsidR="00D337B9" w:rsidRDefault="009B5B10">
      <w:pPr>
        <w:widowControl w:val="0"/>
        <w:spacing w:after="120" w:line="240" w:lineRule="auto"/>
        <w:jc w:val="both"/>
        <w:rPr>
          <w:rFonts w:cs="Times New Roman"/>
          <w:noProof/>
          <w:sz w:val="20"/>
        </w:rPr>
      </w:pPr>
      <w:r>
        <w:rPr>
          <w:rFonts w:cs="Times New Roman"/>
          <w:noProof/>
          <w:sz w:val="20"/>
        </w:rPr>
        <w:t>EUR 39.7 million (4.5%) from the European Maritime and Fisheries Fund (EMFF).</w:t>
      </w:r>
    </w:p>
    <w:p w:rsidR="00D337B9" w:rsidRDefault="009B5B10">
      <w:pPr>
        <w:widowControl w:val="0"/>
        <w:spacing w:after="120" w:line="240" w:lineRule="auto"/>
        <w:jc w:val="both"/>
        <w:rPr>
          <w:bCs/>
          <w:iCs/>
          <w:noProof/>
          <w:sz w:val="20"/>
          <w:szCs w:val="20"/>
        </w:rPr>
      </w:pPr>
      <w:r>
        <w:rPr>
          <w:rFonts w:cs="Times New Roman"/>
          <w:noProof/>
          <w:sz w:val="20"/>
        </w:rPr>
        <w:t>In total, EUR 217.3 million is dedicated to Thematic Objective (TO) 6 Environment Protection and Resource efficiency, EUR 127 million through the CF, E</w:t>
      </w:r>
      <w:r>
        <w:rPr>
          <w:rFonts w:cs="Times New Roman"/>
          <w:noProof/>
          <w:sz w:val="20"/>
        </w:rPr>
        <w:t>UR 36.9 million through the EAFRD programme, EUR 30 m through the ERDF programme and EUR 23.4 million through the EMFF. In addition, EUR 51 million is foreseen for TO4 Low Carbon Economy (ERDF, CF, EMFF and EAFRD) and EUR 39.4 million for TO5 Climate Chang</w:t>
      </w:r>
      <w:r>
        <w:rPr>
          <w:rFonts w:cs="Times New Roman"/>
          <w:noProof/>
          <w:sz w:val="20"/>
        </w:rPr>
        <w:t xml:space="preserve">e Adoption and Risk Prevention (EAFRD and CF). </w:t>
      </w:r>
      <w:r>
        <w:rPr>
          <w:bCs/>
          <w:iCs/>
          <w:noProof/>
          <w:sz w:val="20"/>
          <w:szCs w:val="20"/>
        </w:rPr>
        <w:t xml:space="preserve">It is too early to draw conclusions as regards the use and results of ESIF for the period 2014-2020, as the relevant programmes are still in an early stage of their implementation. </w:t>
      </w:r>
    </w:p>
    <w:p w:rsidR="00D337B9" w:rsidRDefault="009B5B10">
      <w:pPr>
        <w:widowControl w:val="0"/>
        <w:spacing w:after="120" w:line="240" w:lineRule="auto"/>
        <w:jc w:val="both"/>
        <w:rPr>
          <w:rFonts w:cs="Times New Roman"/>
          <w:noProof/>
          <w:sz w:val="20"/>
          <w:szCs w:val="20"/>
        </w:rPr>
      </w:pPr>
      <w:r>
        <w:rPr>
          <w:bCs/>
          <w:iCs/>
          <w:noProof/>
          <w:sz w:val="20"/>
          <w:szCs w:val="20"/>
        </w:rPr>
        <w:t>Current data suggest that t</w:t>
      </w:r>
      <w:r>
        <w:rPr>
          <w:bCs/>
          <w:iCs/>
          <w:noProof/>
          <w:sz w:val="20"/>
          <w:szCs w:val="20"/>
        </w:rPr>
        <w:t>he EU funds for the 2007-2013 period were almost fully spent.</w:t>
      </w:r>
    </w:p>
    <w:p w:rsidR="00D337B9" w:rsidRDefault="00D337B9">
      <w:pPr>
        <w:widowControl w:val="0"/>
        <w:spacing w:after="120" w:line="240" w:lineRule="auto"/>
        <w:jc w:val="both"/>
        <w:rPr>
          <w:rFonts w:cs="Times New Roman"/>
          <w:noProof/>
          <w:sz w:val="20"/>
          <w:szCs w:val="20"/>
        </w:rPr>
      </w:pPr>
    </w:p>
    <w:p w:rsidR="00D337B9" w:rsidRDefault="00D337B9">
      <w:pPr>
        <w:widowControl w:val="0"/>
        <w:spacing w:after="120" w:line="240" w:lineRule="auto"/>
        <w:jc w:val="both"/>
        <w:rPr>
          <w:rFonts w:cs="Times New Roman"/>
          <w:noProof/>
          <w:sz w:val="20"/>
          <w:szCs w:val="20"/>
        </w:rPr>
      </w:pPr>
    </w:p>
    <w:p w:rsidR="00D337B9" w:rsidRDefault="00D337B9">
      <w:pPr>
        <w:widowControl w:val="0"/>
        <w:spacing w:after="120" w:line="240" w:lineRule="auto"/>
        <w:jc w:val="both"/>
        <w:rPr>
          <w:rFonts w:cs="Times New Roman"/>
          <w:noProof/>
          <w:sz w:val="20"/>
          <w:szCs w:val="20"/>
        </w:rPr>
      </w:pPr>
    </w:p>
    <w:p w:rsidR="00D337B9" w:rsidRDefault="00D337B9">
      <w:pPr>
        <w:widowControl w:val="0"/>
        <w:spacing w:after="120" w:line="240" w:lineRule="auto"/>
        <w:jc w:val="both"/>
        <w:rPr>
          <w:rFonts w:cs="Times New Roman"/>
          <w:noProof/>
          <w:sz w:val="20"/>
          <w:szCs w:val="20"/>
        </w:rPr>
      </w:pPr>
    </w:p>
    <w:p w:rsidR="00D337B9" w:rsidRDefault="00D337B9">
      <w:pPr>
        <w:widowControl w:val="0"/>
        <w:spacing w:after="120" w:line="240" w:lineRule="auto"/>
        <w:jc w:val="both"/>
        <w:rPr>
          <w:rFonts w:cs="Times New Roman"/>
          <w:noProof/>
          <w:sz w:val="20"/>
          <w:szCs w:val="20"/>
        </w:rPr>
      </w:pPr>
    </w:p>
    <w:p w:rsidR="00D337B9" w:rsidRDefault="00D337B9">
      <w:pPr>
        <w:widowControl w:val="0"/>
        <w:spacing w:after="120" w:line="240" w:lineRule="auto"/>
        <w:jc w:val="both"/>
        <w:rPr>
          <w:rFonts w:cs="Times New Roman"/>
          <w:noProof/>
          <w:sz w:val="20"/>
          <w:szCs w:val="20"/>
        </w:rPr>
      </w:pPr>
    </w:p>
    <w:p w:rsidR="00D337B9" w:rsidRDefault="00D337B9">
      <w:pPr>
        <w:widowControl w:val="0"/>
        <w:spacing w:after="120" w:line="240" w:lineRule="auto"/>
        <w:jc w:val="both"/>
        <w:rPr>
          <w:rFonts w:cs="Times New Roman"/>
          <w:noProof/>
          <w:sz w:val="20"/>
          <w:szCs w:val="20"/>
        </w:rPr>
      </w:pPr>
    </w:p>
    <w:p w:rsidR="00D337B9" w:rsidRDefault="00D337B9">
      <w:pPr>
        <w:widowControl w:val="0"/>
        <w:spacing w:after="120" w:line="240" w:lineRule="auto"/>
        <w:jc w:val="both"/>
        <w:rPr>
          <w:rFonts w:cs="Times New Roman"/>
          <w:noProof/>
          <w:sz w:val="20"/>
          <w:szCs w:val="20"/>
        </w:rPr>
      </w:pPr>
    </w:p>
    <w:p w:rsidR="00D337B9" w:rsidRDefault="00D337B9">
      <w:pPr>
        <w:widowControl w:val="0"/>
        <w:spacing w:after="120" w:line="240" w:lineRule="auto"/>
        <w:jc w:val="both"/>
        <w:rPr>
          <w:rFonts w:cs="Times New Roman"/>
          <w:noProof/>
          <w:sz w:val="20"/>
          <w:szCs w:val="20"/>
        </w:rPr>
      </w:pPr>
    </w:p>
    <w:p w:rsidR="00D337B9" w:rsidRDefault="00D337B9">
      <w:pPr>
        <w:widowControl w:val="0"/>
        <w:spacing w:after="120" w:line="240" w:lineRule="auto"/>
        <w:jc w:val="both"/>
        <w:rPr>
          <w:rFonts w:cs="Times New Roman"/>
          <w:noProof/>
          <w:sz w:val="20"/>
          <w:szCs w:val="20"/>
        </w:rPr>
      </w:pPr>
    </w:p>
    <w:p w:rsidR="00D337B9" w:rsidRDefault="00D337B9">
      <w:pPr>
        <w:widowControl w:val="0"/>
        <w:spacing w:after="120" w:line="240" w:lineRule="auto"/>
        <w:jc w:val="both"/>
        <w:rPr>
          <w:rFonts w:cs="Times New Roman"/>
          <w:noProof/>
          <w:sz w:val="20"/>
          <w:szCs w:val="20"/>
        </w:rPr>
      </w:pPr>
    </w:p>
    <w:p w:rsidR="00D337B9" w:rsidRDefault="00D337B9">
      <w:pPr>
        <w:widowControl w:val="0"/>
        <w:spacing w:after="120" w:line="240" w:lineRule="auto"/>
        <w:jc w:val="both"/>
        <w:rPr>
          <w:rFonts w:cs="Times New Roman"/>
          <w:noProof/>
          <w:sz w:val="20"/>
          <w:szCs w:val="20"/>
        </w:rPr>
      </w:pPr>
    </w:p>
    <w:p w:rsidR="00D337B9" w:rsidRDefault="009B5B10">
      <w:pPr>
        <w:widowControl w:val="0"/>
        <w:spacing w:after="120" w:line="240" w:lineRule="auto"/>
        <w:jc w:val="both"/>
        <w:rPr>
          <w:rFonts w:cs="Times New Roman"/>
          <w:noProof/>
          <w:sz w:val="20"/>
          <w:szCs w:val="20"/>
        </w:rPr>
      </w:pPr>
      <w:r>
        <w:rPr>
          <w:rFonts w:cs="Times New Roman"/>
          <w:noProof/>
          <w:sz w:val="20"/>
          <w:szCs w:val="20"/>
        </w:rPr>
        <w:br w:type="page"/>
      </w:r>
    </w:p>
    <w:p w:rsidR="00D337B9" w:rsidRDefault="00D337B9">
      <w:pPr>
        <w:widowControl w:val="0"/>
        <w:spacing w:after="120" w:line="240" w:lineRule="auto"/>
        <w:jc w:val="both"/>
        <w:rPr>
          <w:rFonts w:cs="Times New Roman"/>
          <w:noProof/>
          <w:sz w:val="20"/>
        </w:rPr>
        <w:sectPr w:rsidR="00D337B9">
          <w:headerReference w:type="even" r:id="rId107"/>
          <w:headerReference w:type="default" r:id="rId108"/>
          <w:footerReference w:type="even" r:id="rId109"/>
          <w:footerReference w:type="default" r:id="rId110"/>
          <w:headerReference w:type="first" r:id="rId111"/>
          <w:footerReference w:type="first" r:id="rId112"/>
          <w:type w:val="continuous"/>
          <w:pgSz w:w="11906" w:h="16838"/>
          <w:pgMar w:top="1440" w:right="1080" w:bottom="1440" w:left="1080" w:header="708" w:footer="708" w:gutter="0"/>
          <w:cols w:num="2" w:space="357"/>
          <w:docGrid w:linePitch="360"/>
        </w:sectPr>
      </w:pPr>
    </w:p>
    <w:p w:rsidR="00D337B9" w:rsidRDefault="009B5B10">
      <w:pPr>
        <w:keepNext/>
        <w:keepLines/>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48" w:name="_Toc469407240"/>
      <w:r>
        <w:rPr>
          <w:rFonts w:eastAsiaTheme="majorEastAsia" w:cstheme="majorBidi"/>
          <w:b/>
          <w:bCs/>
          <w:noProof/>
          <w:color w:val="1F497D" w:themeColor="text2"/>
          <w:sz w:val="32"/>
          <w:szCs w:val="28"/>
        </w:rPr>
        <w:t>Effective governance and knowledge</w:t>
      </w:r>
      <w:bookmarkEnd w:id="48"/>
    </w:p>
    <w:p w:rsidR="00D337B9" w:rsidRDefault="00D337B9">
      <w:pPr>
        <w:widowControl w:val="0"/>
        <w:spacing w:after="120" w:line="240" w:lineRule="auto"/>
        <w:jc w:val="both"/>
        <w:rPr>
          <w:rFonts w:cs="Times New Roman"/>
          <w:noProof/>
          <w:sz w:val="20"/>
        </w:rPr>
      </w:pPr>
    </w:p>
    <w:p w:rsidR="00D337B9" w:rsidRDefault="00D337B9">
      <w:pPr>
        <w:widowControl w:val="0"/>
        <w:spacing w:after="120" w:line="240" w:lineRule="auto"/>
        <w:jc w:val="both"/>
        <w:rPr>
          <w:rFonts w:cs="Times New Roman"/>
          <w:noProof/>
          <w:sz w:val="20"/>
        </w:rPr>
        <w:sectPr w:rsidR="00D337B9">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440" w:right="1080" w:bottom="1440" w:left="1080" w:header="708" w:footer="708" w:gutter="0"/>
          <w:cols w:space="566"/>
          <w:docGrid w:linePitch="360"/>
        </w:sectPr>
      </w:pPr>
    </w:p>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bookmarkStart w:id="49" w:name="_Toc433798401"/>
      <w:r>
        <w:rPr>
          <w:rFonts w:cs="Times New Roman"/>
          <w:noProof/>
          <w:color w:val="FFFFFF" w:themeColor="background1"/>
          <w:sz w:val="20"/>
        </w:rPr>
        <w:t xml:space="preserve">SDG 16 aims at providing access to justice and building effective, accountable and inclusive institutions at all levels. SDG 17 aims at better </w:t>
      </w:r>
      <w:r>
        <w:rPr>
          <w:rFonts w:cs="Times New Roman"/>
          <w:noProof/>
          <w:color w:val="FFFFFF" w:themeColor="background1"/>
          <w:sz w:val="20"/>
        </w:rPr>
        <w:t>implementation, improving policy coordination and policy coherence, stimulating science, technology and innovation, establishing partnerships and developing measurements of progress.</w:t>
      </w:r>
    </w:p>
    <w:p w:rsidR="00D337B9" w:rsidRDefault="009B5B10">
      <w:pPr>
        <w:widowControl w:val="0"/>
        <w:spacing w:after="120" w:line="240" w:lineRule="auto"/>
        <w:jc w:val="both"/>
        <w:rPr>
          <w:rFonts w:cs="Times New Roman"/>
          <w:noProof/>
          <w:sz w:val="20"/>
        </w:rPr>
      </w:pPr>
      <w:r>
        <w:rPr>
          <w:rFonts w:cs="Times New Roman"/>
          <w:noProof/>
          <w:sz w:val="20"/>
        </w:rPr>
        <w:t>Effective governance of EU environmental legislation and policies require</w:t>
      </w:r>
      <w:r>
        <w:rPr>
          <w:rFonts w:cs="Times New Roman"/>
          <w:noProof/>
          <w:sz w:val="20"/>
        </w:rPr>
        <w:t>s having an appropriate institutional framework, policy coherence and coordination, applying legal and non-legal instruments, engaging with non-governmental stakeholders, and having adequate levels of knowledge and skills</w:t>
      </w:r>
      <w:r>
        <w:rPr>
          <w:rFonts w:cs="Times New Roman"/>
          <w:noProof/>
          <w:sz w:val="20"/>
          <w:vertAlign w:val="superscript"/>
        </w:rPr>
        <w:footnoteReference w:id="85"/>
      </w:r>
      <w:r>
        <w:rPr>
          <w:rFonts w:cs="Times New Roman"/>
          <w:noProof/>
          <w:sz w:val="20"/>
        </w:rPr>
        <w:t>. Successful implementation depend</w:t>
      </w:r>
      <w:r>
        <w:rPr>
          <w:rFonts w:cs="Times New Roman"/>
          <w:noProof/>
          <w:sz w:val="20"/>
        </w:rPr>
        <w:t>s, to a large extent, on central, regional and local government fulfilling key legislative and administrative tasks, notably adoption of sound implementing legislation, co-ordinated action to meet environmental objectives and correct decision-making on mat</w:t>
      </w:r>
      <w:r>
        <w:rPr>
          <w:rFonts w:cs="Times New Roman"/>
          <w:noProof/>
          <w:sz w:val="20"/>
        </w:rPr>
        <w:t>ters such as industrial permits. Beyond fulfilment of these tasks, government must intervene to ensure day-to-day compliance by economic operators, utilities and individuals ("compliance assurance"). Civil society also has a role to play, including through</w:t>
      </w:r>
      <w:r>
        <w:rPr>
          <w:rFonts w:cs="Times New Roman"/>
          <w:noProof/>
          <w:sz w:val="20"/>
        </w:rPr>
        <w:t xml:space="preserve"> legal action. To underpin the roles of all actors, it is crucial to collect and share knowledge and evidence on the state of the environment and on environmental pressures, drivers and impacts.</w:t>
      </w:r>
    </w:p>
    <w:p w:rsidR="00D337B9" w:rsidRDefault="009B5B10">
      <w:pPr>
        <w:widowControl w:val="0"/>
        <w:spacing w:after="120" w:line="240" w:lineRule="auto"/>
        <w:jc w:val="both"/>
        <w:rPr>
          <w:rFonts w:cs="Times New Roman"/>
          <w:noProof/>
          <w:sz w:val="20"/>
        </w:rPr>
      </w:pPr>
      <w:bookmarkStart w:id="50" w:name="_Toc455589321"/>
      <w:r>
        <w:rPr>
          <w:rFonts w:cs="Times New Roman"/>
          <w:noProof/>
          <w:sz w:val="20"/>
          <w:szCs w:val="20"/>
          <w:lang w:val="en-US"/>
        </w:rPr>
        <w:t>Equally, effective governance of EU environmental legislation</w:t>
      </w:r>
      <w:r>
        <w:rPr>
          <w:rFonts w:cs="Times New Roman"/>
          <w:noProof/>
          <w:sz w:val="20"/>
          <w:szCs w:val="20"/>
          <w:lang w:val="en-US"/>
        </w:rPr>
        <w:t xml:space="preserve"> and policies benefits from a dialogue within Member States and between Member States and the Commission on whether the current EU environmental legislation is fit for purpose. Legislation can only be properly implemented when it takes into account experie</w:t>
      </w:r>
      <w:r>
        <w:rPr>
          <w:rFonts w:cs="Times New Roman"/>
          <w:noProof/>
          <w:sz w:val="20"/>
          <w:szCs w:val="20"/>
          <w:lang w:val="en-US"/>
        </w:rPr>
        <w:t>nces at Member State level with putting EU commitments into effect. The Make it Work initiative, a Member State driven project, established in 2014, organizes a discussion on how the clarity, coherence and structure of EU environmental legislation can be i</w:t>
      </w:r>
      <w:r>
        <w:rPr>
          <w:rFonts w:cs="Times New Roman"/>
          <w:noProof/>
          <w:sz w:val="20"/>
          <w:szCs w:val="20"/>
          <w:lang w:val="en-US"/>
        </w:rPr>
        <w:t>mproved, without lowering existing protection standards.</w:t>
      </w:r>
    </w:p>
    <w:p w:rsidR="00D337B9" w:rsidRDefault="009B5B10">
      <w:pPr>
        <w:widowControl w:val="0"/>
        <w:spacing w:after="120" w:line="240" w:lineRule="auto"/>
        <w:outlineLvl w:val="1"/>
        <w:rPr>
          <w:rFonts w:cs="Times New Roman"/>
          <w:b/>
          <w:noProof/>
          <w:color w:val="1F497D" w:themeColor="text2"/>
          <w:sz w:val="24"/>
        </w:rPr>
      </w:pPr>
      <w:bookmarkStart w:id="51" w:name="_Toc469407241"/>
      <w:r>
        <w:rPr>
          <w:rFonts w:cs="Times New Roman"/>
          <w:b/>
          <w:noProof/>
          <w:color w:val="1F497D" w:themeColor="text2"/>
          <w:sz w:val="24"/>
        </w:rPr>
        <w:t>Effective governance within central, regional and local government</w:t>
      </w:r>
      <w:bookmarkEnd w:id="50"/>
      <w:bookmarkEnd w:id="51"/>
    </w:p>
    <w:bookmarkEnd w:id="49"/>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Those involved in implementing environment legislation at Union, national, regional and local levels need to be equipped with the kn</w:t>
      </w:r>
      <w:r>
        <w:rPr>
          <w:rFonts w:cs="Times New Roman"/>
          <w:noProof/>
          <w:color w:val="FFFFFF" w:themeColor="background1"/>
          <w:sz w:val="20"/>
        </w:rPr>
        <w:t>owledge, tools and capacity to improve the delivery of benefits from that legislation, and the governance of the enforcement process.</w:t>
      </w:r>
    </w:p>
    <w:p w:rsidR="00D337B9" w:rsidRDefault="00D337B9">
      <w:pPr>
        <w:widowControl w:val="0"/>
        <w:spacing w:after="120" w:line="240" w:lineRule="auto"/>
        <w:jc w:val="both"/>
        <w:outlineLvl w:val="2"/>
        <w:rPr>
          <w:rFonts w:cs="Times New Roman"/>
          <w:b/>
          <w:noProof/>
          <w:color w:val="1F497D" w:themeColor="text2"/>
        </w:rPr>
      </w:pPr>
    </w:p>
    <w:p w:rsidR="00D337B9" w:rsidRDefault="009B5B10">
      <w:pPr>
        <w:widowControl w:val="0"/>
        <w:spacing w:after="120" w:line="240" w:lineRule="auto"/>
        <w:jc w:val="both"/>
        <w:outlineLvl w:val="2"/>
        <w:rPr>
          <w:rFonts w:cs="Times New Roman"/>
          <w:b/>
          <w:noProof/>
          <w:color w:val="1F497D" w:themeColor="text2"/>
        </w:rPr>
      </w:pPr>
      <w:r>
        <w:rPr>
          <w:rFonts w:cs="Times New Roman"/>
          <w:b/>
          <w:noProof/>
          <w:color w:val="1F497D" w:themeColor="text2"/>
        </w:rPr>
        <w:t>Capacity to implement rules</w:t>
      </w:r>
    </w:p>
    <w:p w:rsidR="00D337B9" w:rsidRDefault="009B5B10">
      <w:pPr>
        <w:widowControl w:val="0"/>
        <w:spacing w:after="120" w:line="240" w:lineRule="auto"/>
        <w:jc w:val="both"/>
        <w:rPr>
          <w:rFonts w:cs="Times New Roman"/>
          <w:noProof/>
          <w:color w:val="000000" w:themeColor="text1"/>
          <w:sz w:val="20"/>
        </w:rPr>
      </w:pPr>
      <w:r>
        <w:rPr>
          <w:rFonts w:cs="Times New Roman"/>
          <w:noProof/>
          <w:color w:val="000000" w:themeColor="text1"/>
          <w:sz w:val="20"/>
        </w:rPr>
        <w:t>It is crucial that central, regional and local administrations have the necessary capacities,</w:t>
      </w:r>
      <w:r>
        <w:rPr>
          <w:rFonts w:cs="Times New Roman"/>
          <w:noProof/>
          <w:color w:val="000000" w:themeColor="text1"/>
          <w:sz w:val="20"/>
        </w:rPr>
        <w:t xml:space="preserve"> skills and training to carry out their own tasks and to co-operate and co-ordinate effectively with each other, within a system of multi-level governance.</w:t>
      </w:r>
    </w:p>
    <w:p w:rsidR="00D337B9" w:rsidRDefault="009B5B10">
      <w:pPr>
        <w:widowControl w:val="0"/>
        <w:spacing w:after="120" w:line="240" w:lineRule="auto"/>
        <w:jc w:val="both"/>
        <w:rPr>
          <w:rFonts w:cs="Times New Roman"/>
          <w:noProof/>
          <w:sz w:val="20"/>
        </w:rPr>
      </w:pPr>
      <w:r>
        <w:rPr>
          <w:rFonts w:cs="Times New Roman"/>
          <w:noProof/>
          <w:sz w:val="20"/>
        </w:rPr>
        <w:t>Alignment of legislation in Cyprus was closely followed throughout pre-accession period. No signific</w:t>
      </w:r>
      <w:r>
        <w:rPr>
          <w:rFonts w:cs="Times New Roman"/>
          <w:noProof/>
          <w:sz w:val="20"/>
        </w:rPr>
        <w:t xml:space="preserve">ant gaps have arisen and the process of putting in place the EU </w:t>
      </w:r>
      <w:r>
        <w:rPr>
          <w:rFonts w:cs="Times New Roman"/>
          <w:i/>
          <w:noProof/>
          <w:sz w:val="20"/>
        </w:rPr>
        <w:t xml:space="preserve">acquis </w:t>
      </w:r>
      <w:r>
        <w:rPr>
          <w:rFonts w:cs="Times New Roman"/>
          <w:noProof/>
          <w:sz w:val="20"/>
        </w:rPr>
        <w:t>led to the strengthening of environmental policies and legislation. So far, the Cypriot authorities comply with the deadlines imposed by the EU environmental legislation and react quick</w:t>
      </w:r>
      <w:r>
        <w:rPr>
          <w:rFonts w:cs="Times New Roman"/>
          <w:noProof/>
          <w:sz w:val="20"/>
        </w:rPr>
        <w:t xml:space="preserve">ly and efficiently, whenever the Commission initiates an infringement procedure. A notable exception is in the nature sector, where some delays are observed (i.e. designation of Special Protected Areas and proposal of Sites of Community Interest). </w:t>
      </w:r>
    </w:p>
    <w:p w:rsidR="00D337B9" w:rsidRDefault="009B5B10">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49C6B5C3" wp14:editId="6737C60A">
            <wp:extent cx="2980690" cy="1981468"/>
            <wp:effectExtent l="0" t="0" r="0" b="0"/>
            <wp:docPr id="1" name="Picture 1" descr="P:\ENV-E2\1. ENV IMPLEMENTATION REVIEW\EIR Data management\Pictures\remaining pictures istock\clean\CY parliament iStock-523709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remaining pictures istock\clean\CY parliament iStock-523709059.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80690" cy="1981468"/>
                    </a:xfrm>
                    <a:prstGeom prst="rect">
                      <a:avLst/>
                    </a:prstGeom>
                    <a:noFill/>
                    <a:ln>
                      <a:noFill/>
                    </a:ln>
                  </pic:spPr>
                </pic:pic>
              </a:graphicData>
            </a:graphic>
          </wp:inline>
        </w:drawing>
      </w:r>
      <w:r>
        <w:rPr>
          <w:rFonts w:cs="Times New Roman"/>
          <w:noProof/>
          <w:sz w:val="20"/>
        </w:rPr>
        <w:t>The nu</w:t>
      </w:r>
      <w:r>
        <w:rPr>
          <w:rFonts w:cs="Times New Roman"/>
          <w:noProof/>
          <w:sz w:val="20"/>
        </w:rPr>
        <w:t>mber of infringement cases against Cyprus is moderate (8 infringement cases, of which 7 at 258 stage and 1 at 260 stage). In general, there are no significant problems regarding the quality of the transposition of the EC Directives. Currently no case is op</w:t>
      </w:r>
      <w:r>
        <w:rPr>
          <w:rFonts w:cs="Times New Roman"/>
          <w:noProof/>
          <w:sz w:val="20"/>
        </w:rPr>
        <w:t>en. Most cases relate either to bad application of the EU environmental legislation or late transposition.</w:t>
      </w:r>
    </w:p>
    <w:p w:rsidR="00D337B9" w:rsidRDefault="009B5B10">
      <w:pPr>
        <w:widowControl w:val="0"/>
        <w:spacing w:after="120" w:line="240" w:lineRule="auto"/>
        <w:jc w:val="both"/>
        <w:rPr>
          <w:rFonts w:cs="Times New Roman"/>
          <w:noProof/>
          <w:sz w:val="20"/>
        </w:rPr>
      </w:pPr>
      <w:r>
        <w:rPr>
          <w:rFonts w:cs="Times New Roman"/>
          <w:noProof/>
          <w:sz w:val="20"/>
        </w:rPr>
        <w:t>According to a Report of the World Bank</w:t>
      </w:r>
      <w:r>
        <w:rPr>
          <w:rFonts w:cs="Times New Roman"/>
          <w:noProof/>
          <w:sz w:val="20"/>
          <w:vertAlign w:val="superscript"/>
        </w:rPr>
        <w:footnoteReference w:id="86"/>
      </w:r>
      <w:r>
        <w:rPr>
          <w:rFonts w:cs="Times New Roman"/>
          <w:noProof/>
          <w:sz w:val="20"/>
        </w:rPr>
        <w:t>, strategic planning (including in cases of cross-cutting issues) and environmental policy integration are, g</w:t>
      </w:r>
      <w:r>
        <w:rPr>
          <w:rFonts w:cs="Times New Roman"/>
          <w:noProof/>
          <w:sz w:val="20"/>
        </w:rPr>
        <w:t xml:space="preserve">enerally, weak and could be improved. </w:t>
      </w:r>
    </w:p>
    <w:p w:rsidR="00D337B9" w:rsidRDefault="009B5B10">
      <w:pPr>
        <w:pStyle w:val="ListParagraph"/>
        <w:ind w:left="0"/>
        <w:rPr>
          <w:noProof/>
          <w:szCs w:val="20"/>
        </w:rPr>
      </w:pPr>
      <w:r>
        <w:rPr>
          <w:noProof/>
          <w:color w:val="000000" w:themeColor="text1"/>
        </w:rPr>
        <w:t>The transposition of the revised EIA Directive</w:t>
      </w:r>
      <w:r>
        <w:rPr>
          <w:noProof/>
          <w:color w:val="000000" w:themeColor="text1"/>
          <w:vertAlign w:val="superscript"/>
        </w:rPr>
        <w:footnoteReference w:id="87"/>
      </w:r>
      <w:r>
        <w:rPr>
          <w:noProof/>
          <w:color w:val="000000" w:themeColor="text1"/>
        </w:rPr>
        <w:t xml:space="preserve"> will be an opportunity to streamline the regulatory framework on environmental assessments. </w:t>
      </w:r>
      <w:r>
        <w:rPr>
          <w:noProof/>
          <w:szCs w:val="20"/>
        </w:rPr>
        <w:t xml:space="preserve">The Commission encourages the streamlining of the environmental assessments </w:t>
      </w:r>
      <w:r>
        <w:rPr>
          <w:noProof/>
          <w:szCs w:val="20"/>
        </w:rPr>
        <w:t>to avoid overlaps in environmental assessments and accelerate decision-making, without compromising the quality of the environmental assessment procedure. The Commission has issued a guidance document in 2016</w:t>
      </w:r>
      <w:r>
        <w:rPr>
          <w:noProof/>
          <w:szCs w:val="20"/>
          <w:vertAlign w:val="superscript"/>
        </w:rPr>
        <w:footnoteReference w:id="88"/>
      </w:r>
      <w:r>
        <w:rPr>
          <w:noProof/>
          <w:szCs w:val="20"/>
        </w:rPr>
        <w:t xml:space="preserve"> regarding the setting up of coordinated and/or</w:t>
      </w:r>
      <w:r>
        <w:rPr>
          <w:noProof/>
          <w:szCs w:val="20"/>
        </w:rPr>
        <w:t xml:space="preserve"> joint procedures that are simultaneously subject to assessments under the EIA Directive, Habitats Directive, Water Framework Directive, and the Industrial Emissions Directive.</w:t>
      </w:r>
    </w:p>
    <w:p w:rsidR="00D337B9" w:rsidRDefault="009B5B10">
      <w:pPr>
        <w:spacing w:after="120" w:line="240" w:lineRule="auto"/>
        <w:jc w:val="both"/>
        <w:rPr>
          <w:rFonts w:cs="Times New Roman"/>
          <w:b/>
          <w:noProof/>
          <w:color w:val="1F497D" w:themeColor="text2"/>
        </w:rPr>
      </w:pPr>
      <w:r>
        <w:rPr>
          <w:rFonts w:cs="Times New Roman"/>
          <w:b/>
          <w:noProof/>
          <w:color w:val="1F497D" w:themeColor="text2"/>
        </w:rPr>
        <w:t>Coordination and integration</w:t>
      </w:r>
    </w:p>
    <w:p w:rsidR="00D337B9" w:rsidRDefault="009B5B10">
      <w:pPr>
        <w:widowControl w:val="0"/>
        <w:spacing w:after="120" w:line="240" w:lineRule="auto"/>
        <w:jc w:val="both"/>
        <w:rPr>
          <w:rFonts w:cs="Times New Roman"/>
          <w:noProof/>
          <w:sz w:val="20"/>
          <w:szCs w:val="20"/>
        </w:rPr>
      </w:pPr>
      <w:r>
        <w:rPr>
          <w:rFonts w:cs="Times New Roman"/>
          <w:noProof/>
          <w:sz w:val="20"/>
          <w:szCs w:val="20"/>
        </w:rPr>
        <w:t xml:space="preserve">Cyprus adopted a National Sustainable Development </w:t>
      </w:r>
      <w:r>
        <w:rPr>
          <w:rFonts w:cs="Times New Roman"/>
          <w:noProof/>
          <w:sz w:val="20"/>
          <w:szCs w:val="20"/>
        </w:rPr>
        <w:t>Strategy in 2007, which was revised in 2010. The current Strategy is mainly a compilation of the actions taken separately by various Ministries, rather than being a strategic document formulated under a structured, participatory process, guiding and integr</w:t>
      </w:r>
      <w:r>
        <w:rPr>
          <w:rFonts w:cs="Times New Roman"/>
          <w:noProof/>
          <w:sz w:val="20"/>
          <w:szCs w:val="20"/>
        </w:rPr>
        <w:t>ating policies. The governance aspects are not dealt with. There is no formal inter-ministerial coordination mechanism or entity to ensure that the (sometimes conflicting) objectives are properly balanced between different Ministries. Overall, the system i</w:t>
      </w:r>
      <w:r>
        <w:rPr>
          <w:rFonts w:cs="Times New Roman"/>
          <w:noProof/>
          <w:sz w:val="20"/>
          <w:szCs w:val="20"/>
        </w:rPr>
        <w:t>s currently characterized by a high degree of fragmentation.</w:t>
      </w:r>
    </w:p>
    <w:p w:rsidR="00D337B9" w:rsidRDefault="009B5B10">
      <w:pPr>
        <w:widowControl w:val="0"/>
        <w:spacing w:after="120" w:line="240" w:lineRule="auto"/>
        <w:jc w:val="both"/>
        <w:rPr>
          <w:rFonts w:cs="Times New Roman"/>
          <w:noProof/>
          <w:sz w:val="20"/>
          <w:szCs w:val="20"/>
        </w:rPr>
      </w:pPr>
      <w:r>
        <w:rPr>
          <w:rFonts w:cs="Times New Roman"/>
          <w:noProof/>
          <w:sz w:val="20"/>
          <w:szCs w:val="20"/>
        </w:rPr>
        <w:t>Environmental management is characterized by a high level of concentration at the civil service and the central government level. This, in conjunction with the small size of the country and the s</w:t>
      </w:r>
      <w:r>
        <w:rPr>
          <w:rFonts w:cs="Times New Roman"/>
          <w:noProof/>
          <w:sz w:val="20"/>
          <w:szCs w:val="20"/>
        </w:rPr>
        <w:t>imple organizational structure in two levels of government (central and local) presents opportunities to effectively address the gaps that exist. The role of local authorities is rather limited, with most decisions relating to the environment taken by gove</w:t>
      </w:r>
      <w:r>
        <w:rPr>
          <w:rFonts w:cs="Times New Roman"/>
          <w:noProof/>
          <w:sz w:val="20"/>
          <w:szCs w:val="20"/>
        </w:rPr>
        <w:t>rnment agencies. At this stage, the local environmental capacity (empowerment, personnel, know-how, financial resources) to undertake and exercise broad environmental responsibilities is not sufficient</w:t>
      </w:r>
      <w:r>
        <w:rPr>
          <w:rFonts w:cs="Times New Roman"/>
          <w:noProof/>
          <w:sz w:val="20"/>
          <w:szCs w:val="20"/>
          <w:vertAlign w:val="superscript"/>
        </w:rPr>
        <w:footnoteReference w:id="89"/>
      </w:r>
      <w:r>
        <w:rPr>
          <w:rFonts w:cs="Times New Roman"/>
          <w:noProof/>
          <w:sz w:val="20"/>
          <w:szCs w:val="20"/>
        </w:rPr>
        <w:t>.</w:t>
      </w:r>
    </w:p>
    <w:p w:rsidR="00D337B9" w:rsidRDefault="009B5B10">
      <w:pPr>
        <w:widowControl w:val="0"/>
        <w:spacing w:after="120" w:line="240" w:lineRule="auto"/>
        <w:outlineLvl w:val="1"/>
        <w:rPr>
          <w:rFonts w:cs="Times New Roman"/>
          <w:b/>
          <w:noProof/>
          <w:color w:val="000000" w:themeColor="text1"/>
          <w:sz w:val="24"/>
        </w:rPr>
      </w:pPr>
      <w:bookmarkStart w:id="52" w:name="_Toc469407242"/>
      <w:r>
        <w:rPr>
          <w:rFonts w:cs="Times New Roman"/>
          <w:b/>
          <w:noProof/>
          <w:color w:val="1F497D" w:themeColor="text2"/>
          <w:sz w:val="24"/>
        </w:rPr>
        <w:t>Compliance assurance</w:t>
      </w:r>
      <w:bookmarkEnd w:id="52"/>
    </w:p>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EU law generally and specific p</w:t>
      </w:r>
      <w:r>
        <w:rPr>
          <w:rFonts w:cs="Times New Roman"/>
          <w:noProof/>
          <w:color w:val="FFFFFF" w:themeColor="background1"/>
          <w:sz w:val="20"/>
        </w:rPr>
        <w:t>rovisions on inspections, other checks, penalties and environmental liability help lay the basis for the systems Member States need to have in place to secure compliance with EU environmental rules.</w:t>
      </w:r>
    </w:p>
    <w:p w:rsidR="00D337B9" w:rsidRDefault="009B5B10">
      <w:pPr>
        <w:spacing w:after="120" w:line="240" w:lineRule="auto"/>
        <w:jc w:val="both"/>
        <w:rPr>
          <w:rFonts w:cs="Times New Roman"/>
          <w:noProof/>
          <w:sz w:val="20"/>
        </w:rPr>
      </w:pPr>
      <w:r>
        <w:rPr>
          <w:rFonts w:cs="Times New Roman"/>
          <w:noProof/>
          <w:sz w:val="20"/>
        </w:rPr>
        <w:t>Public authorities help ensure accountability of duty-hol</w:t>
      </w:r>
      <w:r>
        <w:rPr>
          <w:rFonts w:cs="Times New Roman"/>
          <w:noProof/>
          <w:sz w:val="20"/>
        </w:rPr>
        <w:t>ders by monitoring and promoting compliance and by taking credible follow-up action (i.e. enforcement) when breaches occur or liabilities arise. Compliance monitoring can be done both on the initiative of authorities themselves and in response to citizen c</w:t>
      </w:r>
      <w:r>
        <w:rPr>
          <w:rFonts w:cs="Times New Roman"/>
          <w:noProof/>
          <w:sz w:val="20"/>
        </w:rPr>
        <w:t>omplaints. It can involve using various kinds of checks, including inspections for permitted activities, surveillance for possible illegal activities, investigations for crimes and audits for systemic weaknesses. Similarly, there is a range of means to pro</w:t>
      </w:r>
      <w:r>
        <w:rPr>
          <w:rFonts w:cs="Times New Roman"/>
          <w:noProof/>
          <w:sz w:val="20"/>
        </w:rPr>
        <w:t>mote compliance, including awareness-raising campaigns and use of guidance documents and online information tools. Follow-up to breaches and liabilities can include administrative action (e.g. withdrawal of a permit), use of criminal law</w:t>
      </w:r>
      <w:r>
        <w:rPr>
          <w:rFonts w:cs="Times New Roman"/>
          <w:noProof/>
          <w:sz w:val="20"/>
          <w:vertAlign w:val="superscript"/>
        </w:rPr>
        <w:footnoteReference w:id="90"/>
      </w:r>
      <w:r>
        <w:rPr>
          <w:rFonts w:cs="Times New Roman"/>
          <w:noProof/>
          <w:sz w:val="20"/>
        </w:rPr>
        <w:t xml:space="preserve"> and action under </w:t>
      </w:r>
      <w:r>
        <w:rPr>
          <w:rFonts w:cs="Times New Roman"/>
          <w:noProof/>
          <w:sz w:val="20"/>
        </w:rPr>
        <w:t>liability law (e.g. required remediation after damage from an accident using liability rules) and contractual law (e.g. measures to require compliance with nature conservation contracts). Taken together, all of these interventions represent "compliance ass</w:t>
      </w:r>
      <w:r>
        <w:rPr>
          <w:rFonts w:cs="Times New Roman"/>
          <w:noProof/>
          <w:sz w:val="20"/>
        </w:rPr>
        <w:t>urance" as shown in Figure 14.</w:t>
      </w:r>
    </w:p>
    <w:p w:rsidR="00D337B9" w:rsidRDefault="009B5B10">
      <w:pPr>
        <w:spacing w:after="120" w:line="240" w:lineRule="auto"/>
        <w:jc w:val="both"/>
        <w:rPr>
          <w:noProof/>
          <w:sz w:val="20"/>
        </w:rPr>
      </w:pPr>
      <w:r>
        <w:rPr>
          <w:noProof/>
          <w:sz w:val="20"/>
        </w:rPr>
        <w:t xml:space="preserve">Best practice has moved towards a risk-based approach at strategic and operational levels in which the best mix of compliance monitoring, promotion and enforcement is directed at the most serious problems. Best practice also </w:t>
      </w:r>
      <w:r>
        <w:rPr>
          <w:noProof/>
          <w:sz w:val="20"/>
        </w:rPr>
        <w:t>recognises the need for coordination and cooperation between different authorities to ensure consistency, avoid duplication of work and reduce administrative burden. Active participation in established pan-European networks of inspectors, police, prosecuto</w:t>
      </w:r>
      <w:r>
        <w:rPr>
          <w:noProof/>
          <w:sz w:val="20"/>
        </w:rPr>
        <w:t>rs and judges, such as</w:t>
      </w:r>
      <w:r>
        <w:rPr>
          <w:i/>
          <w:noProof/>
          <w:sz w:val="20"/>
        </w:rPr>
        <w:t xml:space="preserve"> IMPEL</w:t>
      </w:r>
      <w:r>
        <w:rPr>
          <w:i/>
          <w:noProof/>
          <w:sz w:val="20"/>
          <w:vertAlign w:val="superscript"/>
        </w:rPr>
        <w:footnoteReference w:id="91"/>
      </w:r>
      <w:r>
        <w:rPr>
          <w:i/>
          <w:noProof/>
          <w:sz w:val="20"/>
        </w:rPr>
        <w:t>, EUFJE</w:t>
      </w:r>
      <w:r>
        <w:rPr>
          <w:i/>
          <w:noProof/>
          <w:sz w:val="20"/>
          <w:vertAlign w:val="superscript"/>
        </w:rPr>
        <w:footnoteReference w:id="92"/>
      </w:r>
      <w:r>
        <w:rPr>
          <w:i/>
          <w:noProof/>
          <w:sz w:val="20"/>
        </w:rPr>
        <w:t>, ENPE</w:t>
      </w:r>
      <w:r>
        <w:rPr>
          <w:i/>
          <w:noProof/>
          <w:sz w:val="20"/>
          <w:vertAlign w:val="superscript"/>
        </w:rPr>
        <w:footnoteReference w:id="93"/>
      </w:r>
      <w:r>
        <w:rPr>
          <w:i/>
          <w:noProof/>
          <w:sz w:val="20"/>
        </w:rPr>
        <w:t xml:space="preserve"> and EnviCrimeNet</w:t>
      </w:r>
      <w:r>
        <w:rPr>
          <w:i/>
          <w:noProof/>
          <w:sz w:val="20"/>
          <w:vertAlign w:val="superscript"/>
        </w:rPr>
        <w:footnoteReference w:id="94"/>
      </w:r>
      <w:r>
        <w:rPr>
          <w:noProof/>
          <w:sz w:val="20"/>
        </w:rPr>
        <w:t>, is a valuable tool for sharing experience and good practices.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D337B9">
        <w:tc>
          <w:tcPr>
            <w:tcW w:w="4909" w:type="dxa"/>
          </w:tcPr>
          <w:p w:rsidR="00D337B9" w:rsidRDefault="009B5B10">
            <w:pPr>
              <w:spacing w:after="120"/>
              <w:jc w:val="both"/>
              <w:rPr>
                <w:rFonts w:cs="Times New Roman"/>
                <w:b/>
                <w:bCs/>
                <w:noProof/>
                <w:color w:val="1F497D" w:themeColor="text2"/>
                <w:sz w:val="20"/>
              </w:rPr>
            </w:pPr>
            <w:r>
              <w:rPr>
                <w:rFonts w:cs="Times New Roman"/>
                <w:b/>
                <w:bCs/>
                <w:noProof/>
                <w:color w:val="1F497D" w:themeColor="text2"/>
                <w:sz w:val="20"/>
              </w:rPr>
              <w:t>Figure 14: Environmental compliance assurance</w:t>
            </w:r>
          </w:p>
          <w:p w:rsidR="00D337B9" w:rsidRDefault="009B5B10">
            <w:pPr>
              <w:spacing w:after="120"/>
              <w:jc w:val="both"/>
              <w:rPr>
                <w:rFonts w:cs="Times New Roman"/>
                <w:b/>
                <w:bCs/>
                <w:noProof/>
                <w:color w:val="1F497D" w:themeColor="text2"/>
                <w:sz w:val="20"/>
              </w:rPr>
            </w:pPr>
            <w:r>
              <w:rPr>
                <w:rFonts w:cs="Times New Roman"/>
                <w:noProof/>
                <w:sz w:val="20"/>
                <w:lang w:eastAsia="en-GB"/>
              </w:rPr>
              <w:drawing>
                <wp:inline distT="0" distB="0" distL="0" distR="0" wp14:anchorId="61B5636B" wp14:editId="06B3EE65">
                  <wp:extent cx="2980055" cy="21056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D337B9" w:rsidRDefault="009B5B10">
      <w:pPr>
        <w:spacing w:after="120" w:line="240" w:lineRule="auto"/>
        <w:jc w:val="both"/>
        <w:rPr>
          <w:rFonts w:cs="Times New Roman"/>
          <w:noProof/>
          <w:sz w:val="20"/>
        </w:rPr>
      </w:pPr>
      <w:r>
        <w:rPr>
          <w:rFonts w:cs="Times New Roman"/>
          <w:noProof/>
          <w:sz w:val="20"/>
        </w:rPr>
        <w:t>Currently, there exist a number of sectoral obligations on inspections and the EU</w:t>
      </w:r>
      <w:r>
        <w:rPr>
          <w:rFonts w:cs="Times New Roman"/>
          <w:noProof/>
          <w:sz w:val="20"/>
        </w:rPr>
        <w:t xml:space="preserve"> directive on environmental liability (ELD)</w:t>
      </w:r>
      <w:r>
        <w:rPr>
          <w:rFonts w:cs="Times New Roman"/>
          <w:noProof/>
          <w:sz w:val="20"/>
          <w:vertAlign w:val="superscript"/>
        </w:rPr>
        <w:footnoteReference w:id="95"/>
      </w:r>
      <w:r>
        <w:rPr>
          <w:rFonts w:cs="Times New Roman"/>
          <w:noProof/>
          <w:sz w:val="20"/>
        </w:rPr>
        <w:t xml:space="preserve"> provides a means of ensuring that the "polluter-pays principle" is applied when there are accidents and incidents that harm the environment. There is also publically available information giving insights into ex</w:t>
      </w:r>
      <w:r>
        <w:rPr>
          <w:rFonts w:cs="Times New Roman"/>
          <w:noProof/>
          <w:sz w:val="20"/>
        </w:rPr>
        <w:t xml:space="preserve">isting strengths and weaknesses in each Member State. </w:t>
      </w:r>
    </w:p>
    <w:p w:rsidR="00D337B9" w:rsidRDefault="009B5B10">
      <w:pPr>
        <w:spacing w:after="120" w:line="240" w:lineRule="auto"/>
        <w:jc w:val="both"/>
        <w:rPr>
          <w:rFonts w:cs="Times New Roman"/>
          <w:noProof/>
          <w:sz w:val="20"/>
        </w:rPr>
      </w:pPr>
      <w:r>
        <w:rPr>
          <w:rFonts w:cs="Times New Roman"/>
          <w:noProof/>
          <w:sz w:val="20"/>
        </w:rPr>
        <w:t>For each Member State, the following were therefore reviewed: use of risk-based compliance assurance; coordination and co-operation between authorities and participation in pan-European networks; and k</w:t>
      </w:r>
      <w:r>
        <w:rPr>
          <w:rFonts w:cs="Times New Roman"/>
          <w:noProof/>
          <w:sz w:val="20"/>
        </w:rPr>
        <w:t>ey aspects of implementation of the ELD based on the Commission's recently published implementation report and REFIT evaluation.</w:t>
      </w:r>
      <w:r>
        <w:rPr>
          <w:rFonts w:cs="Times New Roman"/>
          <w:noProof/>
          <w:sz w:val="20"/>
          <w:vertAlign w:val="superscript"/>
        </w:rPr>
        <w:footnoteReference w:id="96"/>
      </w:r>
      <w:r>
        <w:rPr>
          <w:rFonts w:cs="Times New Roman"/>
          <w:noProof/>
          <w:sz w:val="20"/>
        </w:rPr>
        <w:t xml:space="preserve"> </w:t>
      </w:r>
    </w:p>
    <w:p w:rsidR="00D337B9" w:rsidRDefault="009B5B10">
      <w:pPr>
        <w:spacing w:after="120" w:line="240" w:lineRule="auto"/>
        <w:jc w:val="both"/>
        <w:rPr>
          <w:rFonts w:cs="Times New Roman"/>
          <w:noProof/>
          <w:sz w:val="20"/>
        </w:rPr>
      </w:pPr>
      <w:r>
        <w:rPr>
          <w:rFonts w:cs="Times New Roman"/>
          <w:noProof/>
          <w:sz w:val="20"/>
        </w:rPr>
        <w:t>Over the last decade, Cyprus has made efforts to improve risk-based compliance assurance, in particular in relation to indust</w:t>
      </w:r>
      <w:r>
        <w:rPr>
          <w:rFonts w:cs="Times New Roman"/>
          <w:noProof/>
          <w:sz w:val="20"/>
        </w:rPr>
        <w:t>rial inspections. The IMPEL IRAM risk assessment tool is used for planning and targeting inspections of industrial installations</w:t>
      </w:r>
      <w:r>
        <w:rPr>
          <w:rFonts w:cs="Times New Roman"/>
          <w:noProof/>
          <w:sz w:val="20"/>
          <w:vertAlign w:val="superscript"/>
        </w:rPr>
        <w:footnoteReference w:id="97"/>
      </w:r>
      <w:r>
        <w:rPr>
          <w:rFonts w:cs="Times New Roman"/>
          <w:noProof/>
          <w:sz w:val="20"/>
        </w:rPr>
        <w:t xml:space="preserve">. </w:t>
      </w:r>
    </w:p>
    <w:p w:rsidR="00D337B9" w:rsidRDefault="009B5B10">
      <w:pPr>
        <w:spacing w:after="120" w:line="240" w:lineRule="auto"/>
        <w:jc w:val="both"/>
        <w:rPr>
          <w:rFonts w:cs="Times New Roman"/>
          <w:noProof/>
          <w:sz w:val="20"/>
        </w:rPr>
      </w:pPr>
      <w:r>
        <w:rPr>
          <w:rFonts w:cs="Times New Roman"/>
          <w:noProof/>
          <w:sz w:val="20"/>
        </w:rPr>
        <w:t>Up-to-date information would be valuable in relation to the following:</w:t>
      </w:r>
    </w:p>
    <w:p w:rsidR="00D337B9" w:rsidRDefault="00D337B9">
      <w:pPr>
        <w:spacing w:after="0" w:line="240" w:lineRule="auto"/>
        <w:jc w:val="both"/>
        <w:rPr>
          <w:rFonts w:cs="Times New Roman"/>
          <w:noProof/>
          <w:sz w:val="20"/>
        </w:rPr>
      </w:pPr>
    </w:p>
    <w:p w:rsidR="00D337B9" w:rsidRDefault="009B5B10">
      <w:pPr>
        <w:numPr>
          <w:ilvl w:val="0"/>
          <w:numId w:val="27"/>
        </w:numPr>
        <w:spacing w:after="0" w:line="240" w:lineRule="auto"/>
        <w:jc w:val="both"/>
        <w:rPr>
          <w:rFonts w:cs="Times New Roman"/>
          <w:noProof/>
          <w:sz w:val="20"/>
        </w:rPr>
      </w:pPr>
      <w:r>
        <w:rPr>
          <w:rFonts w:cs="Times New Roman"/>
          <w:noProof/>
          <w:sz w:val="20"/>
        </w:rPr>
        <w:t>data-collection arrangements to track the use and ef</w:t>
      </w:r>
      <w:r>
        <w:rPr>
          <w:rFonts w:cs="Times New Roman"/>
          <w:noProof/>
          <w:sz w:val="20"/>
        </w:rPr>
        <w:t>fectiveness of different compliance assurance interventions;</w:t>
      </w:r>
    </w:p>
    <w:p w:rsidR="00D337B9" w:rsidRDefault="009B5B10">
      <w:pPr>
        <w:numPr>
          <w:ilvl w:val="0"/>
          <w:numId w:val="27"/>
        </w:numPr>
        <w:spacing w:after="0" w:line="240" w:lineRule="auto"/>
        <w:contextualSpacing/>
        <w:jc w:val="both"/>
        <w:rPr>
          <w:rFonts w:cs="Times New Roman"/>
          <w:noProof/>
          <w:sz w:val="20"/>
        </w:rPr>
      </w:pPr>
      <w:r>
        <w:rPr>
          <w:rFonts w:cs="Times New Roman"/>
          <w:noProof/>
          <w:sz w:val="20"/>
        </w:rPr>
        <w:t>the extent to which risk-based methods are used to direct compliance assurance at the strategic level and in relation to critical activities outside of industrial installations, especially specif</w:t>
      </w:r>
      <w:r>
        <w:rPr>
          <w:rFonts w:cs="Times New Roman"/>
          <w:noProof/>
          <w:sz w:val="20"/>
        </w:rPr>
        <w:t>ic problem-areas highlighted elsewhere in this Country Report, i.e. non-compliant waste disposal, the threats to protected habitat types and species, including illegal trapping of wild birds, over-abstraction of groundwater</w:t>
      </w:r>
      <w:r>
        <w:rPr>
          <w:rFonts w:cs="Times New Roman"/>
          <w:noProof/>
          <w:sz w:val="20"/>
          <w:vertAlign w:val="superscript"/>
        </w:rPr>
        <w:footnoteReference w:id="98"/>
      </w:r>
      <w:r>
        <w:rPr>
          <w:rFonts w:cs="Times New Roman"/>
          <w:noProof/>
          <w:sz w:val="20"/>
        </w:rPr>
        <w:t xml:space="preserve"> and the pressures on water qual</w:t>
      </w:r>
      <w:r>
        <w:rPr>
          <w:rFonts w:cs="Times New Roman"/>
          <w:noProof/>
          <w:sz w:val="20"/>
        </w:rPr>
        <w:t>ity from diffuse and point sources of pollution;</w:t>
      </w:r>
      <w:r>
        <w:rPr>
          <w:rFonts w:cs="Times New Roman"/>
          <w:noProof/>
          <w:color w:val="000000" w:themeColor="text1"/>
          <w:sz w:val="20"/>
        </w:rPr>
        <w:t xml:space="preserve"> </w:t>
      </w:r>
    </w:p>
    <w:p w:rsidR="00D337B9" w:rsidRDefault="009B5B10">
      <w:pPr>
        <w:numPr>
          <w:ilvl w:val="0"/>
          <w:numId w:val="27"/>
        </w:numPr>
        <w:spacing w:after="0" w:line="240" w:lineRule="auto"/>
        <w:jc w:val="both"/>
        <w:rPr>
          <w:rFonts w:cs="Times New Roman"/>
          <w:noProof/>
          <w:sz w:val="20"/>
        </w:rPr>
      </w:pPr>
      <w:r>
        <w:rPr>
          <w:rFonts w:cs="Times New Roman"/>
          <w:noProof/>
          <w:sz w:val="20"/>
        </w:rPr>
        <w:t xml:space="preserve">arrangements for structured coordination and cooperation between different relevant competent authorities; </w:t>
      </w:r>
    </w:p>
    <w:p w:rsidR="00D337B9" w:rsidRDefault="009B5B10">
      <w:pPr>
        <w:numPr>
          <w:ilvl w:val="0"/>
          <w:numId w:val="27"/>
        </w:numPr>
        <w:spacing w:after="0" w:line="240" w:lineRule="auto"/>
        <w:jc w:val="both"/>
        <w:rPr>
          <w:rFonts w:cs="Times New Roman"/>
          <w:noProof/>
          <w:sz w:val="20"/>
        </w:rPr>
      </w:pPr>
      <w:r>
        <w:rPr>
          <w:rFonts w:cs="Times New Roman"/>
          <w:noProof/>
          <w:sz w:val="20"/>
        </w:rPr>
        <w:t>how the Cypriot authorities ensure a targeted and proportionate response to different types of non</w:t>
      </w:r>
      <w:r>
        <w:rPr>
          <w:rFonts w:cs="Times New Roman"/>
          <w:noProof/>
          <w:sz w:val="20"/>
        </w:rPr>
        <w:t xml:space="preserve">-compliant behaviour, in particular in relation to serious breaches detected, given indications that there is a low probability of being criminally prosecuted and sentenced for environmental offences. </w:t>
      </w:r>
    </w:p>
    <w:p w:rsidR="00D337B9" w:rsidRDefault="009B5B10">
      <w:pPr>
        <w:widowControl w:val="0"/>
        <w:spacing w:before="240" w:after="120" w:line="240" w:lineRule="auto"/>
        <w:jc w:val="both"/>
        <w:rPr>
          <w:rFonts w:cs="Times New Roman"/>
          <w:noProof/>
          <w:sz w:val="20"/>
        </w:rPr>
      </w:pPr>
      <w:r>
        <w:rPr>
          <w:rFonts w:cs="Times New Roman"/>
          <w:noProof/>
          <w:sz w:val="20"/>
        </w:rPr>
        <w:t>Cyprus participates in the activities of IMPEL, but is</w:t>
      </w:r>
      <w:r>
        <w:rPr>
          <w:rFonts w:cs="Times New Roman"/>
          <w:noProof/>
          <w:sz w:val="20"/>
        </w:rPr>
        <w:t xml:space="preserve"> not very active in relation to the work of the other European networks of environmental professionals. </w:t>
      </w:r>
    </w:p>
    <w:p w:rsidR="00D337B9" w:rsidRDefault="009B5B10">
      <w:pPr>
        <w:widowControl w:val="0"/>
        <w:spacing w:after="120" w:line="240" w:lineRule="auto"/>
        <w:jc w:val="both"/>
        <w:rPr>
          <w:rFonts w:cs="Times New Roman"/>
          <w:i/>
          <w:noProof/>
          <w:sz w:val="20"/>
        </w:rPr>
      </w:pPr>
      <w:r>
        <w:rPr>
          <w:rFonts w:cs="Times New Roman"/>
          <w:noProof/>
          <w:sz w:val="20"/>
        </w:rPr>
        <w:t>For the period 2007-2013, Cyprus reported one incident of environmental damage falling within the scope of the Environmental Liability Directive (ELD).</w:t>
      </w:r>
      <w:r>
        <w:rPr>
          <w:rFonts w:cs="Times New Roman"/>
          <w:noProof/>
          <w:sz w:val="20"/>
        </w:rPr>
        <w:t xml:space="preserve"> Due to limited resources and expertise, Cyprus finds it difficult to deal with the technical requirements of the Directive and is in need of further guidance and training. It did not establish mandatory financial security (to pay for remediation where an </w:t>
      </w:r>
      <w:r>
        <w:rPr>
          <w:rFonts w:cs="Times New Roman"/>
          <w:noProof/>
          <w:sz w:val="20"/>
        </w:rPr>
        <w:t xml:space="preserve">operator cannot) and insurance cover appears to be insufficiently available for liabilities under the Directive. </w:t>
      </w:r>
    </w:p>
    <w:p w:rsidR="00D337B9" w:rsidRDefault="009B5B10">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D337B9" w:rsidRDefault="009B5B10">
      <w:pPr>
        <w:pStyle w:val="NoSpacing"/>
        <w:rPr>
          <w:noProof/>
        </w:rPr>
      </w:pPr>
      <w:r>
        <w:rPr>
          <w:noProof/>
        </w:rPr>
        <w:t xml:space="preserve">Encourage greater participation of competent authorities in the activities of ENPE, EUFJE and EnviCrimeNet. </w:t>
      </w:r>
    </w:p>
    <w:p w:rsidR="00D337B9" w:rsidRDefault="009B5B10">
      <w:pPr>
        <w:pStyle w:val="NoSpacing"/>
        <w:rPr>
          <w:noProof/>
          <w:color w:val="1F497D" w:themeColor="text2"/>
        </w:rPr>
      </w:pPr>
      <w:r>
        <w:rPr>
          <w:noProof/>
        </w:rPr>
        <w:t xml:space="preserve">Step up efforts </w:t>
      </w:r>
      <w:r>
        <w:rPr>
          <w:noProof/>
        </w:rPr>
        <w:t xml:space="preserve">in the implementation of the Environmental Liability Directive (ELD) with proactive initiatives, in particular by setting up a national register of ELD incidents and drafting national guidance. Moreover, take further steps to ensure an effective system of </w:t>
      </w:r>
      <w:r>
        <w:rPr>
          <w:noProof/>
        </w:rPr>
        <w:t>financial security for environmental liabilities (so that operators not only have insurance cover available to them but actually take it up).</w:t>
      </w:r>
    </w:p>
    <w:p w:rsidR="00D337B9" w:rsidRDefault="009B5B10">
      <w:pPr>
        <w:widowControl w:val="0"/>
        <w:spacing w:before="360" w:after="120" w:line="240" w:lineRule="auto"/>
        <w:outlineLvl w:val="1"/>
        <w:rPr>
          <w:rFonts w:cs="Times New Roman"/>
          <w:b/>
          <w:noProof/>
          <w:color w:val="1F497D" w:themeColor="text2"/>
          <w:sz w:val="24"/>
        </w:rPr>
      </w:pPr>
      <w:bookmarkStart w:id="53" w:name="_Toc454457667"/>
      <w:bookmarkStart w:id="54" w:name="_Toc469407243"/>
      <w:r>
        <w:rPr>
          <w:rFonts w:cs="Times New Roman"/>
          <w:b/>
          <w:noProof/>
          <w:color w:val="1F497D" w:themeColor="text2"/>
          <w:sz w:val="24"/>
        </w:rPr>
        <w:t>Public participation and access to justice</w:t>
      </w:r>
      <w:bookmarkEnd w:id="53"/>
      <w:bookmarkEnd w:id="54"/>
    </w:p>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related EU legislation on public participation a</w:t>
      </w:r>
      <w:r>
        <w:rPr>
          <w:rFonts w:cs="Times New Roman"/>
          <w:noProof/>
          <w:color w:val="FFFFFF" w:themeColor="background1"/>
          <w:sz w:val="20"/>
        </w:rPr>
        <w:t>nd environmental impact assessment, and the case-law of the Court of Justice require that citizens and their associations should be able to participate in decision-making on projects and plans and should enjoy effective environmental access to justice.</w:t>
      </w:r>
    </w:p>
    <w:p w:rsidR="00D337B9" w:rsidRDefault="009B5B10">
      <w:pPr>
        <w:widowControl w:val="0"/>
        <w:spacing w:after="120" w:line="240" w:lineRule="auto"/>
        <w:jc w:val="both"/>
        <w:rPr>
          <w:rFonts w:cs="Times New Roman"/>
          <w:noProof/>
          <w:sz w:val="20"/>
        </w:rPr>
      </w:pPr>
      <w:r>
        <w:rPr>
          <w:rFonts w:cs="Times New Roman"/>
          <w:noProof/>
          <w:color w:val="000000" w:themeColor="text1"/>
          <w:sz w:val="20"/>
        </w:rPr>
        <w:t>Cit</w:t>
      </w:r>
      <w:r>
        <w:rPr>
          <w:rFonts w:cs="Times New Roman"/>
          <w:noProof/>
          <w:color w:val="000000" w:themeColor="text1"/>
          <w:sz w:val="20"/>
        </w:rPr>
        <w:t>izens can more effectively protect the environment if they can rely on the three "pillars" of the</w:t>
      </w:r>
      <w:r>
        <w:rPr>
          <w:rFonts w:cs="Times New Roman"/>
          <w:noProof/>
          <w:sz w:val="20"/>
        </w:rPr>
        <w:t xml:space="preserve"> Convention on Access to Information, Public Participation in Decision-making and Access to Justice in Environmental Matters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 xml:space="preserve">Public </w:t>
      </w:r>
      <w:r>
        <w:rPr>
          <w:rFonts w:cs="Times New Roman"/>
          <w:noProof/>
          <w:sz w:val="20"/>
        </w:rPr>
        <w:t>participation in the administrative decision making process is an important element to ensure that the authority takes its decision on the best possible basis. The Commission intends to examine compliance with mandatory public participation requirements mo</w:t>
      </w:r>
      <w:r>
        <w:rPr>
          <w:rFonts w:cs="Times New Roman"/>
          <w:noProof/>
          <w:sz w:val="20"/>
        </w:rPr>
        <w:t>re systematically at a later stage.</w:t>
      </w:r>
    </w:p>
    <w:p w:rsidR="00D337B9" w:rsidRDefault="009B5B10">
      <w:pPr>
        <w:widowControl w:val="0"/>
        <w:spacing w:after="120" w:line="240" w:lineRule="auto"/>
        <w:jc w:val="both"/>
        <w:rPr>
          <w:rFonts w:cs="Times New Roman"/>
          <w:noProof/>
          <w:sz w:val="20"/>
        </w:rPr>
      </w:pPr>
      <w:r>
        <w:rPr>
          <w:rFonts w:cs="Times New Roman"/>
          <w:noProof/>
          <w:sz w:val="20"/>
        </w:rPr>
        <w:t>Access to justice in environmental matters is a set of guarantees that allows citizens and their associations to challenge acts or omissions of the public administration before a court. It is a tool for decentralised imp</w:t>
      </w:r>
      <w:r>
        <w:rPr>
          <w:rFonts w:cs="Times New Roman"/>
          <w:noProof/>
          <w:sz w:val="20"/>
        </w:rPr>
        <w:t>lementation of EU environmental law.</w:t>
      </w:r>
    </w:p>
    <w:p w:rsidR="00D337B9" w:rsidRDefault="009B5B10">
      <w:pPr>
        <w:widowControl w:val="0"/>
        <w:spacing w:after="120" w:line="240" w:lineRule="auto"/>
        <w:jc w:val="both"/>
        <w:rPr>
          <w:rFonts w:cs="Times New Roman"/>
          <w:noProof/>
          <w:sz w:val="20"/>
        </w:rPr>
      </w:pPr>
      <w:r>
        <w:rPr>
          <w:rFonts w:cs="Times New Roman"/>
          <w:noProof/>
          <w:sz w:val="20"/>
        </w:rPr>
        <w:t>For each Member State, two crucial elements for effective access to justice have been systematically reviewed: the legal standing for the public, including NGOs and the extent to which prohibitive costs represent a barr</w:t>
      </w:r>
      <w:r>
        <w:rPr>
          <w:rFonts w:cs="Times New Roman"/>
          <w:noProof/>
          <w:sz w:val="20"/>
        </w:rPr>
        <w:t>ier.</w:t>
      </w:r>
    </w:p>
    <w:p w:rsidR="00D337B9" w:rsidRDefault="009B5B10">
      <w:pPr>
        <w:widowControl w:val="0"/>
        <w:spacing w:after="120" w:line="240" w:lineRule="auto"/>
        <w:jc w:val="both"/>
        <w:rPr>
          <w:rFonts w:cs="Times New Roman"/>
          <w:noProof/>
          <w:color w:val="000000" w:themeColor="text1"/>
          <w:sz w:val="20"/>
        </w:rPr>
      </w:pPr>
      <w:r>
        <w:rPr>
          <w:rFonts w:cs="Times New Roman"/>
          <w:noProof/>
          <w:color w:val="000000" w:themeColor="text1"/>
          <w:sz w:val="20"/>
        </w:rPr>
        <w:t>The rules on access to justice in environmental matters in Cyprus are considered as clear. However, the cost risks related to bringing cases to court in Cyprus prevents not only individuals but also NGOs from taking cases to the court. Another difficu</w:t>
      </w:r>
      <w:r>
        <w:rPr>
          <w:rFonts w:cs="Times New Roman"/>
          <w:noProof/>
          <w:color w:val="000000" w:themeColor="text1"/>
          <w:sz w:val="20"/>
        </w:rPr>
        <w:t>lty faced by potential litigants is the lack of timely procedures, which additionally increases the costs. NGOs have in principle legal standing, but case law of the Supreme Court introduced restrictions which might contravene the objective of granting a w</w:t>
      </w:r>
      <w:r>
        <w:rPr>
          <w:rFonts w:cs="Times New Roman"/>
          <w:noProof/>
          <w:color w:val="000000" w:themeColor="text1"/>
          <w:sz w:val="20"/>
        </w:rPr>
        <w:t>ide access to justice in the context of the Aarhus Convention (e.g. the requirement of a geographical proximity)</w:t>
      </w:r>
      <w:r>
        <w:rPr>
          <w:rFonts w:cs="Times New Roman"/>
          <w:noProof/>
          <w:color w:val="000000" w:themeColor="text1"/>
          <w:sz w:val="20"/>
          <w:vertAlign w:val="superscript"/>
        </w:rPr>
        <w:footnoteReference w:id="99"/>
      </w:r>
      <w:r>
        <w:rPr>
          <w:rFonts w:cs="Times New Roman"/>
          <w:noProof/>
          <w:color w:val="000000" w:themeColor="text1"/>
          <w:sz w:val="20"/>
        </w:rPr>
        <w:t>.</w:t>
      </w:r>
    </w:p>
    <w:p w:rsidR="00D337B9" w:rsidRDefault="009B5B10">
      <w:pPr>
        <w:widowControl w:val="0"/>
        <w:spacing w:after="120" w:line="240" w:lineRule="auto"/>
        <w:jc w:val="both"/>
        <w:rPr>
          <w:rFonts w:cs="Times New Roman"/>
          <w:noProof/>
          <w:color w:val="000000" w:themeColor="text1"/>
          <w:sz w:val="20"/>
        </w:rPr>
      </w:pPr>
      <w:r>
        <w:rPr>
          <w:rFonts w:cstheme="minorHAnsi"/>
          <w:noProof/>
          <w:color w:val="1F497D" w:themeColor="text2"/>
          <w:szCs w:val="26"/>
        </w:rPr>
        <w:t>Suggested action</w:t>
      </w:r>
    </w:p>
    <w:p w:rsidR="00D337B9" w:rsidRDefault="009B5B10">
      <w:pPr>
        <w:pStyle w:val="NoSpacing"/>
        <w:rPr>
          <w:noProof/>
        </w:rPr>
      </w:pPr>
      <w:r>
        <w:rPr>
          <w:noProof/>
        </w:rPr>
        <w:t>Take the necessary measures to ensure that the costs of legal challenges involving EU environmental law are not prohibitivel</w:t>
      </w:r>
      <w:r>
        <w:rPr>
          <w:noProof/>
        </w:rPr>
        <w:t>y expensive, and in line with the requirements of EU law as well as the Aarhus Convention.</w:t>
      </w:r>
      <w:bookmarkStart w:id="55" w:name="_Toc454457668"/>
    </w:p>
    <w:p w:rsidR="00D337B9" w:rsidRDefault="009B5B10">
      <w:pPr>
        <w:widowControl w:val="0"/>
        <w:spacing w:before="360" w:after="120" w:line="240" w:lineRule="auto"/>
        <w:outlineLvl w:val="1"/>
        <w:rPr>
          <w:rFonts w:cs="Times New Roman"/>
          <w:b/>
          <w:noProof/>
          <w:color w:val="1F497D" w:themeColor="text2"/>
          <w:sz w:val="24"/>
        </w:rPr>
      </w:pPr>
      <w:bookmarkStart w:id="56" w:name="_Toc469407244"/>
      <w:r>
        <w:rPr>
          <w:rFonts w:cs="Times New Roman"/>
          <w:b/>
          <w:noProof/>
          <w:color w:val="1F497D" w:themeColor="text2"/>
          <w:sz w:val="24"/>
        </w:rPr>
        <w:t>Access to information, knowledge and evidence</w:t>
      </w:r>
      <w:bookmarkEnd w:id="55"/>
      <w:bookmarkEnd w:id="56"/>
    </w:p>
    <w:p w:rsidR="00D337B9" w:rsidRDefault="009B5B10">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Aarhus Convention and related EU legislation on access to information and the sharing of spatial data require that </w:t>
      </w:r>
      <w:r>
        <w:rPr>
          <w:rFonts w:cs="Times New Roman"/>
          <w:noProof/>
          <w:color w:val="FFFFFF" w:themeColor="background1"/>
          <w:sz w:val="20"/>
        </w:rPr>
        <w:t>the public has access to clear information on the environment, including on how Union environmental law is being implemented.</w:t>
      </w:r>
    </w:p>
    <w:p w:rsidR="00D337B9" w:rsidRDefault="009B5B10">
      <w:pPr>
        <w:widowControl w:val="0"/>
        <w:spacing w:after="120" w:line="240" w:lineRule="auto"/>
        <w:jc w:val="both"/>
        <w:rPr>
          <w:rFonts w:cs="Times New Roman"/>
          <w:noProof/>
          <w:sz w:val="20"/>
        </w:rPr>
      </w:pPr>
      <w:r>
        <w:rPr>
          <w:rFonts w:cs="Times New Roman"/>
          <w:noProof/>
          <w:sz w:val="20"/>
        </w:rPr>
        <w:t>It is of crucial importance to public authorities, the public and business that environmental information is shared in an efficien</w:t>
      </w:r>
      <w:r>
        <w:rPr>
          <w:rFonts w:cs="Times New Roman"/>
          <w:noProof/>
          <w:sz w:val="20"/>
        </w:rPr>
        <w:t>t and effective way. This covers reporting by businesses and public authorities and active dissemination to the public, increasingly through electronic means.</w:t>
      </w:r>
    </w:p>
    <w:p w:rsidR="00D337B9" w:rsidRDefault="009B5B10">
      <w:pPr>
        <w:widowControl w:val="0"/>
        <w:spacing w:after="120" w:line="240" w:lineRule="auto"/>
        <w:jc w:val="both"/>
        <w:rPr>
          <w:rFonts w:cs="Times New Roman"/>
          <w:noProof/>
          <w:sz w:val="20"/>
        </w:rPr>
      </w:pPr>
      <w:r>
        <w:rPr>
          <w:rFonts w:cs="Times New Roman"/>
          <w:noProof/>
          <w:sz w:val="20"/>
        </w:rPr>
        <w:t>The Aarhus Convention</w:t>
      </w:r>
      <w:r>
        <w:rPr>
          <w:rFonts w:cs="Times New Roman"/>
          <w:noProof/>
          <w:sz w:val="16"/>
          <w:szCs w:val="16"/>
          <w:vertAlign w:val="superscript"/>
        </w:rPr>
        <w:footnoteReference w:id="100"/>
      </w:r>
      <w:r>
        <w:rPr>
          <w:rFonts w:cs="Times New Roman"/>
          <w:noProof/>
          <w:sz w:val="20"/>
        </w:rPr>
        <w:t>, the Access to Environmental Information Directive</w:t>
      </w:r>
      <w:r>
        <w:rPr>
          <w:rFonts w:cs="Times New Roman"/>
          <w:noProof/>
          <w:sz w:val="16"/>
          <w:szCs w:val="16"/>
          <w:vertAlign w:val="superscript"/>
        </w:rPr>
        <w:footnoteReference w:id="101"/>
      </w:r>
      <w:r>
        <w:rPr>
          <w:rFonts w:cs="Times New Roman"/>
          <w:noProof/>
          <w:sz w:val="20"/>
        </w:rPr>
        <w:t xml:space="preserve"> and the INSPIRE Direct</w:t>
      </w:r>
      <w:r>
        <w:rPr>
          <w:rFonts w:cs="Times New Roman"/>
          <w:noProof/>
          <w:sz w:val="20"/>
        </w:rPr>
        <w:t>ive</w:t>
      </w:r>
      <w:r>
        <w:rPr>
          <w:rFonts w:cs="Times New Roman"/>
          <w:noProof/>
          <w:sz w:val="16"/>
          <w:szCs w:val="16"/>
          <w:vertAlign w:val="superscript"/>
        </w:rPr>
        <w:footnoteReference w:id="102"/>
      </w:r>
      <w:r>
        <w:rPr>
          <w:rFonts w:cs="Times New Roman"/>
          <w:noProof/>
          <w:sz w:val="16"/>
          <w:szCs w:val="16"/>
        </w:rPr>
        <w:t xml:space="preserve"> </w:t>
      </w:r>
      <w:r>
        <w:rPr>
          <w:rFonts w:cs="Times New Roman"/>
          <w:noProof/>
          <w:sz w:val="20"/>
        </w:rPr>
        <w:t>together create a legal foundation for the sharing of environmental information between public authorities and with the public. They also represent the green part of the ongoing EU e-Government Action Plan</w:t>
      </w:r>
      <w:r>
        <w:rPr>
          <w:rFonts w:cs="Times New Roman"/>
          <w:noProof/>
          <w:sz w:val="16"/>
          <w:szCs w:val="16"/>
          <w:vertAlign w:val="superscript"/>
        </w:rPr>
        <w:footnoteReference w:id="103"/>
      </w:r>
      <w:r>
        <w:rPr>
          <w:rFonts w:cs="Times New Roman"/>
          <w:noProof/>
          <w:sz w:val="20"/>
        </w:rPr>
        <w:t>. The first two instruments create obligation</w:t>
      </w:r>
      <w:r>
        <w:rPr>
          <w:rFonts w:cs="Times New Roman"/>
          <w:noProof/>
          <w:sz w:val="20"/>
        </w:rPr>
        <w:t>s to provide information to the public, both on request and actively. The INSPIRE Directive is a pioneering instrument for electronic data-sharing between public authorities who can vary in their data-sharing policies, e.g. on whether access to data is for</w:t>
      </w:r>
      <w:r>
        <w:rPr>
          <w:rFonts w:cs="Times New Roman"/>
          <w:noProof/>
          <w:sz w:val="20"/>
        </w:rPr>
        <w:t xml:space="preserve"> free.. The INSPIRE Directive sets up a geoportal which indicates the level of shared spatial data in each Member State – i.e. data related to specific locations, such as air quality monitoring data. Amongst other benefits it facilitates the public authori</w:t>
      </w:r>
      <w:r>
        <w:rPr>
          <w:rFonts w:cs="Times New Roman"/>
          <w:noProof/>
          <w:sz w:val="20"/>
        </w:rPr>
        <w:t xml:space="preserve">ties' reporting obligations. </w:t>
      </w:r>
    </w:p>
    <w:p w:rsidR="00D337B9" w:rsidRDefault="009B5B10">
      <w:pPr>
        <w:widowControl w:val="0"/>
        <w:spacing w:after="120" w:line="240" w:lineRule="auto"/>
        <w:jc w:val="both"/>
        <w:rPr>
          <w:rFonts w:cs="Times New Roman"/>
          <w:noProof/>
          <w:sz w:val="20"/>
        </w:rPr>
      </w:pPr>
      <w:r>
        <w:rPr>
          <w:rFonts w:cs="Times New Roman"/>
          <w:noProof/>
          <w:sz w:val="20"/>
        </w:rPr>
        <w:t xml:space="preserve">For each Member State, the accessibility of environmental data (based on what the INSPIRE Directive envisages) as well as data-sharing policies ('open data') have been systematically reviewed. </w:t>
      </w:r>
    </w:p>
    <w:p w:rsidR="00D337B9" w:rsidRDefault="009B5B10">
      <w:pPr>
        <w:widowControl w:val="0"/>
        <w:spacing w:after="120" w:line="240" w:lineRule="auto"/>
        <w:jc w:val="both"/>
        <w:rPr>
          <w:rFonts w:cs="Times New Roman"/>
          <w:noProof/>
          <w:sz w:val="20"/>
        </w:rPr>
      </w:pPr>
      <w:r>
        <w:rPr>
          <w:rFonts w:cs="Times New Roman"/>
          <w:noProof/>
          <w:sz w:val="20"/>
        </w:rPr>
        <w:t>Cyprus's performance on the impl</w:t>
      </w:r>
      <w:r>
        <w:rPr>
          <w:rFonts w:cs="Times New Roman"/>
          <w:noProof/>
          <w:sz w:val="20"/>
        </w:rPr>
        <w:t>ementation of the INSPIRE Directive as enabling framework to actively disseminate environmental information to the public is lagging behind. Cyprus has indicated in the 3-yearly INSPIRE implementation report</w:t>
      </w:r>
      <w:r>
        <w:rPr>
          <w:rFonts w:cs="Times New Roman"/>
          <w:noProof/>
          <w:sz w:val="20"/>
          <w:vertAlign w:val="superscript"/>
        </w:rPr>
        <w:footnoteReference w:id="104"/>
      </w:r>
      <w:r>
        <w:rPr>
          <w:rFonts w:cs="Times New Roman"/>
          <w:noProof/>
          <w:sz w:val="20"/>
        </w:rPr>
        <w:t xml:space="preserve"> that the necessary data-sharing policies allowi</w:t>
      </w:r>
      <w:r>
        <w:rPr>
          <w:rFonts w:cs="Times New Roman"/>
          <w:noProof/>
          <w:sz w:val="20"/>
        </w:rPr>
        <w:t>ng access and use of spatial data by national administrations, other Member States' administrations and EU institutions without procedural obstacles are partially available and implemented. During the last year, emphasis has been placed on opening up publi</w:t>
      </w:r>
      <w:r>
        <w:rPr>
          <w:rFonts w:cs="Times New Roman"/>
          <w:noProof/>
          <w:sz w:val="20"/>
        </w:rPr>
        <w:t>c data, through the recent adoption of Directive 2003/98/EC on the re-use of public sector information. For this purpose, the Cyprus government has launched the open data website www.data.gov.cy, where most data published under the INSPIRE Directive are pu</w:t>
      </w:r>
      <w:r>
        <w:rPr>
          <w:rFonts w:cs="Times New Roman"/>
          <w:noProof/>
          <w:sz w:val="20"/>
        </w:rPr>
        <w:t>blicly available and free of charge. Through this platform public authorities publish information and data they possess or have generated in all fields, including statistics, maps, geoscientific data and meteorological information. Sections on Environment,</w:t>
      </w:r>
      <w:r>
        <w:rPr>
          <w:rFonts w:cs="Times New Roman"/>
          <w:noProof/>
          <w:sz w:val="20"/>
        </w:rPr>
        <w:t xml:space="preserve"> Agriculture/ Livestock/ Fisheries as well as on Geospatial data have been created and efforts are now concentrated on data quality control and on increasing data availability. Cyprus only mentions data-sharing licenses in use by the Department of Lands an</w:t>
      </w:r>
      <w:r>
        <w:rPr>
          <w:rFonts w:cs="Times New Roman"/>
          <w:noProof/>
          <w:sz w:val="20"/>
        </w:rPr>
        <w:t xml:space="preserve">d Surveys. </w:t>
      </w:r>
    </w:p>
    <w:p w:rsidR="00D337B9" w:rsidRDefault="009B5B10">
      <w:pPr>
        <w:widowControl w:val="0"/>
        <w:spacing w:after="120" w:line="240" w:lineRule="auto"/>
        <w:jc w:val="both"/>
        <w:rPr>
          <w:rFonts w:cs="Times New Roman"/>
          <w:noProof/>
          <w:sz w:val="20"/>
        </w:rPr>
      </w:pPr>
      <w:r>
        <w:rPr>
          <w:rFonts w:cs="Times New Roman"/>
          <w:noProof/>
          <w:sz w:val="20"/>
        </w:rPr>
        <w:t>Assessments of monitoring reports</w:t>
      </w:r>
      <w:r>
        <w:rPr>
          <w:rFonts w:cs="Times New Roman"/>
          <w:noProof/>
          <w:sz w:val="20"/>
          <w:vertAlign w:val="superscript"/>
        </w:rPr>
        <w:footnoteReference w:id="105"/>
      </w:r>
      <w:r>
        <w:rPr>
          <w:rFonts w:cs="Times New Roman"/>
          <w:noProof/>
          <w:sz w:val="20"/>
        </w:rPr>
        <w:t xml:space="preserve"> issued by Cyprus and the spatial information that Cyprus has published on the INSPIRE geoportal</w:t>
      </w:r>
      <w:r>
        <w:rPr>
          <w:rFonts w:cs="Times New Roman"/>
          <w:noProof/>
          <w:sz w:val="20"/>
          <w:vertAlign w:val="superscript"/>
        </w:rPr>
        <w:footnoteReference w:id="106"/>
      </w:r>
      <w:r>
        <w:rPr>
          <w:rFonts w:cs="Times New Roman"/>
          <w:noProof/>
          <w:sz w:val="20"/>
        </w:rPr>
        <w:t xml:space="preserve"> indicate that not all spatial information needed for the evaluation and implementation of EU environmental law h</w:t>
      </w:r>
      <w:r>
        <w:rPr>
          <w:rFonts w:cs="Times New Roman"/>
          <w:noProof/>
          <w:sz w:val="20"/>
        </w:rPr>
        <w:t xml:space="preserve">as been made available or is accessible. The larger part of this missing spatial information consists of the environmental data required to be made available under the existing reporting and monitoring regulations of EU environmental law. </w:t>
      </w:r>
    </w:p>
    <w:p w:rsidR="00D337B9" w:rsidRDefault="009B5B10">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D337B9" w:rsidRDefault="009B5B10">
      <w:pPr>
        <w:pStyle w:val="NoSpacing"/>
        <w:rPr>
          <w:noProof/>
        </w:rPr>
      </w:pPr>
      <w:r>
        <w:rPr>
          <w:noProof/>
        </w:rPr>
        <w:t xml:space="preserve">Critically review the effectiveness of data policies and amend them, taking 'best practices' into consideration. </w:t>
      </w:r>
    </w:p>
    <w:p w:rsidR="00D337B9" w:rsidRDefault="009B5B10">
      <w:pPr>
        <w:pStyle w:val="NoSpacing"/>
        <w:rPr>
          <w:noProof/>
        </w:rPr>
      </w:pPr>
      <w:r>
        <w:rPr>
          <w:noProof/>
        </w:rPr>
        <w:t>Identify and document all spatial data sets required for the implementation of environmental law, and make the data and documentation at leas</w:t>
      </w:r>
      <w:r>
        <w:rPr>
          <w:noProof/>
        </w:rPr>
        <w:t>t accessible 'as is' to other public authorities and the public through the digital services foreseen in the INSPIRE Directive.</w:t>
      </w:r>
    </w:p>
    <w:sectPr w:rsidR="00D337B9">
      <w:headerReference w:type="even" r:id="rId121"/>
      <w:headerReference w:type="default" r:id="rId122"/>
      <w:footerReference w:type="even" r:id="rId123"/>
      <w:footerReference w:type="default" r:id="rId124"/>
      <w:headerReference w:type="first" r:id="rId125"/>
      <w:footerReference w:type="first" r:id="rId126"/>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7B9" w:rsidRDefault="009B5B10">
      <w:pPr>
        <w:spacing w:after="0" w:line="240" w:lineRule="auto"/>
      </w:pPr>
      <w:r>
        <w:separator/>
      </w:r>
    </w:p>
  </w:endnote>
  <w:endnote w:type="continuationSeparator" w:id="0">
    <w:p w:rsidR="00D337B9" w:rsidRDefault="009B5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B10" w:rsidRPr="009B5B10" w:rsidRDefault="009B5B10" w:rsidP="009B5B1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Environmental Implementation Report – Cyprus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 xml:space="preserve">Environmental </w:t>
    </w:r>
    <w:r>
      <w:t>Implementation Report – Cyprus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Environmental Implementation Report – Cyprus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Environmental Implementation Report – Cyprus</w:t>
    </w:r>
  </w:p>
  <w:p w:rsidR="00D337B9" w:rsidRDefault="00D337B9">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B10" w:rsidRPr="009B5B10" w:rsidRDefault="009B5B10" w:rsidP="009B5B10">
    <w:pPr>
      <w:pStyle w:val="FooterCoverPage"/>
      <w:rPr>
        <w:rFonts w:ascii="Arial" w:hAnsi="Arial" w:cs="Arial"/>
        <w:b/>
        <w:sz w:val="48"/>
      </w:rPr>
    </w:pPr>
    <w:r w:rsidRPr="009B5B10">
      <w:rPr>
        <w:rFonts w:ascii="Arial" w:hAnsi="Arial" w:cs="Arial"/>
        <w:b/>
        <w:sz w:val="48"/>
      </w:rPr>
      <w:t>EN</w:t>
    </w:r>
    <w:r w:rsidRPr="009B5B10">
      <w:rPr>
        <w:rFonts w:ascii="Arial" w:hAnsi="Arial" w:cs="Arial"/>
        <w:b/>
        <w:sz w:val="48"/>
      </w:rPr>
      <w:tab/>
    </w:r>
    <w:r w:rsidRPr="009B5B10">
      <w:rPr>
        <w:rFonts w:ascii="Arial" w:hAnsi="Arial" w:cs="Arial"/>
        <w:b/>
        <w:sz w:val="48"/>
      </w:rPr>
      <w:tab/>
    </w:r>
    <w:fldSimple w:instr=" DOCVARIABLE &quot;LW_Confidence&quot; \* MERGEFORMAT ">
      <w:r>
        <w:t xml:space="preserve"> </w:t>
      </w:r>
    </w:fldSimple>
    <w:r w:rsidRPr="009B5B10">
      <w:tab/>
    </w:r>
    <w:proofErr w:type="spellStart"/>
    <w:r w:rsidRPr="009B5B10">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Environmental Implementation Report – Cyprus</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Environmental Implementation Report – Cyprus</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Environmental Implementation Report – Cyprus</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Environmental Implementation Report 2016 – Cyprus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B10" w:rsidRPr="009B5B10" w:rsidRDefault="009B5B10" w:rsidP="009B5B10">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Environmental Implementation Report – Cyprus</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Environmental Implementation Report – Cyprus</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 xml:space="preserve">Environmental </w:t>
    </w:r>
    <w:r>
      <w:t>Implementation Report 2016 – Cyprus</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Environmental Implementation Report – Cyprus</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Environmental Implementation Report – Cyprus</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Environmental Implementation Report – Cyprus</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9B5B10">
    <w:pPr>
      <w:pStyle w:val="Footer"/>
      <w:jc w:val="center"/>
    </w:pPr>
    <w:r>
      <w:t xml:space="preserve">Environmental </w:t>
    </w:r>
    <w:r>
      <w:t>Implementation Report – Cyprus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7B9" w:rsidRDefault="009B5B10">
      <w:pPr>
        <w:spacing w:after="0" w:line="240" w:lineRule="auto"/>
      </w:pPr>
      <w:r>
        <w:separator/>
      </w:r>
    </w:p>
  </w:footnote>
  <w:footnote w:type="continuationSeparator" w:id="0">
    <w:p w:rsidR="00D337B9" w:rsidRDefault="009B5B10">
      <w:pPr>
        <w:spacing w:after="0" w:line="240" w:lineRule="auto"/>
      </w:pPr>
      <w:r>
        <w:continuationSeparator/>
      </w:r>
    </w:p>
  </w:footnote>
  <w:footnote w:id="1">
    <w:p w:rsidR="00D337B9" w:rsidRDefault="009B5B10">
      <w:pPr>
        <w:pStyle w:val="FootnoteText"/>
        <w:ind w:left="170" w:hanging="170"/>
        <w:jc w:val="both"/>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roofErr w:type="gramEnd"/>
    </w:p>
  </w:footnote>
  <w:footnote w:id="2">
    <w:p w:rsidR="00D337B9" w:rsidRDefault="009B5B10">
      <w:pPr>
        <w:pStyle w:val="FootnoteText"/>
        <w:keepLines/>
        <w:widowControl w:val="0"/>
        <w:ind w:left="170" w:hanging="170"/>
        <w:mirrorIndents/>
        <w:jc w:val="both"/>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Decision No. 1386</w:t>
      </w:r>
      <w:r>
        <w:rPr>
          <w:rFonts w:asciiTheme="minorHAnsi" w:hAnsiTheme="minorHAnsi"/>
          <w:sz w:val="16"/>
          <w:szCs w:val="16"/>
        </w:rPr>
        <w:t>/2013/EU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roofErr w:type="gramEnd"/>
    </w:p>
  </w:footnote>
  <w:footnote w:id="3">
    <w:p w:rsidR="00D337B9" w:rsidRDefault="009B5B10">
      <w:pPr>
        <w:pStyle w:val="FootnoteText"/>
        <w:keepLines/>
        <w:widowControl w:val="0"/>
        <w:tabs>
          <w:tab w:val="left" w:pos="142"/>
        </w:tabs>
        <w:ind w:left="170" w:hanging="170"/>
        <w:mirrorIndents/>
        <w:jc w:val="both"/>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United Nations, 2015.</w:t>
      </w:r>
      <w:proofErr w:type="gramEnd"/>
      <w:r>
        <w:rPr>
          <w:rFonts w:asciiTheme="minorHAnsi" w:hAnsiTheme="minorHAnsi"/>
          <w:sz w:val="16"/>
          <w:szCs w:val="16"/>
        </w:rPr>
        <w:t xml:space="preserve">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D337B9" w:rsidRDefault="009B5B10">
      <w:pPr>
        <w:pStyle w:val="FootnoteText"/>
        <w:keepLines/>
        <w:widowControl w:val="0"/>
        <w:ind w:left="170" w:hanging="170"/>
        <w:mirrorIndents/>
        <w:jc w:val="both"/>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4" w:history="1">
        <w:r>
          <w:rPr>
            <w:rStyle w:val="Hyperlink"/>
            <w:rFonts w:asciiTheme="minorHAnsi" w:hAnsiTheme="minorHAnsi"/>
            <w:sz w:val="16"/>
            <w:szCs w:val="16"/>
          </w:rPr>
          <w:t>Proposed Circular Economy Package</w:t>
        </w:r>
      </w:hyperlink>
      <w:r>
        <w:rPr>
          <w:rFonts w:asciiTheme="minorHAnsi" w:hAnsiTheme="minorHAnsi"/>
          <w:sz w:val="16"/>
          <w:szCs w:val="16"/>
        </w:rPr>
        <w:t xml:space="preserve"> </w:t>
      </w:r>
    </w:p>
  </w:footnote>
  <w:footnote w:id="6">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 as the ratio between gross domestic product (GDP) and domestic material consumption (DMC).</w:t>
      </w:r>
    </w:p>
  </w:footnote>
  <w:footnote w:id="7">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5"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u w:val="none"/>
        </w:rPr>
        <w:t xml:space="preserve"> </w:t>
      </w:r>
      <w:r>
        <w:rPr>
          <w:rStyle w:val="Hyperlink"/>
          <w:rFonts w:asciiTheme="minorHAnsi" w:hAnsiTheme="minorHAnsi" w:cstheme="minorHAnsi"/>
          <w:color w:val="auto"/>
          <w:sz w:val="16"/>
          <w:szCs w:val="16"/>
          <w:u w:val="none"/>
        </w:rPr>
        <w:t>accessed October 2016</w:t>
      </w:r>
    </w:p>
  </w:footnote>
  <w:footnote w:id="8">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 w:history="1">
        <w:r>
          <w:rPr>
            <w:rStyle w:val="Hyperlink"/>
            <w:rFonts w:asciiTheme="minorHAnsi" w:hAnsiTheme="minorHAnsi"/>
            <w:sz w:val="16"/>
            <w:szCs w:val="16"/>
          </w:rPr>
          <w:t>Eco-innovation Observatory</w:t>
        </w:r>
      </w:hyperlink>
      <w:r>
        <w:rPr>
          <w:rFonts w:asciiTheme="minorHAnsi" w:hAnsiTheme="minorHAnsi"/>
          <w:sz w:val="16"/>
          <w:szCs w:val="16"/>
        </w:rPr>
        <w:t xml:space="preserve">: Eco-Innovation </w:t>
      </w:r>
      <w:r>
        <w:rPr>
          <w:rFonts w:asciiTheme="minorHAnsi" w:hAnsiTheme="minorHAnsi"/>
          <w:sz w:val="16"/>
          <w:szCs w:val="16"/>
        </w:rPr>
        <w:t>scoreboard 2015</w:t>
      </w:r>
    </w:p>
  </w:footnote>
  <w:footnote w:id="9">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Prevention Programmes</w:t>
      </w:r>
    </w:p>
  </w:footnote>
  <w:footnote w:id="10">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Municipal waste consists of waste collected by or on behalf of municipal authorities, or directly by the private sector (business or private non-profit institutions) not on behalf of mu</w:t>
      </w:r>
      <w:r>
        <w:rPr>
          <w:rFonts w:asciiTheme="minorHAnsi" w:hAnsiTheme="minorHAnsi"/>
          <w:sz w:val="16"/>
          <w:szCs w:val="16"/>
        </w:rPr>
        <w:t>nicipalities.</w:t>
      </w:r>
    </w:p>
  </w:footnote>
  <w:footnote w:id="11">
    <w:p w:rsidR="00D337B9" w:rsidRDefault="009B5B10">
      <w:pPr>
        <w:pStyle w:val="FootnoteText"/>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7" w:history="1">
        <w:r>
          <w:rPr>
            <w:rStyle w:val="Hyperlink"/>
            <w:rFonts w:asciiTheme="minorHAnsi" w:hAnsiTheme="minorHAnsi"/>
            <w:sz w:val="16"/>
            <w:szCs w:val="16"/>
          </w:rPr>
          <w:t>Municipal waste and treatment, by type of treatment method,</w:t>
        </w:r>
      </w:hyperlink>
      <w:r>
        <w:rPr>
          <w:rFonts w:asciiTheme="minorHAnsi" w:hAnsiTheme="minorHAnsi"/>
          <w:sz w:val="16"/>
          <w:szCs w:val="16"/>
        </w:rPr>
        <w:t xml:space="preserve"> accessed October 2016</w:t>
      </w:r>
    </w:p>
  </w:footnote>
  <w:footnote w:id="12">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w:t>
      </w:r>
      <w:r>
        <w:rPr>
          <w:rFonts w:asciiTheme="minorHAnsi" w:hAnsiTheme="minorHAnsi"/>
          <w:sz w:val="16"/>
          <w:szCs w:val="16"/>
        </w:rPr>
        <w:t>t method than the one used by ESTAT (and referred to in this report) to calculate their recycling rates and track compliance with the 2020 target of 50% recycling of municipal waste.</w:t>
      </w:r>
    </w:p>
  </w:footnote>
  <w:footnote w:id="13">
    <w:p w:rsidR="00D337B9" w:rsidRDefault="009B5B10">
      <w:pPr>
        <w:pStyle w:val="FootnoteText"/>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8" w:history="1">
        <w:r>
          <w:rPr>
            <w:rStyle w:val="Hyperlink"/>
            <w:rFonts w:asciiTheme="minorHAnsi" w:hAnsiTheme="minorHAnsi"/>
            <w:sz w:val="16"/>
            <w:szCs w:val="16"/>
          </w:rPr>
          <w:t>Recycling rate of municipal waste</w:t>
        </w:r>
      </w:hyperlink>
      <w:r>
        <w:rPr>
          <w:rFonts w:asciiTheme="minorHAnsi" w:hAnsiTheme="minorHAnsi"/>
          <w:sz w:val="16"/>
          <w:szCs w:val="16"/>
        </w:rPr>
        <w:t>, accessed October 2016</w:t>
      </w:r>
    </w:p>
  </w:footnote>
  <w:footnote w:id="14">
    <w:p w:rsidR="00D337B9" w:rsidRDefault="009B5B10">
      <w:pPr>
        <w:pStyle w:val="FootnoteText"/>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(COM(2015)595, 594)</w:t>
      </w:r>
    </w:p>
  </w:footnote>
  <w:footnote w:id="15">
    <w:p w:rsidR="00D337B9" w:rsidRDefault="009B5B10">
      <w:pPr>
        <w:widowControl w:val="0"/>
        <w:autoSpaceDE w:val="0"/>
        <w:autoSpaceDN w:val="0"/>
        <w:adjustRightInd w:val="0"/>
        <w:spacing w:after="0" w:line="240" w:lineRule="auto"/>
        <w:ind w:left="170" w:hanging="170"/>
        <w:jc w:val="both"/>
        <w:rPr>
          <w:sz w:val="16"/>
          <w:szCs w:val="16"/>
        </w:rPr>
      </w:pPr>
      <w:r>
        <w:rPr>
          <w:rStyle w:val="FootnoteReference"/>
          <w:sz w:val="16"/>
          <w:szCs w:val="16"/>
        </w:rPr>
        <w:footnoteRef/>
      </w:r>
      <w:r>
        <w:rPr>
          <w:sz w:val="16"/>
          <w:szCs w:val="16"/>
        </w:rPr>
        <w:t xml:space="preserve"> </w:t>
      </w:r>
      <w:r>
        <w:rPr>
          <w:bCs/>
          <w:sz w:val="16"/>
          <w:szCs w:val="16"/>
        </w:rPr>
        <w:t>Support to Implementation</w:t>
      </w:r>
      <w:r>
        <w:rPr>
          <w:b/>
          <w:bCs/>
          <w:sz w:val="16"/>
          <w:szCs w:val="16"/>
        </w:rPr>
        <w:t xml:space="preserve"> – </w:t>
      </w:r>
      <w:hyperlink r:id="rId9" w:history="1">
        <w:r>
          <w:rPr>
            <w:rStyle w:val="Hyperlink"/>
            <w:bCs/>
            <w:sz w:val="16"/>
            <w:szCs w:val="16"/>
          </w:rPr>
          <w:t>The</w:t>
        </w:r>
        <w:r>
          <w:rPr>
            <w:rStyle w:val="Hyperlink"/>
            <w:b/>
            <w:bCs/>
            <w:sz w:val="16"/>
            <w:szCs w:val="16"/>
          </w:rPr>
          <w:t xml:space="preserve"> </w:t>
        </w:r>
        <w:r>
          <w:rPr>
            <w:rStyle w:val="Hyperlink"/>
            <w:bCs/>
            <w:sz w:val="16"/>
            <w:szCs w:val="16"/>
          </w:rPr>
          <w:t>Commission helps 8 Member States to improve their municipal waste management</w:t>
        </w:r>
      </w:hyperlink>
      <w:r>
        <w:rPr>
          <w:bCs/>
          <w:sz w:val="16"/>
          <w:szCs w:val="16"/>
        </w:rPr>
        <w:t xml:space="preserve">. </w:t>
      </w:r>
      <w:r>
        <w:rPr>
          <w:sz w:val="16"/>
          <w:szCs w:val="16"/>
        </w:rPr>
        <w:t>C</w:t>
      </w:r>
      <w:r>
        <w:rPr>
          <w:bCs/>
          <w:sz w:val="16"/>
          <w:szCs w:val="16"/>
        </w:rPr>
        <w:t>ountry factsheet for</w:t>
      </w:r>
      <w:r>
        <w:rPr>
          <w:rFonts w:eastAsia="Times New Roman"/>
          <w:sz w:val="16"/>
          <w:szCs w:val="16"/>
          <w:lang w:eastAsia="en-GB"/>
        </w:rPr>
        <w:t xml:space="preserve"> </w:t>
      </w:r>
      <w:hyperlink r:id="rId10" w:tgtFrame="_blank" w:history="1">
        <w:r>
          <w:rPr>
            <w:rStyle w:val="Hyperlink"/>
            <w:bCs/>
            <w:sz w:val="16"/>
            <w:szCs w:val="16"/>
          </w:rPr>
          <w:t>Cyprus</w:t>
        </w:r>
      </w:hyperlink>
      <w:r>
        <w:rPr>
          <w:bCs/>
          <w:sz w:val="16"/>
          <w:szCs w:val="16"/>
        </w:rPr>
        <w:t xml:space="preserve"> </w:t>
      </w:r>
    </w:p>
  </w:footnote>
  <w:footnote w:id="16">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Bio Intelligence service, 2011. </w:t>
      </w:r>
      <w:hyperlink r:id="rId11" w:history="1">
        <w:r>
          <w:rPr>
            <w:rStyle w:val="Hyperlink"/>
            <w:rFonts w:asciiTheme="minorHAnsi" w:hAnsiTheme="minorHAnsi"/>
            <w:sz w:val="16"/>
            <w:szCs w:val="16"/>
          </w:rPr>
          <w:t>Implementing EU Waste legislation for Green Growth</w:t>
        </w:r>
      </w:hyperlink>
      <w:r>
        <w:rPr>
          <w:rFonts w:asciiTheme="minorHAnsi" w:hAnsiTheme="minorHAnsi"/>
          <w:sz w:val="16"/>
          <w:szCs w:val="16"/>
        </w:rPr>
        <w:t>, study for European Commis</w:t>
      </w:r>
      <w:r>
        <w:rPr>
          <w:rFonts w:asciiTheme="minorHAnsi" w:hAnsiTheme="minorHAnsi"/>
          <w:sz w:val="16"/>
          <w:szCs w:val="16"/>
        </w:rPr>
        <w:t>sion. The breakdown per country on job creation was made by the consultant on Commission demand but was not included in the published document.</w:t>
      </w:r>
      <w:r>
        <w:rPr>
          <w:rFonts w:asciiTheme="minorHAnsi" w:hAnsiTheme="minorHAnsi"/>
          <w:sz w:val="16"/>
          <w:szCs w:val="16"/>
          <w:u w:val="single"/>
        </w:rPr>
        <w:t xml:space="preserve">  </w:t>
      </w:r>
    </w:p>
  </w:footnote>
  <w:footnote w:id="17">
    <w:p w:rsidR="00D337B9" w:rsidRDefault="009B5B10">
      <w:pPr>
        <w:pStyle w:val="FootnoteText"/>
        <w:widowControl w:val="0"/>
        <w:ind w:left="170" w:hanging="170"/>
        <w:jc w:val="both"/>
        <w:outlineLvl w:val="4"/>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Directive whereas Special Areas</w:t>
      </w:r>
      <w:r>
        <w:rPr>
          <w:rFonts w:asciiTheme="minorHAnsi" w:hAnsiTheme="minorHAnsi"/>
          <w:sz w:val="16"/>
          <w:szCs w:val="16"/>
        </w:rPr>
        <w:t xml:space="preserve"> of Protection (SPAs) are designated pursuant to the Birds Directive; figures of coverage do not add up due to the fact that some SCIs and SPAs overlap. Special Areas of Conservation (SACs) </w:t>
      </w:r>
      <w:r>
        <w:rPr>
          <w:rFonts w:asciiTheme="minorHAnsi" w:hAnsiTheme="minorHAnsi"/>
          <w:sz w:val="16"/>
          <w:szCs w:val="16"/>
          <w:lang w:val="en"/>
        </w:rPr>
        <w:t>means a SCI designated by the Member States.</w:t>
      </w:r>
    </w:p>
  </w:footnote>
  <w:footnote w:id="18">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u w:color="FF0000"/>
        </w:rPr>
        <w:t xml:space="preserve"> For each Member Sta</w:t>
      </w:r>
      <w:r>
        <w:rPr>
          <w:rFonts w:asciiTheme="minorHAnsi" w:hAnsiTheme="minorHAnsi"/>
          <w:sz w:val="16"/>
          <w:szCs w:val="16"/>
          <w:u w:color="FF0000"/>
        </w:rPr>
        <w:t>te, the Commission assesses whether the species and habitat types on Annexes I and II of the Habitats Directive, are sufficiently represented by the sites designated to date. This is expressed as a percentage of species and habitats for which further areas</w:t>
      </w:r>
      <w:r>
        <w:rPr>
          <w:rFonts w:asciiTheme="minorHAnsi" w:hAnsiTheme="minorHAnsi"/>
          <w:sz w:val="16"/>
          <w:szCs w:val="16"/>
          <w:u w:color="FF0000"/>
        </w:rPr>
        <w:t xml:space="preserve"> need to be designated in order to complete the network in that country. </w:t>
      </w:r>
      <w:hyperlink r:id="rId12" w:history="1">
        <w:r>
          <w:rPr>
            <w:rStyle w:val="Hyperlink"/>
            <w:rFonts w:asciiTheme="minorHAnsi" w:hAnsiTheme="minorHAnsi"/>
            <w:sz w:val="16"/>
            <w:szCs w:val="16"/>
            <w:u w:color="1F497D" w:themeColor="text2"/>
          </w:rPr>
          <w:t>The current data</w:t>
        </w:r>
      </w:hyperlink>
      <w:r>
        <w:rPr>
          <w:rFonts w:asciiTheme="minorHAnsi" w:hAnsiTheme="minorHAnsi"/>
          <w:sz w:val="16"/>
          <w:szCs w:val="16"/>
          <w:u w:color="FF0000"/>
        </w:rPr>
        <w:t xml:space="preserve">, which were assessed in 2014-2015, reflect the situation up until </w:t>
      </w:r>
      <w:r>
        <w:rPr>
          <w:rFonts w:asciiTheme="minorHAnsi" w:hAnsiTheme="minorHAnsi"/>
          <w:sz w:val="16"/>
          <w:szCs w:val="16"/>
          <w:u w:color="FF0000"/>
        </w:rPr>
        <w:t>December 2013.</w:t>
      </w:r>
    </w:p>
  </w:footnote>
  <w:footnote w:id="19">
    <w:p w:rsidR="00D337B9" w:rsidRDefault="009B5B10">
      <w:pPr>
        <w:pStyle w:val="FootnoteText"/>
        <w:ind w:left="170" w:hanging="170"/>
        <w:jc w:val="both"/>
        <w:rPr>
          <w:sz w:val="16"/>
          <w:szCs w:val="16"/>
          <w:vertAlign w:val="superscript"/>
        </w:rPr>
      </w:pPr>
      <w:r>
        <w:rPr>
          <w:rStyle w:val="FootnoteReference"/>
          <w:sz w:val="16"/>
          <w:szCs w:val="16"/>
        </w:rPr>
        <w:footnoteRef/>
      </w:r>
      <w:r>
        <w:rPr>
          <w:sz w:val="16"/>
          <w:szCs w:val="16"/>
          <w:vertAlign w:val="superscript"/>
        </w:rPr>
        <w:t xml:space="preserve"> </w:t>
      </w:r>
      <w:r>
        <w:rPr>
          <w:sz w:val="16"/>
          <w:szCs w:val="16"/>
        </w:rPr>
        <w:t>The percentages in Figure 5 refer to percentages of the total number of assessments (one assessment covering 1 species or 1 habitat in a given biographical region with the Member State); if a habitat type or a species occurs in more than 1</w:t>
      </w:r>
      <w:r>
        <w:rPr>
          <w:sz w:val="16"/>
          <w:szCs w:val="16"/>
        </w:rPr>
        <w:t xml:space="preserve"> Biogeographic region within a given Member State, there will be as many individual assessments as there are Biogeographic regions with an occurrence of that species or habitat in this Member State.</w:t>
      </w:r>
    </w:p>
  </w:footnote>
  <w:footnote w:id="20">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internal assessment.</w:t>
      </w:r>
    </w:p>
  </w:footnote>
  <w:footnote w:id="21">
    <w:p w:rsidR="00D337B9" w:rsidRDefault="009B5B10">
      <w:pPr>
        <w:widowControl w:val="0"/>
        <w:spacing w:after="0" w:line="240" w:lineRule="auto"/>
        <w:ind w:left="170" w:hanging="170"/>
        <w:jc w:val="both"/>
        <w:rPr>
          <w:sz w:val="16"/>
          <w:szCs w:val="16"/>
        </w:rPr>
      </w:pPr>
      <w:r>
        <w:rPr>
          <w:rStyle w:val="FootnoteReference"/>
          <w:sz w:val="16"/>
          <w:szCs w:val="16"/>
        </w:rPr>
        <w:footnoteRef/>
      </w:r>
      <w:r>
        <w:rPr>
          <w:sz w:val="16"/>
          <w:szCs w:val="16"/>
        </w:rPr>
        <w:t xml:space="preserve"> The core of</w:t>
      </w:r>
      <w:r>
        <w:rPr>
          <w:sz w:val="16"/>
          <w:szCs w:val="16"/>
        </w:rPr>
        <w:t xml:space="preserve"> the ‘Article 17’ report is the assessment of conservation status of the habitats and species targeted by the Habitats Directive.</w:t>
      </w:r>
    </w:p>
  </w:footnote>
  <w:footnote w:id="22">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 a standard methodology as being either ‘favourable’, ‘unfavourable-inadequate’ and ‘un</w:t>
      </w:r>
      <w:r>
        <w:rPr>
          <w:rFonts w:asciiTheme="minorHAnsi" w:hAnsiTheme="minorHAnsi"/>
          <w:sz w:val="16"/>
          <w:szCs w:val="16"/>
        </w:rPr>
        <w:t>favourable-bad’, based on four parameters as defined in Article 1 of the Habitats Directive.</w:t>
      </w:r>
    </w:p>
  </w:footnote>
  <w:footnote w:id="23">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Style w:val="Emphasis"/>
          <w:rFonts w:asciiTheme="minorHAnsi" w:hAnsiTheme="minorHAnsi"/>
          <w:color w:val="auto"/>
          <w:sz w:val="16"/>
          <w:szCs w:val="16"/>
        </w:rPr>
        <w:t xml:space="preserve"> Please note that a direct comparison between 2007 and 2013 data is complicated by the fact that Bulgaria and Romania were not covered by the 2007 reporting cycle</w:t>
      </w:r>
      <w:r>
        <w:rPr>
          <w:rStyle w:val="Emphasis"/>
          <w:rFonts w:asciiTheme="minorHAnsi" w:hAnsiTheme="minorHAnsi"/>
          <w:color w:val="auto"/>
          <w:sz w:val="16"/>
          <w:szCs w:val="16"/>
        </w:rPr>
        <w:t>, that the ‘unknown’ assessments have strongly diminished particularly for species, and that some reported changes are not genuine as they result from improved data / monitoring methods.</w:t>
      </w:r>
    </w:p>
  </w:footnote>
  <w:footnote w:id="24">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w:t>
      </w:r>
      <w:proofErr w:type="spellStart"/>
      <w:r>
        <w:rPr>
          <w:rFonts w:asciiTheme="minorHAnsi" w:hAnsiTheme="minorHAnsi" w:cstheme="minorHAnsi"/>
          <w:iCs/>
          <w:sz w:val="16"/>
          <w:szCs w:val="16"/>
        </w:rPr>
        <w:t>biogeographical</w:t>
      </w:r>
      <w:proofErr w:type="spellEnd"/>
      <w:r>
        <w:rPr>
          <w:rFonts w:asciiTheme="minorHAnsi" w:hAnsiTheme="minorHAnsi" w:cstheme="minorHAnsi"/>
          <w:iCs/>
          <w:sz w:val="16"/>
          <w:szCs w:val="16"/>
        </w:rPr>
        <w:t xml:space="preserve"> assessments in</w:t>
      </w:r>
      <w:r>
        <w:rPr>
          <w:rFonts w:asciiTheme="minorHAnsi" w:hAnsiTheme="minorHAnsi" w:cstheme="minorHAnsi"/>
          <w:iCs/>
          <w:sz w:val="16"/>
          <w:szCs w:val="16"/>
        </w:rPr>
        <w:t xml:space="preserve"> each category of conservation status for habitats and species </w:t>
      </w:r>
      <w:r>
        <w:rPr>
          <w:sz w:val="16"/>
          <w:szCs w:val="16"/>
        </w:rPr>
        <w:t>(one assessment covering 1 species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information is based on Article 17 of the Habitats Directive reporting -</w:t>
      </w:r>
      <w:r>
        <w:rPr>
          <w:rFonts w:asciiTheme="minorHAnsi" w:hAnsiTheme="minorHAnsi"/>
          <w:sz w:val="16"/>
          <w:szCs w:val="16"/>
        </w:rPr>
        <w:t xml:space="preserve"> national summary of </w:t>
      </w:r>
      <w:hyperlink r:id="rId13" w:history="1">
        <w:r>
          <w:rPr>
            <w:rStyle w:val="Hyperlink"/>
            <w:rFonts w:asciiTheme="minorHAnsi" w:hAnsiTheme="minorHAnsi"/>
            <w:sz w:val="16"/>
            <w:szCs w:val="16"/>
          </w:rPr>
          <w:t>Cyprus</w:t>
        </w:r>
      </w:hyperlink>
    </w:p>
  </w:footnote>
  <w:footnote w:id="25">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requires Member States to report about the progress made with the implementation of the Bird</w:t>
      </w:r>
      <w:r>
        <w:rPr>
          <w:rFonts w:asciiTheme="minorHAnsi" w:hAnsiTheme="minorHAnsi"/>
          <w:sz w:val="16"/>
          <w:szCs w:val="16"/>
        </w:rPr>
        <w:t>s Directive.</w:t>
      </w:r>
    </w:p>
  </w:footnote>
  <w:footnote w:id="26">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reporting - national summary of </w:t>
      </w:r>
      <w:hyperlink r:id="rId14" w:history="1">
        <w:r>
          <w:rPr>
            <w:rStyle w:val="Hyperlink"/>
            <w:rFonts w:asciiTheme="minorHAnsi" w:hAnsiTheme="minorHAnsi"/>
            <w:sz w:val="16"/>
            <w:szCs w:val="16"/>
          </w:rPr>
          <w:t>Cyprus</w:t>
        </w:r>
      </w:hyperlink>
    </w:p>
  </w:footnote>
  <w:footnote w:id="27">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proofErr w:type="spellStart"/>
      <w:r>
        <w:rPr>
          <w:rFonts w:asciiTheme="minorHAnsi" w:hAnsiTheme="minorHAnsi"/>
          <w:sz w:val="16"/>
          <w:szCs w:val="16"/>
        </w:rPr>
        <w:t>Phrygana</w:t>
      </w:r>
      <w:proofErr w:type="spellEnd"/>
      <w:r>
        <w:rPr>
          <w:rFonts w:asciiTheme="minorHAnsi" w:hAnsiTheme="minorHAnsi"/>
          <w:sz w:val="16"/>
          <w:szCs w:val="16"/>
        </w:rPr>
        <w:t xml:space="preserve"> or </w:t>
      </w:r>
      <w:proofErr w:type="spellStart"/>
      <w:r>
        <w:rPr>
          <w:rFonts w:asciiTheme="minorHAnsi" w:hAnsiTheme="minorHAnsi"/>
          <w:sz w:val="16"/>
          <w:szCs w:val="16"/>
        </w:rPr>
        <w:t>garrigue</w:t>
      </w:r>
      <w:proofErr w:type="spellEnd"/>
      <w:r>
        <w:rPr>
          <w:rFonts w:asciiTheme="minorHAnsi" w:hAnsiTheme="minorHAnsi"/>
          <w:sz w:val="16"/>
          <w:szCs w:val="16"/>
        </w:rPr>
        <w:t xml:space="preserve"> is a type of low, soft-leaved scrubl</w:t>
      </w:r>
      <w:r>
        <w:rPr>
          <w:rFonts w:asciiTheme="minorHAnsi" w:hAnsiTheme="minorHAnsi"/>
          <w:sz w:val="16"/>
          <w:szCs w:val="16"/>
        </w:rPr>
        <w:t>and ecoregion and plant community in the Mediterranean forests, woodlands, and scrub biome.</w:t>
      </w:r>
    </w:p>
  </w:footnote>
  <w:footnote w:id="28">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5</w:t>
      </w:r>
      <w:r>
        <w:rPr>
          <w:rFonts w:asciiTheme="minorHAnsi" w:hAnsiTheme="minorHAnsi"/>
          <w:sz w:val="16"/>
          <w:szCs w:val="16"/>
          <w:vertAlign w:val="superscript"/>
        </w:rPr>
        <w:t>th</w:t>
      </w:r>
      <w:r>
        <w:rPr>
          <w:rFonts w:asciiTheme="minorHAnsi" w:hAnsiTheme="minorHAnsi"/>
          <w:sz w:val="16"/>
          <w:szCs w:val="16"/>
        </w:rPr>
        <w:t xml:space="preserve"> National Report to the CBD</w:t>
      </w:r>
    </w:p>
  </w:footnote>
  <w:footnote w:id="29">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Ecosystem services are benefits provided by nature such as food, clean water and pollination on which human society depends.</w:t>
      </w:r>
    </w:p>
  </w:footnote>
  <w:footnote w:id="30">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Enhancing Europe’s Natural Capital, </w:t>
      </w:r>
      <w:hyperlink r:id="rId15" w:history="1">
        <w:r>
          <w:rPr>
            <w:rStyle w:val="Hyperlink"/>
            <w:rFonts w:asciiTheme="minorHAnsi" w:hAnsiTheme="minorHAnsi"/>
            <w:sz w:val="16"/>
            <w:szCs w:val="16"/>
          </w:rPr>
          <w:t>COM/2013/0249</w:t>
        </w:r>
      </w:hyperlink>
    </w:p>
  </w:footnote>
  <w:footnote w:id="31">
    <w:p w:rsidR="00D337B9" w:rsidRDefault="009B5B10">
      <w:pPr>
        <w:pStyle w:val="FootnoteText"/>
        <w:ind w:left="170" w:hanging="170"/>
        <w:jc w:val="both"/>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European Environment Agency </w:t>
      </w:r>
      <w:hyperlink r:id="rId16" w:history="1">
        <w:r>
          <w:rPr>
            <w:rStyle w:val="Hyperlink"/>
            <w:rFonts w:asciiTheme="minorHAnsi" w:hAnsiTheme="minorHAnsi"/>
            <w:sz w:val="16"/>
            <w:szCs w:val="16"/>
          </w:rPr>
          <w:t>Draft results of CORINE Land Cover (CLC) inventory 2012</w:t>
        </w:r>
      </w:hyperlink>
      <w:r>
        <w:rPr>
          <w:rStyle w:val="Hyperlink"/>
          <w:rFonts w:asciiTheme="minorHAnsi" w:hAnsiTheme="minorHAnsi"/>
          <w:sz w:val="16"/>
          <w:szCs w:val="16"/>
        </w:rPr>
        <w:t xml:space="preserve">; </w:t>
      </w:r>
      <w:r>
        <w:rPr>
          <w:rFonts w:asciiTheme="minorHAnsi" w:hAnsiTheme="minorHAnsi"/>
          <w:sz w:val="16"/>
          <w:szCs w:val="16"/>
        </w:rPr>
        <w:t>mean annual land take 2006-12 as a % of 2006 artificial land.</w:t>
      </w:r>
    </w:p>
  </w:footnote>
  <w:footnote w:id="32">
    <w:p w:rsidR="00D337B9" w:rsidRDefault="009B5B10">
      <w:pPr>
        <w:pStyle w:val="FootnoteText"/>
        <w:widowControl w:val="0"/>
        <w:ind w:left="170" w:hanging="170"/>
        <w:jc w:val="both"/>
        <w:outlineLvl w:val="4"/>
        <w:rPr>
          <w:rFonts w:asciiTheme="minorHAnsi" w:hAnsiTheme="minorHAnsi"/>
          <w:sz w:val="16"/>
          <w:szCs w:val="16"/>
        </w:rPr>
      </w:pPr>
      <w:r>
        <w:rPr>
          <w:rStyle w:val="FootnoteReference"/>
          <w:rFonts w:asciiTheme="minorHAnsi" w:hAnsiTheme="minorHAnsi"/>
          <w:sz w:val="16"/>
          <w:szCs w:val="16"/>
        </w:rPr>
        <w:footnoteRef/>
      </w:r>
      <w:r>
        <w:rPr>
          <w:sz w:val="16"/>
          <w:szCs w:val="16"/>
        </w:rPr>
        <w:t>Eurostat,</w:t>
      </w:r>
      <w:hyperlink r:id="rId17" w:history="1">
        <w:r>
          <w:rPr>
            <w:rStyle w:val="Hyperlink"/>
            <w:sz w:val="16"/>
            <w:szCs w:val="16"/>
          </w:rPr>
          <w:t xml:space="preserve"> Soil water erosion rate</w:t>
        </w:r>
      </w:hyperlink>
      <w:r>
        <w:rPr>
          <w:sz w:val="16"/>
          <w:szCs w:val="16"/>
        </w:rPr>
        <w:t>, Figure 2, accessed November 2016</w:t>
      </w:r>
    </w:p>
  </w:footnote>
  <w:footnote w:id="33">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European Environment Agency, Land cover 2006 and changes country analysis [publication forthcoming]</w:t>
      </w:r>
    </w:p>
  </w:footnote>
  <w:footnote w:id="34">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18" w:history="1">
        <w:r>
          <w:rPr>
            <w:rStyle w:val="Hyperlink"/>
            <w:rFonts w:asciiTheme="minorHAnsi" w:hAnsiTheme="minorHAnsi"/>
            <w:sz w:val="16"/>
            <w:szCs w:val="16"/>
          </w:rPr>
          <w:t>Marine Strategy Framework Directive 2008/56/EC</w:t>
        </w:r>
      </w:hyperlink>
    </w:p>
  </w:footnote>
  <w:footnote w:id="35">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MSFD defines Good Environmental Status (GES) in Article 3 as: “The environmental status of marine waters where these pr</w:t>
      </w:r>
      <w:r>
        <w:rPr>
          <w:rFonts w:asciiTheme="minorHAnsi" w:hAnsiTheme="minorHAnsi"/>
          <w:sz w:val="16"/>
          <w:szCs w:val="16"/>
        </w:rPr>
        <w:t>ovide ecologically diverse and dynamic oceans and seas which are clean, healthy and productive”</w:t>
      </w:r>
    </w:p>
  </w:footnote>
  <w:footnote w:id="36">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Commission Report on "The first phase of implementation of the Marine Strategy Framework Directive (2008/56</w:t>
      </w:r>
      <w:r>
        <w:rPr>
          <w:rFonts w:asciiTheme="minorHAnsi" w:hAnsiTheme="minorHAnsi"/>
          <w:sz w:val="16"/>
          <w:szCs w:val="16"/>
        </w:rPr>
        <w:t>/EC) - The European Commission's assessment and guidance" (</w:t>
      </w:r>
      <w:hyperlink r:id="rId19" w:history="1">
        <w:r>
          <w:rPr>
            <w:rStyle w:val="Hyperlink"/>
            <w:rFonts w:asciiTheme="minorHAnsi" w:hAnsiTheme="minorHAnsi"/>
            <w:sz w:val="16"/>
            <w:szCs w:val="16"/>
          </w:rPr>
          <w:t>SWD(2014)049</w:t>
        </w:r>
      </w:hyperlink>
      <w:r>
        <w:rPr>
          <w:rStyle w:val="Hyperlink"/>
          <w:rFonts w:asciiTheme="minorHAnsi" w:hAnsiTheme="minorHAnsi"/>
          <w:sz w:val="16"/>
          <w:szCs w:val="16"/>
        </w:rPr>
        <w:t xml:space="preserve"> final</w:t>
      </w:r>
      <w:r>
        <w:rPr>
          <w:rFonts w:asciiTheme="minorHAnsi" w:hAnsiTheme="minorHAnsi"/>
          <w:sz w:val="16"/>
          <w:szCs w:val="16"/>
        </w:rPr>
        <w:t xml:space="preserve"> and </w:t>
      </w:r>
      <w:hyperlink r:id="rId20" w:history="1">
        <w:r>
          <w:rPr>
            <w:rStyle w:val="Hyperlink"/>
            <w:rFonts w:asciiTheme="minorHAnsi" w:hAnsiTheme="minorHAnsi"/>
            <w:sz w:val="16"/>
            <w:szCs w:val="16"/>
          </w:rPr>
          <w:t>COM(2014)097</w:t>
        </w:r>
      </w:hyperlink>
      <w:r>
        <w:rPr>
          <w:rStyle w:val="Hyperlink"/>
          <w:rFonts w:asciiTheme="minorHAnsi" w:hAnsiTheme="minorHAnsi"/>
          <w:sz w:val="16"/>
          <w:szCs w:val="16"/>
        </w:rPr>
        <w:t xml:space="preserve"> final</w:t>
      </w:r>
      <w:r>
        <w:rPr>
          <w:rFonts w:asciiTheme="minorHAnsi" w:hAnsiTheme="minorHAnsi"/>
          <w:sz w:val="16"/>
          <w:szCs w:val="16"/>
        </w:rPr>
        <w:t>)</w:t>
      </w:r>
    </w:p>
  </w:footnote>
  <w:footnote w:id="37">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w:t>
      </w:r>
      <w:r>
        <w:rPr>
          <w:rFonts w:asciiTheme="minorHAnsi" w:hAnsiTheme="minorHAnsi"/>
          <w:sz w:val="16"/>
          <w:szCs w:val="16"/>
        </w:rPr>
        <w:t>panying the Commission Report assessing Member States' monitoring programmes under the Marine Strategy Framework Directive (COM(2017)3 and SWD(2017)1 final)</w:t>
      </w:r>
    </w:p>
  </w:footnote>
  <w:footnote w:id="38">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2012 Data provided by the European Environmental Agency to the European Commission – Not publishe</w:t>
      </w:r>
      <w:r>
        <w:rPr>
          <w:rFonts w:asciiTheme="minorHAnsi" w:hAnsiTheme="minorHAnsi"/>
          <w:sz w:val="16"/>
          <w:szCs w:val="16"/>
        </w:rPr>
        <w:t>d</w:t>
      </w:r>
    </w:p>
  </w:footnote>
  <w:footnote w:id="39">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Report from the Commission "The first phase of implementation of the Marine Strategy Framework Directive (2008/56/EC) - The European Commission's assessment and guidance" </w:t>
      </w:r>
      <w:hyperlink r:id="rId21" w:history="1">
        <w:r>
          <w:rPr>
            <w:rStyle w:val="Hyperlink"/>
            <w:rFonts w:asciiTheme="minorHAnsi" w:hAnsiTheme="minorHAnsi"/>
            <w:sz w:val="16"/>
            <w:szCs w:val="16"/>
          </w:rPr>
          <w:t>COM(2014)097</w:t>
        </w:r>
      </w:hyperlink>
    </w:p>
  </w:footnote>
  <w:footnote w:id="40">
    <w:p w:rsidR="00D337B9" w:rsidRDefault="009B5B10">
      <w:pPr>
        <w:pStyle w:val="FootnoteText"/>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As of 7.10.2016, CY had not yet reported its programme of measures to the Commission</w:t>
      </w:r>
    </w:p>
  </w:footnote>
  <w:footnote w:id="41">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w:t>
      </w:r>
      <w:hyperlink r:id="rId22" w:history="1">
        <w:r>
          <w:rPr>
            <w:rStyle w:val="Hyperlink"/>
            <w:rFonts w:asciiTheme="minorHAnsi" w:hAnsiTheme="minorHAnsi"/>
            <w:sz w:val="16"/>
            <w:szCs w:val="16"/>
          </w:rPr>
          <w:t>Air Quality Standards</w:t>
        </w:r>
      </w:hyperlink>
    </w:p>
  </w:footnote>
  <w:footnote w:id="42">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23" w:history="1">
        <w:r>
          <w:rPr>
            <w:rStyle w:val="Hyperlink"/>
            <w:rFonts w:asciiTheme="minorHAnsi" w:hAnsiTheme="minorHAnsi"/>
            <w:sz w:val="16"/>
            <w:szCs w:val="16"/>
          </w:rPr>
          <w:t>EIONET Central Data Repository</w:t>
        </w:r>
      </w:hyperlink>
      <w:r>
        <w:rPr>
          <w:rFonts w:asciiTheme="minorHAnsi" w:hAnsiTheme="minorHAnsi"/>
          <w:sz w:val="16"/>
          <w:szCs w:val="16"/>
        </w:rPr>
        <w:t xml:space="preserve"> and </w:t>
      </w:r>
      <w:hyperlink r:id="rId24" w:history="1">
        <w:r>
          <w:rPr>
            <w:rStyle w:val="Hyperlink"/>
            <w:rFonts w:asciiTheme="minorHAnsi" w:hAnsiTheme="minorHAnsi"/>
            <w:sz w:val="16"/>
            <w:szCs w:val="16"/>
          </w:rPr>
          <w:t>Air pollutant emissions data viewer (NEC Directive)</w:t>
        </w:r>
      </w:hyperlink>
    </w:p>
  </w:footnote>
  <w:footnote w:id="43">
    <w:p w:rsidR="00D337B9" w:rsidRDefault="009B5B10">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current national emission ceilings apply since 2010 (</w:t>
      </w:r>
      <w:hyperlink r:id="rId25"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26"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44">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r>
        <w:rPr>
          <w:rFonts w:asciiTheme="minorHAnsi" w:hAnsiTheme="minorHAnsi"/>
          <w:sz w:val="16"/>
          <w:szCs w:val="16"/>
        </w:rPr>
        <w:t>NOx</w:t>
      </w:r>
      <w:proofErr w:type="spellEnd"/>
      <w:r>
        <w:rPr>
          <w:rFonts w:asciiTheme="minorHAnsi" w:hAnsiTheme="minorHAnsi"/>
          <w:sz w:val="16"/>
          <w:szCs w:val="16"/>
        </w:rPr>
        <w:t xml:space="preserve"> is emitted during fuel combustion e.g. from industrial </w:t>
      </w:r>
      <w:r>
        <w:rPr>
          <w:rFonts w:asciiTheme="minorHAnsi" w:hAnsiTheme="minorHAnsi"/>
          <w:sz w:val="16"/>
          <w:szCs w:val="16"/>
        </w:rPr>
        <w:t xml:space="preserve">facilities and the road transport sector. </w:t>
      </w:r>
      <w:proofErr w:type="spellStart"/>
      <w:r>
        <w:rPr>
          <w:rFonts w:asciiTheme="minorHAnsi" w:hAnsiTheme="minorHAnsi"/>
          <w:sz w:val="16"/>
          <w:szCs w:val="16"/>
        </w:rPr>
        <w:t>NOx</w:t>
      </w:r>
      <w:proofErr w:type="spellEnd"/>
      <w:r>
        <w:rPr>
          <w:rFonts w:asciiTheme="minorHAnsi" w:hAnsiTheme="minorHAnsi"/>
          <w:sz w:val="16"/>
          <w:szCs w:val="16"/>
        </w:rPr>
        <w:t xml:space="preserve"> is a group of gases comprising nitrogen monoxide (NO) and nitrogen dioxide (NO2).</w:t>
      </w:r>
    </w:p>
  </w:footnote>
  <w:footnote w:id="45">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Particulate matter (PM) is a mixture of aerosol particles (solid and liquid) covering a wide range of sizes and chemical compo</w:t>
      </w:r>
      <w:r>
        <w:rPr>
          <w:rFonts w:asciiTheme="minorHAnsi" w:hAnsiTheme="minorHAnsi"/>
          <w:sz w:val="16"/>
          <w:szCs w:val="16"/>
        </w:rPr>
        <w:t>sitions. PM10 (PM2.5) refers to particles with a diameter of 10 (2.5) micrometres or less. PM is emitted from many anthropogenic sources, including combustion.</w:t>
      </w:r>
    </w:p>
  </w:footnote>
  <w:footnote w:id="46">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Low level ozone is produced by photochemical action on pollution and it is also a greenhouse g</w:t>
      </w:r>
      <w:r>
        <w:rPr>
          <w:rFonts w:asciiTheme="minorHAnsi" w:hAnsiTheme="minorHAnsi"/>
          <w:sz w:val="16"/>
          <w:szCs w:val="16"/>
        </w:rPr>
        <w:t>as.</w:t>
      </w:r>
    </w:p>
  </w:footnote>
  <w:footnote w:id="47">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lang w:eastAsia="en-GB"/>
        </w:rPr>
        <w:t>European Environment Agency, 2016.</w:t>
      </w:r>
      <w:proofErr w:type="gramEnd"/>
      <w:r>
        <w:rPr>
          <w:rFonts w:asciiTheme="minorHAnsi" w:hAnsiTheme="minorHAnsi"/>
          <w:sz w:val="16"/>
          <w:szCs w:val="16"/>
          <w:lang w:eastAsia="en-GB"/>
        </w:rPr>
        <w:t xml:space="preserve"> </w:t>
      </w:r>
      <w:hyperlink r:id="rId27" w:history="1">
        <w:proofErr w:type="gramStart"/>
        <w:r>
          <w:rPr>
            <w:rStyle w:val="Hyperlink"/>
            <w:rFonts w:asciiTheme="minorHAnsi" w:hAnsiTheme="minorHAnsi"/>
            <w:sz w:val="16"/>
            <w:szCs w:val="16"/>
            <w:lang w:eastAsia="en-GB"/>
          </w:rPr>
          <w:t>Air Quality in Europe – 2016 Report</w:t>
        </w:r>
      </w:hyperlink>
      <w:r>
        <w:rPr>
          <w:rFonts w:asciiTheme="minorHAnsi" w:hAnsiTheme="minorHAnsi"/>
          <w:sz w:val="16"/>
          <w:szCs w:val="16"/>
          <w:lang w:eastAsia="en-GB"/>
        </w:rPr>
        <w:t>.</w:t>
      </w:r>
      <w:proofErr w:type="gramEnd"/>
      <w:r>
        <w:rPr>
          <w:rFonts w:asciiTheme="minorHAnsi" w:hAnsiTheme="minorHAnsi"/>
          <w:sz w:val="16"/>
          <w:szCs w:val="16"/>
          <w:lang w:eastAsia="en-GB"/>
        </w:rPr>
        <w:t xml:space="preserve"> (Table 10.2, please see details in this report as regards the underpinning   methodology)</w:t>
      </w:r>
    </w:p>
  </w:footnote>
  <w:footnote w:id="48">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lang w:eastAsia="en-GB"/>
        </w:rPr>
        <w:t>Based</w:t>
      </w:r>
      <w:r>
        <w:rPr>
          <w:rFonts w:asciiTheme="minorHAnsi" w:hAnsiTheme="minorHAnsi"/>
          <w:sz w:val="16"/>
          <w:szCs w:val="16"/>
          <w:lang w:eastAsia="en-GB"/>
        </w:rPr>
        <w:t xml:space="preserve"> on European Environment Agency, 2016.</w:t>
      </w:r>
      <w:proofErr w:type="gramEnd"/>
      <w:r>
        <w:rPr>
          <w:rFonts w:asciiTheme="minorHAnsi" w:hAnsiTheme="minorHAnsi"/>
          <w:sz w:val="16"/>
          <w:szCs w:val="16"/>
          <w:lang w:eastAsia="en-GB"/>
        </w:rPr>
        <w:t xml:space="preserve"> </w:t>
      </w:r>
      <w:hyperlink r:id="rId28" w:history="1">
        <w:proofErr w:type="gramStart"/>
        <w:r>
          <w:rPr>
            <w:rStyle w:val="Hyperlink"/>
            <w:rFonts w:asciiTheme="minorHAnsi" w:hAnsiTheme="minorHAnsi"/>
            <w:sz w:val="16"/>
            <w:szCs w:val="16"/>
            <w:lang w:eastAsia="en-GB"/>
          </w:rPr>
          <w:t>Air Quality in Europe – 2016 Report</w:t>
        </w:r>
      </w:hyperlink>
      <w:r>
        <w:rPr>
          <w:rFonts w:asciiTheme="minorHAnsi" w:hAnsiTheme="minorHAnsi"/>
          <w:sz w:val="16"/>
          <w:szCs w:val="16"/>
          <w:lang w:eastAsia="en-GB"/>
        </w:rPr>
        <w:t>.</w:t>
      </w:r>
      <w:proofErr w:type="gramEnd"/>
      <w:r>
        <w:rPr>
          <w:rFonts w:asciiTheme="minorHAnsi" w:hAnsiTheme="minorHAnsi"/>
          <w:sz w:val="16"/>
          <w:szCs w:val="16"/>
          <w:lang w:eastAsia="en-GB"/>
        </w:rPr>
        <w:t xml:space="preserve"> (Figures 4.1, 5.1 and 6.1) </w:t>
      </w:r>
    </w:p>
  </w:footnote>
  <w:footnote w:id="49">
    <w:p w:rsidR="00D337B9" w:rsidRDefault="009B5B10">
      <w:pPr>
        <w:pStyle w:val="FootnoteText"/>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It should be noted that the values of PM10 in Figure 9 are raw values</w:t>
      </w:r>
      <w:r>
        <w:rPr>
          <w:rFonts w:asciiTheme="minorHAnsi" w:hAnsiTheme="minorHAnsi"/>
          <w:sz w:val="16"/>
          <w:szCs w:val="16"/>
        </w:rPr>
        <w:t xml:space="preserve">. According to article 20 of the 2008/50/EC Directive, Member States shall transmit to the Commission for a given year, information on zones where </w:t>
      </w:r>
      <w:proofErr w:type="spellStart"/>
      <w:r>
        <w:rPr>
          <w:rFonts w:asciiTheme="minorHAnsi" w:hAnsiTheme="minorHAnsi"/>
          <w:sz w:val="16"/>
          <w:szCs w:val="16"/>
        </w:rPr>
        <w:t>exceedances</w:t>
      </w:r>
      <w:proofErr w:type="spellEnd"/>
      <w:r>
        <w:rPr>
          <w:rFonts w:asciiTheme="minorHAnsi" w:hAnsiTheme="minorHAnsi"/>
          <w:sz w:val="16"/>
          <w:szCs w:val="16"/>
        </w:rPr>
        <w:t xml:space="preserve"> of limit values for a given pollutant (for this case PM10) are attributable to natural sources. C</w:t>
      </w:r>
      <w:r>
        <w:rPr>
          <w:rFonts w:asciiTheme="minorHAnsi" w:hAnsiTheme="minorHAnsi"/>
          <w:sz w:val="16"/>
          <w:szCs w:val="16"/>
        </w:rPr>
        <w:t xml:space="preserve">yprus used the methodology published by the Commission (“Guidelines for demonstration and subtraction of </w:t>
      </w:r>
      <w:proofErr w:type="spellStart"/>
      <w:r>
        <w:rPr>
          <w:rFonts w:asciiTheme="minorHAnsi" w:hAnsiTheme="minorHAnsi"/>
          <w:sz w:val="16"/>
          <w:szCs w:val="16"/>
        </w:rPr>
        <w:t>exceedances</w:t>
      </w:r>
      <w:proofErr w:type="spellEnd"/>
      <w:r>
        <w:rPr>
          <w:rFonts w:asciiTheme="minorHAnsi" w:hAnsiTheme="minorHAnsi"/>
          <w:sz w:val="16"/>
          <w:szCs w:val="16"/>
        </w:rPr>
        <w:t xml:space="preserve"> attributable to natural sources under the Directive 2008/50/EC on ambient air quality and cleaner air for Europe”) and the PM10 concentrati</w:t>
      </w:r>
      <w:r>
        <w:rPr>
          <w:rFonts w:asciiTheme="minorHAnsi" w:hAnsiTheme="minorHAnsi"/>
          <w:sz w:val="16"/>
          <w:szCs w:val="16"/>
        </w:rPr>
        <w:t xml:space="preserve">ons values are much lower. The report showing the methodology used is uploaded at CDR under the following link: </w:t>
      </w:r>
      <w:hyperlink r:id="rId29" w:tooltip="http://cdr.eionet.europa.eu/cy/eu/aqd/g/envvdeqew/" w:history="1">
        <w:r>
          <w:rPr>
            <w:rStyle w:val="Hyperlink"/>
            <w:rFonts w:asciiTheme="minorHAnsi" w:hAnsiTheme="minorHAnsi"/>
            <w:sz w:val="16"/>
            <w:szCs w:val="16"/>
          </w:rPr>
          <w:t>http://cdr.eionet.eur</w:t>
        </w:r>
        <w:r>
          <w:rPr>
            <w:rStyle w:val="Hyperlink"/>
            <w:rFonts w:asciiTheme="minorHAnsi" w:hAnsiTheme="minorHAnsi"/>
            <w:sz w:val="16"/>
            <w:szCs w:val="16"/>
          </w:rPr>
          <w:t>opa.eu/cy/eu/aqd/g/envvdeqew/</w:t>
        </w:r>
      </w:hyperlink>
      <w:r>
        <w:rPr>
          <w:rFonts w:asciiTheme="minorHAnsi" w:hAnsiTheme="minorHAnsi"/>
          <w:sz w:val="16"/>
          <w:szCs w:val="16"/>
        </w:rPr>
        <w:t>.</w:t>
      </w:r>
    </w:p>
  </w:footnote>
  <w:footnote w:id="50">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30" w:history="1">
        <w:r>
          <w:rPr>
            <w:rStyle w:val="Hyperlink"/>
            <w:rFonts w:asciiTheme="minorHAnsi" w:hAnsiTheme="minorHAnsi"/>
            <w:sz w:val="16"/>
            <w:szCs w:val="16"/>
          </w:rPr>
          <w:t>The EEA/</w:t>
        </w:r>
        <w:proofErr w:type="spellStart"/>
        <w:r>
          <w:rPr>
            <w:rStyle w:val="Hyperlink"/>
            <w:rFonts w:asciiTheme="minorHAnsi" w:hAnsiTheme="minorHAnsi"/>
            <w:sz w:val="16"/>
            <w:szCs w:val="16"/>
          </w:rPr>
          <w:t>Eionet</w:t>
        </w:r>
        <w:proofErr w:type="spellEnd"/>
        <w:r>
          <w:rPr>
            <w:rStyle w:val="Hyperlink"/>
            <w:rFonts w:asciiTheme="minorHAnsi" w:hAnsiTheme="minorHAnsi"/>
            <w:sz w:val="16"/>
            <w:szCs w:val="16"/>
          </w:rPr>
          <w:t xml:space="preserve"> Air Quality Portal</w:t>
        </w:r>
      </w:hyperlink>
      <w:r>
        <w:rPr>
          <w:rFonts w:asciiTheme="minorHAnsi" w:hAnsiTheme="minorHAnsi"/>
          <w:sz w:val="16"/>
          <w:szCs w:val="16"/>
        </w:rPr>
        <w:t xml:space="preserve"> and the related Central Data Repository</w:t>
      </w:r>
    </w:p>
  </w:footnote>
  <w:footnote w:id="51">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These figures are based on the </w:t>
      </w:r>
      <w:hyperlink r:id="rId31" w:history="1">
        <w:r>
          <w:rPr>
            <w:rStyle w:val="Hyperlink"/>
            <w:rFonts w:asciiTheme="minorHAnsi" w:hAnsiTheme="minorHAnsi"/>
            <w:sz w:val="16"/>
            <w:szCs w:val="16"/>
          </w:rPr>
          <w:t>Impact Assessment</w:t>
        </w:r>
      </w:hyperlink>
      <w:r>
        <w:rPr>
          <w:rFonts w:asciiTheme="minorHAnsi" w:hAnsiTheme="minorHAnsi"/>
          <w:sz w:val="16"/>
          <w:szCs w:val="16"/>
        </w:rPr>
        <w:t xml:space="preserve"> for the European Commission Integrated Clean Air Package (2013)</w:t>
      </w:r>
    </w:p>
  </w:footnote>
  <w:footnote w:id="52">
    <w:p w:rsidR="00D337B9" w:rsidRDefault="009B5B10">
      <w:pPr>
        <w:pStyle w:val="FootnoteText"/>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WHO/JRC, 2011, Burden of disease from environmental noise, </w:t>
      </w:r>
      <w:proofErr w:type="spellStart"/>
      <w:r>
        <w:rPr>
          <w:rFonts w:asciiTheme="minorHAnsi" w:hAnsiTheme="minorHAnsi"/>
          <w:sz w:val="16"/>
          <w:szCs w:val="16"/>
        </w:rPr>
        <w:t>Fritschi</w:t>
      </w:r>
      <w:proofErr w:type="spellEnd"/>
      <w:r>
        <w:rPr>
          <w:rFonts w:asciiTheme="minorHAnsi" w:hAnsiTheme="minorHAnsi"/>
          <w:sz w:val="16"/>
          <w:szCs w:val="16"/>
        </w:rPr>
        <w:t>, L., Brown, A.L.</w:t>
      </w:r>
      <w:r>
        <w:rPr>
          <w:rFonts w:asciiTheme="minorHAnsi" w:hAnsiTheme="minorHAnsi"/>
          <w:sz w:val="16"/>
          <w:szCs w:val="16"/>
        </w:rPr>
        <w:t xml:space="preserve">, Kim, R., </w:t>
      </w:r>
      <w:proofErr w:type="spellStart"/>
      <w:r>
        <w:rPr>
          <w:rFonts w:asciiTheme="minorHAnsi" w:hAnsiTheme="minorHAnsi"/>
          <w:sz w:val="16"/>
          <w:szCs w:val="16"/>
        </w:rPr>
        <w:t>Schwela</w:t>
      </w:r>
      <w:proofErr w:type="spellEnd"/>
      <w:r>
        <w:rPr>
          <w:rFonts w:asciiTheme="minorHAnsi" w:hAnsiTheme="minorHAnsi"/>
          <w:sz w:val="16"/>
          <w:szCs w:val="16"/>
        </w:rPr>
        <w:t xml:space="preserve">, D., </w:t>
      </w:r>
      <w:proofErr w:type="spellStart"/>
      <w:r>
        <w:rPr>
          <w:rFonts w:asciiTheme="minorHAnsi" w:hAnsiTheme="minorHAnsi"/>
          <w:sz w:val="16"/>
          <w:szCs w:val="16"/>
        </w:rPr>
        <w:t>Kephalopoulos</w:t>
      </w:r>
      <w:proofErr w:type="spellEnd"/>
      <w:r>
        <w:rPr>
          <w:rFonts w:asciiTheme="minorHAnsi" w:hAnsiTheme="minorHAnsi"/>
          <w:sz w:val="16"/>
          <w:szCs w:val="16"/>
        </w:rPr>
        <w:t>, S. (</w:t>
      </w:r>
      <w:proofErr w:type="spellStart"/>
      <w:r>
        <w:rPr>
          <w:rFonts w:asciiTheme="minorHAnsi" w:hAnsiTheme="minorHAnsi"/>
          <w:sz w:val="16"/>
          <w:szCs w:val="16"/>
        </w:rPr>
        <w:t>eds</w:t>
      </w:r>
      <w:proofErr w:type="spellEnd"/>
      <w:r>
        <w:rPr>
          <w:rFonts w:asciiTheme="minorHAnsi" w:hAnsiTheme="minorHAnsi"/>
          <w:sz w:val="16"/>
          <w:szCs w:val="16"/>
        </w:rPr>
        <w:t xml:space="preserve">), </w:t>
      </w:r>
      <w:hyperlink r:id="rId32" w:history="1">
        <w:r>
          <w:rPr>
            <w:rStyle w:val="Hyperlink"/>
            <w:rFonts w:asciiTheme="minorHAnsi" w:hAnsiTheme="minorHAnsi"/>
            <w:sz w:val="16"/>
            <w:szCs w:val="16"/>
          </w:rPr>
          <w:t>World Health Organization, Regional Office f</w:t>
        </w:r>
        <w:r>
          <w:rPr>
            <w:rStyle w:val="Hyperlink"/>
            <w:rFonts w:asciiTheme="minorHAnsi" w:hAnsiTheme="minorHAnsi"/>
            <w:sz w:val="16"/>
            <w:szCs w:val="16"/>
          </w:rPr>
          <w:t>or Europe</w:t>
        </w:r>
      </w:hyperlink>
      <w:r>
        <w:rPr>
          <w:rFonts w:asciiTheme="minorHAnsi" w:hAnsiTheme="minorHAnsi"/>
          <w:sz w:val="16"/>
          <w:szCs w:val="16"/>
        </w:rPr>
        <w:t>, Copenhagen, Denmark</w:t>
      </w:r>
    </w:p>
  </w:footnote>
  <w:footnote w:id="53">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Directive requires Member States to prepare and publish, every 5 years, noise maps and noise management action plans for agglomerations with more than 100,000 inhabitants, and for major roads, railways and airport</w:t>
      </w:r>
      <w:r>
        <w:rPr>
          <w:rFonts w:asciiTheme="minorHAnsi" w:hAnsiTheme="minorHAnsi"/>
          <w:sz w:val="16"/>
          <w:szCs w:val="16"/>
        </w:rPr>
        <w:t xml:space="preserve">s. </w:t>
      </w:r>
    </w:p>
  </w:footnote>
  <w:footnote w:id="54">
    <w:p w:rsidR="00D337B9" w:rsidRDefault="009B5B10">
      <w:pPr>
        <w:pStyle w:val="FootnoteText"/>
        <w:widowControl w:val="0"/>
        <w:ind w:left="170" w:hanging="170"/>
        <w:jc w:val="both"/>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33"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34" w:history="1">
        <w:r>
          <w:rPr>
            <w:rStyle w:val="Hyperlink"/>
            <w:rFonts w:asciiTheme="minorHAnsi" w:hAnsiTheme="minorHAnsi"/>
            <w:sz w:val="16"/>
            <w:szCs w:val="16"/>
          </w:rPr>
          <w:t>Ur</w:t>
        </w:r>
        <w:r>
          <w:rPr>
            <w:rStyle w:val="Hyperlink"/>
            <w:rFonts w:asciiTheme="minorHAnsi" w:hAnsiTheme="minorHAnsi"/>
            <w:sz w:val="16"/>
            <w:szCs w:val="16"/>
          </w:rPr>
          <w:t>ban Waste Water Treatment Directive (91/271/EEC)</w:t>
        </w:r>
      </w:hyperlink>
      <w:r>
        <w:rPr>
          <w:rFonts w:asciiTheme="minorHAnsi" w:hAnsiTheme="minorHAnsi"/>
          <w:sz w:val="16"/>
          <w:szCs w:val="16"/>
        </w:rPr>
        <w:t xml:space="preserve"> concerning discharges of municipal and some industrial waste waters; the </w:t>
      </w:r>
      <w:hyperlink r:id="rId35"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w:t>
      </w:r>
      <w:r>
        <w:rPr>
          <w:rFonts w:asciiTheme="minorHAnsi" w:hAnsiTheme="minorHAnsi"/>
          <w:sz w:val="16"/>
          <w:szCs w:val="16"/>
        </w:rPr>
        <w:t xml:space="preserve">otable water quality; the </w:t>
      </w:r>
      <w:hyperlink r:id="rId36"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37"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38" w:history="1">
        <w:r>
          <w:rPr>
            <w:rStyle w:val="Hyperlink"/>
            <w:rFonts w:asciiTheme="minorHAnsi" w:hAnsiTheme="minorHAnsi"/>
            <w:sz w:val="16"/>
            <w:szCs w:val="16"/>
          </w:rPr>
          <w:t>Floods Directive (2007/60/EC)</w:t>
        </w:r>
      </w:hyperlink>
    </w:p>
  </w:footnote>
  <w:footnote w:id="55">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ecological status is defined in the Water Framework Dir</w:t>
      </w:r>
      <w:r>
        <w:rPr>
          <w:rFonts w:asciiTheme="minorHAnsi" w:hAnsiTheme="minorHAnsi"/>
          <w:sz w:val="16"/>
          <w:szCs w:val="16"/>
        </w:rPr>
        <w:t>ective referring to the quality of the biological community, the hydrological characteristics and the chemical characteristics.</w:t>
      </w:r>
    </w:p>
  </w:footnote>
  <w:footnote w:id="56">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Many European river basins and waters have been altered by human activities, such as land drainage, flood protection, and buil</w:t>
      </w:r>
      <w:r>
        <w:rPr>
          <w:rFonts w:asciiTheme="minorHAnsi" w:hAnsiTheme="minorHAnsi"/>
          <w:sz w:val="16"/>
          <w:szCs w:val="16"/>
        </w:rPr>
        <w:t>ding of dams to create reservoirs.</w:t>
      </w:r>
    </w:p>
  </w:footnote>
  <w:footnote w:id="57">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chemical status is defined in the Water Framework Directive referring to compliance with all the quality standards established for chemical substances at European level.</w:t>
      </w:r>
    </w:p>
  </w:footnote>
  <w:footnote w:id="58">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groundwater, a precautionary approach </w:t>
      </w:r>
      <w:r>
        <w:rPr>
          <w:rFonts w:asciiTheme="minorHAnsi" w:hAnsiTheme="minorHAnsi"/>
          <w:sz w:val="16"/>
          <w:szCs w:val="16"/>
        </w:rPr>
        <w:t>has been taken that comprises a prohibition on direct discharges to groundwater and a requirement to monitor groundwater bodies.</w:t>
      </w:r>
    </w:p>
  </w:footnote>
  <w:footnote w:id="59">
    <w:p w:rsidR="00D337B9" w:rsidRDefault="009B5B10">
      <w:pPr>
        <w:pStyle w:val="FootnoteText"/>
        <w:widowControl w:val="0"/>
        <w:ind w:left="170" w:hanging="170"/>
        <w:jc w:val="both"/>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EUROPE 2020, </w:t>
      </w:r>
      <w:proofErr w:type="spellStart"/>
      <w:r>
        <w:rPr>
          <w:rFonts w:asciiTheme="minorHAnsi" w:hAnsiTheme="minorHAnsi"/>
          <w:sz w:val="16"/>
          <w:szCs w:val="16"/>
          <w:lang w:val="fr-BE"/>
        </w:rPr>
        <w:t>Cyprus</w:t>
      </w:r>
      <w:proofErr w:type="spellEnd"/>
      <w:r>
        <w:rPr>
          <w:rFonts w:asciiTheme="minorHAnsi" w:hAnsiTheme="minorHAnsi"/>
          <w:sz w:val="16"/>
          <w:szCs w:val="16"/>
          <w:lang w:val="fr-BE"/>
        </w:rPr>
        <w:t xml:space="preserve"> National </w:t>
      </w:r>
      <w:proofErr w:type="spellStart"/>
      <w:r>
        <w:rPr>
          <w:rFonts w:asciiTheme="minorHAnsi" w:hAnsiTheme="minorHAnsi"/>
          <w:sz w:val="16"/>
          <w:szCs w:val="16"/>
          <w:lang w:val="fr-BE"/>
        </w:rPr>
        <w:t>Reform</w:t>
      </w:r>
      <w:proofErr w:type="spellEnd"/>
      <w:r>
        <w:rPr>
          <w:rFonts w:asciiTheme="minorHAnsi" w:hAnsiTheme="minorHAnsi"/>
          <w:sz w:val="16"/>
          <w:szCs w:val="16"/>
          <w:lang w:val="fr-BE"/>
        </w:rPr>
        <w:t xml:space="preserve"> Programme 2016</w:t>
      </w:r>
    </w:p>
  </w:footnote>
  <w:footnote w:id="60">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Calibri"/>
          <w:color w:val="1F497D"/>
          <w:sz w:val="16"/>
          <w:szCs w:val="16"/>
        </w:rPr>
        <w:t xml:space="preserve"> </w:t>
      </w:r>
      <w:hyperlink r:id="rId39" w:history="1">
        <w:r>
          <w:rPr>
            <w:rStyle w:val="Hyperlink"/>
            <w:rFonts w:asciiTheme="minorHAnsi" w:hAnsiTheme="minorHAnsi"/>
            <w:sz w:val="16"/>
            <w:szCs w:val="16"/>
          </w:rPr>
          <w:t>Commission's Synthesis Report on the Quality of Drinking Water in the Union</w:t>
        </w:r>
      </w:hyperlink>
      <w:r>
        <w:rPr>
          <w:rFonts w:asciiTheme="minorHAnsi" w:hAnsiTheme="minorHAnsi"/>
          <w:sz w:val="16"/>
          <w:szCs w:val="16"/>
        </w:rPr>
        <w:t xml:space="preserve"> examining Member States' reports for the 2011-2013 period, foreseen under Article 13(5) of Directi</w:t>
      </w:r>
      <w:r>
        <w:rPr>
          <w:rFonts w:asciiTheme="minorHAnsi" w:hAnsiTheme="minorHAnsi"/>
          <w:sz w:val="16"/>
          <w:szCs w:val="16"/>
        </w:rPr>
        <w:t>ve 98/83/EC; COM(2016)666 Note: 2011-2013 data. The list of microbiological, chemical and indicator parameters that are assessed can be found in Annex I, part A, B and C of Directive 98/83/EC</w:t>
      </w:r>
    </w:p>
  </w:footnote>
  <w:footnote w:id="61">
    <w:p w:rsidR="00D337B9" w:rsidRDefault="009B5B10">
      <w:pPr>
        <w:pStyle w:val="FootnoteText"/>
        <w:widowControl w:val="0"/>
        <w:ind w:left="170" w:hanging="170"/>
        <w:jc w:val="both"/>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40" w:history="1">
        <w:r>
          <w:rPr>
            <w:rStyle w:val="Hyperlink"/>
            <w:rFonts w:asciiTheme="minorHAnsi" w:hAnsiTheme="minorHAnsi"/>
            <w:sz w:val="16"/>
            <w:szCs w:val="16"/>
          </w:rPr>
          <w:t>European bathing water quality in 2015</w:t>
        </w:r>
      </w:hyperlink>
      <w:r>
        <w:rPr>
          <w:rFonts w:asciiTheme="minorHAnsi" w:hAnsiTheme="minorHAnsi"/>
          <w:color w:val="1F497D"/>
          <w:sz w:val="16"/>
          <w:szCs w:val="16"/>
        </w:rPr>
        <w:t xml:space="preserve">, </w:t>
      </w:r>
      <w:r>
        <w:rPr>
          <w:rFonts w:asciiTheme="minorHAnsi" w:hAnsiTheme="minorHAnsi"/>
          <w:sz w:val="16"/>
          <w:szCs w:val="16"/>
        </w:rPr>
        <w:t>p. 26</w:t>
      </w:r>
    </w:p>
  </w:footnote>
  <w:footnote w:id="62">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41" w:history="1">
        <w:r>
          <w:rPr>
            <w:rStyle w:val="Hyperlink"/>
            <w:rFonts w:asciiTheme="minorHAnsi" w:hAnsiTheme="minorHAnsi"/>
            <w:sz w:val="16"/>
            <w:szCs w:val="16"/>
          </w:rPr>
          <w:t xml:space="preserve">State of bathing </w:t>
        </w:r>
        <w:r>
          <w:rPr>
            <w:rStyle w:val="Hyperlink"/>
            <w:rFonts w:asciiTheme="minorHAnsi" w:hAnsiTheme="minorHAnsi"/>
            <w:sz w:val="16"/>
            <w:szCs w:val="16"/>
          </w:rPr>
          <w:t>water</w:t>
        </w:r>
      </w:hyperlink>
      <w:r>
        <w:rPr>
          <w:rFonts w:asciiTheme="minorHAnsi" w:hAnsiTheme="minorHAnsi"/>
          <w:sz w:val="16"/>
          <w:szCs w:val="16"/>
        </w:rPr>
        <w:t>, 2016</w:t>
      </w:r>
    </w:p>
  </w:footnote>
  <w:footnote w:id="63">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is because under the past reporting exercises, Cyprus did not communicate 2012 data, but only data from 2011; compliance with the final deadline of 31.12.2012 could therefore not be assessed. It is expected that compliance with this fina</w:t>
      </w:r>
      <w:r>
        <w:rPr>
          <w:rFonts w:asciiTheme="minorHAnsi" w:hAnsiTheme="minorHAnsi"/>
          <w:sz w:val="16"/>
          <w:szCs w:val="16"/>
        </w:rPr>
        <w:t>l deadline will be assessed with data reported under the next (9</w:t>
      </w:r>
      <w:r>
        <w:rPr>
          <w:rFonts w:asciiTheme="minorHAnsi" w:hAnsiTheme="minorHAnsi"/>
          <w:sz w:val="16"/>
          <w:szCs w:val="16"/>
          <w:vertAlign w:val="superscript"/>
        </w:rPr>
        <w:t>th</w:t>
      </w:r>
      <w:r>
        <w:rPr>
          <w:rFonts w:asciiTheme="minorHAnsi" w:hAnsiTheme="minorHAnsi"/>
          <w:sz w:val="16"/>
          <w:szCs w:val="16"/>
        </w:rPr>
        <w:t>) reporting exercise, which should concern year 2014.</w:t>
      </w:r>
    </w:p>
  </w:footnote>
  <w:footnote w:id="64">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Eighth Report on the Implementation Status and the Programmes for Implementation (as required by Article 17) of Council Directive 91/2</w:t>
      </w:r>
      <w:r>
        <w:rPr>
          <w:rFonts w:asciiTheme="minorHAnsi" w:hAnsiTheme="minorHAnsi"/>
          <w:sz w:val="16"/>
          <w:szCs w:val="16"/>
        </w:rPr>
        <w:t>71/EEC concerning urban waste water treatment (COM (2016)105 final) and Commission Staff Working Document accompanying the report (</w:t>
      </w:r>
      <w:proofErr w:type="gramStart"/>
      <w:r>
        <w:rPr>
          <w:rFonts w:asciiTheme="minorHAnsi" w:hAnsiTheme="minorHAnsi"/>
          <w:sz w:val="16"/>
          <w:szCs w:val="16"/>
        </w:rPr>
        <w:t>SWD(</w:t>
      </w:r>
      <w:proofErr w:type="gramEnd"/>
      <w:r>
        <w:rPr>
          <w:rFonts w:asciiTheme="minorHAnsi" w:hAnsiTheme="minorHAnsi"/>
          <w:sz w:val="16"/>
          <w:szCs w:val="16"/>
        </w:rPr>
        <w:t>2016)45 final).</w:t>
      </w:r>
    </w:p>
  </w:footnote>
  <w:footnote w:id="65">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See </w:t>
      </w:r>
      <w:hyperlink r:id="rId42" w:history="1">
        <w:r>
          <w:rPr>
            <w:rStyle w:val="Hyperlink"/>
            <w:rFonts w:asciiTheme="minorHAnsi" w:hAnsiTheme="minorHAnsi"/>
            <w:sz w:val="16"/>
            <w:szCs w:val="16"/>
          </w:rPr>
          <w:t xml:space="preserve">http://uwwtd.oieau.fr/cyprus/ </w:t>
        </w:r>
      </w:hyperlink>
      <w:r>
        <w:rPr>
          <w:rFonts w:asciiTheme="minorHAnsi" w:hAnsiTheme="minorHAnsi"/>
          <w:sz w:val="16"/>
          <w:szCs w:val="16"/>
        </w:rPr>
        <w:t xml:space="preserve"> </w:t>
      </w:r>
    </w:p>
  </w:footnote>
  <w:footnote w:id="66">
    <w:p w:rsidR="00D337B9" w:rsidRDefault="009B5B10">
      <w:pPr>
        <w:widowControl w:val="0"/>
        <w:spacing w:after="0" w:line="240" w:lineRule="auto"/>
        <w:ind w:left="170" w:hanging="170"/>
        <w:jc w:val="both"/>
        <w:rPr>
          <w:color w:val="1F497D"/>
          <w:sz w:val="16"/>
          <w:szCs w:val="16"/>
        </w:rPr>
      </w:pPr>
      <w:r>
        <w:rPr>
          <w:rStyle w:val="FootnoteReference"/>
          <w:sz w:val="16"/>
          <w:szCs w:val="16"/>
        </w:rPr>
        <w:footnoteRef/>
      </w:r>
      <w:r>
        <w:rPr>
          <w:sz w:val="16"/>
          <w:szCs w:val="16"/>
        </w:rPr>
        <w:t xml:space="preserve"> </w:t>
      </w:r>
      <w:proofErr w:type="gramStart"/>
      <w:r>
        <w:rPr>
          <w:sz w:val="16"/>
          <w:szCs w:val="16"/>
        </w:rPr>
        <w:t>European Commission, 2016</w:t>
      </w:r>
      <w:hyperlink r:id="rId43" w:history="1">
        <w:r>
          <w:rPr>
            <w:rStyle w:val="Hyperlink"/>
            <w:sz w:val="16"/>
            <w:szCs w:val="16"/>
          </w:rPr>
          <w:t>.</w:t>
        </w:r>
        <w:proofErr w:type="gramEnd"/>
        <w:r>
          <w:rPr>
            <w:rStyle w:val="Hyperlink"/>
            <w:sz w:val="16"/>
            <w:szCs w:val="16"/>
          </w:rPr>
          <w:t xml:space="preserve"> Urban waste water, 8th implementation reports</w:t>
        </w:r>
      </w:hyperlink>
      <w:r>
        <w:rPr>
          <w:sz w:val="16"/>
          <w:szCs w:val="16"/>
        </w:rPr>
        <w:t xml:space="preserve"> </w:t>
      </w:r>
    </w:p>
  </w:footnote>
  <w:footnote w:id="67">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Eighth</w:t>
      </w:r>
      <w:hyperlink r:id="rId44" w:history="1">
        <w:r>
          <w:rPr>
            <w:rStyle w:val="Hyperlink"/>
            <w:rFonts w:asciiTheme="minorHAnsi" w:hAnsiTheme="minorHAnsi"/>
            <w:sz w:val="16"/>
            <w:szCs w:val="16"/>
          </w:rPr>
          <w:t xml:space="preserve"> Report</w:t>
        </w:r>
      </w:hyperlink>
      <w:r>
        <w:rPr>
          <w:rFonts w:asciiTheme="minorHAnsi" w:hAnsiTheme="minorHAnsi"/>
          <w:sz w:val="16"/>
          <w:szCs w:val="16"/>
        </w:rPr>
        <w:t xml:space="preserve"> on the Implementation Status and the Programmes for Implementation (as required by Article 17) of Council Directive 91/271/EEC concerning urban waste water treatment (COM (2016)105 final) and Commissi</w:t>
      </w:r>
      <w:r>
        <w:rPr>
          <w:rFonts w:asciiTheme="minorHAnsi" w:hAnsiTheme="minorHAnsi"/>
          <w:sz w:val="16"/>
          <w:szCs w:val="16"/>
        </w:rPr>
        <w:t>on Staff Working Document accompanying the report (SWD(2016)45 final</w:t>
      </w:r>
    </w:p>
  </w:footnote>
  <w:footnote w:id="68">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the full set of recommendations relating to the Water Framework Directive please see </w:t>
      </w:r>
      <w:hyperlink r:id="rId45" w:anchor="fourth" w:history="1">
        <w:r>
          <w:rPr>
            <w:rStyle w:val="Hyperlink"/>
            <w:rFonts w:asciiTheme="minorHAnsi" w:hAnsiTheme="minorHAnsi"/>
            <w:sz w:val="16"/>
            <w:szCs w:val="16"/>
          </w:rPr>
          <w:t>here.</w:t>
        </w:r>
      </w:hyperlink>
      <w:r>
        <w:rPr>
          <w:rFonts w:asciiTheme="minorHAnsi" w:hAnsiTheme="minorHAnsi"/>
          <w:sz w:val="16"/>
          <w:szCs w:val="16"/>
        </w:rPr>
        <w:t xml:space="preserve"> </w:t>
      </w:r>
    </w:p>
  </w:footnote>
  <w:footnote w:id="69">
    <w:p w:rsidR="00D337B9" w:rsidRDefault="009B5B10">
      <w:pPr>
        <w:pStyle w:val="FootnoteText"/>
        <w:widowControl w:val="0"/>
        <w:ind w:left="170" w:hanging="170"/>
        <w:jc w:val="both"/>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Environment</w:t>
      </w:r>
      <w:proofErr w:type="spellEnd"/>
      <w:r>
        <w:rPr>
          <w:rFonts w:asciiTheme="minorHAnsi" w:hAnsiTheme="minorHAnsi"/>
          <w:sz w:val="16"/>
          <w:szCs w:val="16"/>
          <w:lang w:val="fr-BE"/>
        </w:rPr>
        <w:t xml:space="preserve"> Agency, </w:t>
      </w:r>
      <w:r>
        <w:fldChar w:fldCharType="begin"/>
      </w:r>
      <w:r w:rsidRPr="009B5B10">
        <w:rPr>
          <w:lang w:val="fr-BE"/>
        </w:rPr>
        <w:instrText xml:space="preserve"> HYPERLINK "http://www.eea.europa.eu/themes/urban" </w:instrText>
      </w:r>
      <w:r>
        <w:fldChar w:fldCharType="separate"/>
      </w:r>
      <w:proofErr w:type="spellStart"/>
      <w:r>
        <w:rPr>
          <w:rStyle w:val="Hyperlink"/>
          <w:rFonts w:asciiTheme="minorHAnsi" w:hAnsiTheme="minorHAnsi"/>
          <w:sz w:val="16"/>
          <w:szCs w:val="16"/>
          <w:lang w:val="fr-BE"/>
        </w:rPr>
        <w:t>Urban</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environment</w:t>
      </w:r>
      <w:proofErr w:type="spellEnd"/>
      <w:r>
        <w:rPr>
          <w:rStyle w:val="Hyperlink"/>
          <w:rFonts w:asciiTheme="minorHAnsi" w:hAnsiTheme="minorHAnsi"/>
          <w:sz w:val="16"/>
          <w:szCs w:val="16"/>
          <w:lang w:val="fr-BE"/>
        </w:rPr>
        <w:fldChar w:fldCharType="end"/>
      </w:r>
    </w:p>
  </w:footnote>
  <w:footnote w:id="70">
    <w:p w:rsidR="00D337B9" w:rsidRDefault="009B5B10">
      <w:pPr>
        <w:pStyle w:val="FootnoteText"/>
        <w:ind w:left="170" w:hanging="170"/>
        <w:jc w:val="both"/>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hyperlink r:id="rId46" w:history="1">
        <w:r>
          <w:rPr>
            <w:rStyle w:val="Hyperlink"/>
            <w:rFonts w:asciiTheme="minorHAnsi" w:hAnsiTheme="minorHAnsi"/>
            <w:sz w:val="16"/>
            <w:szCs w:val="16"/>
            <w:lang w:val="fr-BE"/>
          </w:rPr>
          <w:t>http://urbanagendaforthe.eu/</w:t>
        </w:r>
      </w:hyperlink>
    </w:p>
  </w:footnote>
  <w:footnote w:id="71">
    <w:p w:rsidR="00D337B9" w:rsidRDefault="009B5B10">
      <w:pPr>
        <w:pStyle w:val="FootnoteText"/>
        <w:widowControl w:val="0"/>
        <w:ind w:left="170" w:hanging="170"/>
        <w:jc w:val="both"/>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47" w:history="1">
        <w:r>
          <w:rPr>
            <w:rStyle w:val="Hyperlink"/>
            <w:rFonts w:asciiTheme="minorHAnsi" w:hAnsiTheme="minorHAnsi"/>
            <w:sz w:val="16"/>
            <w:szCs w:val="16"/>
          </w:rPr>
          <w:t>Urban Benchmarking and Monitoring ('</w:t>
        </w:r>
        <w:proofErr w:type="spellStart"/>
        <w:r>
          <w:rPr>
            <w:rStyle w:val="Hyperlink"/>
            <w:rFonts w:asciiTheme="minorHAnsi" w:hAnsiTheme="minorHAnsi"/>
            <w:sz w:val="16"/>
            <w:szCs w:val="16"/>
          </w:rPr>
          <w:t>UBaM</w:t>
        </w:r>
        <w:proofErr w:type="spellEnd"/>
        <w:r>
          <w:rPr>
            <w:rStyle w:val="Hyperlink"/>
            <w:rFonts w:asciiTheme="minorHAnsi" w:hAnsiTheme="minorHAnsi"/>
            <w:sz w:val="16"/>
            <w:szCs w:val="16"/>
          </w:rPr>
          <w:t>') tool</w:t>
        </w:r>
      </w:hyperlink>
      <w:r>
        <w:rPr>
          <w:rFonts w:asciiTheme="minorHAnsi" w:hAnsiTheme="minorHAnsi"/>
          <w:sz w:val="16"/>
          <w:szCs w:val="16"/>
        </w:rPr>
        <w:t xml:space="preserve"> to be launched in 2017. Best practices emerge and these will be better disseminated via the app featuring the </w:t>
      </w:r>
      <w:proofErr w:type="spellStart"/>
      <w:r>
        <w:rPr>
          <w:rFonts w:asciiTheme="minorHAnsi" w:hAnsiTheme="minorHAnsi"/>
          <w:sz w:val="16"/>
          <w:szCs w:val="16"/>
        </w:rPr>
        <w:t>UBaM</w:t>
      </w:r>
      <w:proofErr w:type="spellEnd"/>
      <w:r>
        <w:rPr>
          <w:rFonts w:asciiTheme="minorHAnsi" w:hAnsiTheme="minorHAnsi"/>
          <w:sz w:val="16"/>
          <w:szCs w:val="16"/>
        </w:rPr>
        <w:t xml:space="preserve"> tool, and increasingly via e.g. </w:t>
      </w:r>
      <w:r>
        <w:rPr>
          <w:rFonts w:asciiTheme="minorHAnsi" w:hAnsiTheme="minorHAnsi"/>
          <w:sz w:val="16"/>
          <w:szCs w:val="16"/>
        </w:rPr>
        <w:t>EUROCITIES, ICLEI, CEMR, Committee of the Regions, Covenant of Mayors and others.</w:t>
      </w:r>
    </w:p>
  </w:footnote>
  <w:footnote w:id="72">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proofErr w:type="gramStart"/>
      <w:r>
        <w:rPr>
          <w:rFonts w:asciiTheme="minorHAnsi" w:hAnsiTheme="minorHAnsi"/>
          <w:sz w:val="16"/>
          <w:szCs w:val="16"/>
        </w:rPr>
        <w:t>Protocol on Access to Genetic Resources and the Fair and Equitable Sharing of Benefits Arising from their Utilization to the Convention on Biological Diversity.</w:t>
      </w:r>
      <w:proofErr w:type="gramEnd"/>
    </w:p>
  </w:footnote>
  <w:footnote w:id="73">
    <w:p w:rsidR="00D337B9" w:rsidRDefault="009B5B10">
      <w:pPr>
        <w:pStyle w:val="FootnoteText"/>
        <w:ind w:left="170" w:hanging="170"/>
        <w:jc w:val="both"/>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48"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tax</w:t>
        </w:r>
        <w:proofErr w:type="spellEnd"/>
        <w:r>
          <w:rPr>
            <w:rStyle w:val="Hyperlink"/>
            <w:rFonts w:asciiTheme="minorHAnsi" w:hAnsiTheme="minorHAnsi"/>
            <w:sz w:val="16"/>
            <w:szCs w:val="16"/>
            <w:lang w:val="fr-BE"/>
          </w:rPr>
          <w:t xml:space="preserve"> revenues</w:t>
        </w:r>
      </w:hyperlink>
      <w:r>
        <w:rPr>
          <w:rFonts w:asciiTheme="minorHAnsi" w:hAnsiTheme="minorHAnsi"/>
          <w:sz w:val="16"/>
          <w:szCs w:val="16"/>
          <w:lang w:val="fr-BE"/>
        </w:rPr>
        <w:t xml:space="preserve">, </w:t>
      </w:r>
      <w:proofErr w:type="spellStart"/>
      <w:r>
        <w:rPr>
          <w:rFonts w:asciiTheme="minorHAnsi" w:hAnsiTheme="minorHAnsi"/>
          <w:sz w:val="16"/>
          <w:szCs w:val="16"/>
          <w:lang w:val="fr-BE"/>
        </w:rPr>
        <w:t>assessed</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June</w:t>
      </w:r>
      <w:proofErr w:type="spellEnd"/>
      <w:r>
        <w:rPr>
          <w:rFonts w:asciiTheme="minorHAnsi" w:hAnsiTheme="minorHAnsi"/>
          <w:sz w:val="16"/>
          <w:szCs w:val="16"/>
          <w:lang w:val="fr-BE"/>
        </w:rPr>
        <w:t xml:space="preserve"> 2016</w:t>
      </w:r>
    </w:p>
  </w:footnote>
  <w:footnote w:id="74">
    <w:p w:rsidR="00D337B9" w:rsidRDefault="009B5B10">
      <w:pPr>
        <w:spacing w:after="0" w:line="240" w:lineRule="auto"/>
        <w:ind w:left="170" w:hanging="170"/>
        <w:jc w:val="both"/>
        <w:rPr>
          <w:rFonts w:cstheme="minorHAnsi"/>
          <w:sz w:val="16"/>
          <w:szCs w:val="16"/>
        </w:rPr>
      </w:pPr>
      <w:r>
        <w:rPr>
          <w:rFonts w:cstheme="minorHAnsi"/>
          <w:sz w:val="16"/>
          <w:szCs w:val="16"/>
        </w:rPr>
        <w:footnoteRef/>
      </w:r>
      <w:r>
        <w:rPr>
          <w:rFonts w:cstheme="minorHAnsi"/>
          <w:sz w:val="16"/>
          <w:szCs w:val="16"/>
        </w:rPr>
        <w:t xml:space="preserve"> </w:t>
      </w:r>
      <w:proofErr w:type="gramStart"/>
      <w:r>
        <w:rPr>
          <w:rFonts w:cstheme="minorHAnsi"/>
          <w:sz w:val="16"/>
          <w:szCs w:val="16"/>
        </w:rPr>
        <w:t>Eunomia Research and Consulting, IEEP, Aarhus University, ENT, 2016.</w:t>
      </w:r>
      <w:proofErr w:type="gramEnd"/>
      <w:r>
        <w:rPr>
          <w:rFonts w:cstheme="minorHAnsi"/>
          <w:sz w:val="16"/>
          <w:szCs w:val="16"/>
        </w:rPr>
        <w:t xml:space="preserve"> </w:t>
      </w:r>
      <w:hyperlink r:id="rId49" w:history="1">
        <w:r>
          <w:rPr>
            <w:rStyle w:val="Hyperlink"/>
            <w:rFonts w:cstheme="minorHAnsi"/>
            <w:sz w:val="16"/>
            <w:szCs w:val="16"/>
          </w:rPr>
          <w:t>Study on Assessing the Environmental Fiscal Reform Potential for the EU28</w:t>
        </w:r>
      </w:hyperlink>
      <w:r>
        <w:rPr>
          <w:rStyle w:val="Hyperlink"/>
          <w:rFonts w:cstheme="minorHAnsi"/>
          <w:sz w:val="16"/>
          <w:szCs w:val="16"/>
        </w:rPr>
        <w:t xml:space="preserve">. </w:t>
      </w:r>
      <w:r>
        <w:rPr>
          <w:rStyle w:val="Hyperlink"/>
          <w:rFonts w:cstheme="minorHAnsi"/>
          <w:color w:val="auto"/>
          <w:sz w:val="16"/>
          <w:szCs w:val="16"/>
          <w:u w:val="none"/>
        </w:rPr>
        <w:t>N.B. National governments are responsible for setting tax rates within the EU Single Market rules and thi</w:t>
      </w:r>
      <w:r>
        <w:rPr>
          <w:rStyle w:val="Hyperlink"/>
          <w:rFonts w:cstheme="minorHAnsi"/>
          <w:color w:val="auto"/>
          <w:sz w:val="16"/>
          <w:szCs w:val="16"/>
          <w:u w:val="none"/>
        </w:rPr>
        <w:t xml:space="preserve">s report is not suggesting concrete changes as to the level of environmental taxation. It merely presents the findings of the 2016 study by Eunomia </w:t>
      </w:r>
      <w:r>
        <w:rPr>
          <w:rStyle w:val="Hyperlink"/>
          <w:rFonts w:cstheme="minorHAnsi"/>
          <w:i/>
          <w:color w:val="auto"/>
          <w:sz w:val="16"/>
          <w:szCs w:val="16"/>
          <w:u w:val="none"/>
        </w:rPr>
        <w:t>et al</w:t>
      </w:r>
      <w:r>
        <w:rPr>
          <w:rStyle w:val="Hyperlink"/>
          <w:rFonts w:cstheme="minorHAnsi"/>
          <w:color w:val="auto"/>
          <w:sz w:val="16"/>
          <w:szCs w:val="16"/>
          <w:u w:val="none"/>
        </w:rPr>
        <w:t xml:space="preserve"> on the potential benefits various environmental taxes could bring. It is then for the national authori</w:t>
      </w:r>
      <w:r>
        <w:rPr>
          <w:rStyle w:val="Hyperlink"/>
          <w:rFonts w:cstheme="minorHAnsi"/>
          <w:color w:val="auto"/>
          <w:sz w:val="16"/>
          <w:szCs w:val="16"/>
          <w:u w:val="none"/>
        </w:rPr>
        <w:t>ties to assess this study and their concrete impacts in the national context. A first step in this respect, already done by a number of Member States, is to set up expert groups to assess these and make specific proposals.</w:t>
      </w:r>
    </w:p>
  </w:footnote>
  <w:footnote w:id="75">
    <w:p w:rsidR="00D337B9" w:rsidRDefault="009B5B10">
      <w:pPr>
        <w:pStyle w:val="FootnoteText"/>
        <w:ind w:left="170" w:hanging="170"/>
        <w:jc w:val="both"/>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The good practice scenario means benchmarking to a successful taxation practice in another Member State. </w:t>
      </w:r>
    </w:p>
    <w:p w:rsidR="00D337B9" w:rsidRDefault="00D337B9">
      <w:pPr>
        <w:pStyle w:val="FootnoteText"/>
        <w:ind w:left="170" w:hanging="170"/>
        <w:jc w:val="both"/>
        <w:rPr>
          <w:rFonts w:asciiTheme="minorHAnsi" w:hAnsiTheme="minorHAnsi" w:cstheme="minorHAnsi"/>
          <w:sz w:val="16"/>
          <w:szCs w:val="16"/>
        </w:rPr>
      </w:pPr>
    </w:p>
  </w:footnote>
  <w:footnote w:id="76">
    <w:p w:rsidR="00D337B9" w:rsidRDefault="009B5B10">
      <w:pPr>
        <w:pStyle w:val="FootnoteText"/>
        <w:ind w:left="170" w:hanging="170"/>
        <w:jc w:val="both"/>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50"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tax</w:t>
        </w:r>
        <w:proofErr w:type="spellEnd"/>
        <w:r>
          <w:rPr>
            <w:rStyle w:val="Hyperlink"/>
            <w:rFonts w:asciiTheme="minorHAnsi" w:hAnsiTheme="minorHAnsi"/>
            <w:sz w:val="16"/>
            <w:szCs w:val="16"/>
            <w:lang w:val="fr-BE"/>
          </w:rPr>
          <w:t xml:space="preserve"> revenues</w:t>
        </w:r>
      </w:hyperlink>
      <w:r>
        <w:rPr>
          <w:rFonts w:asciiTheme="minorHAnsi" w:hAnsiTheme="minorHAnsi"/>
          <w:sz w:val="16"/>
          <w:szCs w:val="16"/>
          <w:lang w:val="fr-BE"/>
        </w:rPr>
        <w:t xml:space="preserve">, </w:t>
      </w:r>
      <w:proofErr w:type="spellStart"/>
      <w:r>
        <w:rPr>
          <w:rFonts w:asciiTheme="minorHAnsi" w:hAnsiTheme="minorHAnsi"/>
          <w:sz w:val="16"/>
          <w:szCs w:val="16"/>
          <w:lang w:val="fr-BE"/>
        </w:rPr>
        <w:t>accessed</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October</w:t>
      </w:r>
      <w:proofErr w:type="spellEnd"/>
      <w:r>
        <w:rPr>
          <w:rFonts w:asciiTheme="minorHAnsi" w:hAnsiTheme="minorHAnsi"/>
          <w:sz w:val="16"/>
          <w:szCs w:val="16"/>
          <w:lang w:val="fr-BE"/>
        </w:rPr>
        <w:t xml:space="preserve"> 2016</w:t>
      </w:r>
    </w:p>
  </w:footnote>
  <w:footnote w:id="77">
    <w:p w:rsidR="00D337B9" w:rsidRDefault="009B5B10">
      <w:pPr>
        <w:pStyle w:val="FootnoteText"/>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51" w:history="1">
        <w:r>
          <w:rPr>
            <w:rStyle w:val="Hyperlink"/>
            <w:rFonts w:asciiTheme="minorHAnsi" w:hAnsiTheme="minorHAnsi"/>
            <w:sz w:val="16"/>
            <w:szCs w:val="16"/>
          </w:rPr>
          <w:t>Public Pr</w:t>
        </w:r>
        <w:r>
          <w:rPr>
            <w:rStyle w:val="Hyperlink"/>
            <w:rFonts w:asciiTheme="minorHAnsi" w:hAnsiTheme="minorHAnsi"/>
            <w:sz w:val="16"/>
            <w:szCs w:val="16"/>
          </w:rPr>
          <w:t>ocurement</w:t>
        </w:r>
      </w:hyperlink>
    </w:p>
  </w:footnote>
  <w:footnote w:id="78">
    <w:p w:rsidR="00D337B9" w:rsidRDefault="009B5B10">
      <w:pPr>
        <w:pStyle w:val="FootnoteText"/>
        <w:widowControl w:val="0"/>
        <w:ind w:left="113" w:hanging="113"/>
        <w:jc w:val="both"/>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52"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clear, verifiable, justifiable and ambitious environmental criteria for products and services, based on a life-cycle approach a</w:t>
      </w:r>
      <w:r>
        <w:rPr>
          <w:sz w:val="16"/>
          <w:szCs w:val="16"/>
          <w:lang w:val="en"/>
        </w:rPr>
        <w:t>nd scientific evidence base.</w:t>
      </w:r>
    </w:p>
  </w:footnote>
  <w:footnote w:id="79">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53" w:history="1">
        <w:r>
          <w:rPr>
            <w:rStyle w:val="Hyperlink"/>
            <w:rFonts w:asciiTheme="minorHAnsi" w:hAnsiTheme="minorHAnsi"/>
            <w:sz w:val="16"/>
            <w:szCs w:val="16"/>
          </w:rPr>
          <w:t>Documentation on National GPP Action Plans</w:t>
        </w:r>
      </w:hyperlink>
    </w:p>
  </w:footnote>
  <w:footnote w:id="80">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Adelphi et al., 2011.</w:t>
      </w:r>
      <w:proofErr w:type="gramEnd"/>
      <w:r>
        <w:rPr>
          <w:rFonts w:asciiTheme="minorHAnsi" w:hAnsiTheme="minorHAnsi"/>
          <w:sz w:val="16"/>
          <w:szCs w:val="16"/>
        </w:rPr>
        <w:t xml:space="preserve"> </w:t>
      </w:r>
      <w:hyperlink r:id="rId54" w:history="1">
        <w:r>
          <w:rPr>
            <w:rStyle w:val="Hyperlink"/>
            <w:rFonts w:asciiTheme="minorHAnsi" w:hAnsiTheme="minorHAnsi"/>
            <w:sz w:val="16"/>
            <w:szCs w:val="16"/>
          </w:rPr>
          <w:t>Strategic Use of Public Procurement in Europe</w:t>
        </w:r>
      </w:hyperlink>
    </w:p>
  </w:footnote>
  <w:footnote w:id="81">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CEPS, 2012.</w:t>
      </w:r>
      <w:proofErr w:type="gramEnd"/>
      <w:r>
        <w:rPr>
          <w:rFonts w:asciiTheme="minorHAnsi" w:hAnsiTheme="minorHAnsi"/>
          <w:sz w:val="16"/>
          <w:szCs w:val="16"/>
        </w:rPr>
        <w:t xml:space="preserve"> Monitoring the Uptake of GPP in the EU</w:t>
      </w:r>
    </w:p>
  </w:footnote>
  <w:footnote w:id="82">
    <w:p w:rsidR="00D337B9" w:rsidRDefault="009B5B10">
      <w:pPr>
        <w:pStyle w:val="FootnoteText"/>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ESIF comprises fi</w:t>
      </w:r>
      <w:r>
        <w:rPr>
          <w:rFonts w:asciiTheme="minorHAnsi" w:hAnsiTheme="minorHAnsi"/>
          <w:sz w:val="16"/>
          <w:szCs w:val="16"/>
        </w:rPr>
        <w:t>ve funds – the European Regional Development Funds (ERDF), the Cohesion Fund (CF), the European Social Fund (ESF), the European Agricultural Fund for Rural Development (EAFRD), and the European Maritime and Fisheries Fund (EMFF). The ERDF, the CF and the E</w:t>
      </w:r>
      <w:r>
        <w:rPr>
          <w:rFonts w:asciiTheme="minorHAnsi" w:hAnsiTheme="minorHAnsi"/>
          <w:sz w:val="16"/>
          <w:szCs w:val="16"/>
        </w:rPr>
        <w:t>SF together form the Cohesion Policy funds.</w:t>
      </w:r>
    </w:p>
  </w:footnote>
  <w:footnote w:id="83">
    <w:p w:rsidR="00D337B9" w:rsidRDefault="009B5B10">
      <w:pPr>
        <w:pStyle w:val="FootnoteText"/>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EIB: </w:t>
      </w:r>
      <w:hyperlink r:id="rId55" w:history="1">
        <w:r>
          <w:rPr>
            <w:rStyle w:val="Hyperlink"/>
            <w:rFonts w:asciiTheme="minorHAnsi" w:hAnsiTheme="minorHAnsi"/>
            <w:sz w:val="16"/>
            <w:szCs w:val="16"/>
            <w:lang w:val="en"/>
          </w:rPr>
          <w:t>European Fund for Strategic Investments</w:t>
        </w:r>
      </w:hyperlink>
    </w:p>
  </w:footnote>
  <w:footnote w:id="84">
    <w:p w:rsidR="00D337B9" w:rsidRDefault="009B5B10">
      <w:pPr>
        <w:pStyle w:val="FootnoteText"/>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56" w:history="1">
        <w:r>
          <w:rPr>
            <w:rStyle w:val="Hyperlink"/>
            <w:rFonts w:asciiTheme="minorHAnsi" w:hAnsiTheme="minorHAnsi"/>
            <w:sz w:val="16"/>
            <w:szCs w:val="16"/>
          </w:rPr>
          <w:t xml:space="preserve">European Structural and Investment Funds </w:t>
        </w:r>
        <w:r>
          <w:rPr>
            <w:rStyle w:val="Hyperlink"/>
            <w:rFonts w:asciiTheme="minorHAnsi" w:hAnsiTheme="minorHAnsi"/>
            <w:sz w:val="16"/>
            <w:szCs w:val="16"/>
          </w:rPr>
          <w:t>Data By Country</w:t>
        </w:r>
      </w:hyperlink>
    </w:p>
  </w:footnote>
  <w:footnote w:id="85">
    <w:p w:rsidR="00D337B9" w:rsidRDefault="009B5B10">
      <w:pPr>
        <w:widowControl w:val="0"/>
        <w:spacing w:after="0" w:line="240" w:lineRule="auto"/>
        <w:ind w:left="170" w:hanging="170"/>
        <w:jc w:val="both"/>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administrative systems of Member States.</w:t>
      </w:r>
    </w:p>
  </w:footnote>
  <w:footnote w:id="86">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Analysis of the Function and Structure of the Ministry of Agriculture, Natural Resour</w:t>
      </w:r>
      <w:r>
        <w:rPr>
          <w:rFonts w:asciiTheme="minorHAnsi" w:hAnsiTheme="minorHAnsi"/>
          <w:sz w:val="16"/>
          <w:szCs w:val="16"/>
        </w:rPr>
        <w:t xml:space="preserve">ces and Environment (MANRE) of the Republic of Cyprus, Document of the World Bank, May 2014. </w:t>
      </w:r>
    </w:p>
  </w:footnote>
  <w:footnote w:id="87">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Bidi"/>
          <w:color w:val="000000" w:themeColor="text1"/>
          <w:sz w:val="16"/>
          <w:szCs w:val="16"/>
        </w:rPr>
        <w:t>The transposition of Directive 2014/52/EU is due in May 2017</w:t>
      </w:r>
    </w:p>
  </w:footnote>
  <w:footnote w:id="88">
    <w:p w:rsidR="00D337B9" w:rsidRDefault="009B5B10">
      <w:pPr>
        <w:pStyle w:val="FootnoteText"/>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Commission notice — </w:t>
      </w:r>
      <w:hyperlink r:id="rId57" w:history="1">
        <w:r>
          <w:rPr>
            <w:rStyle w:val="Hyperlink"/>
            <w:rFonts w:asciiTheme="minorHAnsi" w:hAnsiTheme="minorHAnsi"/>
            <w:sz w:val="16"/>
            <w:szCs w:val="16"/>
          </w:rPr>
          <w:t>Commission guidance document on streamlining environmental assessments conducted under Article 2(3) of the Environmental Impact Assessment Directive</w:t>
        </w:r>
      </w:hyperlink>
      <w:r>
        <w:rPr>
          <w:rStyle w:val="Hyperlink"/>
          <w:rFonts w:asciiTheme="minorHAnsi" w:hAnsiTheme="minorHAnsi"/>
          <w:sz w:val="16"/>
          <w:szCs w:val="16"/>
        </w:rPr>
        <w:t xml:space="preserve"> </w:t>
      </w:r>
      <w:r>
        <w:rPr>
          <w:rStyle w:val="Hyperlink"/>
          <w:rFonts w:asciiTheme="minorHAnsi" w:hAnsiTheme="minorHAnsi"/>
          <w:color w:val="auto"/>
          <w:sz w:val="16"/>
          <w:szCs w:val="16"/>
          <w:u w:val="none"/>
        </w:rPr>
        <w:t>(D</w:t>
      </w:r>
      <w:r>
        <w:rPr>
          <w:rFonts w:asciiTheme="minorHAnsi" w:hAnsiTheme="minorHAnsi"/>
          <w:sz w:val="16"/>
          <w:szCs w:val="16"/>
        </w:rPr>
        <w:t xml:space="preserve">irective 2011/92/EU of the European Parliament and of the Council, as </w:t>
      </w:r>
      <w:r>
        <w:rPr>
          <w:rFonts w:asciiTheme="minorHAnsi" w:hAnsiTheme="minorHAnsi"/>
          <w:sz w:val="16"/>
          <w:szCs w:val="16"/>
        </w:rPr>
        <w:t>amended by Directive 2014/52/EU).</w:t>
      </w:r>
    </w:p>
  </w:footnote>
  <w:footnote w:id="89">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Analysis of the Function and Structure of the Ministry of Agriculture, Natural Resources and Environment (MANRE) of the Republic of Cyprus, Document of the World Bank, May 2014.</w:t>
      </w:r>
    </w:p>
  </w:footnote>
  <w:footnote w:id="90">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58" w:history="1">
        <w:r>
          <w:rPr>
            <w:rStyle w:val="Hyperlink"/>
            <w:rFonts w:asciiTheme="minorHAnsi" w:hAnsiTheme="minorHAnsi"/>
            <w:sz w:val="16"/>
            <w:szCs w:val="16"/>
          </w:rPr>
          <w:t>Environmental Crime Directive 2008/99/EC</w:t>
        </w:r>
      </w:hyperlink>
    </w:p>
  </w:footnote>
  <w:footnote w:id="91">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59" w:history="1">
        <w:r>
          <w:rPr>
            <w:rStyle w:val="Hyperlink"/>
            <w:rFonts w:asciiTheme="minorHAnsi" w:hAnsiTheme="minorHAnsi"/>
            <w:sz w:val="16"/>
            <w:szCs w:val="16"/>
          </w:rPr>
          <w:t>European Union Network for the Implementation and Enforcement of Environmental Law</w:t>
        </w:r>
      </w:hyperlink>
    </w:p>
  </w:footnote>
  <w:footnote w:id="92">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0" w:history="1">
        <w:r>
          <w:rPr>
            <w:rStyle w:val="Hyperlink"/>
            <w:rFonts w:asciiTheme="minorHAnsi" w:hAnsiTheme="minorHAnsi"/>
            <w:sz w:val="16"/>
            <w:szCs w:val="16"/>
          </w:rPr>
          <w:t>European Union Forum of judges for the environment</w:t>
        </w:r>
      </w:hyperlink>
    </w:p>
  </w:footnote>
  <w:footnote w:id="93">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1" w:history="1">
        <w:r>
          <w:rPr>
            <w:rStyle w:val="Hyperlink"/>
            <w:rFonts w:asciiTheme="minorHAnsi" w:hAnsiTheme="minorHAnsi"/>
            <w:sz w:val="16"/>
            <w:szCs w:val="16"/>
          </w:rPr>
          <w:t>The European Network of Prosecutors for the Environment</w:t>
        </w:r>
      </w:hyperlink>
    </w:p>
  </w:footnote>
  <w:footnote w:id="94">
    <w:p w:rsidR="00D337B9" w:rsidRDefault="009B5B10">
      <w:pPr>
        <w:pStyle w:val="FootnoteText"/>
        <w:widowControl w:val="0"/>
        <w:ind w:left="170" w:hanging="170"/>
        <w:jc w:val="both"/>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r>
        <w:fldChar w:fldCharType="begin"/>
      </w:r>
      <w:r w:rsidRPr="009B5B10">
        <w:rPr>
          <w:lang w:val="fr-BE"/>
        </w:rPr>
        <w:instrText xml:space="preserve"> HYPERLINK "http://envicrimenet.com/" </w:instrText>
      </w:r>
      <w:r>
        <w:fldChar w:fldCharType="separate"/>
      </w:r>
      <w:proofErr w:type="spellStart"/>
      <w:r>
        <w:rPr>
          <w:rStyle w:val="Hyperlink"/>
          <w:rFonts w:asciiTheme="minorHAnsi" w:hAnsiTheme="minorHAnsi"/>
          <w:sz w:val="16"/>
          <w:szCs w:val="16"/>
          <w:lang w:val="fr-BE"/>
        </w:rPr>
        <w:t>EnviCrimeNet</w:t>
      </w:r>
      <w:proofErr w:type="spellEnd"/>
      <w:r>
        <w:rPr>
          <w:rStyle w:val="Hyperlink"/>
          <w:rFonts w:asciiTheme="minorHAnsi" w:hAnsiTheme="minorHAnsi"/>
          <w:sz w:val="16"/>
          <w:szCs w:val="16"/>
          <w:lang w:val="fr-BE"/>
        </w:rPr>
        <w:fldChar w:fldCharType="end"/>
      </w:r>
    </w:p>
  </w:footnote>
  <w:footnote w:id="95">
    <w:p w:rsidR="00D337B9" w:rsidRDefault="009B5B10">
      <w:pPr>
        <w:pStyle w:val="FootnoteText"/>
        <w:widowControl w:val="0"/>
        <w:ind w:left="170" w:hanging="170"/>
        <w:jc w:val="both"/>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Union</w:t>
      </w:r>
      <w:r>
        <w:rPr>
          <w:rFonts w:asciiTheme="minorHAnsi" w:hAnsiTheme="minorHAnsi" w:cstheme="minorHAnsi"/>
          <w:sz w:val="16"/>
          <w:szCs w:val="16"/>
          <w:lang w:val="fr-BE"/>
        </w:rPr>
        <w:t xml:space="preserve">, </w:t>
      </w:r>
      <w:hyperlink r:id="rId62" w:history="1">
        <w:proofErr w:type="spellStart"/>
        <w:r>
          <w:rPr>
            <w:rStyle w:val="Hyperlink"/>
            <w:rFonts w:asciiTheme="minorHAnsi" w:hAnsiTheme="minorHAnsi" w:cstheme="minorHAnsi"/>
            <w:sz w:val="16"/>
            <w:szCs w:val="16"/>
            <w:lang w:val="fr-BE"/>
          </w:rPr>
          <w:t>Environmental</w:t>
        </w:r>
        <w:proofErr w:type="spellEnd"/>
        <w:r>
          <w:rPr>
            <w:rStyle w:val="Hyperlink"/>
            <w:rFonts w:asciiTheme="minorHAnsi" w:hAnsiTheme="minorHAnsi" w:cstheme="minorHAnsi"/>
            <w:sz w:val="16"/>
            <w:szCs w:val="16"/>
            <w:lang w:val="fr-BE"/>
          </w:rPr>
          <w:t xml:space="preserve"> </w:t>
        </w:r>
        <w:proofErr w:type="spellStart"/>
        <w:r>
          <w:rPr>
            <w:rStyle w:val="Hyperlink"/>
            <w:rFonts w:asciiTheme="minorHAnsi" w:hAnsiTheme="minorHAnsi" w:cstheme="minorHAnsi"/>
            <w:sz w:val="16"/>
            <w:szCs w:val="16"/>
            <w:lang w:val="fr-BE"/>
          </w:rPr>
          <w:t>Liability</w:t>
        </w:r>
        <w:proofErr w:type="spellEnd"/>
        <w:r>
          <w:rPr>
            <w:rStyle w:val="Hyperlink"/>
            <w:rFonts w:asciiTheme="minorHAnsi" w:hAnsiTheme="minorHAnsi" w:cstheme="minorHAnsi"/>
            <w:sz w:val="16"/>
            <w:szCs w:val="16"/>
            <w:lang w:val="fr-BE"/>
          </w:rPr>
          <w:t xml:space="preserve"> Directive 2004/35/CE</w:t>
        </w:r>
      </w:hyperlink>
    </w:p>
  </w:footnote>
  <w:footnote w:id="96">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COM(</w:t>
      </w:r>
      <w:proofErr w:type="gramEnd"/>
      <w:r>
        <w:rPr>
          <w:rFonts w:asciiTheme="minorHAnsi" w:hAnsiTheme="minorHAnsi"/>
          <w:sz w:val="16"/>
          <w:szCs w:val="16"/>
        </w:rPr>
        <w:t>2016) 204 final and COM(2016) 121 final of 14.4.2016. This highlighted the need for better evidence on</w:t>
      </w:r>
      <w:r>
        <w:rPr>
          <w:rFonts w:asciiTheme="minorHAnsi" w:hAnsiTheme="minorHAnsi"/>
          <w:sz w:val="16"/>
          <w:szCs w:val="16"/>
        </w:rPr>
        <w:t xml:space="preserve"> how the directive is used in practice; for tools to support its implementation, such as guidance, training and ELD registers; and for financial security to be available in case events or incidents generate remediation costs.</w:t>
      </w:r>
    </w:p>
  </w:footnote>
  <w:footnote w:id="97">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Study on 'Assessment and sum</w:t>
      </w:r>
      <w:r>
        <w:rPr>
          <w:rFonts w:asciiTheme="minorHAnsi" w:hAnsiTheme="minorHAnsi"/>
          <w:sz w:val="16"/>
          <w:szCs w:val="16"/>
        </w:rPr>
        <w:t xml:space="preserve">mary of the Member States' implementation reports for the IED, IPPCD, SED and WID. Industrial Emissions Directive', 2016, </w:t>
      </w:r>
      <w:proofErr w:type="spellStart"/>
      <w:r>
        <w:rPr>
          <w:rFonts w:asciiTheme="minorHAnsi" w:hAnsiTheme="minorHAnsi"/>
          <w:sz w:val="16"/>
          <w:szCs w:val="16"/>
        </w:rPr>
        <w:t>Amec</w:t>
      </w:r>
      <w:proofErr w:type="spellEnd"/>
      <w:r>
        <w:rPr>
          <w:rFonts w:asciiTheme="minorHAnsi" w:hAnsiTheme="minorHAnsi"/>
          <w:sz w:val="16"/>
          <w:szCs w:val="16"/>
        </w:rPr>
        <w:t xml:space="preserve"> Foster Wheeler Environment &amp; Infrastructure UK Ltd in collaboration with Milieu Ltd, p. 163f. </w:t>
      </w:r>
    </w:p>
  </w:footnote>
  <w:footnote w:id="98">
    <w:p w:rsidR="00D337B9" w:rsidRDefault="009B5B10">
      <w:pPr>
        <w:pStyle w:val="FootnoteText"/>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Some good practices have been id</w:t>
      </w:r>
      <w:r>
        <w:rPr>
          <w:rFonts w:asciiTheme="minorHAnsi" w:hAnsiTheme="minorHAnsi"/>
          <w:sz w:val="16"/>
          <w:szCs w:val="16"/>
        </w:rPr>
        <w:t>entified in Cyprus in relation to water inspection, such as its enforcement programme on agricultural abstractions using satellite photography and on-site inspections, see Comparative study of pressures and measures in the major River Basin Management Plan</w:t>
      </w:r>
      <w:r>
        <w:rPr>
          <w:rFonts w:asciiTheme="minorHAnsi" w:hAnsiTheme="minorHAnsi"/>
          <w:sz w:val="16"/>
          <w:szCs w:val="16"/>
        </w:rPr>
        <w:t xml:space="preserve">s, section Governance, 2012, p. 32, 133: </w:t>
      </w:r>
      <w:hyperlink r:id="rId63" w:history="1">
        <w:r>
          <w:rPr>
            <w:rStyle w:val="Hyperlink"/>
            <w:rFonts w:asciiTheme="minorHAnsi" w:hAnsiTheme="minorHAnsi"/>
            <w:sz w:val="16"/>
            <w:szCs w:val="16"/>
          </w:rPr>
          <w:t>http://ec.europa.eu/environment/archives/water/implrep2007/pdf/Governance-Pressures%20and%20me</w:t>
        </w:r>
        <w:r>
          <w:rPr>
            <w:rStyle w:val="Hyperlink"/>
            <w:rFonts w:asciiTheme="minorHAnsi" w:hAnsiTheme="minorHAnsi"/>
            <w:sz w:val="16"/>
            <w:szCs w:val="16"/>
          </w:rPr>
          <w:t>asures.pdf</w:t>
        </w:r>
      </w:hyperlink>
      <w:r>
        <w:rPr>
          <w:rFonts w:asciiTheme="minorHAnsi" w:hAnsiTheme="minorHAnsi"/>
          <w:sz w:val="16"/>
          <w:szCs w:val="16"/>
        </w:rPr>
        <w:t xml:space="preserve"> </w:t>
      </w:r>
    </w:p>
    <w:p w:rsidR="00D337B9" w:rsidRDefault="00D337B9">
      <w:pPr>
        <w:pStyle w:val="FootnoteText"/>
        <w:ind w:left="170" w:hanging="170"/>
        <w:rPr>
          <w:rFonts w:asciiTheme="minorHAnsi" w:hAnsiTheme="minorHAnsi"/>
          <w:sz w:val="16"/>
          <w:szCs w:val="16"/>
        </w:rPr>
      </w:pPr>
    </w:p>
  </w:footnote>
  <w:footnote w:id="99">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64" w:history="1">
        <w:r>
          <w:rPr>
            <w:rStyle w:val="Hyperlink"/>
            <w:rFonts w:asciiTheme="minorHAnsi" w:hAnsiTheme="minorHAnsi"/>
            <w:sz w:val="16"/>
            <w:szCs w:val="16"/>
          </w:rPr>
          <w:t>study on access to justice in environmental matters 2012/2013</w:t>
        </w:r>
      </w:hyperlink>
    </w:p>
  </w:footnote>
  <w:footnote w:id="100">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UNECE, 1998.</w:t>
      </w:r>
      <w:proofErr w:type="gramEnd"/>
      <w:r>
        <w:rPr>
          <w:rFonts w:asciiTheme="minorHAnsi" w:hAnsiTheme="minorHAnsi"/>
          <w:sz w:val="16"/>
          <w:szCs w:val="16"/>
        </w:rPr>
        <w:t xml:space="preserve"> </w:t>
      </w:r>
      <w:hyperlink r:id="rId65" w:history="1">
        <w:r>
          <w:rPr>
            <w:rStyle w:val="Hyperlink"/>
            <w:rFonts w:asciiTheme="minorHAnsi" w:hAnsiTheme="minorHAnsi"/>
            <w:sz w:val="16"/>
            <w:szCs w:val="16"/>
          </w:rPr>
          <w:t>Convention on Access to Information, Public Participation in Decision-Making and Access to Justice in Environmental Matters</w:t>
        </w:r>
      </w:hyperlink>
    </w:p>
  </w:footnote>
  <w:footnote w:id="101">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66" w:history="1">
        <w:r>
          <w:rPr>
            <w:rStyle w:val="Hyperlink"/>
            <w:rFonts w:asciiTheme="minorHAnsi" w:hAnsiTheme="minorHAnsi"/>
            <w:sz w:val="16"/>
            <w:szCs w:val="16"/>
          </w:rPr>
          <w:t>Directive 2003/4/EC on public a</w:t>
        </w:r>
        <w:r>
          <w:rPr>
            <w:rStyle w:val="Hyperlink"/>
            <w:rFonts w:asciiTheme="minorHAnsi" w:hAnsiTheme="minorHAnsi"/>
            <w:sz w:val="16"/>
            <w:szCs w:val="16"/>
          </w:rPr>
          <w:t>ccess to environmental information</w:t>
        </w:r>
      </w:hyperlink>
      <w:r>
        <w:rPr>
          <w:rFonts w:asciiTheme="minorHAnsi" w:hAnsiTheme="minorHAnsi"/>
          <w:sz w:val="16"/>
          <w:szCs w:val="16"/>
        </w:rPr>
        <w:t xml:space="preserve"> </w:t>
      </w:r>
    </w:p>
  </w:footnote>
  <w:footnote w:id="102">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67" w:history="1">
        <w:r>
          <w:rPr>
            <w:rStyle w:val="Hyperlink"/>
            <w:rFonts w:asciiTheme="minorHAnsi" w:hAnsiTheme="minorHAnsi"/>
            <w:sz w:val="16"/>
            <w:szCs w:val="16"/>
          </w:rPr>
          <w:t xml:space="preserve">INSPIRE </w:t>
        </w:r>
        <w:r>
          <w:rPr>
            <w:rStyle w:val="Hyperlink"/>
            <w:rFonts w:asciiTheme="minorHAnsi" w:hAnsiTheme="minorHAnsi"/>
            <w:sz w:val="16"/>
            <w:szCs w:val="16"/>
            <w:lang w:val="en"/>
          </w:rPr>
          <w:t>Directive 2007/2/EC</w:t>
        </w:r>
      </w:hyperlink>
      <w:r>
        <w:rPr>
          <w:rFonts w:asciiTheme="minorHAnsi" w:hAnsiTheme="minorHAnsi"/>
          <w:sz w:val="16"/>
          <w:szCs w:val="16"/>
        </w:rPr>
        <w:t xml:space="preserve"> </w:t>
      </w:r>
    </w:p>
  </w:footnote>
  <w:footnote w:id="103">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w:t>
      </w:r>
      <w:proofErr w:type="spellStart"/>
      <w:r>
        <w:rPr>
          <w:rFonts w:asciiTheme="minorHAnsi" w:hAnsiTheme="minorHAnsi"/>
          <w:sz w:val="16"/>
          <w:szCs w:val="16"/>
        </w:rPr>
        <w:t>eGovernment</w:t>
      </w:r>
      <w:proofErr w:type="spellEnd"/>
      <w:r>
        <w:rPr>
          <w:rFonts w:asciiTheme="minorHAnsi" w:hAnsiTheme="minorHAnsi"/>
          <w:sz w:val="16"/>
          <w:szCs w:val="16"/>
        </w:rPr>
        <w:t xml:space="preserve"> Action Plan 2016-2020 - Accelerating the digita</w:t>
      </w:r>
      <w:r>
        <w:rPr>
          <w:rFonts w:asciiTheme="minorHAnsi" w:hAnsiTheme="minorHAnsi"/>
          <w:sz w:val="16"/>
          <w:szCs w:val="16"/>
        </w:rPr>
        <w:t xml:space="preserve">l transformation of government </w:t>
      </w:r>
      <w:hyperlink r:id="rId68"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04">
    <w:p w:rsidR="00D337B9" w:rsidRDefault="009B5B10">
      <w:pPr>
        <w:pStyle w:val="FootnoteText"/>
        <w:widowControl w:val="0"/>
        <w:ind w:left="170" w:hanging="170"/>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69" w:history="1">
        <w:r>
          <w:rPr>
            <w:rStyle w:val="Hyperlink"/>
            <w:rFonts w:asciiTheme="minorHAnsi" w:hAnsiTheme="minorHAnsi"/>
            <w:sz w:val="16"/>
            <w:szCs w:val="16"/>
          </w:rPr>
          <w:t>INSPIRE reports</w:t>
        </w:r>
      </w:hyperlink>
    </w:p>
  </w:footnote>
  <w:footnote w:id="105">
    <w:p w:rsidR="00D337B9" w:rsidRDefault="009B5B10">
      <w:pPr>
        <w:pStyle w:val="FootnoteText"/>
        <w:widowControl w:val="0"/>
        <w:ind w:left="170" w:hanging="170"/>
        <w:jc w:val="both"/>
        <w:rPr>
          <w:rFonts w:asciiTheme="minorHAnsi" w:hAnsiTheme="minorHAnsi"/>
          <w:sz w:val="16"/>
          <w:szCs w:val="16"/>
          <w:lang w:val="pt-PT"/>
        </w:rPr>
      </w:pPr>
      <w:r>
        <w:rPr>
          <w:rStyle w:val="FootnoteReference"/>
          <w:rFonts w:asciiTheme="minorHAnsi" w:hAnsiTheme="minorHAnsi"/>
          <w:sz w:val="16"/>
          <w:szCs w:val="16"/>
        </w:rPr>
        <w:footnoteRef/>
      </w:r>
      <w:r>
        <w:rPr>
          <w:rFonts w:asciiTheme="minorHAnsi" w:hAnsiTheme="minorHAnsi"/>
          <w:sz w:val="16"/>
          <w:szCs w:val="16"/>
          <w:lang w:val="pt-PT"/>
        </w:rPr>
        <w:t xml:space="preserve"> </w:t>
      </w:r>
      <w:hyperlink r:id="rId70" w:anchor="/" w:history="1">
        <w:r>
          <w:rPr>
            <w:rStyle w:val="Hyperlink"/>
            <w:rFonts w:asciiTheme="minorHAnsi" w:hAnsiTheme="minorHAnsi"/>
            <w:sz w:val="16"/>
            <w:szCs w:val="16"/>
          </w:rPr>
          <w:t>Inspire indicator trends</w:t>
        </w:r>
      </w:hyperlink>
    </w:p>
  </w:footnote>
  <w:footnote w:id="106">
    <w:p w:rsidR="00D337B9" w:rsidRDefault="009B5B10">
      <w:pPr>
        <w:pStyle w:val="FootnoteText"/>
        <w:widowControl w:val="0"/>
        <w:ind w:left="170" w:hanging="170"/>
        <w:jc w:val="both"/>
        <w:rPr>
          <w:rFonts w:asciiTheme="minorHAnsi" w:hAnsiTheme="minorHAnsi"/>
          <w:sz w:val="16"/>
          <w:szCs w:val="16"/>
          <w:lang w:val="pt-PT"/>
        </w:rPr>
      </w:pPr>
      <w:r>
        <w:rPr>
          <w:rStyle w:val="FootnoteReference"/>
          <w:rFonts w:asciiTheme="minorHAnsi" w:hAnsiTheme="minorHAnsi"/>
          <w:sz w:val="16"/>
          <w:szCs w:val="16"/>
        </w:rPr>
        <w:footnoteRef/>
      </w:r>
      <w:r>
        <w:rPr>
          <w:rFonts w:asciiTheme="minorHAnsi" w:hAnsiTheme="minorHAnsi"/>
          <w:sz w:val="16"/>
          <w:szCs w:val="16"/>
          <w:lang w:val="pt-PT"/>
        </w:rPr>
        <w:t xml:space="preserve"> </w:t>
      </w:r>
      <w:hyperlink r:id="rId71" w:history="1">
        <w:r>
          <w:rPr>
            <w:rStyle w:val="Hyperlink"/>
            <w:rFonts w:asciiTheme="minorHAnsi" w:hAnsiTheme="minorHAnsi"/>
            <w:sz w:val="16"/>
            <w:szCs w:val="16"/>
          </w:rPr>
          <w:t>Inspire Resources Summary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B10" w:rsidRPr="009B5B10" w:rsidRDefault="009B5B10" w:rsidP="009B5B1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spacing w:line="276" w:lineRule="auto"/>
            <w:jc w:val="right"/>
            <w:rPr>
              <w:rFonts w:cstheme="minorHAnsi"/>
              <w:b/>
              <w:bCs/>
              <w:color w:val="1F497D" w:themeColor="text2"/>
            </w:rPr>
          </w:pPr>
          <w:r>
            <w:rPr>
              <w:rFonts w:cstheme="minorHAnsi"/>
              <w:b/>
              <w:bCs/>
              <w:color w:val="1F497D" w:themeColor="text2"/>
            </w:rPr>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D337B9" w:rsidRDefault="00D337B9">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D337B9">
      <w:tc>
        <w:tcPr>
          <w:tcW w:w="0" w:type="auto"/>
          <w:tcBorders>
            <w:top w:val="nil"/>
            <w:left w:val="nil"/>
            <w:bottom w:val="nil"/>
            <w:right w:val="single" w:sz="6" w:space="0" w:color="000000" w:themeColor="text1"/>
          </w:tcBorders>
        </w:tcPr>
        <w:p w:rsidR="00D337B9" w:rsidRDefault="00D337B9">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337B9" w:rsidRDefault="00D337B9">
          <w:pPr>
            <w:pStyle w:val="Header"/>
            <w:spacing w:line="276" w:lineRule="auto"/>
            <w:rPr>
              <w:rFonts w:cstheme="minorHAnsi"/>
              <w:b/>
              <w:bCs/>
              <w:color w:val="1F497D" w:themeColor="text2"/>
            </w:rPr>
          </w:pPr>
        </w:p>
      </w:tc>
    </w:tr>
  </w:tbl>
  <w:p w:rsidR="00D337B9" w:rsidRDefault="00D337B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spacing w:line="276" w:lineRule="auto"/>
            <w:jc w:val="right"/>
            <w:rPr>
              <w:rFonts w:cstheme="minorHAnsi"/>
              <w:b/>
              <w:bCs/>
              <w:color w:val="1F497D" w:themeColor="text2"/>
            </w:rPr>
          </w:pPr>
          <w:r>
            <w:rPr>
              <w:rFonts w:cstheme="minorHAnsi"/>
              <w:b/>
              <w:bCs/>
              <w:color w:val="1F497D" w:themeColor="text2"/>
            </w:rPr>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sz w:val="28"/>
            </w:rPr>
          </w:pPr>
          <w:r>
            <w:rPr>
              <w:rFonts w:cstheme="minorHAnsi"/>
              <w:b/>
              <w:bCs/>
              <w:color w:val="1F497D" w:themeColor="text2"/>
              <w:sz w:val="28"/>
            </w:rPr>
            <w:t>5</w:t>
          </w:r>
        </w:p>
      </w:tc>
    </w:tr>
  </w:tbl>
  <w:p w:rsidR="00D337B9" w:rsidRDefault="00D337B9">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tcPr>
        <w:p w:rsidR="00D337B9" w:rsidRDefault="00D337B9">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337B9" w:rsidRDefault="00D337B9">
          <w:pPr>
            <w:pStyle w:val="Header"/>
            <w:spacing w:line="276" w:lineRule="auto"/>
            <w:rPr>
              <w:rFonts w:cstheme="minorHAnsi"/>
              <w:b/>
              <w:bCs/>
              <w:color w:val="1F497D" w:themeColor="text2"/>
            </w:rPr>
          </w:pPr>
        </w:p>
      </w:tc>
    </w:tr>
  </w:tbl>
  <w:p w:rsidR="00D337B9" w:rsidRDefault="00D337B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tabs>
              <w:tab w:val="left" w:pos="2316"/>
              <w:tab w:val="right" w:pos="8594"/>
            </w:tabs>
            <w:spacing w:line="276" w:lineRule="auto"/>
            <w:rPr>
              <w:rFonts w:cstheme="minorHAnsi"/>
              <w:b/>
              <w:bCs/>
              <w:color w:val="1F497D" w:themeColor="text2"/>
            </w:rPr>
          </w:pPr>
          <w:r>
            <w:rPr>
              <w:rFonts w:cstheme="minorHAnsi"/>
              <w:b/>
              <w:bCs/>
              <w:color w:val="1F497D" w:themeColor="text2"/>
            </w:rPr>
            <w:t>77</w:t>
          </w:r>
          <w:r>
            <w:rPr>
              <w:rFonts w:cstheme="minorHAnsi"/>
              <w:b/>
              <w:bCs/>
              <w:color w:val="1F497D" w:themeColor="text2"/>
            </w:rPr>
            <w:tab/>
          </w:r>
          <w:r>
            <w:rPr>
              <w:rFonts w:cstheme="minorHAnsi"/>
              <w:b/>
              <w:bCs/>
              <w:color w:val="1F497D" w:themeColor="text2"/>
            </w:rPr>
            <w:tab/>
          </w:r>
          <w:r>
            <w:rPr>
              <w:rFonts w:cstheme="minorHAnsi"/>
              <w:b/>
              <w:bCs/>
              <w:color w:val="1F497D" w:themeColor="text2"/>
            </w:rPr>
            <w:tab/>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sz w:val="28"/>
            </w:rPr>
          </w:pPr>
          <w:r>
            <w:rPr>
              <w:rFonts w:cstheme="minorHAnsi"/>
              <w:b/>
              <w:bCs/>
              <w:color w:val="1F497D" w:themeColor="text2"/>
              <w:sz w:val="28"/>
            </w:rPr>
            <w:t>6</w:t>
          </w:r>
        </w:p>
      </w:tc>
    </w:tr>
  </w:tbl>
  <w:p w:rsidR="00D337B9" w:rsidRDefault="00D337B9">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tcPr>
        <w:p w:rsidR="00D337B9" w:rsidRDefault="009B5B10">
          <w:pPr>
            <w:pStyle w:val="Header"/>
            <w:spacing w:line="276" w:lineRule="auto"/>
            <w:jc w:val="right"/>
            <w:rPr>
              <w:rFonts w:cstheme="minorHAnsi"/>
              <w:b/>
              <w:bCs/>
              <w:color w:val="1F497D" w:themeColor="text2"/>
            </w:rPr>
          </w:pPr>
          <w:r>
            <w:rPr>
              <w:rFonts w:cstheme="minorHAnsi"/>
              <w:b/>
              <w:bCs/>
              <w:color w:val="1F497D" w:themeColor="text2"/>
            </w:rPr>
            <w:t>Cyprus</w:t>
          </w:r>
        </w:p>
      </w:tc>
      <w:tc>
        <w:tcPr>
          <w:tcW w:w="1152" w:type="dxa"/>
          <w:tcBorders>
            <w:top w:val="nil"/>
            <w:left w:val="single" w:sz="6" w:space="0" w:color="000000" w:themeColor="text1"/>
            <w:bottom w:val="nil"/>
            <w:right w:val="nil"/>
          </w:tcBorders>
        </w:tcPr>
        <w:p w:rsidR="00D337B9" w:rsidRDefault="009B5B10">
          <w:pPr>
            <w:pStyle w:val="Header"/>
            <w:spacing w:line="276" w:lineRule="auto"/>
            <w:rPr>
              <w:rFonts w:cstheme="minorHAnsi"/>
              <w:b/>
              <w:bCs/>
              <w:color w:val="1F497D" w:themeColor="text2"/>
              <w:sz w:val="28"/>
            </w:rPr>
          </w:pPr>
          <w:r>
            <w:rPr>
              <w:rFonts w:cstheme="minorHAnsi"/>
              <w:b/>
              <w:bCs/>
              <w:color w:val="1F497D" w:themeColor="text2"/>
              <w:sz w:val="28"/>
            </w:rPr>
            <w:t>6</w:t>
          </w:r>
        </w:p>
      </w:tc>
    </w:tr>
  </w:tbl>
  <w:p w:rsidR="00D337B9" w:rsidRDefault="00D337B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B10" w:rsidRPr="009B5B10" w:rsidRDefault="009B5B10" w:rsidP="009B5B10">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spacing w:line="276" w:lineRule="auto"/>
            <w:jc w:val="right"/>
            <w:rPr>
              <w:rFonts w:cstheme="minorHAnsi"/>
              <w:b/>
              <w:bCs/>
              <w:color w:val="1F497D" w:themeColor="text2"/>
            </w:rPr>
          </w:pPr>
          <w:r>
            <w:rPr>
              <w:rFonts w:cstheme="minorHAnsi"/>
              <w:b/>
              <w:bCs/>
              <w:color w:val="1F497D" w:themeColor="text2"/>
            </w:rPr>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9</w:t>
          </w:r>
          <w:r>
            <w:rPr>
              <w:rFonts w:cstheme="minorHAnsi"/>
              <w:b/>
              <w:bCs/>
              <w:color w:val="1F497D" w:themeColor="text2"/>
              <w:sz w:val="28"/>
            </w:rPr>
            <w:fldChar w:fldCharType="end"/>
          </w:r>
        </w:p>
      </w:tc>
    </w:tr>
  </w:tbl>
  <w:p w:rsidR="00D337B9" w:rsidRDefault="00D337B9">
    <w:pPr>
      <w:pStyle w:val="Header"/>
      <w:jc w:val="cent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tcPr>
        <w:p w:rsidR="00D337B9" w:rsidRDefault="00D337B9">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337B9" w:rsidRDefault="00D337B9">
          <w:pPr>
            <w:pStyle w:val="Header"/>
            <w:spacing w:line="276" w:lineRule="auto"/>
            <w:rPr>
              <w:rFonts w:cstheme="minorHAnsi"/>
              <w:b/>
              <w:bCs/>
              <w:color w:val="1F497D" w:themeColor="text2"/>
            </w:rPr>
          </w:pPr>
        </w:p>
      </w:tc>
    </w:tr>
  </w:tbl>
  <w:p w:rsidR="00D337B9" w:rsidRDefault="00D337B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spacing w:line="276" w:lineRule="auto"/>
            <w:jc w:val="right"/>
            <w:rPr>
              <w:rFonts w:cstheme="minorHAnsi"/>
              <w:b/>
              <w:bCs/>
              <w:color w:val="1F497D" w:themeColor="text2"/>
            </w:rPr>
          </w:pPr>
          <w:r>
            <w:rPr>
              <w:rFonts w:cstheme="minorHAnsi"/>
              <w:b/>
              <w:bCs/>
              <w:color w:val="1F497D" w:themeColor="text2"/>
            </w:rPr>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10</w:t>
          </w:r>
          <w:r>
            <w:rPr>
              <w:rFonts w:cstheme="minorHAnsi"/>
              <w:b/>
              <w:bCs/>
              <w:color w:val="1F497D" w:themeColor="text2"/>
              <w:sz w:val="28"/>
            </w:rPr>
            <w:fldChar w:fldCharType="end"/>
          </w:r>
        </w:p>
      </w:tc>
    </w:tr>
  </w:tbl>
  <w:p w:rsidR="00D337B9" w:rsidRDefault="00D337B9">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tcPr>
        <w:p w:rsidR="00D337B9" w:rsidRDefault="00D337B9">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337B9" w:rsidRDefault="00D337B9">
          <w:pPr>
            <w:pStyle w:val="Header"/>
            <w:spacing w:line="276" w:lineRule="auto"/>
            <w:rPr>
              <w:rFonts w:cstheme="minorHAnsi"/>
              <w:b/>
              <w:bCs/>
              <w:color w:val="1F497D" w:themeColor="text2"/>
            </w:rPr>
          </w:pPr>
        </w:p>
      </w:tc>
    </w:tr>
  </w:tbl>
  <w:p w:rsidR="00D337B9" w:rsidRDefault="00D337B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spacing w:line="276" w:lineRule="auto"/>
            <w:jc w:val="right"/>
            <w:rPr>
              <w:rFonts w:cstheme="minorHAnsi"/>
              <w:b/>
              <w:bCs/>
              <w:color w:val="1F497D" w:themeColor="text2"/>
            </w:rPr>
          </w:pPr>
          <w:r>
            <w:rPr>
              <w:rFonts w:cstheme="minorHAnsi"/>
              <w:b/>
              <w:bCs/>
              <w:color w:val="1F497D" w:themeColor="text2"/>
            </w:rPr>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14</w:t>
          </w:r>
          <w:r>
            <w:rPr>
              <w:rFonts w:cstheme="minorHAnsi"/>
              <w:b/>
              <w:bCs/>
              <w:color w:val="1F497D" w:themeColor="text2"/>
              <w:sz w:val="28"/>
            </w:rPr>
            <w:fldChar w:fldCharType="end"/>
          </w:r>
        </w:p>
      </w:tc>
    </w:tr>
  </w:tbl>
  <w:p w:rsidR="00D337B9" w:rsidRDefault="00D337B9">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tcPr>
        <w:p w:rsidR="00D337B9" w:rsidRDefault="00D337B9">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337B9" w:rsidRDefault="00D337B9">
          <w:pPr>
            <w:pStyle w:val="Header"/>
            <w:spacing w:line="276" w:lineRule="auto"/>
            <w:rPr>
              <w:rFonts w:cstheme="minorHAnsi"/>
              <w:b/>
              <w:bCs/>
              <w:color w:val="1F497D" w:themeColor="text2"/>
            </w:rPr>
          </w:pPr>
        </w:p>
      </w:tc>
    </w:tr>
  </w:tbl>
  <w:p w:rsidR="00D337B9" w:rsidRDefault="00D337B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spacing w:line="276" w:lineRule="auto"/>
            <w:jc w:val="right"/>
            <w:rPr>
              <w:rFonts w:cstheme="minorHAnsi"/>
              <w:b/>
              <w:bCs/>
              <w:color w:val="1F497D" w:themeColor="text2"/>
            </w:rPr>
          </w:pPr>
          <w:r>
            <w:rPr>
              <w:rFonts w:cstheme="minorHAnsi"/>
              <w:b/>
              <w:bCs/>
              <w:color w:val="1F497D" w:themeColor="text2"/>
            </w:rPr>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15</w:t>
          </w:r>
          <w:r>
            <w:rPr>
              <w:rFonts w:cstheme="minorHAnsi"/>
              <w:b/>
              <w:bCs/>
              <w:color w:val="1F497D" w:themeColor="text2"/>
              <w:sz w:val="28"/>
            </w:rPr>
            <w:fldChar w:fldCharType="end"/>
          </w:r>
        </w:p>
      </w:tc>
    </w:tr>
  </w:tbl>
  <w:p w:rsidR="00D337B9" w:rsidRDefault="00D337B9">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B10" w:rsidRPr="009B5B10" w:rsidRDefault="009B5B10" w:rsidP="009B5B10">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tcPr>
        <w:p w:rsidR="00D337B9" w:rsidRDefault="00D337B9">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337B9" w:rsidRDefault="00D337B9">
          <w:pPr>
            <w:pStyle w:val="Header"/>
            <w:spacing w:line="276" w:lineRule="auto"/>
            <w:rPr>
              <w:rFonts w:cstheme="minorHAnsi"/>
              <w:b/>
              <w:bCs/>
              <w:color w:val="1F497D" w:themeColor="text2"/>
            </w:rPr>
          </w:pPr>
        </w:p>
      </w:tc>
    </w:tr>
  </w:tbl>
  <w:p w:rsidR="00D337B9" w:rsidRDefault="00D337B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spacing w:line="276" w:lineRule="auto"/>
            <w:jc w:val="right"/>
            <w:rPr>
              <w:rFonts w:cstheme="minorHAnsi"/>
              <w:b/>
              <w:bCs/>
              <w:color w:val="1F497D" w:themeColor="text2"/>
            </w:rPr>
          </w:pPr>
          <w:r>
            <w:rPr>
              <w:rFonts w:cstheme="minorHAnsi"/>
              <w:b/>
              <w:bCs/>
              <w:color w:val="1F497D" w:themeColor="text2"/>
            </w:rPr>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19</w:t>
          </w:r>
          <w:r>
            <w:rPr>
              <w:rFonts w:cstheme="minorHAnsi"/>
              <w:b/>
              <w:bCs/>
              <w:color w:val="1F497D" w:themeColor="text2"/>
              <w:sz w:val="28"/>
            </w:rPr>
            <w:fldChar w:fldCharType="end"/>
          </w:r>
        </w:p>
      </w:tc>
    </w:tr>
  </w:tbl>
  <w:p w:rsidR="00D337B9" w:rsidRDefault="00D337B9">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tcPr>
        <w:p w:rsidR="00D337B9" w:rsidRDefault="00D337B9">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337B9" w:rsidRDefault="00D337B9">
          <w:pPr>
            <w:pStyle w:val="Header"/>
            <w:spacing w:line="276" w:lineRule="auto"/>
            <w:rPr>
              <w:rFonts w:cstheme="minorHAnsi"/>
              <w:b/>
              <w:bCs/>
              <w:color w:val="1F497D" w:themeColor="text2"/>
            </w:rPr>
          </w:pPr>
        </w:p>
      </w:tc>
    </w:tr>
  </w:tbl>
  <w:p w:rsidR="00D337B9" w:rsidRDefault="00D337B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spacing w:line="276" w:lineRule="auto"/>
            <w:jc w:val="right"/>
            <w:rPr>
              <w:rFonts w:cstheme="minorHAnsi"/>
              <w:b/>
              <w:bCs/>
              <w:color w:val="1F497D" w:themeColor="text2"/>
            </w:rPr>
          </w:pPr>
          <w:r>
            <w:rPr>
              <w:rFonts w:cstheme="minorHAnsi"/>
              <w:b/>
              <w:bCs/>
              <w:color w:val="1F497D" w:themeColor="text2"/>
            </w:rPr>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20</w:t>
          </w:r>
          <w:r>
            <w:rPr>
              <w:rFonts w:cstheme="minorHAnsi"/>
              <w:b/>
              <w:bCs/>
              <w:color w:val="1F497D" w:themeColor="text2"/>
              <w:sz w:val="28"/>
            </w:rPr>
            <w:fldChar w:fldCharType="end"/>
          </w:r>
        </w:p>
      </w:tc>
    </w:tr>
  </w:tbl>
  <w:p w:rsidR="00D337B9" w:rsidRDefault="00D337B9">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tcPr>
        <w:p w:rsidR="00D337B9" w:rsidRDefault="00D337B9">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337B9" w:rsidRDefault="00D337B9">
          <w:pPr>
            <w:pStyle w:val="Header"/>
            <w:spacing w:line="276" w:lineRule="auto"/>
            <w:rPr>
              <w:rFonts w:cstheme="minorHAnsi"/>
              <w:b/>
              <w:bCs/>
              <w:color w:val="1F497D" w:themeColor="text2"/>
            </w:rPr>
          </w:pPr>
        </w:p>
      </w:tc>
    </w:tr>
  </w:tbl>
  <w:p w:rsidR="00D337B9" w:rsidRDefault="00D337B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spacing w:line="276" w:lineRule="auto"/>
            <w:jc w:val="right"/>
            <w:rPr>
              <w:rFonts w:cstheme="minorHAnsi"/>
              <w:b/>
              <w:bCs/>
              <w:color w:val="1F497D" w:themeColor="text2"/>
            </w:rPr>
          </w:pPr>
          <w:sdt>
            <w:sdtPr>
              <w:rPr>
                <w:rFonts w:cstheme="minorHAnsi"/>
                <w:b/>
                <w:bCs/>
                <w:color w:val="1F497D" w:themeColor="text2"/>
              </w:rPr>
              <w:id w:val="224190251"/>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D337B9" w:rsidRDefault="00D337B9">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tcPr>
        <w:p w:rsidR="00D337B9" w:rsidRDefault="00D337B9">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337B9" w:rsidRDefault="00D337B9">
          <w:pPr>
            <w:pStyle w:val="Header"/>
            <w:spacing w:line="276" w:lineRule="auto"/>
            <w:rPr>
              <w:rFonts w:cstheme="minorHAnsi"/>
              <w:b/>
              <w:bCs/>
              <w:color w:val="1F497D" w:themeColor="text2"/>
            </w:rPr>
          </w:pPr>
        </w:p>
      </w:tc>
    </w:tr>
  </w:tbl>
  <w:p w:rsidR="00D337B9" w:rsidRDefault="00D337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tabs>
              <w:tab w:val="left" w:pos="2028"/>
              <w:tab w:val="right" w:pos="8594"/>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r>
            <w:rPr>
              <w:rFonts w:cstheme="minorHAnsi"/>
              <w:b/>
              <w:bCs/>
              <w:color w:val="1F497D" w:themeColor="text2"/>
            </w:rPr>
            <w:tab/>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D337B9" w:rsidRDefault="00D337B9">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tcPr>
        <w:p w:rsidR="00D337B9" w:rsidRDefault="00D337B9">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337B9" w:rsidRDefault="00D337B9">
          <w:pPr>
            <w:pStyle w:val="Header"/>
            <w:spacing w:line="276" w:lineRule="auto"/>
            <w:rPr>
              <w:rFonts w:cstheme="minorHAnsi"/>
              <w:b/>
              <w:bCs/>
              <w:color w:val="1F497D" w:themeColor="text2"/>
            </w:rPr>
          </w:pPr>
        </w:p>
      </w:tc>
    </w:tr>
  </w:tbl>
  <w:p w:rsidR="00D337B9" w:rsidRDefault="00D337B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tabs>
              <w:tab w:val="left" w:pos="2064"/>
              <w:tab w:val="right" w:pos="8594"/>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r>
            <w:rPr>
              <w:rFonts w:cstheme="minorHAnsi"/>
              <w:b/>
              <w:bCs/>
              <w:color w:val="1F497D" w:themeColor="text2"/>
            </w:rPr>
            <w:tab/>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23</w:t>
          </w:r>
          <w:r>
            <w:rPr>
              <w:rFonts w:cstheme="minorHAnsi"/>
              <w:b/>
              <w:bCs/>
              <w:color w:val="1F497D" w:themeColor="text2"/>
              <w:sz w:val="28"/>
            </w:rPr>
            <w:fldChar w:fldCharType="end"/>
          </w:r>
        </w:p>
      </w:tc>
    </w:tr>
  </w:tbl>
  <w:p w:rsidR="00D337B9" w:rsidRDefault="00D337B9">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tcPr>
        <w:p w:rsidR="00D337B9" w:rsidRDefault="00D337B9">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337B9" w:rsidRDefault="00D337B9">
          <w:pPr>
            <w:pStyle w:val="Header"/>
            <w:spacing w:line="276" w:lineRule="auto"/>
            <w:rPr>
              <w:rFonts w:cstheme="minorHAnsi"/>
              <w:b/>
              <w:bCs/>
              <w:color w:val="1F497D" w:themeColor="text2"/>
            </w:rPr>
          </w:pPr>
        </w:p>
      </w:tc>
    </w:tr>
  </w:tbl>
  <w:p w:rsidR="00D337B9" w:rsidRDefault="00D337B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spacing w:line="276" w:lineRule="auto"/>
            <w:jc w:val="right"/>
            <w:rPr>
              <w:rFonts w:cstheme="minorHAnsi"/>
              <w:b/>
              <w:bCs/>
              <w:color w:val="1F497D" w:themeColor="text2"/>
            </w:rPr>
          </w:pPr>
          <w:r>
            <w:rPr>
              <w:rFonts w:cstheme="minorHAnsi"/>
              <w:b/>
              <w:bCs/>
              <w:color w:val="1F497D" w:themeColor="text2"/>
            </w:rPr>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26</w:t>
          </w:r>
          <w:r>
            <w:rPr>
              <w:rFonts w:cstheme="minorHAnsi"/>
              <w:b/>
              <w:bCs/>
              <w:color w:val="1F497D" w:themeColor="text2"/>
              <w:sz w:val="28"/>
            </w:rPr>
            <w:fldChar w:fldCharType="end"/>
          </w:r>
        </w:p>
      </w:tc>
    </w:tr>
  </w:tbl>
  <w:p w:rsidR="00D337B9" w:rsidRDefault="00D337B9">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D337B9">
      <w:tc>
        <w:tcPr>
          <w:tcW w:w="0" w:type="auto"/>
          <w:tcBorders>
            <w:top w:val="nil"/>
            <w:left w:val="nil"/>
            <w:bottom w:val="nil"/>
            <w:right w:val="single" w:sz="6" w:space="0" w:color="000000" w:themeColor="text1"/>
          </w:tcBorders>
        </w:tcPr>
        <w:p w:rsidR="00D337B9" w:rsidRDefault="00D337B9">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337B9" w:rsidRDefault="00D337B9">
          <w:pPr>
            <w:pStyle w:val="Header"/>
            <w:spacing w:line="276" w:lineRule="auto"/>
            <w:rPr>
              <w:rFonts w:cstheme="minorHAnsi"/>
              <w:b/>
              <w:bCs/>
              <w:color w:val="1F497D" w:themeColor="text2"/>
            </w:rPr>
          </w:pPr>
        </w:p>
      </w:tc>
    </w:tr>
  </w:tbl>
  <w:p w:rsidR="00D337B9" w:rsidRDefault="00D337B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spacing w:line="276" w:lineRule="auto"/>
            <w:jc w:val="right"/>
            <w:rPr>
              <w:rFonts w:cstheme="minorHAnsi"/>
              <w:b/>
              <w:bCs/>
              <w:color w:val="1F497D" w:themeColor="text2"/>
            </w:rPr>
          </w:pPr>
          <w:r>
            <w:rPr>
              <w:rFonts w:cstheme="minorHAnsi"/>
              <w:b/>
              <w:bCs/>
              <w:color w:val="1F497D" w:themeColor="text2"/>
            </w:rPr>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D337B9" w:rsidRDefault="00D337B9">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B9" w:rsidRDefault="00D337B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08"/>
      <w:gridCol w:w="1152"/>
    </w:tblGrid>
    <w:tr w:rsidR="00D337B9">
      <w:tc>
        <w:tcPr>
          <w:tcW w:w="0" w:type="auto"/>
          <w:tcBorders>
            <w:top w:val="nil"/>
            <w:left w:val="nil"/>
            <w:bottom w:val="nil"/>
            <w:right w:val="single" w:sz="6" w:space="0" w:color="000000" w:themeColor="text1"/>
          </w:tcBorders>
          <w:hideMark/>
        </w:tcPr>
        <w:p w:rsidR="00D337B9" w:rsidRDefault="009B5B10">
          <w:pPr>
            <w:pStyle w:val="Header"/>
            <w:spacing w:line="276" w:lineRule="auto"/>
            <w:jc w:val="right"/>
            <w:rPr>
              <w:rFonts w:cstheme="minorHAnsi"/>
              <w:b/>
              <w:bCs/>
              <w:color w:val="1F497D" w:themeColor="text2"/>
            </w:rPr>
          </w:pPr>
          <w:r>
            <w:rPr>
              <w:rFonts w:cstheme="minorHAnsi"/>
              <w:b/>
              <w:bCs/>
              <w:color w:val="1F497D" w:themeColor="text2"/>
            </w:rPr>
            <w:t>Cyprus</w:t>
          </w:r>
        </w:p>
      </w:tc>
      <w:tc>
        <w:tcPr>
          <w:tcW w:w="1152" w:type="dxa"/>
          <w:tcBorders>
            <w:top w:val="nil"/>
            <w:left w:val="single" w:sz="6" w:space="0" w:color="000000" w:themeColor="text1"/>
            <w:bottom w:val="nil"/>
            <w:right w:val="nil"/>
          </w:tcBorders>
          <w:hideMark/>
        </w:tcPr>
        <w:p w:rsidR="00D337B9" w:rsidRDefault="009B5B10">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D337B9" w:rsidRDefault="00D337B9">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08"/>
      <w:gridCol w:w="1152"/>
    </w:tblGrid>
    <w:tr w:rsidR="00D337B9">
      <w:tc>
        <w:tcPr>
          <w:tcW w:w="0" w:type="auto"/>
          <w:tcBorders>
            <w:top w:val="nil"/>
            <w:left w:val="nil"/>
            <w:bottom w:val="nil"/>
            <w:right w:val="single" w:sz="6" w:space="0" w:color="000000" w:themeColor="text1"/>
          </w:tcBorders>
        </w:tcPr>
        <w:p w:rsidR="00D337B9" w:rsidRDefault="00D337B9">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D337B9" w:rsidRDefault="00D337B9">
          <w:pPr>
            <w:pStyle w:val="Header"/>
            <w:spacing w:line="276" w:lineRule="auto"/>
            <w:rPr>
              <w:rFonts w:cstheme="minorHAnsi"/>
              <w:b/>
              <w:bCs/>
              <w:color w:val="1F497D" w:themeColor="text2"/>
            </w:rPr>
          </w:pPr>
        </w:p>
      </w:tc>
    </w:tr>
  </w:tbl>
  <w:p w:rsidR="00D337B9" w:rsidRDefault="00D337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C7B4D"/>
    <w:multiLevelType w:val="hybridMultilevel"/>
    <w:tmpl w:val="295643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BAD1D2A"/>
    <w:multiLevelType w:val="hybridMultilevel"/>
    <w:tmpl w:val="0BBE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FE1B99"/>
    <w:multiLevelType w:val="hybridMultilevel"/>
    <w:tmpl w:val="DCC4EDEC"/>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13969F1"/>
    <w:multiLevelType w:val="hybridMultilevel"/>
    <w:tmpl w:val="2114521E"/>
    <w:lvl w:ilvl="0" w:tplc="41108058">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6">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7">
    <w:nsid w:val="206C18C3"/>
    <w:multiLevelType w:val="hybridMultilevel"/>
    <w:tmpl w:val="573CF89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9">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1">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04025B9"/>
    <w:multiLevelType w:val="hybridMultilevel"/>
    <w:tmpl w:val="A18E44B6"/>
    <w:lvl w:ilvl="0" w:tplc="76C843FC">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9EF108E"/>
    <w:multiLevelType w:val="hybridMultilevel"/>
    <w:tmpl w:val="EE48F1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2">
    <w:nsid w:val="57FD4659"/>
    <w:multiLevelType w:val="hybridMultilevel"/>
    <w:tmpl w:val="04C8E0A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5">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7">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9">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76E33647"/>
    <w:multiLevelType w:val="hybridMultilevel"/>
    <w:tmpl w:val="E18A0354"/>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16"/>
  </w:num>
  <w:num w:numId="3">
    <w:abstractNumId w:val="27"/>
  </w:num>
  <w:num w:numId="4">
    <w:abstractNumId w:val="23"/>
  </w:num>
  <w:num w:numId="5">
    <w:abstractNumId w:val="14"/>
  </w:num>
  <w:num w:numId="6">
    <w:abstractNumId w:val="11"/>
  </w:num>
  <w:num w:numId="7">
    <w:abstractNumId w:val="31"/>
  </w:num>
  <w:num w:numId="8">
    <w:abstractNumId w:val="21"/>
  </w:num>
  <w:num w:numId="9">
    <w:abstractNumId w:val="10"/>
  </w:num>
  <w:num w:numId="10">
    <w:abstractNumId w:val="9"/>
  </w:num>
  <w:num w:numId="11">
    <w:abstractNumId w:val="6"/>
  </w:num>
  <w:num w:numId="12">
    <w:abstractNumId w:val="5"/>
  </w:num>
  <w:num w:numId="13">
    <w:abstractNumId w:val="24"/>
  </w:num>
  <w:num w:numId="14">
    <w:abstractNumId w:val="26"/>
  </w:num>
  <w:num w:numId="15">
    <w:abstractNumId w:val="25"/>
  </w:num>
  <w:num w:numId="16">
    <w:abstractNumId w:val="28"/>
  </w:num>
  <w:num w:numId="17">
    <w:abstractNumId w:val="8"/>
  </w:num>
  <w:num w:numId="18">
    <w:abstractNumId w:val="13"/>
  </w:num>
  <w:num w:numId="19">
    <w:abstractNumId w:val="17"/>
  </w:num>
  <w:num w:numId="20">
    <w:abstractNumId w:val="15"/>
  </w:num>
  <w:num w:numId="21">
    <w:abstractNumId w:val="1"/>
  </w:num>
  <w:num w:numId="22">
    <w:abstractNumId w:val="18"/>
  </w:num>
  <w:num w:numId="23">
    <w:abstractNumId w:val="19"/>
  </w:num>
  <w:num w:numId="24">
    <w:abstractNumId w:val="12"/>
  </w:num>
  <w:num w:numId="25">
    <w:abstractNumId w:val="20"/>
  </w:num>
  <w:num w:numId="26">
    <w:abstractNumId w:val="0"/>
  </w:num>
  <w:num w:numId="27">
    <w:abstractNumId w:val="22"/>
  </w:num>
  <w:num w:numId="28">
    <w:abstractNumId w:val="3"/>
  </w:num>
  <w:num w:numId="29">
    <w:abstractNumId w:val="7"/>
  </w:num>
  <w:num w:numId="30">
    <w:abstractNumId w:val="30"/>
  </w:num>
  <w:num w:numId="31">
    <w:abstractNumId w:val="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A0881D56C0E74338B3ACEB1D36A16E29"/>
    <w:docVar w:name="LW_CROSSREFERENCE" w:val="{COM(2017) 63 final}_x000a_{SWD(2017) 33 - 35 final}_x000a_{SWD(2017) 37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36"/>
    <w:docVar w:name="LW_REF.INTERNE" w:val="&lt;UNUSED&gt;"/>
    <w:docVar w:name="LW_SUPERTITRE" w:val="&lt;UNUSED&gt;"/>
    <w:docVar w:name="LW_TITRE.OBJ.CP" w:val="The EU Environmental Implementation Review _x000b_Country Report - CYPRUS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D337B9"/>
    <w:rsid w:val="009B5B10"/>
    <w:rsid w:val="00D33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1"/>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GraphTitle">
    <w:name w:val="Graph Title"/>
    <w:basedOn w:val="Normal"/>
    <w:next w:val="Normal"/>
    <w:pPr>
      <w:keepNext/>
      <w:pBdr>
        <w:top w:val="single" w:sz="2" w:space="2" w:color="auto"/>
        <w:bottom w:val="single" w:sz="2" w:space="2" w:color="auto"/>
      </w:pBdr>
      <w:spacing w:after="240" w:line="240" w:lineRule="auto"/>
      <w:ind w:left="935" w:right="79" w:hanging="935"/>
    </w:pPr>
    <w:rPr>
      <w:rFonts w:ascii="Century Gothic" w:eastAsia="Times New Roman" w:hAnsi="Century Gothic" w:cs="Times New Roman"/>
      <w:color w:val="333399"/>
      <w:sz w:val="14"/>
      <w:szCs w:val="24"/>
    </w:rPr>
  </w:style>
  <w:style w:type="paragraph" w:customStyle="1" w:styleId="GraphSource">
    <w:name w:val="Graph Sourc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Shape">
    <w:name w:val="Graph Shape"/>
    <w:basedOn w:val="Normal"/>
    <w:next w:val="Normal"/>
    <w:pPr>
      <w:keepNext/>
      <w:spacing w:after="0" w:line="240" w:lineRule="auto"/>
      <w:jc w:val="center"/>
    </w:pPr>
    <w:rPr>
      <w:rFonts w:eastAsia="Times New Roman" w:cs="Times New Roman"/>
      <w:color w:val="000000"/>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1"/>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GraphTitle">
    <w:name w:val="Graph Title"/>
    <w:basedOn w:val="Normal"/>
    <w:next w:val="Normal"/>
    <w:pPr>
      <w:keepNext/>
      <w:pBdr>
        <w:top w:val="single" w:sz="2" w:space="2" w:color="auto"/>
        <w:bottom w:val="single" w:sz="2" w:space="2" w:color="auto"/>
      </w:pBdr>
      <w:spacing w:after="240" w:line="240" w:lineRule="auto"/>
      <w:ind w:left="935" w:right="79" w:hanging="935"/>
    </w:pPr>
    <w:rPr>
      <w:rFonts w:ascii="Century Gothic" w:eastAsia="Times New Roman" w:hAnsi="Century Gothic" w:cs="Times New Roman"/>
      <w:color w:val="333399"/>
      <w:sz w:val="14"/>
      <w:szCs w:val="24"/>
    </w:rPr>
  </w:style>
  <w:style w:type="paragraph" w:customStyle="1" w:styleId="GraphSource">
    <w:name w:val="Graph Sourc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000000"/>
      <w:sz w:val="14"/>
      <w:szCs w:val="24"/>
    </w:rPr>
  </w:style>
  <w:style w:type="paragraph" w:customStyle="1" w:styleId="GraphShape">
    <w:name w:val="Graph Shape"/>
    <w:basedOn w:val="Normal"/>
    <w:next w:val="Normal"/>
    <w:pPr>
      <w:keepNext/>
      <w:spacing w:after="0" w:line="240" w:lineRule="auto"/>
      <w:jc w:val="center"/>
    </w:pPr>
    <w:rPr>
      <w:rFonts w:eastAsia="Times New Roman" w:cs="Times New Roman"/>
      <w:color w:val="00000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136886">
      <w:bodyDiv w:val="1"/>
      <w:marLeft w:val="0"/>
      <w:marRight w:val="0"/>
      <w:marTop w:val="0"/>
      <w:marBottom w:val="0"/>
      <w:divBdr>
        <w:top w:val="none" w:sz="0" w:space="0" w:color="auto"/>
        <w:left w:val="none" w:sz="0" w:space="0" w:color="auto"/>
        <w:bottom w:val="none" w:sz="0" w:space="0" w:color="auto"/>
        <w:right w:val="none" w:sz="0" w:space="0" w:color="auto"/>
      </w:divBdr>
    </w:div>
    <w:div w:id="1168449833">
      <w:bodyDiv w:val="1"/>
      <w:marLeft w:val="0"/>
      <w:marRight w:val="0"/>
      <w:marTop w:val="0"/>
      <w:marBottom w:val="0"/>
      <w:divBdr>
        <w:top w:val="none" w:sz="0" w:space="0" w:color="auto"/>
        <w:left w:val="none" w:sz="0" w:space="0" w:color="auto"/>
        <w:bottom w:val="none" w:sz="0" w:space="0" w:color="auto"/>
        <w:right w:val="none" w:sz="0" w:space="0" w:color="auto"/>
      </w:divBdr>
    </w:div>
    <w:div w:id="173122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5.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4.xml"/><Relationship Id="rId68" Type="http://schemas.openxmlformats.org/officeDocument/2006/relationships/image" Target="media/image10.jpeg"/><Relationship Id="rId84" Type="http://schemas.openxmlformats.org/officeDocument/2006/relationships/image" Target="media/image14.png"/><Relationship Id="rId89" Type="http://schemas.openxmlformats.org/officeDocument/2006/relationships/footer" Target="footer31.xml"/><Relationship Id="rId112" Type="http://schemas.openxmlformats.org/officeDocument/2006/relationships/footer" Target="footer42.xml"/><Relationship Id="rId16" Type="http://schemas.openxmlformats.org/officeDocument/2006/relationships/hyperlink" Target="mailto:ENV-EIR@ec.europa.eu" TargetMode="External"/><Relationship Id="rId107" Type="http://schemas.openxmlformats.org/officeDocument/2006/relationships/header" Target="header40.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19.xml"/><Relationship Id="rId58" Type="http://schemas.openxmlformats.org/officeDocument/2006/relationships/footer" Target="footer21.xml"/><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footer" Target="footer38.xml"/><Relationship Id="rId123" Type="http://schemas.openxmlformats.org/officeDocument/2006/relationships/footer" Target="footer46.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footer" Target="footer32.xml"/><Relationship Id="rId95" Type="http://schemas.openxmlformats.org/officeDocument/2006/relationships/footer" Target="footer34.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png"/><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image" Target="media/image11.jpeg"/><Relationship Id="rId77" Type="http://schemas.openxmlformats.org/officeDocument/2006/relationships/header" Target="header28.xml"/><Relationship Id="rId100" Type="http://schemas.openxmlformats.org/officeDocument/2006/relationships/header" Target="header38.xml"/><Relationship Id="rId105" Type="http://schemas.openxmlformats.org/officeDocument/2006/relationships/image" Target="media/image17.png"/><Relationship Id="rId113" Type="http://schemas.openxmlformats.org/officeDocument/2006/relationships/header" Target="header43.xml"/><Relationship Id="rId118" Type="http://schemas.openxmlformats.org/officeDocument/2006/relationships/footer" Target="footer45.xml"/><Relationship Id="rId126" Type="http://schemas.openxmlformats.org/officeDocument/2006/relationships/footer" Target="footer48.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eader" Target="header26.xml"/><Relationship Id="rId80" Type="http://schemas.openxmlformats.org/officeDocument/2006/relationships/footer" Target="footer29.xml"/><Relationship Id="rId85" Type="http://schemas.openxmlformats.org/officeDocument/2006/relationships/image" Target="media/image15.png"/><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header" Target="header4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2.xml"/><Relationship Id="rId67" Type="http://schemas.openxmlformats.org/officeDocument/2006/relationships/image" Target="media/image9.png"/><Relationship Id="rId103" Type="http://schemas.openxmlformats.org/officeDocument/2006/relationships/header" Target="header39.xml"/><Relationship Id="rId108" Type="http://schemas.openxmlformats.org/officeDocument/2006/relationships/header" Target="header41.xml"/><Relationship Id="rId116" Type="http://schemas.openxmlformats.org/officeDocument/2006/relationships/footer" Target="footer44.xml"/><Relationship Id="rId124" Type="http://schemas.openxmlformats.org/officeDocument/2006/relationships/footer" Target="footer47.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header" Target="header20.xml"/><Relationship Id="rId62" Type="http://schemas.openxmlformats.org/officeDocument/2006/relationships/footer" Target="footer23.xml"/><Relationship Id="rId70" Type="http://schemas.openxmlformats.org/officeDocument/2006/relationships/image" Target="media/image12.jpeg"/><Relationship Id="rId75" Type="http://schemas.openxmlformats.org/officeDocument/2006/relationships/header" Target="header27.xml"/><Relationship Id="rId83" Type="http://schemas.openxmlformats.org/officeDocument/2006/relationships/image" Target="media/image13.png"/><Relationship Id="rId88" Type="http://schemas.openxmlformats.org/officeDocument/2006/relationships/header" Target="header32.xml"/><Relationship Id="rId91" Type="http://schemas.openxmlformats.org/officeDocument/2006/relationships/header" Target="header33.xml"/><Relationship Id="rId96" Type="http://schemas.openxmlformats.org/officeDocument/2006/relationships/footer" Target="footer35.xml"/><Relationship Id="rId111"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header" Target="header21.xml"/><Relationship Id="rId106" Type="http://schemas.openxmlformats.org/officeDocument/2006/relationships/image" Target="media/image18.png"/><Relationship Id="rId114" Type="http://schemas.openxmlformats.org/officeDocument/2006/relationships/header" Target="header44.xml"/><Relationship Id="rId119" Type="http://schemas.openxmlformats.org/officeDocument/2006/relationships/image" Target="media/image19.jpeg"/><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image" Target="media/image6.jpeg"/><Relationship Id="rId60" Type="http://schemas.openxmlformats.org/officeDocument/2006/relationships/header" Target="header23.xml"/><Relationship Id="rId65" Type="http://schemas.openxmlformats.org/officeDocument/2006/relationships/image" Target="media/image7.png"/><Relationship Id="rId73" Type="http://schemas.openxmlformats.org/officeDocument/2006/relationships/footer" Target="footer25.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image" Target="media/image16.jpeg"/><Relationship Id="rId94" Type="http://schemas.openxmlformats.org/officeDocument/2006/relationships/header" Target="header35.xml"/><Relationship Id="rId99" Type="http://schemas.openxmlformats.org/officeDocument/2006/relationships/header" Target="header37.xml"/><Relationship Id="rId101" Type="http://schemas.openxmlformats.org/officeDocument/2006/relationships/footer" Target="footer37.xml"/><Relationship Id="rId122" Type="http://schemas.openxmlformats.org/officeDocument/2006/relationships/header" Target="header47.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0.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19.xml"/><Relationship Id="rId76" Type="http://schemas.openxmlformats.org/officeDocument/2006/relationships/footer" Target="footer27.xml"/><Relationship Id="rId97" Type="http://schemas.openxmlformats.org/officeDocument/2006/relationships/header" Target="header36.xml"/><Relationship Id="rId104" Type="http://schemas.openxmlformats.org/officeDocument/2006/relationships/footer" Target="footer39.xml"/><Relationship Id="rId120" Type="http://schemas.openxmlformats.org/officeDocument/2006/relationships/image" Target="media/image20.jpeg"/><Relationship Id="rId125" Type="http://schemas.openxmlformats.org/officeDocument/2006/relationships/header" Target="header48.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8.png"/><Relationship Id="rId87" Type="http://schemas.openxmlformats.org/officeDocument/2006/relationships/header" Target="header31.xml"/><Relationship Id="rId110" Type="http://schemas.openxmlformats.org/officeDocument/2006/relationships/footer" Target="footer41.xml"/><Relationship Id="rId115" Type="http://schemas.openxmlformats.org/officeDocument/2006/relationships/footer" Target="footer43.xml"/><Relationship Id="rId61" Type="http://schemas.openxmlformats.org/officeDocument/2006/relationships/footer" Target="footer22.xml"/><Relationship Id="rId82" Type="http://schemas.openxmlformats.org/officeDocument/2006/relationships/footer" Target="footer30.xml"/></Relationships>
</file>

<file path=word/_rels/footnotes.xml.rels><?xml version="1.0" encoding="UTF-8" standalone="yes"?>
<Relationships xmlns="http://schemas.openxmlformats.org/package/2006/relationships"><Relationship Id="rId13" Type="http://schemas.openxmlformats.org/officeDocument/2006/relationships/hyperlink" Target="https://circabc.europa.eu/sd/a/6caf2eb1-3ab2-4eb7-9bb6-653ae7d5e308/CY_20140528.pdf" TargetMode="External"/><Relationship Id="rId18" Type="http://schemas.openxmlformats.org/officeDocument/2006/relationships/hyperlink" Target="http://eur-lex.europa.eu/legal-content/EN/TXT/?uri=CELEX%3A32008L0056" TargetMode="External"/><Relationship Id="rId26" Type="http://schemas.openxmlformats.org/officeDocument/2006/relationships/hyperlink" Target="http://eur-lex.europa.eu/legal-content/EN/TXT/?uri=uriserv:OJ.L_.2016.344.01.0001.01.ENG&amp;toc=OJ:L:2016:344:TOC" TargetMode="External"/><Relationship Id="rId39" Type="http://schemas.openxmlformats.org/officeDocument/2006/relationships/hyperlink" Target="http://ec.europa.eu/environment/water/water-drink/reporting_en.html" TargetMode="External"/><Relationship Id="rId21"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4" Type="http://schemas.openxmlformats.org/officeDocument/2006/relationships/hyperlink" Target="http://eur-lex.europa.eu/legal-content/EN/ALL/?uri=CELEX%3A31991L0271" TargetMode="External"/><Relationship Id="rId42" Type="http://schemas.openxmlformats.org/officeDocument/2006/relationships/hyperlink" Target="http://uwwtd.oieau.fr/cyprus/%20%20" TargetMode="External"/><Relationship Id="rId47" Type="http://schemas.openxmlformats.org/officeDocument/2006/relationships/hyperlink" Target="http://ec.europa.eu/environment/urban/tool.htm" TargetMode="External"/><Relationship Id="rId50" Type="http://schemas.openxmlformats.org/officeDocument/2006/relationships/hyperlink" Target="http://ec.europa.eu/eurostat/tgm/table.do?tab=table&amp;init=1&amp;language=en&amp;pcode=t2020_rt320&amp;plugin=1http://ec.europa.eu/eurostat/en/web/products-datasets/-/T2020_RT320" TargetMode="External"/><Relationship Id="rId55" Type="http://schemas.openxmlformats.org/officeDocument/2006/relationships/hyperlink" Target="http://www.eib.org/efsi/" TargetMode="External"/><Relationship Id="rId63" Type="http://schemas.openxmlformats.org/officeDocument/2006/relationships/hyperlink" Target="http://ec.europa.eu/environment/archives/water/implrep2007/pdf/Governance-Pressures%20and%20measures.pdf" TargetMode="External"/><Relationship Id="rId68" Type="http://schemas.openxmlformats.org/officeDocument/2006/relationships/hyperlink" Target="https://ec.europa.eu/digital-single-market/en/news/communication-eu-egovernment-action-plan-2016-2020-accelerating-digital-transformation" TargetMode="External"/><Relationship Id="rId7" Type="http://schemas.openxmlformats.org/officeDocument/2006/relationships/hyperlink" Target="http://ec.europa.eu/eurostat/tgm/table.do?tab=table&amp;init=1&amp;plugin=1&amp;language=en&amp;pcode=tsdpc240" TargetMode="External"/><Relationship Id="rId71" Type="http://schemas.openxmlformats.org/officeDocument/2006/relationships/hyperlink" Target="http://inspire-geoportal.ec.europa.eu/resources/INSPIREResourcesReports/resourcesReport_2016-05-09/"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land.copernicus.eu/pan-european/corine-land-cover/lcc-2006-2012/view" TargetMode="External"/><Relationship Id="rId29" Type="http://schemas.openxmlformats.org/officeDocument/2006/relationships/hyperlink" Target="http://cdr.eionet.europa.eu/cy/eu/aqd/g/envvdeqew/"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s://ec.europa.eu/environment/ecoap/scoreboard_en" TargetMode="External"/><Relationship Id="rId11" Type="http://schemas.openxmlformats.org/officeDocument/2006/relationships/hyperlink" Target="http://ec.europa.eu/environment/waste/studies/pdf/study%2012%20FINAL%20REPORT.pdf" TargetMode="External"/><Relationship Id="rId24" Type="http://schemas.openxmlformats.org/officeDocument/2006/relationships/hyperlink" Target="http://www.eea.europa.eu/data-and-maps/data/data-viewers/emissions-nec-directive-viewer" TargetMode="External"/><Relationship Id="rId32" Type="http://schemas.openxmlformats.org/officeDocument/2006/relationships/hyperlink" Target="http://www.euro.who.int/en/media-centre/sections/press-releases/2011/03/new-evidence-from-who-on-health-effects-of-traffic-related-noise-in-europe" TargetMode="External"/><Relationship Id="rId37" Type="http://schemas.openxmlformats.org/officeDocument/2006/relationships/hyperlink" Target="http://eur-lex.europa.eu/legal-content/EN/TXT/?uri=CELEX%3A31991L0676" TargetMode="External"/><Relationship Id="rId40" Type="http://schemas.openxmlformats.org/officeDocument/2006/relationships/hyperlink" Target="http://www.eea.europa.eu/publications/european-bathing-water-quality-2015" TargetMode="External"/><Relationship Id="rId45" Type="http://schemas.openxmlformats.org/officeDocument/2006/relationships/hyperlink" Target="http://ec.europa.eu/environment/water/water-framework/impl_reports.htm" TargetMode="External"/><Relationship Id="rId53" Type="http://schemas.openxmlformats.org/officeDocument/2006/relationships/hyperlink" Target="http://ec.europa.eu/environment/gpp/action_plan_en.htm" TargetMode="External"/><Relationship Id="rId58" Type="http://schemas.openxmlformats.org/officeDocument/2006/relationships/hyperlink" Target="http://eur-lex.europa.eu/legal-content/EN/TXT/?uri=CELEX%3A32008L0099" TargetMode="External"/><Relationship Id="rId66" Type="http://schemas.openxmlformats.org/officeDocument/2006/relationships/hyperlink" Target="http://eur-lex.europa.eu/legal-content/GA/ALL/?uri=CELEX:32003L0004" TargetMode="External"/><Relationship Id="rId5" Type="http://schemas.openxmlformats.org/officeDocument/2006/relationships/hyperlink" Target="http://ec.europa.eu/eurostat/tgm/table.do?tab=table&amp;init=1&amp;language=en&amp;pcode=tsdpc100&amp;plugin=1" TargetMode="External"/><Relationship Id="rId15" Type="http://schemas.openxmlformats.org/officeDocument/2006/relationships/hyperlink" Target="http://eur-lex.europa.eu/legal-content/EN/TXT/?uri=CELEX:52013DC0249" TargetMode="External"/><Relationship Id="rId23" Type="http://schemas.openxmlformats.org/officeDocument/2006/relationships/hyperlink" Target="http://cdr.eionet.europa.eu/" TargetMode="External"/><Relationship Id="rId28" Type="http://schemas.openxmlformats.org/officeDocument/2006/relationships/hyperlink" Target="http://www.eea.europa.eu/publications/air-quality-in-europe-2016" TargetMode="External"/><Relationship Id="rId36" Type="http://schemas.openxmlformats.org/officeDocument/2006/relationships/hyperlink" Target="http://eur-lex.europa.eu/legal-content/EN/TXT/?qid=1481624135097&amp;uri=CELEX:32000L0060" TargetMode="External"/><Relationship Id="rId49" Type="http://schemas.openxmlformats.org/officeDocument/2006/relationships/hyperlink" Target="http://ec.europa.eu/environment/integration/green_semester/pdf/Eunomia%20EFR%20Final%20Report%20MAIN%20REPORT.pdf" TargetMode="External"/><Relationship Id="rId57" Type="http://schemas.openxmlformats.org/officeDocument/2006/relationships/hyperlink" Target="http://eur-lex.europa.eu/legal-content/EN/TXT/?uri=OJ:C:2016:273:TOC" TargetMode="External"/><Relationship Id="rId61" Type="http://schemas.openxmlformats.org/officeDocument/2006/relationships/hyperlink" Target="http://www.environmentalprosecutors.eu" TargetMode="External"/><Relationship Id="rId10" Type="http://schemas.openxmlformats.org/officeDocument/2006/relationships/hyperlink" Target="http://ec.europa.eu/environment/waste/framework/pdf/Waste%20Summary_CY.pdf" TargetMode="External"/><Relationship Id="rId19" Type="http://schemas.openxmlformats.org/officeDocument/2006/relationships/hyperlink" Target="http://eur-lex.europa.eu/legal-content/EN/TXT/PDF/?uri=CELEX:52014SC0049&amp;from=EN" TargetMode="External"/><Relationship Id="rId31" Type="http://schemas.openxmlformats.org/officeDocument/2006/relationships/hyperlink" Target="http://ec.europa.eu/environment/archives/air/pdf/Impact_assessment_en.pdf" TargetMode="External"/><Relationship Id="rId44" Type="http://schemas.openxmlformats.org/officeDocument/2006/relationships/hyperlink" Target="http://ec.europa.eu/environment/water/water-urbanwaste/implementation/factsfigures_en.htm" TargetMode="External"/><Relationship Id="rId52" Type="http://schemas.openxmlformats.org/officeDocument/2006/relationships/hyperlink" Target="http://eur-lex.europa.eu/legal-content/EN/TXT/?uri=CELEX:52008DC0400http://eur-lex.europa.eu/legal-content/EN/TXT/?uri=CELEX:52008DC0400" TargetMode="External"/><Relationship Id="rId60" Type="http://schemas.openxmlformats.org/officeDocument/2006/relationships/hyperlink" Target="http://www.eufje.org" TargetMode="External"/><Relationship Id="rId65" Type="http://schemas.openxmlformats.org/officeDocument/2006/relationships/hyperlink" Target="http://www.unece.org/fileadmin/DAM/env/pp/documents/cep43e.pdf"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ec.europa.eu/environment/waste/framework/support_implementation.htm" TargetMode="External"/><Relationship Id="rId14" Type="http://schemas.openxmlformats.org/officeDocument/2006/relationships/hyperlink" Target="https://circabc.europa.eu/sd/a/352861e8-a396-41dc-bc2b-f97698ddc05e/CY_A12NatSum_20141031.pdf" TargetMode="External"/><Relationship Id="rId22" Type="http://schemas.openxmlformats.org/officeDocument/2006/relationships/hyperlink" Target="http://ec.europa.eu/environment/air/quality/standards.htm" TargetMode="External"/><Relationship Id="rId27" Type="http://schemas.openxmlformats.org/officeDocument/2006/relationships/hyperlink" Target="http://www.eea.europa.eu/publications/air-quality-in-europe-2016" TargetMode="External"/><Relationship Id="rId30" Type="http://schemas.openxmlformats.org/officeDocument/2006/relationships/hyperlink" Target="http://www.eionet.europa.eu/aqportal" TargetMode="External"/><Relationship Id="rId35" Type="http://schemas.openxmlformats.org/officeDocument/2006/relationships/hyperlink" Target="http://eur-lex.europa.eu/legal-content/EN/TXT/?uri=CELEX%3A31998L0083" TargetMode="External"/><Relationship Id="rId43" Type="http://schemas.openxmlformats.org/officeDocument/2006/relationships/hyperlink" Target="http://ec.europa.eu/environment/water/water-urbanwaste/implementation/implementationreports_en.htm" TargetMode="External"/><Relationship Id="rId48" Type="http://schemas.openxmlformats.org/officeDocument/2006/relationships/hyperlink" Target="http://ec.europa.eu/eurostat/en/web/products-datasets/-/T2020_RT320" TargetMode="External"/><Relationship Id="rId56" Type="http://schemas.openxmlformats.org/officeDocument/2006/relationships/hyperlink" Target="https://cohesiondata.ec.europa.eu/countries" TargetMode="External"/><Relationship Id="rId64" Type="http://schemas.openxmlformats.org/officeDocument/2006/relationships/hyperlink" Target="http://ec.europa.eu/environment/aarhus/access_studies.htm" TargetMode="External"/><Relationship Id="rId69" Type="http://schemas.openxmlformats.org/officeDocument/2006/relationships/hyperlink" Target="http://inspire.ec.europa.eu/index.cfm/pageid/182" TargetMode="External"/><Relationship Id="rId8" Type="http://schemas.openxmlformats.org/officeDocument/2006/relationships/hyperlink" Target="http://ec.europa.eu/eurostat/tgm/table.do?tab=table&amp;init=1&amp;language=en&amp;pcode=t2020_rt120&amp;plugin=1" TargetMode="External"/><Relationship Id="rId51" Type="http://schemas.openxmlformats.org/officeDocument/2006/relationships/hyperlink" Target="http://ec.europa.eu/internal_market/scoreboard/performance_per_policy_area/public_procurement/index_en.htm"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ec.europa.eu/environment/nature/info/pubs/docs/nat2000newsl/nat37_en.pdf" TargetMode="External"/><Relationship Id="rId17" Type="http://schemas.openxmlformats.org/officeDocument/2006/relationships/hyperlink" Target="http://ec.europa.eu/eurostat/statistics-explained/index.php/Agri-environmental_indicator_-_soil_erosion" TargetMode="External"/><Relationship Id="rId25" Type="http://schemas.openxmlformats.org/officeDocument/2006/relationships/hyperlink" Target="http://eur-lex.europa.eu/legal-content/EN/TXT/?uri=celex:32001L0081" TargetMode="External"/><Relationship Id="rId33" Type="http://schemas.openxmlformats.org/officeDocument/2006/relationships/hyperlink" Target="http://eur-lex.europa.eu/legal-content/EN/TXT/?qid=1481623908600&amp;uri=CELEX:32006L0007" TargetMode="External"/><Relationship Id="rId38" Type="http://schemas.openxmlformats.org/officeDocument/2006/relationships/hyperlink" Target="http://eur-lex.europa.eu/legal-content/EN/TXT/?uri=CELEX:32007L0060" TargetMode="External"/><Relationship Id="rId46" Type="http://schemas.openxmlformats.org/officeDocument/2006/relationships/hyperlink" Target="http://urbanagendaforthe.eu/" TargetMode="External"/><Relationship Id="rId59" Type="http://schemas.openxmlformats.org/officeDocument/2006/relationships/hyperlink" Target="http://www.impel.eu" TargetMode="External"/><Relationship Id="rId67" Type="http://schemas.openxmlformats.org/officeDocument/2006/relationships/hyperlink" Target="http://eur-lex.europa.eu/LexUriServ/LexUriServ.do?uri=CELEX:32007L0002:EN:NOT" TargetMode="External"/><Relationship Id="rId20"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41" Type="http://schemas.openxmlformats.org/officeDocument/2006/relationships/hyperlink" Target="http://www.eea.europa.eu/themes/water/status-and-monitoring/state-of-bathing-water" TargetMode="External"/><Relationship Id="rId54" Type="http://schemas.openxmlformats.org/officeDocument/2006/relationships/hyperlink" Target="http://ec.europa.eu/internal_market/publicprocurement/docs/modernising_rules/strategic-use-public-procurement-europe_en.pdf" TargetMode="External"/><Relationship Id="rId62" Type="http://schemas.openxmlformats.org/officeDocument/2006/relationships/hyperlink" Target="http://eur-lex.europa.eu/legal-content/EN/TXT/?uri=CELEX%3A32004L0035" TargetMode="External"/><Relationship Id="rId70" Type="http://schemas.openxmlformats.org/officeDocument/2006/relationships/hyperlink" Target="https://inspire-dashboard.eea.europa.eu/offic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0A045-A6BB-46D3-AC76-640D5403D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11349</Words>
  <Characters>64804</Characters>
  <Application>Microsoft Office Word</Application>
  <DocSecurity>0</DocSecurity>
  <Lines>1705</Lines>
  <Paragraphs>402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2016-12-14T13:20:00Z</cp:lastPrinted>
  <dcterms:created xsi:type="dcterms:W3CDTF">2017-01-24T09:30:00Z</dcterms:created>
  <dcterms:modified xsi:type="dcterms:W3CDTF">2017-02-02T17:43:00Z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